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3.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4.xml" ContentType="application/vnd.openxmlformats-officedocument.drawingml.chartshapes+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01C16" w14:textId="5EA9E1A2" w:rsidR="00F3410E" w:rsidRDefault="00F3410E" w:rsidP="00F3410E">
      <w:pPr>
        <w:spacing w:line="360" w:lineRule="auto"/>
        <w:rPr>
          <w:b/>
          <w:bCs/>
        </w:rPr>
      </w:pPr>
      <w:bookmarkStart w:id="0" w:name="_GoBack"/>
      <w:bookmarkEnd w:id="0"/>
      <w:r w:rsidRPr="003E5D25">
        <w:rPr>
          <w:b/>
          <w:bCs/>
        </w:rPr>
        <w:t xml:space="preserve">Supplementary </w:t>
      </w:r>
      <w:r w:rsidR="006648CA">
        <w:rPr>
          <w:b/>
          <w:bCs/>
        </w:rPr>
        <w:t>materials</w:t>
      </w:r>
    </w:p>
    <w:p w14:paraId="6844EA1E" w14:textId="2544E2AD" w:rsidR="006648CA" w:rsidRPr="003E5D25" w:rsidRDefault="006648CA" w:rsidP="00F3410E">
      <w:pPr>
        <w:spacing w:line="360" w:lineRule="auto"/>
        <w:rPr>
          <w:b/>
          <w:bCs/>
        </w:rPr>
      </w:pPr>
      <w:r>
        <w:rPr>
          <w:b/>
          <w:bCs/>
        </w:rPr>
        <w:t>Methods</w:t>
      </w:r>
    </w:p>
    <w:p w14:paraId="02A21DD8" w14:textId="55706975" w:rsidR="00F3410E" w:rsidRDefault="00F3410E" w:rsidP="00F3410E">
      <w:pPr>
        <w:spacing w:line="360" w:lineRule="auto"/>
      </w:pPr>
      <w:r>
        <w:t>C</w:t>
      </w:r>
      <w:r w:rsidRPr="00B85E1C">
        <w:t>riteria</w:t>
      </w:r>
      <w:r>
        <w:t xml:space="preserve"> for severe acute toxicity </w:t>
      </w:r>
      <w:r w:rsidRPr="00B85E1C">
        <w:t>include</w:t>
      </w:r>
      <w:r>
        <w:t>d</w:t>
      </w:r>
      <w:r w:rsidRPr="00B85E1C">
        <w:t xml:space="preserve"> hyperpyrexia &gt;38.5 °C, Glasgow Coma Scale (GCS) &lt; 8, requirement for endotracheal intubation and/or critical care admission, seizures, psychosis or severe prolonged behavioural disturbance, tachycardia &gt;140/min or arrhythmia, systolic blood pressure &gt;180 or &lt;80 mmHg, creatine kinase &gt;1000 IU/L, AST or ALT &gt;300 IU/L, hypoglycaemia, acute kidney injury, prothrombin time &gt;15 seconds, poisons severity score of 3 or any other severe manifestation suspected to be caused by exposure as determined and justified by the clinical team</w:t>
      </w:r>
      <w:r>
        <w:t xml:space="preserve"> </w:t>
      </w:r>
      <w:r>
        <w:fldChar w:fldCharType="begin">
          <w:fldData xml:space="preserve">PEVuZE5vdGU+PENpdGU+PEF1dGhvcj5IaWxsPC9BdXRob3I+PFllYXI+MjAxNjwvWWVhcj48UmVj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==
</w:fldData>
        </w:fldChar>
      </w:r>
      <w:r w:rsidR="00F16BF7">
        <w:instrText xml:space="preserve"> ADDIN EN.CITE </w:instrText>
      </w:r>
      <w:r w:rsidR="00F16BF7">
        <w:fldChar w:fldCharType="begin">
          <w:fldData xml:space="preserve">PEVuZE5vdGU+PENpdGU+PEF1dGhvcj5IaWxsPC9BdXRob3I+PFllYXI+MjAxNjwvWWVhcj48UmVj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==
</w:fldData>
        </w:fldChar>
      </w:r>
      <w:r w:rsidR="00F16BF7">
        <w:instrText xml:space="preserve"> ADDIN EN.CITE.DATA </w:instrText>
      </w:r>
      <w:r w:rsidR="00F16BF7">
        <w:fldChar w:fldCharType="end"/>
      </w:r>
      <w:r>
        <w:fldChar w:fldCharType="separate"/>
      </w:r>
      <w:r w:rsidR="00F16BF7">
        <w:rPr>
          <w:noProof/>
        </w:rPr>
        <w:t>(1, 2)</w:t>
      </w:r>
      <w:r>
        <w:fldChar w:fldCharType="end"/>
      </w:r>
      <w:r>
        <w:t xml:space="preserve">. Suspicion of NPS use was </w:t>
      </w:r>
      <w:r w:rsidR="00F754D9">
        <w:t xml:space="preserve">based on </w:t>
      </w:r>
      <w:r w:rsidR="002F72DD">
        <w:t xml:space="preserve">self-reported exposure history and/or </w:t>
      </w:r>
      <w:r>
        <w:t xml:space="preserve">clinical judgment. </w:t>
      </w:r>
      <w:r w:rsidR="00092588">
        <w:t>Due to an amendment to the inclusion criteria over the study period (to open recruitment to those suspected of non-pharmac</w:t>
      </w:r>
      <w:r w:rsidR="0048407B">
        <w:t xml:space="preserve">eutical </w:t>
      </w:r>
      <w:r w:rsidR="00092588">
        <w:t>opioid exposure), f</w:t>
      </w:r>
      <w:r>
        <w:t xml:space="preserve">or the analyses reported here, </w:t>
      </w:r>
      <w:r w:rsidR="00C71162">
        <w:t xml:space="preserve">additional </w:t>
      </w:r>
      <w:r>
        <w:t xml:space="preserve">post-hoc criteria </w:t>
      </w:r>
      <w:r w:rsidR="00C71162">
        <w:t>for</w:t>
      </w:r>
      <w:r w:rsidR="009C32E5">
        <w:t xml:space="preserve"> possible</w:t>
      </w:r>
      <w:r w:rsidR="00C71162">
        <w:t xml:space="preserve"> NPS use were</w:t>
      </w:r>
      <w:r w:rsidR="00FA0274">
        <w:t xml:space="preserve"> also</w:t>
      </w:r>
      <w:r w:rsidR="00C71162">
        <w:t xml:space="preserve"> </w:t>
      </w:r>
      <w:r w:rsidR="00D15017">
        <w:t xml:space="preserve">applied </w:t>
      </w:r>
      <w:r w:rsidR="00FA0274">
        <w:t xml:space="preserve">based on </w:t>
      </w:r>
      <w:r w:rsidR="00EA7B4A">
        <w:t xml:space="preserve">self-reported </w:t>
      </w:r>
      <w:r>
        <w:t>exposure</w:t>
      </w:r>
      <w:r w:rsidR="00EA7B4A">
        <w:t xml:space="preserve"> history</w:t>
      </w:r>
      <w:r>
        <w:t>. These criteria included report of any named NPS</w:t>
      </w:r>
      <w:r w:rsidR="00EA7B4A">
        <w:t xml:space="preserve"> (i.e. any drug not controlled </w:t>
      </w:r>
      <w:r w:rsidR="00CF1749">
        <w:t xml:space="preserve">under the </w:t>
      </w:r>
      <w:r w:rsidR="005B223F">
        <w:t>MDA</w:t>
      </w:r>
      <w:r w:rsidR="00E463D9">
        <w:t xml:space="preserve"> before July 2015)</w:t>
      </w:r>
      <w:r>
        <w:t xml:space="preserve">, Spice or other NPS product names (e.g. </w:t>
      </w:r>
      <w:r w:rsidRPr="00533C13">
        <w:t>Mamba, Pandora’s Box</w:t>
      </w:r>
      <w:r>
        <w:t xml:space="preserve">; </w:t>
      </w:r>
      <w:r w:rsidRPr="00533C13">
        <w:fldChar w:fldCharType="begin"/>
      </w:r>
      <w:r w:rsidR="00F16BF7">
        <w:instrText xml:space="preserve"> ADDIN EN.CITE &lt;EndNote&gt;&lt;Cite&gt;&lt;Author&gt;Waugh&lt;/Author&gt;&lt;Year&gt;2016&lt;/Year&gt;&lt;RecNum&gt;48&lt;/RecNum&gt;&lt;DisplayText&gt;(3)&lt;/DisplayText&gt;&lt;record&gt;&lt;rec-number&gt;48&lt;/rec-number&gt;&lt;foreign-keys&gt;&lt;key app="EN" db-id="asv0t0z01zaafae509wprd9bv0revddz5we5" timestamp="1606141737"&gt;48&lt;/key&gt;&lt;/foreign-keys&gt;&lt;ref-type name="Journal Article"&gt;17&lt;/ref-type&gt;&lt;contributors&gt;&lt;authors&gt;&lt;author&gt;Waugh, Jennifer&lt;/author&gt;&lt;author&gt;Najafi, Javad&lt;/author&gt;&lt;author&gt;Hawkins, Leonard&lt;/author&gt;&lt;author&gt;Hill, Simon L.&lt;/author&gt;&lt;author&gt;Eddleston, Michael&lt;/author&gt;&lt;author&gt;Vale, J. Allister&lt;/author&gt;&lt;author&gt;Thompson, John P.&lt;/author&gt;&lt;author&gt;Thomas, Simon H. L.&lt;/author&gt;&lt;/authors&gt;&lt;/contributors&gt;&lt;titles&gt;&lt;title&gt;Epidemiology and clinical features of toxicity following recreational use of synthetic cannabinoid receptor agonists: a report from the United Kingdom National Poisons Information Service&lt;/title&gt;&lt;secondary-title&gt;Clinical Toxicology&lt;/secondary-title&gt;&lt;/titles&gt;&lt;pages&gt;512-518&lt;/pages&gt;&lt;volume&gt;54&lt;/volume&gt;&lt;number&gt;6&lt;/number&gt;&lt;dates&gt;&lt;year&gt;2016&lt;/year&gt;&lt;pub-dates&gt;&lt;date&gt;2016/07/02&lt;/date&gt;&lt;/pub-dates&gt;&lt;/dates&gt;&lt;publisher&gt;Taylor &amp;amp; Francis&lt;/publisher&gt;&lt;isbn&gt;1556-3650&lt;/isbn&gt;&lt;urls&gt;&lt;related-urls&gt;&lt;url&gt;https://doi.org/10.3109/15563650.2016.1171329&lt;/url&gt;&lt;/related-urls&gt;&lt;/urls&gt;&lt;electronic-resource-num&gt;10.3109/15563650.2016.1171329&lt;/electronic-resource-num&gt;&lt;/record&gt;&lt;/Cite&gt;&lt;/EndNote&gt;</w:instrText>
      </w:r>
      <w:r w:rsidRPr="00533C13">
        <w:fldChar w:fldCharType="separate"/>
      </w:r>
      <w:r w:rsidR="00F16BF7">
        <w:rPr>
          <w:noProof/>
        </w:rPr>
        <w:t>(3)</w:t>
      </w:r>
      <w:r w:rsidRPr="00533C13">
        <w:fldChar w:fldCharType="end"/>
      </w:r>
      <w:r>
        <w:t xml:space="preserve">, Street benzodiazepines, Xanax (due to the prevalence of benzodiazepine-based NPS sold as counterfeit tablets marked as Xanax </w:t>
      </w:r>
      <w:r>
        <w:fldChar w:fldCharType="begin"/>
      </w:r>
      <w:r w:rsidR="00F16BF7">
        <w:instrText xml:space="preserve"> ADDIN EN.CITE &lt;EndNote&gt;&lt;Cite&gt;&lt;Author&gt;European Monitoring Centre for Drugs and Drug Addiction&lt;/Author&gt;&lt;Year&gt;2021&lt;/Year&gt;&lt;RecNum&gt;55&lt;/RecNum&gt;&lt;DisplayText&gt;(4)&lt;/DisplayText&gt;&lt;record&gt;&lt;rec-number&gt;55&lt;/rec-number&gt;&lt;foreign-keys&gt;&lt;key app="EN" db-id="t5ef29px80rfw6etw26vrxwjtzsrd9z5psrv" timestamp="1629381110"&gt;55&lt;/key&gt;&lt;/foreign-keys&gt;&lt;ref-type name="Government Document"&gt;46&lt;/ref-type&gt;&lt;contributors&gt;&lt;authors&gt;&lt;author&gt;European Monitoring Centre for Drugs and Drug Addiction,&lt;/author&gt;&lt;/authors&gt;&lt;/contributors&gt;&lt;titles&gt;&lt;title&gt;New benzodiazepines in Europe – a review&lt;/title&gt;&lt;/titles&gt;&lt;dates&gt;&lt;year&gt;2021&lt;/year&gt;&lt;/dates&gt;&lt;pub-location&gt;Luxembourg&lt;/pub-location&gt;&lt;publisher&gt;Publications Office of the European Union&lt;/publisher&gt;&lt;urls&gt;&lt;/urls&gt;&lt;/record&gt;&lt;/Cite&gt;&lt;/EndNote&gt;</w:instrText>
      </w:r>
      <w:r>
        <w:fldChar w:fldCharType="separate"/>
      </w:r>
      <w:r w:rsidR="00F16BF7">
        <w:rPr>
          <w:noProof/>
        </w:rPr>
        <w:t>(4)</w:t>
      </w:r>
      <w:r>
        <w:fldChar w:fldCharType="end"/>
      </w:r>
      <w:r>
        <w:t xml:space="preserve">, </w:t>
      </w:r>
      <w:r w:rsidR="00400BF5">
        <w:t>cannabis (due to SCRA contamination of cannabis products)</w:t>
      </w:r>
      <w:r w:rsidR="00AE2A1C">
        <w:t>,</w:t>
      </w:r>
      <w:r w:rsidR="006B6B8E">
        <w:t xml:space="preserve"> </w:t>
      </w:r>
      <w:r>
        <w:t xml:space="preserve">any unknown tablet or powder, any unknown or unreported exposure, or report of a conventional drug which was suspected (by the patient or clinician) to be contaminated with NPS. </w:t>
      </w:r>
    </w:p>
    <w:p w14:paraId="205F8F7C" w14:textId="77777777" w:rsidR="00F3410E" w:rsidRDefault="00F3410E" w:rsidP="00F3410E">
      <w:pPr>
        <w:spacing w:line="360" w:lineRule="auto"/>
      </w:pPr>
    </w:p>
    <w:p w14:paraId="0D103B61" w14:textId="1B34B7AF" w:rsidR="00F3410E" w:rsidRDefault="00F3410E" w:rsidP="00F3410E">
      <w:pPr>
        <w:spacing w:line="360" w:lineRule="auto"/>
      </w:pPr>
      <w:r>
        <w:t xml:space="preserve">Data reported here were collected between July 2015 and December 2019 (inclusive). This period was chosen because laboratories involved in analysing samples were consistent and it avoids substantial changes in participant recruitment caused subsequently by the COVID-19 pandemic. During the study the numbers of participating hospitals changed as additional sites were recruited while others became inactive. Although the first site started data collection in March 2015, two additional sites were recruited in July 2015, therefore data were taken from this point onwards to reduce the variability in the number of sites throughout the study period. </w:t>
      </w:r>
      <w:r w:rsidR="00C97180">
        <w:t>The number of participating sites recruiting at least one patient in any month over this period ranged from 3 to 2</w:t>
      </w:r>
      <w:r w:rsidR="00254415">
        <w:t>1</w:t>
      </w:r>
      <w:r w:rsidR="00C97180">
        <w:t xml:space="preserve"> (median: 1</w:t>
      </w:r>
      <w:r w:rsidR="00F9157F">
        <w:rPr>
          <w:bCs/>
        </w:rPr>
        <w:t>5.5</w:t>
      </w:r>
      <w:r w:rsidR="00C97180">
        <w:t xml:space="preserve">; interquartile range (IQR): </w:t>
      </w:r>
      <w:r w:rsidR="00334C70">
        <w:t>9</w:t>
      </w:r>
      <w:r w:rsidR="00C97180">
        <w:t xml:space="preserve">) with the number of sites generally increasing over time. </w:t>
      </w:r>
      <w:r>
        <w:t>In total data are taken from 3</w:t>
      </w:r>
      <w:r w:rsidR="007C6FB5">
        <w:t>4</w:t>
      </w:r>
      <w:r>
        <w:t xml:space="preserve"> different sites including </w:t>
      </w:r>
      <w:r w:rsidR="00FE146F">
        <w:t>7</w:t>
      </w:r>
      <w:r>
        <w:t xml:space="preserve"> in London,</w:t>
      </w:r>
      <w:r w:rsidRPr="00AC7070">
        <w:t xml:space="preserve"> </w:t>
      </w:r>
      <w:r w:rsidR="003C2EAE">
        <w:t>7</w:t>
      </w:r>
      <w:r>
        <w:t xml:space="preserve"> in the South East, 4 in the South West, </w:t>
      </w:r>
      <w:r w:rsidR="00110DDE">
        <w:t>2</w:t>
      </w:r>
      <w:r>
        <w:t xml:space="preserve"> in the Midlands, </w:t>
      </w:r>
      <w:r w:rsidR="004750E2">
        <w:t>6</w:t>
      </w:r>
      <w:r>
        <w:t xml:space="preserve"> in the North West,</w:t>
      </w:r>
      <w:r w:rsidRPr="00AC7070">
        <w:t xml:space="preserve"> </w:t>
      </w:r>
      <w:r w:rsidR="004750E2">
        <w:t>5</w:t>
      </w:r>
      <w:r>
        <w:t xml:space="preserve"> in the North East &amp; Yorkshire, 2 in Scotland, and 1 in Wales. Sites were considered to be active from the beginning of the month in which their first case was recorded, and inactive for all months after their last case was recorded</w:t>
      </w:r>
      <w:r w:rsidR="005215E6">
        <w:t>.</w:t>
      </w:r>
      <w:r w:rsidR="008E775B">
        <w:t xml:space="preserve"> </w:t>
      </w:r>
      <w:r w:rsidR="009C1FFF">
        <w:t xml:space="preserve">To account for any disruptions in </w:t>
      </w:r>
      <w:r w:rsidR="00127A9F">
        <w:lastRenderedPageBreak/>
        <w:t xml:space="preserve">recruitment, if </w:t>
      </w:r>
      <w:r w:rsidR="00132C25">
        <w:t>a s</w:t>
      </w:r>
      <w:r w:rsidR="003503A9">
        <w:t>ites last recruit</w:t>
      </w:r>
      <w:r w:rsidR="0085270F">
        <w:t>ment</w:t>
      </w:r>
      <w:r w:rsidR="00B906E5">
        <w:t xml:space="preserve"> </w:t>
      </w:r>
      <w:r w:rsidR="00127A9F">
        <w:t xml:space="preserve">was beyond </w:t>
      </w:r>
      <w:r w:rsidR="003B5287">
        <w:t xml:space="preserve">the inclusion period (i.e. December 2019) </w:t>
      </w:r>
      <w:r w:rsidR="00B906E5">
        <w:t>and the</w:t>
      </w:r>
      <w:r w:rsidR="000D5DA9">
        <w:t xml:space="preserve">re was a gap of 12 months or longer between </w:t>
      </w:r>
      <w:r w:rsidR="00B02EC1">
        <w:t>the</w:t>
      </w:r>
      <w:r w:rsidR="00904CD4">
        <w:t xml:space="preserve"> last recruit</w:t>
      </w:r>
      <w:r w:rsidR="003A769E">
        <w:t>ment</w:t>
      </w:r>
      <w:r w:rsidR="00904CD4">
        <w:t xml:space="preserve"> and the</w:t>
      </w:r>
      <w:r w:rsidR="00B906E5">
        <w:t xml:space="preserve"> preceding one, the date of the preceding recruit</w:t>
      </w:r>
      <w:r w:rsidR="003A769E">
        <w:t>ment</w:t>
      </w:r>
      <w:r w:rsidR="00B906E5">
        <w:t xml:space="preserve"> was taken </w:t>
      </w:r>
      <w:r w:rsidR="001A0175">
        <w:t xml:space="preserve">as the </w:t>
      </w:r>
      <w:r w:rsidR="00904C49">
        <w:t>last</w:t>
      </w:r>
      <w:r>
        <w:t>.</w:t>
      </w:r>
      <w:r w:rsidR="007E39D1">
        <w:t xml:space="preserve"> On average, sites were active for a total of 23.</w:t>
      </w:r>
      <w:r w:rsidR="00852782">
        <w:t>0</w:t>
      </w:r>
      <w:r w:rsidR="007E39D1">
        <w:t xml:space="preserve"> months (SD = 18.</w:t>
      </w:r>
      <w:r w:rsidR="00852782">
        <w:t>1</w:t>
      </w:r>
      <w:r w:rsidR="007E39D1">
        <w:t>) and sites’ active durations ranged from 1 month to 54 months. In total, each site reported a mean of 0.7 (SD=0.</w:t>
      </w:r>
      <w:r w:rsidR="008A6173">
        <w:t>5</w:t>
      </w:r>
      <w:r w:rsidR="007E39D1">
        <w:t xml:space="preserve">) presentations per month, with the monthly mean number of presentations per site ranging from 0.1 to 2.5. </w:t>
      </w:r>
      <w:r w:rsidR="00983B43">
        <w:t xml:space="preserve"> </w:t>
      </w:r>
    </w:p>
    <w:p w14:paraId="51AE11C0" w14:textId="77777777" w:rsidR="003E5D25" w:rsidRDefault="003E5D25" w:rsidP="00F3410E">
      <w:pPr>
        <w:spacing w:line="360" w:lineRule="auto"/>
      </w:pPr>
    </w:p>
    <w:p w14:paraId="44D73CE1" w14:textId="1E6620F8" w:rsidR="003E5D25" w:rsidRPr="003E5D25" w:rsidRDefault="003E5D25" w:rsidP="003E5D25">
      <w:pPr>
        <w:spacing w:line="360" w:lineRule="auto"/>
        <w:rPr>
          <w:b/>
          <w:bCs/>
        </w:rPr>
      </w:pPr>
      <w:r w:rsidRPr="003E5D25">
        <w:rPr>
          <w:b/>
          <w:bCs/>
        </w:rPr>
        <w:t>Toxicological analysis</w:t>
      </w:r>
    </w:p>
    <w:p w14:paraId="10476FDD" w14:textId="30849FBC" w:rsidR="003E5D25" w:rsidRDefault="003E5D25" w:rsidP="003E5D25">
      <w:pPr>
        <w:spacing w:line="360" w:lineRule="auto"/>
      </w:pPr>
      <w:r>
        <w:t xml:space="preserve">A detailed description of sample preparation and analysis is provided elsewhere </w:t>
      </w:r>
      <w:r>
        <w:fldChar w:fldCharType="begin">
          <w:fldData xml:space="preserve">PEVuZE5vdGU+PENpdGU+PEF1dGhvcj5IaWxsPC9BdXRob3I+PFllYXI+MjAxODwvWWVhcj48UmVj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</w:fldData>
        </w:fldChar>
      </w:r>
      <w:r w:rsidR="00F16BF7">
        <w:instrText xml:space="preserve"> ADDIN EN.CITE </w:instrText>
      </w:r>
      <w:r w:rsidR="00F16BF7">
        <w:fldChar w:fldCharType="begin">
          <w:fldData xml:space="preserve">PEVuZE5vdGU+PENpdGU+PEF1dGhvcj5IaWxsPC9BdXRob3I+PFllYXI+MjAxODwvWWVhcj48UmVj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</w:fldData>
        </w:fldChar>
      </w:r>
      <w:r w:rsidR="00F16BF7">
        <w:instrText xml:space="preserve"> ADDIN EN.CITE.DATA </w:instrText>
      </w:r>
      <w:r w:rsidR="00F16BF7">
        <w:fldChar w:fldCharType="end"/>
      </w:r>
      <w:r>
        <w:fldChar w:fldCharType="separate"/>
      </w:r>
      <w:r w:rsidR="00F16BF7">
        <w:rPr>
          <w:noProof/>
        </w:rPr>
        <w:t>(1, 5)</w:t>
      </w:r>
      <w:r>
        <w:fldChar w:fldCharType="end"/>
      </w:r>
      <w:r>
        <w:t xml:space="preserve">. Briefly, </w:t>
      </w:r>
      <w:r w:rsidRPr="00C11AFE">
        <w:t xml:space="preserve">biological samples </w:t>
      </w:r>
      <w:r>
        <w:t xml:space="preserve">(blood, urine and/or saliva) </w:t>
      </w:r>
      <w:r w:rsidRPr="00C11AFE">
        <w:t xml:space="preserve">were </w:t>
      </w:r>
      <w:r>
        <w:t xml:space="preserve">qualitatively </w:t>
      </w:r>
      <w:r w:rsidRPr="00C11AFE">
        <w:t>analysed by liquid-chromatography High-Resolution Accurate-Mass tandem mass-spectrometry</w:t>
      </w:r>
      <w:r>
        <w:t xml:space="preserve"> (LC-MS/MS) using </w:t>
      </w:r>
      <w:r w:rsidRPr="003D40CD">
        <w:t>data independent Sequential Window Acquisition of all Theoretical fragment-ion spectra (SWATH) mass spectrometry</w:t>
      </w:r>
      <w:r>
        <w:t xml:space="preserve">. SCRA compounds were analysed </w:t>
      </w:r>
      <w:r w:rsidRPr="005B00A2">
        <w:t>by standard multiple reaction monitoring (MRM) using a Q-Trap 5500 hybrid linear ion trap/triple quadrupole mass spectrometer (</w:t>
      </w:r>
      <w:proofErr w:type="spellStart"/>
      <w:r w:rsidRPr="005B00A2">
        <w:t>Sciex</w:t>
      </w:r>
      <w:proofErr w:type="spellEnd"/>
      <w:r w:rsidRPr="005B00A2">
        <w:t>) coupled to a Shimadzu Prominence liquid chromatograph</w:t>
      </w:r>
      <w:r>
        <w:t xml:space="preserve">. </w:t>
      </w:r>
      <w:r w:rsidRPr="00A82327">
        <w:t xml:space="preserve">Analyst version 1.6.2 </w:t>
      </w:r>
      <w:r>
        <w:t xml:space="preserve">was used for instrument control/data acquisition </w:t>
      </w:r>
      <w:r w:rsidRPr="00A82327">
        <w:t xml:space="preserve">and </w:t>
      </w:r>
      <w:proofErr w:type="spellStart"/>
      <w:r w:rsidRPr="00A82327">
        <w:t>MultiQuant</w:t>
      </w:r>
      <w:proofErr w:type="spellEnd"/>
      <w:r w:rsidRPr="00A82327">
        <w:t xml:space="preserve"> 2.0 (</w:t>
      </w:r>
      <w:proofErr w:type="spellStart"/>
      <w:r w:rsidRPr="00A82327">
        <w:t>Sciex</w:t>
      </w:r>
      <w:proofErr w:type="spellEnd"/>
      <w:r w:rsidRPr="00A82327">
        <w:t>) quantitative analysis</w:t>
      </w:r>
      <w:r>
        <w:t>. To identify NPS,</w:t>
      </w:r>
      <w:r w:rsidRPr="003D40CD">
        <w:t xml:space="preserve"> LC-MS/MS data </w:t>
      </w:r>
      <w:r>
        <w:t xml:space="preserve">were </w:t>
      </w:r>
      <w:r w:rsidRPr="003D40CD">
        <w:t xml:space="preserve">processed using </w:t>
      </w:r>
      <w:proofErr w:type="spellStart"/>
      <w:r w:rsidRPr="003D40CD">
        <w:t>MasterView</w:t>
      </w:r>
      <w:proofErr w:type="spellEnd"/>
      <w:r w:rsidRPr="003D40CD">
        <w:t xml:space="preserve"> software version 2.2. (</w:t>
      </w:r>
      <w:proofErr w:type="spellStart"/>
      <w:r w:rsidRPr="003D40CD">
        <w:t>Sciex</w:t>
      </w:r>
      <w:proofErr w:type="spellEnd"/>
      <w:r w:rsidRPr="003D40CD">
        <w:t xml:space="preserve">, Framingham, MA), identifying compounds by software-assisted library searching against reference spectra using </w:t>
      </w:r>
      <w:proofErr w:type="spellStart"/>
      <w:r w:rsidRPr="003D40CD">
        <w:t>LibraryView</w:t>
      </w:r>
      <w:proofErr w:type="spellEnd"/>
      <w:r w:rsidRPr="003D40CD">
        <w:t xml:space="preserve"> version 1.0 (</w:t>
      </w:r>
      <w:proofErr w:type="spellStart"/>
      <w:r w:rsidRPr="003D40CD">
        <w:t>Sciex</w:t>
      </w:r>
      <w:proofErr w:type="spellEnd"/>
      <w:r w:rsidRPr="003D40CD">
        <w:t xml:space="preserve">, Framingham, MA) and </w:t>
      </w:r>
      <w:proofErr w:type="spellStart"/>
      <w:r w:rsidRPr="003D40CD">
        <w:t>ChemSpider</w:t>
      </w:r>
      <w:proofErr w:type="spellEnd"/>
      <w:r w:rsidRPr="003D40CD">
        <w:t xml:space="preserve"> Library version 2.0 (Royal Society of Chemistry, Cambridge, UK).</w:t>
      </w:r>
      <w:r>
        <w:t xml:space="preserve"> </w:t>
      </w:r>
    </w:p>
    <w:p w14:paraId="1F9B28E2" w14:textId="7523228A" w:rsidR="003E5D25" w:rsidRPr="00636CAA" w:rsidRDefault="003E5D25" w:rsidP="003E5D25">
      <w:pPr>
        <w:spacing w:line="360" w:lineRule="auto"/>
      </w:pPr>
      <w:r>
        <w:t xml:space="preserve">For both SCRAs and other drugs, the presence of metabolites in patient samples were taken as evidence of use of their parent drugs and not considered as separate substances. </w:t>
      </w:r>
      <w:r w:rsidR="006944C3">
        <w:t>Analyses did not examine for the presence of alcohol.</w:t>
      </w:r>
    </w:p>
    <w:p w14:paraId="1E7C3767" w14:textId="77777777" w:rsidR="003E5D25" w:rsidRDefault="003E5D25" w:rsidP="003E5D25">
      <w:pPr>
        <w:spacing w:line="360" w:lineRule="auto"/>
        <w:rPr>
          <w:b/>
          <w:bCs/>
        </w:rPr>
      </w:pPr>
    </w:p>
    <w:p w14:paraId="6EB1D6C8" w14:textId="5661C9F1" w:rsidR="000F0082" w:rsidRPr="003E5D25" w:rsidRDefault="000F0082" w:rsidP="00C53A71">
      <w:pPr>
        <w:spacing w:after="160" w:line="259" w:lineRule="auto"/>
        <w:rPr>
          <w:b/>
          <w:bCs/>
        </w:rPr>
      </w:pPr>
      <w:r w:rsidRPr="003E5D25">
        <w:rPr>
          <w:b/>
          <w:bCs/>
        </w:rPr>
        <w:t xml:space="preserve">Statistical analysis </w:t>
      </w:r>
    </w:p>
    <w:p w14:paraId="3789A1E1" w14:textId="4EAA1C3E" w:rsidR="000F0082" w:rsidRDefault="00CE051E" w:rsidP="00021F34">
      <w:pPr>
        <w:spacing w:line="360" w:lineRule="auto"/>
      </w:pPr>
      <w:r>
        <w:t xml:space="preserve">The absence of residual autocorrelation was determined by examining the partial-autocorrelation (PAC) and autocorrelation (AC) function along with the portmanteau (Q) test statistics for lags 1-25 and through visual inspection of the residuals of the final fitted models. On this basis, analyses were conducted using segmented Poisson regression </w:t>
      </w:r>
      <w:r>
        <w:fldChar w:fldCharType="begin">
          <w:fldData xml:space="preserve">PEVuZE5vdGU+PENpdGU+PEF1dGhvcj5XYWduZXI8L0F1dGhvcj48WWVhcj4yMDAyPC9ZZWFyPjxS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</w:fldData>
        </w:fldChar>
      </w:r>
      <w:r w:rsidR="00E91AF6">
        <w:instrText xml:space="preserve"> ADDIN EN.CITE </w:instrText>
      </w:r>
      <w:r w:rsidR="00E91AF6">
        <w:fldChar w:fldCharType="begin">
          <w:fldData xml:space="preserve">PEVuZE5vdGU+PENpdGU+PEF1dGhvcj5XYWduZXI8L0F1dGhvcj48WWVhcj4yMDAyPC9ZZWFyPjxS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</w:fldData>
        </w:fldChar>
      </w:r>
      <w:r w:rsidR="00E91AF6">
        <w:instrText xml:space="preserve"> ADDIN EN.CITE.DATA </w:instrText>
      </w:r>
      <w:r w:rsidR="00E91AF6">
        <w:fldChar w:fldCharType="end"/>
      </w:r>
      <w:r>
        <w:fldChar w:fldCharType="separate"/>
      </w:r>
      <w:r w:rsidR="00E91AF6">
        <w:rPr>
          <w:noProof/>
        </w:rPr>
        <w:t>(6-8)</w:t>
      </w:r>
      <w:r>
        <w:fldChar w:fldCharType="end"/>
      </w:r>
      <w:r>
        <w:t xml:space="preserve">. </w:t>
      </w:r>
      <w:r w:rsidR="000F0082">
        <w:t xml:space="preserve">In segmented regression models, the time series is divided into two segments (i.e. pre intervention and post-intervention), and two parameters 1) level (i.e. y-intercept) and 2) trend (i.e. regression slope) are estimated separately for each segment. The PSA was enacted on the </w:t>
      </w:r>
      <w:r w:rsidR="000F0082">
        <w:lastRenderedPageBreak/>
        <w:t>2</w:t>
      </w:r>
      <w:r w:rsidR="00997945">
        <w:t>6</w:t>
      </w:r>
      <w:r w:rsidR="000F0082" w:rsidRPr="004C36FA">
        <w:rPr>
          <w:vertAlign w:val="superscript"/>
        </w:rPr>
        <w:t>th</w:t>
      </w:r>
      <w:r w:rsidR="000F0082">
        <w:t xml:space="preserve"> May 2016 therefore June 2016 was specified as the change point (though no admissions were recorded within this interval). To estimate the level and trend in the number of monthly hospital presentations </w:t>
      </w:r>
      <w:r w:rsidR="00783DC8">
        <w:t>before and after the PSA</w:t>
      </w:r>
      <w:r w:rsidR="000F0082">
        <w:t>, the following model was specified:</w:t>
      </w:r>
      <w:r w:rsidR="000F0082" w:rsidRPr="005131D2">
        <w:rPr>
          <w:noProof/>
        </w:rPr>
        <w:t xml:space="preserve"> </w:t>
      </w:r>
    </w:p>
    <w:p w14:paraId="36140BE1" w14:textId="77777777" w:rsidR="000F0082" w:rsidRDefault="000F0082" w:rsidP="000F0082">
      <w:pPr>
        <w:spacing w:line="360" w:lineRule="auto"/>
        <w:ind w:left="720" w:hanging="720"/>
        <w:rPr>
          <w:noProof/>
        </w:rPr>
      </w:pPr>
    </w:p>
    <w:p w14:paraId="0198E1F0" w14:textId="30934F3C" w:rsidR="00A9532B" w:rsidRDefault="000F0082" w:rsidP="000F0082">
      <w:pPr>
        <w:spacing w:line="360" w:lineRule="auto"/>
        <w:ind w:left="720" w:hanging="720"/>
        <w:jc w:val="center"/>
        <w:rPr>
          <w:i/>
          <w:iCs/>
          <w:noProof/>
          <w:vertAlign w:val="subscript"/>
        </w:rPr>
      </w:pPr>
      <w:r>
        <w:rPr>
          <w:noProof/>
          <w:lang w:val="en-US" w:eastAsia="en-US"/>
        </w:rPr>
        <mc:AlternateContent>
          <mc:Choice Requires="wps">
            <w:drawing>
              <wp:anchor distT="45720" distB="45720" distL="114300" distR="114300" simplePos="0" relativeHeight="251659264" behindDoc="0" locked="0" layoutInCell="1" allowOverlap="1" wp14:anchorId="6D5B5EB9" wp14:editId="654DDB96">
                <wp:simplePos x="0" y="0"/>
                <wp:positionH relativeFrom="column">
                  <wp:posOffset>5886450</wp:posOffset>
                </wp:positionH>
                <wp:positionV relativeFrom="paragraph">
                  <wp:posOffset>0</wp:posOffset>
                </wp:positionV>
                <wp:extent cx="381000" cy="266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66700"/>
                        </a:xfrm>
                        <a:prstGeom prst="rect">
                          <a:avLst/>
                        </a:prstGeom>
                        <a:solidFill>
                          <a:srgbClr val="FFFFFF"/>
                        </a:solidFill>
                        <a:ln w="9525">
                          <a:noFill/>
                          <a:miter lim="800000"/>
                          <a:headEnd/>
                          <a:tailEnd/>
                        </a:ln>
                      </wps:spPr>
                      <wps:txbx>
                        <w:txbxContent>
                          <w:p w14:paraId="48018D79" w14:textId="3B3268EC" w:rsidR="000F0082" w:rsidRDefault="000F0082" w:rsidP="000F00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D5B5EB9" id="_x0000_t202" coordsize="21600,21600" o:spt="202" path="m,l,21600r21600,l21600,xe">
                <v:stroke joinstyle="miter"/>
                <v:path gradientshapeok="t" o:connecttype="rect"/>
              </v:shapetype>
              <v:shape id="Text Box 2" o:spid="_x0000_s1026" type="#_x0000_t202" style="position:absolute;left:0;text-align:left;margin-left:463.5pt;margin-top:0;width:30pt;height:2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" stroked="f">
                <v:textbox>
                  <w:txbxContent>
                    <w:p w14:paraId="48018D79" w14:textId="3B3268EC" w:rsidR="000F0082" w:rsidRDefault="000F0082" w:rsidP="000F0082"/>
                  </w:txbxContent>
                </v:textbox>
                <w10:wrap type="square"/>
              </v:shape>
            </w:pict>
          </mc:Fallback>
        </mc:AlternateContent>
      </w:r>
    </w:p>
    <w:p w14:paraId="06D196C3" w14:textId="252EF619" w:rsidR="00A9532B" w:rsidRPr="00C15866" w:rsidRDefault="00A9532B" w:rsidP="00A9532B">
      <w:pPr>
        <w:spacing w:line="360" w:lineRule="auto"/>
        <w:ind w:left="720" w:hanging="720"/>
        <w:jc w:val="center"/>
        <w:rPr>
          <w:noProof/>
        </w:rPr>
      </w:pPr>
      <w:r>
        <w:rPr>
          <w:noProof/>
          <w:lang w:val="en-US" w:eastAsia="en-US"/>
        </w:rPr>
        <mc:AlternateContent>
          <mc:Choice Requires="wps">
            <w:drawing>
              <wp:anchor distT="45720" distB="45720" distL="114300" distR="114300" simplePos="0" relativeHeight="251668480" behindDoc="0" locked="0" layoutInCell="1" allowOverlap="1" wp14:anchorId="31917388" wp14:editId="340A0731">
                <wp:simplePos x="0" y="0"/>
                <wp:positionH relativeFrom="column">
                  <wp:posOffset>5886450</wp:posOffset>
                </wp:positionH>
                <wp:positionV relativeFrom="paragraph">
                  <wp:posOffset>0</wp:posOffset>
                </wp:positionV>
                <wp:extent cx="381000" cy="2667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66700"/>
                        </a:xfrm>
                        <a:prstGeom prst="rect">
                          <a:avLst/>
                        </a:prstGeom>
                        <a:solidFill>
                          <a:srgbClr val="FFFFFF"/>
                        </a:solidFill>
                        <a:ln w="9525">
                          <a:noFill/>
                          <a:miter lim="800000"/>
                          <a:headEnd/>
                          <a:tailEnd/>
                        </a:ln>
                      </wps:spPr>
                      <wps:txbx>
                        <w:txbxContent>
                          <w:p w14:paraId="17C5A238" w14:textId="77777777" w:rsidR="00A9532B" w:rsidRDefault="00A9532B" w:rsidP="00A9532B">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917388" id="_x0000_s1027" type="#_x0000_t202" style="position:absolute;left:0;text-align:left;margin-left:463.5pt;margin-top:0;width:30pt;height:21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" stroked="f">
                <v:textbox>
                  <w:txbxContent>
                    <w:p w14:paraId="17C5A238" w14:textId="77777777" w:rsidR="00A9532B" w:rsidRDefault="00A9532B" w:rsidP="00A9532B">
                      <w:r>
                        <w:t>(1)</w:t>
                      </w:r>
                    </w:p>
                  </w:txbxContent>
                </v:textbox>
                <w10:wrap type="square"/>
              </v:shape>
            </w:pict>
          </mc:Fallback>
        </mc:AlternateContent>
      </w:r>
      <w:r>
        <w:rPr>
          <w:noProof/>
        </w:rPr>
        <w:t>Y</w:t>
      </w:r>
      <w:r w:rsidRPr="00D30663">
        <w:rPr>
          <w:i/>
          <w:iCs/>
          <w:noProof/>
          <w:vertAlign w:val="subscript"/>
        </w:rPr>
        <w:t>t</w:t>
      </w:r>
      <w:r>
        <w:rPr>
          <w:noProof/>
        </w:rPr>
        <w:t xml:space="preserve"> = β</w:t>
      </w:r>
      <w:r w:rsidRPr="00D30663">
        <w:rPr>
          <w:noProof/>
          <w:vertAlign w:val="subscript"/>
        </w:rPr>
        <w:t>1</w:t>
      </w:r>
      <w:r>
        <w:rPr>
          <w:noProof/>
        </w:rPr>
        <w:t xml:space="preserve">*pre-intervention </w:t>
      </w:r>
      <w:r w:rsidR="00984A8D">
        <w:rPr>
          <w:noProof/>
        </w:rPr>
        <w:t>level</w:t>
      </w:r>
      <w:r w:rsidR="00764E2B">
        <w:rPr>
          <w:noProof/>
        </w:rPr>
        <w:t xml:space="preserve"> </w:t>
      </w:r>
      <w:r>
        <w:rPr>
          <w:noProof/>
        </w:rPr>
        <w:t xml:space="preserve"> + β</w:t>
      </w:r>
      <w:r w:rsidRPr="00D30663">
        <w:rPr>
          <w:noProof/>
          <w:vertAlign w:val="subscript"/>
        </w:rPr>
        <w:t>2</w:t>
      </w:r>
      <w:r>
        <w:rPr>
          <w:noProof/>
        </w:rPr>
        <w:t>*</w:t>
      </w:r>
      <w:r w:rsidR="00984A8D">
        <w:rPr>
          <w:noProof/>
        </w:rPr>
        <w:t>pre-intervention trend</w:t>
      </w:r>
      <w:r w:rsidRPr="00D30663">
        <w:rPr>
          <w:i/>
          <w:iCs/>
          <w:noProof/>
          <w:vertAlign w:val="subscript"/>
        </w:rPr>
        <w:t>t</w:t>
      </w:r>
      <w:r>
        <w:rPr>
          <w:noProof/>
        </w:rPr>
        <w:t xml:space="preserve"> + β</w:t>
      </w:r>
      <w:r w:rsidRPr="00D30663">
        <w:rPr>
          <w:noProof/>
          <w:vertAlign w:val="subscript"/>
        </w:rPr>
        <w:t>3</w:t>
      </w:r>
      <w:r>
        <w:rPr>
          <w:noProof/>
        </w:rPr>
        <w:t>*</w:t>
      </w:r>
      <w:r w:rsidR="00984A8D">
        <w:rPr>
          <w:noProof/>
        </w:rPr>
        <w:t>post-intervention level</w:t>
      </w:r>
      <w:r>
        <w:rPr>
          <w:noProof/>
        </w:rPr>
        <w:t xml:space="preserve"> </w:t>
      </w:r>
      <w:r w:rsidR="002D0147">
        <w:rPr>
          <w:noProof/>
        </w:rPr>
        <w:t>+ β</w:t>
      </w:r>
      <w:r w:rsidR="002D0147">
        <w:rPr>
          <w:noProof/>
          <w:vertAlign w:val="subscript"/>
        </w:rPr>
        <w:t>4</w:t>
      </w:r>
      <w:r w:rsidR="002D0147">
        <w:rPr>
          <w:noProof/>
        </w:rPr>
        <w:t xml:space="preserve">*post intervention </w:t>
      </w:r>
      <w:r w:rsidR="002B774A">
        <w:rPr>
          <w:noProof/>
        </w:rPr>
        <w:t>trend</w:t>
      </w:r>
      <w:r w:rsidRPr="00D30663">
        <w:rPr>
          <w:i/>
          <w:iCs/>
          <w:noProof/>
          <w:vertAlign w:val="subscript"/>
        </w:rPr>
        <w:t>t</w:t>
      </w:r>
      <w:r>
        <w:rPr>
          <w:noProof/>
        </w:rPr>
        <w:t xml:space="preserve"> + </w:t>
      </w:r>
      <w:r>
        <w:rPr>
          <w:i/>
          <w:iCs/>
          <w:noProof/>
        </w:rPr>
        <w:t>e</w:t>
      </w:r>
      <w:r w:rsidRPr="00D30663">
        <w:rPr>
          <w:i/>
          <w:iCs/>
          <w:noProof/>
          <w:vertAlign w:val="subscript"/>
        </w:rPr>
        <w:t>t</w:t>
      </w:r>
      <w:r>
        <w:rPr>
          <w:i/>
          <w:iCs/>
          <w:noProof/>
          <w:vertAlign w:val="subscript"/>
        </w:rPr>
        <w:t xml:space="preserve">                                                            </w:t>
      </w:r>
    </w:p>
    <w:p w14:paraId="3A189A18" w14:textId="6BD265D1" w:rsidR="000F0082" w:rsidRPr="00C15866" w:rsidRDefault="000F0082" w:rsidP="000F0082">
      <w:pPr>
        <w:spacing w:line="360" w:lineRule="auto"/>
        <w:ind w:left="720" w:hanging="720"/>
        <w:jc w:val="center"/>
        <w:rPr>
          <w:noProof/>
        </w:rPr>
      </w:pPr>
      <w:r>
        <w:rPr>
          <w:i/>
          <w:iCs/>
          <w:noProof/>
          <w:vertAlign w:val="subscript"/>
        </w:rPr>
        <w:t xml:space="preserve">                                                            </w:t>
      </w:r>
    </w:p>
    <w:p w14:paraId="7FF269CC" w14:textId="20C2C4B2" w:rsidR="00D46BD1" w:rsidRPr="00D30663" w:rsidRDefault="00D20944" w:rsidP="00D46BD1">
      <w:pPr>
        <w:spacing w:line="360" w:lineRule="auto"/>
        <w:rPr>
          <w:i/>
          <w:iCs/>
        </w:rPr>
      </w:pPr>
      <w:r>
        <w:t xml:space="preserve">Where </w:t>
      </w:r>
      <w:r w:rsidRPr="005B7EAA">
        <w:rPr>
          <w:i/>
          <w:iCs/>
          <w:noProof/>
        </w:rPr>
        <w:t>Y</w:t>
      </w:r>
      <w:r w:rsidRPr="00D30663">
        <w:rPr>
          <w:i/>
          <w:iCs/>
          <w:noProof/>
          <w:vertAlign w:val="subscript"/>
        </w:rPr>
        <w:t>t</w:t>
      </w:r>
      <w:r>
        <w:rPr>
          <w:noProof/>
        </w:rPr>
        <w:t xml:space="preserve"> is the mean number of hospital presentations per month; </w:t>
      </w:r>
      <w:r w:rsidR="003A0F31">
        <w:rPr>
          <w:noProof/>
        </w:rPr>
        <w:t>β</w:t>
      </w:r>
      <w:r w:rsidR="003A0F31" w:rsidRPr="00D30663">
        <w:rPr>
          <w:noProof/>
          <w:vertAlign w:val="subscript"/>
        </w:rPr>
        <w:t>1</w:t>
      </w:r>
      <w:r w:rsidR="003A0F31">
        <w:t xml:space="preserve"> and </w:t>
      </w:r>
      <w:r w:rsidR="003A0F31">
        <w:rPr>
          <w:noProof/>
        </w:rPr>
        <w:t>β</w:t>
      </w:r>
      <w:r w:rsidR="003A0F31" w:rsidRPr="00D30663">
        <w:rPr>
          <w:noProof/>
          <w:vertAlign w:val="subscript"/>
        </w:rPr>
        <w:t>3</w:t>
      </w:r>
      <w:r w:rsidR="003A0F31">
        <w:rPr>
          <w:noProof/>
        </w:rPr>
        <w:t xml:space="preserve"> are </w:t>
      </w:r>
      <w:r w:rsidR="00A9367F">
        <w:rPr>
          <w:noProof/>
        </w:rPr>
        <w:t xml:space="preserve">mutually exclusive </w:t>
      </w:r>
      <w:r w:rsidR="00B17ED0">
        <w:rPr>
          <w:noProof/>
        </w:rPr>
        <w:t>indicator</w:t>
      </w:r>
      <w:r w:rsidR="00A9367F">
        <w:rPr>
          <w:noProof/>
        </w:rPr>
        <w:t xml:space="preserve"> </w:t>
      </w:r>
      <w:r w:rsidR="009F4800">
        <w:rPr>
          <w:noProof/>
        </w:rPr>
        <w:t>variables</w:t>
      </w:r>
      <w:r w:rsidR="003A0F31">
        <w:rPr>
          <w:noProof/>
        </w:rPr>
        <w:t xml:space="preserve"> coded as </w:t>
      </w:r>
      <w:r w:rsidR="00B55C72">
        <w:rPr>
          <w:noProof/>
        </w:rPr>
        <w:t>1</w:t>
      </w:r>
      <w:r w:rsidR="00DB5903">
        <w:rPr>
          <w:noProof/>
        </w:rPr>
        <w:t>/</w:t>
      </w:r>
      <w:r w:rsidR="0069145A">
        <w:rPr>
          <w:noProof/>
        </w:rPr>
        <w:t>0</w:t>
      </w:r>
      <w:r w:rsidR="00B55C72">
        <w:rPr>
          <w:noProof/>
        </w:rPr>
        <w:t xml:space="preserve"> before </w:t>
      </w:r>
      <w:r w:rsidR="00DD4224">
        <w:rPr>
          <w:noProof/>
        </w:rPr>
        <w:t>and after</w:t>
      </w:r>
      <w:r w:rsidR="00B43C43">
        <w:rPr>
          <w:noProof/>
        </w:rPr>
        <w:t xml:space="preserve"> the PSA resp</w:t>
      </w:r>
      <w:r w:rsidR="00EF6906">
        <w:rPr>
          <w:noProof/>
        </w:rPr>
        <w:t>ectively</w:t>
      </w:r>
      <w:r w:rsidR="00201595">
        <w:rPr>
          <w:noProof/>
        </w:rPr>
        <w:t xml:space="preserve"> (implemented at month 12; i.e. June 2016)</w:t>
      </w:r>
      <w:r w:rsidR="00F56E21">
        <w:rPr>
          <w:noProof/>
        </w:rPr>
        <w:t>; β</w:t>
      </w:r>
      <w:r w:rsidR="005A75C9">
        <w:rPr>
          <w:noProof/>
          <w:vertAlign w:val="subscript"/>
        </w:rPr>
        <w:t>2</w:t>
      </w:r>
      <w:r w:rsidR="002D5D5E">
        <w:rPr>
          <w:noProof/>
          <w:vertAlign w:val="subscript"/>
        </w:rPr>
        <w:t xml:space="preserve"> </w:t>
      </w:r>
      <w:r w:rsidR="002D5D5E">
        <w:rPr>
          <w:noProof/>
        </w:rPr>
        <w:t>is a conti</w:t>
      </w:r>
      <w:r w:rsidR="00D33107">
        <w:rPr>
          <w:noProof/>
        </w:rPr>
        <w:t>n</w:t>
      </w:r>
      <w:r w:rsidR="00AD5876">
        <w:rPr>
          <w:noProof/>
        </w:rPr>
        <w:t>u</w:t>
      </w:r>
      <w:r w:rsidR="00D33107">
        <w:rPr>
          <w:noProof/>
        </w:rPr>
        <w:t>ous</w:t>
      </w:r>
      <w:r w:rsidR="002D5D5E">
        <w:rPr>
          <w:noProof/>
        </w:rPr>
        <w:t xml:space="preserve"> variable </w:t>
      </w:r>
      <w:r w:rsidR="005A569C">
        <w:rPr>
          <w:noProof/>
        </w:rPr>
        <w:t xml:space="preserve">indiciating the number of months </w:t>
      </w:r>
      <w:r w:rsidR="000178D9">
        <w:rPr>
          <w:noProof/>
        </w:rPr>
        <w:t xml:space="preserve">preceding the implmentation of the </w:t>
      </w:r>
      <w:r w:rsidR="004F6FC4">
        <w:rPr>
          <w:noProof/>
        </w:rPr>
        <w:t xml:space="preserve">PSA </w:t>
      </w:r>
      <w:r w:rsidR="00201FBF">
        <w:rPr>
          <w:noProof/>
        </w:rPr>
        <w:t xml:space="preserve">at time </w:t>
      </w:r>
      <w:r w:rsidR="00201FBF">
        <w:rPr>
          <w:i/>
          <w:iCs/>
          <w:noProof/>
        </w:rPr>
        <w:t xml:space="preserve">t </w:t>
      </w:r>
      <w:r w:rsidR="004F6FC4">
        <w:rPr>
          <w:noProof/>
        </w:rPr>
        <w:t>(</w:t>
      </w:r>
      <w:r w:rsidR="00BC55FA">
        <w:rPr>
          <w:noProof/>
        </w:rPr>
        <w:t xml:space="preserve">coded as 0 </w:t>
      </w:r>
      <w:r w:rsidR="008319F5">
        <w:rPr>
          <w:noProof/>
        </w:rPr>
        <w:t xml:space="preserve">on the month of and </w:t>
      </w:r>
      <w:r w:rsidR="00201FBF">
        <w:rPr>
          <w:noProof/>
        </w:rPr>
        <w:t>each month</w:t>
      </w:r>
      <w:r w:rsidR="008319F5">
        <w:rPr>
          <w:noProof/>
        </w:rPr>
        <w:t xml:space="preserve"> after the PSA)</w:t>
      </w:r>
      <w:r w:rsidR="00201FBF">
        <w:rPr>
          <w:noProof/>
        </w:rPr>
        <w:t xml:space="preserve"> and β</w:t>
      </w:r>
      <w:r w:rsidR="00201FBF">
        <w:rPr>
          <w:noProof/>
          <w:vertAlign w:val="subscript"/>
        </w:rPr>
        <w:t xml:space="preserve">4 </w:t>
      </w:r>
      <w:r w:rsidR="00201FBF">
        <w:rPr>
          <w:noProof/>
        </w:rPr>
        <w:t>is a contin</w:t>
      </w:r>
      <w:r w:rsidR="00AD5876">
        <w:rPr>
          <w:noProof/>
        </w:rPr>
        <w:t>u</w:t>
      </w:r>
      <w:r w:rsidR="00201FBF">
        <w:rPr>
          <w:noProof/>
        </w:rPr>
        <w:t xml:space="preserve">ous variable indiciating the the number months elapsed since the the PSA at time </w:t>
      </w:r>
      <w:r w:rsidR="00201FBF">
        <w:rPr>
          <w:i/>
          <w:iCs/>
          <w:noProof/>
        </w:rPr>
        <w:t xml:space="preserve">t </w:t>
      </w:r>
      <w:r w:rsidR="00201FBF">
        <w:rPr>
          <w:noProof/>
        </w:rPr>
        <w:t xml:space="preserve">(coded as 0 </w:t>
      </w:r>
      <w:r w:rsidR="009C3A27">
        <w:rPr>
          <w:noProof/>
        </w:rPr>
        <w:t>on the month of</w:t>
      </w:r>
      <w:r w:rsidR="00D46BD1">
        <w:rPr>
          <w:noProof/>
        </w:rPr>
        <w:t xml:space="preserve"> and all months before</w:t>
      </w:r>
      <w:r w:rsidR="009C3A27">
        <w:rPr>
          <w:noProof/>
        </w:rPr>
        <w:t xml:space="preserve"> the </w:t>
      </w:r>
      <w:r w:rsidR="00D46BD1">
        <w:rPr>
          <w:noProof/>
        </w:rPr>
        <w:t xml:space="preserve">PSA) and </w:t>
      </w:r>
      <w:r w:rsidR="00D46BD1">
        <w:rPr>
          <w:i/>
          <w:iCs/>
          <w:noProof/>
        </w:rPr>
        <w:t>e</w:t>
      </w:r>
      <w:r w:rsidR="00D46BD1" w:rsidRPr="00D30663">
        <w:rPr>
          <w:i/>
          <w:iCs/>
          <w:noProof/>
          <w:vertAlign w:val="subscript"/>
        </w:rPr>
        <w:t>t</w:t>
      </w:r>
      <w:r w:rsidR="00D46BD1" w:rsidRPr="00F31244">
        <w:rPr>
          <w:noProof/>
        </w:rPr>
        <w:t xml:space="preserve"> </w:t>
      </w:r>
      <w:r w:rsidR="00D46BD1">
        <w:rPr>
          <w:noProof/>
        </w:rPr>
        <w:t>is the error term which estimates</w:t>
      </w:r>
      <w:r w:rsidR="00D46BD1" w:rsidRPr="00F31244">
        <w:rPr>
          <w:noProof/>
        </w:rPr>
        <w:t xml:space="preserve"> the random variability not explained by the model.</w:t>
      </w:r>
      <w:r w:rsidR="003144CD">
        <w:rPr>
          <w:noProof/>
        </w:rPr>
        <w:t xml:space="preserve"> </w:t>
      </w:r>
    </w:p>
    <w:p w14:paraId="1E9FE021" w14:textId="77777777" w:rsidR="00916C83" w:rsidRDefault="00916C83" w:rsidP="000F0082">
      <w:pPr>
        <w:spacing w:line="360" w:lineRule="auto"/>
        <w:rPr>
          <w:noProof/>
        </w:rPr>
      </w:pPr>
    </w:p>
    <w:p w14:paraId="436CE596" w14:textId="0C38E30A" w:rsidR="009272D0" w:rsidRDefault="00F54A22" w:rsidP="009272D0">
      <w:pPr>
        <w:spacing w:line="360" w:lineRule="auto"/>
        <w:rPr>
          <w:noProof/>
        </w:rPr>
      </w:pPr>
      <w:r>
        <w:rPr>
          <w:noProof/>
        </w:rPr>
        <w:t>A</w:t>
      </w:r>
      <w:r w:rsidR="000F0082">
        <w:rPr>
          <w:noProof/>
        </w:rPr>
        <w:t>s a third SCRA-related amendment to the MDA was also enacted within this period, we fitted additional model</w:t>
      </w:r>
      <w:r w:rsidR="00700813">
        <w:rPr>
          <w:noProof/>
        </w:rPr>
        <w:t>s</w:t>
      </w:r>
      <w:r w:rsidR="000F0082">
        <w:rPr>
          <w:noProof/>
        </w:rPr>
        <w:t xml:space="preserve"> to estimate whether this policy change contributed to any of the </w:t>
      </w:r>
      <w:r w:rsidR="00720669">
        <w:rPr>
          <w:noProof/>
        </w:rPr>
        <w:t>trends</w:t>
      </w:r>
      <w:r w:rsidR="000F0082">
        <w:rPr>
          <w:noProof/>
        </w:rPr>
        <w:t xml:space="preserve"> observed in the previous model</w:t>
      </w:r>
      <w:r w:rsidR="007115D1">
        <w:rPr>
          <w:noProof/>
        </w:rPr>
        <w:t>s</w:t>
      </w:r>
      <w:r w:rsidR="000F0082">
        <w:rPr>
          <w:noProof/>
        </w:rPr>
        <w:t xml:space="preserve">. Due to the close proximity of these two policy changes (~ 6 months) much of the variance is likely to be shared, and it may not be possible to distingusih their effects in the same model. Therefore, models were fitted seperately to estimate the independent </w:t>
      </w:r>
      <w:r w:rsidR="005C2F84">
        <w:rPr>
          <w:noProof/>
        </w:rPr>
        <w:t>trends</w:t>
      </w:r>
      <w:r w:rsidR="00E862C7">
        <w:rPr>
          <w:noProof/>
        </w:rPr>
        <w:t xml:space="preserve"> for</w:t>
      </w:r>
      <w:r w:rsidR="005C2F84">
        <w:rPr>
          <w:noProof/>
        </w:rPr>
        <w:t xml:space="preserve"> before and after</w:t>
      </w:r>
      <w:r w:rsidR="000F0082">
        <w:rPr>
          <w:noProof/>
        </w:rPr>
        <w:t xml:space="preserve"> each policy change. As the MDA amendment was implemented on 14</w:t>
      </w:r>
      <w:r w:rsidR="000F0082" w:rsidRPr="00E1155C">
        <w:rPr>
          <w:noProof/>
          <w:vertAlign w:val="superscript"/>
        </w:rPr>
        <w:t>th</w:t>
      </w:r>
      <w:r w:rsidR="000F0082">
        <w:rPr>
          <w:noProof/>
        </w:rPr>
        <w:t xml:space="preserve"> December 2016, we specified the change point for this policy at month 19 (i.e. January 2017). </w:t>
      </w:r>
      <w:r w:rsidR="00E14337">
        <w:rPr>
          <w:noProof/>
        </w:rPr>
        <w:t xml:space="preserve">We </w:t>
      </w:r>
      <w:r w:rsidR="005E0779">
        <w:rPr>
          <w:noProof/>
        </w:rPr>
        <w:t>also ran a sensitivty analyses in which the change point was specified at month 18 (i.e.</w:t>
      </w:r>
      <w:r w:rsidR="009751AF">
        <w:rPr>
          <w:noProof/>
        </w:rPr>
        <w:t xml:space="preserve"> December 2016) </w:t>
      </w:r>
      <w:r w:rsidR="001441AD">
        <w:rPr>
          <w:noProof/>
        </w:rPr>
        <w:t xml:space="preserve">and models results were not notably different </w:t>
      </w:r>
      <w:r w:rsidR="005D279E">
        <w:rPr>
          <w:noProof/>
        </w:rPr>
        <w:t>and therefore not reported here.</w:t>
      </w:r>
    </w:p>
    <w:p w14:paraId="285BB57A" w14:textId="02C64B84" w:rsidR="00AE3F88" w:rsidRDefault="00E938E5" w:rsidP="00E83A1F">
      <w:pPr>
        <w:spacing w:line="360" w:lineRule="auto"/>
      </w:pPr>
      <w:r>
        <w:t>Finally, to examine whether the varying number of active sites in each month was influencing model results, we conducted sensitivity analyses in which the above models (for SCRA exposure cases only) were replicated but with the total number of hospital presentations within each month (i.e. SCRA and non-SCRA exposures combined) included as an offset variable. Therefore, in these models, SCRA exposure cases are analysed as a rate of all suspected NPS toxicity cases</w:t>
      </w:r>
    </w:p>
    <w:p w14:paraId="25DED1F4" w14:textId="77777777" w:rsidR="00664FB6" w:rsidRPr="006A6D8D" w:rsidRDefault="00664FB6" w:rsidP="00664FB6">
      <w:pPr>
        <w:rPr>
          <w:b/>
          <w:bCs/>
        </w:rPr>
      </w:pPr>
      <w:r>
        <w:rPr>
          <w:b/>
          <w:bCs/>
        </w:rPr>
        <w:lastRenderedPageBreak/>
        <w:t xml:space="preserve">Supplementary </w:t>
      </w:r>
      <w:r w:rsidRPr="006A6D8D">
        <w:rPr>
          <w:b/>
          <w:bCs/>
        </w:rPr>
        <w:t>Ta</w:t>
      </w:r>
      <w:r>
        <w:rPr>
          <w:b/>
          <w:bCs/>
        </w:rPr>
        <w:t>b</w:t>
      </w:r>
      <w:r w:rsidRPr="006A6D8D">
        <w:rPr>
          <w:b/>
          <w:bCs/>
        </w:rPr>
        <w:t>le</w:t>
      </w:r>
      <w:r>
        <w:rPr>
          <w:b/>
          <w:bCs/>
        </w:rPr>
        <w:t xml:space="preserve"> </w:t>
      </w:r>
      <w:r w:rsidRPr="006A6D8D">
        <w:rPr>
          <w:b/>
          <w:bCs/>
        </w:rPr>
        <w:t xml:space="preserve">1. </w:t>
      </w:r>
      <w:r w:rsidRPr="00664FB6">
        <w:t>Replicated segmented Poisson regression models with SCRA exposure cases analysed as a rate of all suspected NPS toxicity cases.</w:t>
      </w:r>
    </w:p>
    <w:tbl>
      <w:tblPr>
        <w:tblStyle w:val="TableGrid"/>
        <w:tblpPr w:leftFromText="180" w:rightFromText="180" w:vertAnchor="text" w:horzAnchor="margin" w:tblpXSpec="center" w:tblpY="380"/>
        <w:tblW w:w="104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8"/>
        <w:gridCol w:w="1996"/>
        <w:gridCol w:w="1996"/>
        <w:gridCol w:w="2001"/>
      </w:tblGrid>
      <w:tr w:rsidR="00AB40A3" w14:paraId="53EE6732" w14:textId="77777777" w:rsidTr="00AB40A3">
        <w:trPr>
          <w:trHeight w:val="319"/>
        </w:trPr>
        <w:tc>
          <w:tcPr>
            <w:tcW w:w="4438" w:type="dxa"/>
            <w:tcBorders>
              <w:top w:val="single" w:sz="4" w:space="0" w:color="auto"/>
              <w:bottom w:val="nil"/>
            </w:tcBorders>
            <w:vAlign w:val="center"/>
          </w:tcPr>
          <w:p w14:paraId="0CC0BEC6" w14:textId="77777777" w:rsidR="00AB40A3" w:rsidRPr="006A6D8D" w:rsidRDefault="00AB40A3" w:rsidP="00AB40A3">
            <w:pPr>
              <w:rPr>
                <w:sz w:val="20"/>
                <w:szCs w:val="20"/>
              </w:rPr>
            </w:pPr>
          </w:p>
        </w:tc>
        <w:tc>
          <w:tcPr>
            <w:tcW w:w="5993" w:type="dxa"/>
            <w:gridSpan w:val="3"/>
            <w:tcBorders>
              <w:top w:val="single" w:sz="4" w:space="0" w:color="auto"/>
              <w:bottom w:val="single" w:sz="4" w:space="0" w:color="auto"/>
            </w:tcBorders>
            <w:vAlign w:val="center"/>
          </w:tcPr>
          <w:p w14:paraId="59635CDD" w14:textId="77777777" w:rsidR="00AB40A3" w:rsidRPr="006A6D8D" w:rsidRDefault="00AB40A3" w:rsidP="00AB40A3">
            <w:pPr>
              <w:jc w:val="center"/>
              <w:rPr>
                <w:b/>
                <w:bCs/>
                <w:sz w:val="20"/>
                <w:szCs w:val="20"/>
              </w:rPr>
            </w:pPr>
            <w:r w:rsidRPr="006A6D8D">
              <w:rPr>
                <w:b/>
                <w:bCs/>
                <w:sz w:val="20"/>
                <w:szCs w:val="20"/>
              </w:rPr>
              <w:t>SCRA exposure cases</w:t>
            </w:r>
          </w:p>
        </w:tc>
      </w:tr>
      <w:tr w:rsidR="00AB40A3" w14:paraId="4543B193" w14:textId="77777777" w:rsidTr="00AB40A3">
        <w:trPr>
          <w:trHeight w:val="319"/>
        </w:trPr>
        <w:tc>
          <w:tcPr>
            <w:tcW w:w="4438" w:type="dxa"/>
            <w:tcBorders>
              <w:top w:val="nil"/>
              <w:bottom w:val="single" w:sz="4" w:space="0" w:color="auto"/>
            </w:tcBorders>
            <w:vAlign w:val="center"/>
          </w:tcPr>
          <w:p w14:paraId="7BF9CBFE" w14:textId="77777777" w:rsidR="00AB40A3" w:rsidRPr="006A6D8D" w:rsidRDefault="00AB40A3" w:rsidP="00AB40A3">
            <w:pPr>
              <w:rPr>
                <w:sz w:val="20"/>
                <w:szCs w:val="20"/>
              </w:rPr>
            </w:pPr>
          </w:p>
        </w:tc>
        <w:tc>
          <w:tcPr>
            <w:tcW w:w="1996" w:type="dxa"/>
            <w:tcBorders>
              <w:top w:val="single" w:sz="4" w:space="0" w:color="auto"/>
              <w:bottom w:val="single" w:sz="4" w:space="0" w:color="auto"/>
            </w:tcBorders>
            <w:vAlign w:val="center"/>
          </w:tcPr>
          <w:p w14:paraId="3913BF84" w14:textId="77777777" w:rsidR="00AB40A3" w:rsidRPr="006A6D8D" w:rsidRDefault="00AB40A3" w:rsidP="00AB40A3">
            <w:pPr>
              <w:jc w:val="center"/>
              <w:rPr>
                <w:sz w:val="20"/>
                <w:szCs w:val="20"/>
              </w:rPr>
            </w:pPr>
            <w:r w:rsidRPr="006A6D8D">
              <w:rPr>
                <w:sz w:val="20"/>
                <w:szCs w:val="20"/>
              </w:rPr>
              <w:t>IRR</w:t>
            </w:r>
          </w:p>
        </w:tc>
        <w:tc>
          <w:tcPr>
            <w:tcW w:w="1996" w:type="dxa"/>
            <w:tcBorders>
              <w:top w:val="single" w:sz="4" w:space="0" w:color="auto"/>
              <w:bottom w:val="single" w:sz="4" w:space="0" w:color="auto"/>
            </w:tcBorders>
            <w:vAlign w:val="center"/>
          </w:tcPr>
          <w:p w14:paraId="45A708B0" w14:textId="77777777" w:rsidR="00AB40A3" w:rsidRPr="006A6D8D" w:rsidRDefault="00AB40A3" w:rsidP="00AB40A3">
            <w:pPr>
              <w:jc w:val="center"/>
              <w:rPr>
                <w:sz w:val="20"/>
                <w:szCs w:val="20"/>
              </w:rPr>
            </w:pPr>
            <w:r w:rsidRPr="006A6D8D">
              <w:rPr>
                <w:i/>
                <w:iCs/>
                <w:sz w:val="20"/>
                <w:szCs w:val="20"/>
              </w:rPr>
              <w:t>p-</w:t>
            </w:r>
            <w:r w:rsidRPr="006A6D8D">
              <w:rPr>
                <w:sz w:val="20"/>
                <w:szCs w:val="20"/>
              </w:rPr>
              <w:t>value</w:t>
            </w:r>
          </w:p>
        </w:tc>
        <w:tc>
          <w:tcPr>
            <w:tcW w:w="2001" w:type="dxa"/>
            <w:tcBorders>
              <w:top w:val="single" w:sz="4" w:space="0" w:color="auto"/>
              <w:bottom w:val="single" w:sz="4" w:space="0" w:color="auto"/>
            </w:tcBorders>
            <w:vAlign w:val="center"/>
          </w:tcPr>
          <w:p w14:paraId="34052AB2" w14:textId="77777777" w:rsidR="00AB40A3" w:rsidRPr="006A6D8D" w:rsidRDefault="00AB40A3" w:rsidP="00AB40A3">
            <w:pPr>
              <w:jc w:val="center"/>
              <w:rPr>
                <w:sz w:val="20"/>
                <w:szCs w:val="20"/>
              </w:rPr>
            </w:pPr>
            <w:r w:rsidRPr="006A6D8D">
              <w:rPr>
                <w:sz w:val="20"/>
                <w:szCs w:val="20"/>
              </w:rPr>
              <w:t>95% CI</w:t>
            </w:r>
          </w:p>
        </w:tc>
      </w:tr>
      <w:tr w:rsidR="00AB40A3" w14:paraId="42CD5710" w14:textId="77777777" w:rsidTr="00AB40A3">
        <w:trPr>
          <w:trHeight w:val="319"/>
        </w:trPr>
        <w:tc>
          <w:tcPr>
            <w:tcW w:w="4438" w:type="dxa"/>
            <w:tcBorders>
              <w:top w:val="single" w:sz="4" w:space="0" w:color="auto"/>
            </w:tcBorders>
            <w:vAlign w:val="center"/>
          </w:tcPr>
          <w:p w14:paraId="5100361C" w14:textId="77777777" w:rsidR="00AB40A3" w:rsidRPr="006A6D8D" w:rsidRDefault="00AB40A3" w:rsidP="00AB40A3">
            <w:pPr>
              <w:ind w:firstLine="164"/>
              <w:rPr>
                <w:b/>
                <w:bCs/>
                <w:sz w:val="20"/>
                <w:szCs w:val="20"/>
              </w:rPr>
            </w:pPr>
            <w:r w:rsidRPr="006A6D8D">
              <w:rPr>
                <w:b/>
                <w:bCs/>
                <w:sz w:val="20"/>
                <w:szCs w:val="20"/>
              </w:rPr>
              <w:t>PSA 26</w:t>
            </w:r>
            <w:r w:rsidRPr="006A6D8D">
              <w:rPr>
                <w:b/>
                <w:bCs/>
                <w:sz w:val="20"/>
                <w:szCs w:val="20"/>
                <w:vertAlign w:val="superscript"/>
              </w:rPr>
              <w:t>th</w:t>
            </w:r>
            <w:r w:rsidRPr="006A6D8D">
              <w:rPr>
                <w:b/>
                <w:bCs/>
                <w:sz w:val="20"/>
                <w:szCs w:val="20"/>
              </w:rPr>
              <w:t xml:space="preserve"> May 2016</w:t>
            </w:r>
          </w:p>
        </w:tc>
        <w:tc>
          <w:tcPr>
            <w:tcW w:w="1996" w:type="dxa"/>
            <w:tcBorders>
              <w:top w:val="single" w:sz="4" w:space="0" w:color="auto"/>
            </w:tcBorders>
            <w:vAlign w:val="center"/>
          </w:tcPr>
          <w:p w14:paraId="1028A49F" w14:textId="77777777" w:rsidR="00AB40A3" w:rsidRPr="006A6D8D" w:rsidRDefault="00AB40A3" w:rsidP="00AB40A3">
            <w:pPr>
              <w:rPr>
                <w:sz w:val="20"/>
                <w:szCs w:val="20"/>
              </w:rPr>
            </w:pPr>
          </w:p>
        </w:tc>
        <w:tc>
          <w:tcPr>
            <w:tcW w:w="1996" w:type="dxa"/>
            <w:tcBorders>
              <w:top w:val="single" w:sz="4" w:space="0" w:color="auto"/>
            </w:tcBorders>
            <w:vAlign w:val="center"/>
          </w:tcPr>
          <w:p w14:paraId="02401014" w14:textId="77777777" w:rsidR="00AB40A3" w:rsidRPr="006A6D8D" w:rsidRDefault="00AB40A3" w:rsidP="00AB40A3">
            <w:pPr>
              <w:rPr>
                <w:i/>
                <w:iCs/>
                <w:sz w:val="20"/>
                <w:szCs w:val="20"/>
              </w:rPr>
            </w:pPr>
          </w:p>
        </w:tc>
        <w:tc>
          <w:tcPr>
            <w:tcW w:w="2001" w:type="dxa"/>
            <w:tcBorders>
              <w:top w:val="single" w:sz="4" w:space="0" w:color="auto"/>
            </w:tcBorders>
            <w:vAlign w:val="center"/>
          </w:tcPr>
          <w:p w14:paraId="6EB57819" w14:textId="77777777" w:rsidR="00AB40A3" w:rsidRPr="006A6D8D" w:rsidRDefault="00AB40A3" w:rsidP="00AB40A3">
            <w:pPr>
              <w:rPr>
                <w:sz w:val="20"/>
                <w:szCs w:val="20"/>
              </w:rPr>
            </w:pPr>
          </w:p>
        </w:tc>
      </w:tr>
      <w:tr w:rsidR="00AB40A3" w14:paraId="7E7DB484" w14:textId="77777777" w:rsidTr="00AB40A3">
        <w:trPr>
          <w:trHeight w:val="319"/>
        </w:trPr>
        <w:tc>
          <w:tcPr>
            <w:tcW w:w="4438" w:type="dxa"/>
            <w:vAlign w:val="center"/>
          </w:tcPr>
          <w:p w14:paraId="5A91D4A8" w14:textId="77777777" w:rsidR="00AB40A3" w:rsidRPr="006A6D8D" w:rsidRDefault="00AB40A3" w:rsidP="00AB40A3">
            <w:pPr>
              <w:rPr>
                <w:sz w:val="20"/>
                <w:szCs w:val="20"/>
              </w:rPr>
            </w:pPr>
            <w:r>
              <w:rPr>
                <w:sz w:val="20"/>
                <w:szCs w:val="20"/>
              </w:rPr>
              <w:t xml:space="preserve">Pre-intervention y-intercept </w:t>
            </w:r>
          </w:p>
        </w:tc>
        <w:tc>
          <w:tcPr>
            <w:tcW w:w="1996" w:type="dxa"/>
            <w:vAlign w:val="center"/>
          </w:tcPr>
          <w:p w14:paraId="279814B0" w14:textId="77777777" w:rsidR="00AB40A3" w:rsidRPr="00C84BB4" w:rsidRDefault="00AB40A3" w:rsidP="00AB40A3">
            <w:pPr>
              <w:jc w:val="center"/>
              <w:rPr>
                <w:sz w:val="20"/>
                <w:szCs w:val="20"/>
              </w:rPr>
            </w:pPr>
            <w:r w:rsidRPr="00C84BB4">
              <w:rPr>
                <w:sz w:val="20"/>
                <w:szCs w:val="20"/>
              </w:rPr>
              <w:t>0.</w:t>
            </w:r>
            <w:r>
              <w:rPr>
                <w:sz w:val="20"/>
                <w:szCs w:val="20"/>
              </w:rPr>
              <w:t>45</w:t>
            </w:r>
          </w:p>
        </w:tc>
        <w:tc>
          <w:tcPr>
            <w:tcW w:w="1996" w:type="dxa"/>
            <w:vAlign w:val="center"/>
          </w:tcPr>
          <w:p w14:paraId="105E6DBF" w14:textId="77777777" w:rsidR="00AB40A3" w:rsidRPr="00CD3005" w:rsidRDefault="00AB40A3" w:rsidP="00AB40A3">
            <w:pPr>
              <w:jc w:val="center"/>
              <w:rPr>
                <w:sz w:val="20"/>
                <w:szCs w:val="20"/>
              </w:rPr>
            </w:pPr>
            <w:r w:rsidRPr="00CD3005">
              <w:rPr>
                <w:color w:val="000000"/>
                <w:sz w:val="20"/>
                <w:szCs w:val="20"/>
              </w:rPr>
              <w:t>0.</w:t>
            </w:r>
            <w:r>
              <w:rPr>
                <w:color w:val="000000"/>
                <w:sz w:val="20"/>
                <w:szCs w:val="20"/>
              </w:rPr>
              <w:t>235</w:t>
            </w:r>
          </w:p>
        </w:tc>
        <w:tc>
          <w:tcPr>
            <w:tcW w:w="2001" w:type="dxa"/>
            <w:vAlign w:val="center"/>
          </w:tcPr>
          <w:p w14:paraId="11A4E8A5" w14:textId="77777777" w:rsidR="00AB40A3" w:rsidRPr="006A6D8D" w:rsidRDefault="00AB40A3" w:rsidP="00AB40A3">
            <w:pPr>
              <w:jc w:val="center"/>
              <w:rPr>
                <w:sz w:val="20"/>
                <w:szCs w:val="20"/>
              </w:rPr>
            </w:pPr>
            <w:r>
              <w:rPr>
                <w:sz w:val="20"/>
                <w:szCs w:val="20"/>
              </w:rPr>
              <w:t>0.12 – 1.69</w:t>
            </w:r>
          </w:p>
        </w:tc>
      </w:tr>
      <w:tr w:rsidR="00AB40A3" w14:paraId="647EFA97" w14:textId="77777777" w:rsidTr="00AB40A3">
        <w:trPr>
          <w:trHeight w:val="319"/>
        </w:trPr>
        <w:tc>
          <w:tcPr>
            <w:tcW w:w="4438" w:type="dxa"/>
            <w:vAlign w:val="center"/>
          </w:tcPr>
          <w:p w14:paraId="37831D18" w14:textId="77777777" w:rsidR="00AB40A3" w:rsidRPr="006A6D8D" w:rsidRDefault="00AB40A3" w:rsidP="00AB40A3">
            <w:pPr>
              <w:rPr>
                <w:sz w:val="20"/>
                <w:szCs w:val="20"/>
              </w:rPr>
            </w:pPr>
            <w:r w:rsidRPr="006A6D8D">
              <w:rPr>
                <w:sz w:val="20"/>
                <w:szCs w:val="20"/>
              </w:rPr>
              <w:t>Pre-intervention trend</w:t>
            </w:r>
          </w:p>
        </w:tc>
        <w:tc>
          <w:tcPr>
            <w:tcW w:w="1996" w:type="dxa"/>
            <w:vAlign w:val="center"/>
          </w:tcPr>
          <w:p w14:paraId="3C000659" w14:textId="77777777" w:rsidR="00AB40A3" w:rsidRPr="00C84BB4" w:rsidRDefault="00AB40A3" w:rsidP="00AB40A3">
            <w:pPr>
              <w:jc w:val="center"/>
              <w:rPr>
                <w:sz w:val="20"/>
                <w:szCs w:val="20"/>
              </w:rPr>
            </w:pPr>
            <w:r>
              <w:rPr>
                <w:sz w:val="20"/>
                <w:szCs w:val="20"/>
              </w:rPr>
              <w:t>1.01</w:t>
            </w:r>
          </w:p>
        </w:tc>
        <w:tc>
          <w:tcPr>
            <w:tcW w:w="1996" w:type="dxa"/>
            <w:vAlign w:val="center"/>
          </w:tcPr>
          <w:p w14:paraId="68005BFF" w14:textId="77777777" w:rsidR="00AB40A3" w:rsidRPr="00CD3005" w:rsidRDefault="00AB40A3" w:rsidP="00AB40A3">
            <w:pPr>
              <w:jc w:val="center"/>
              <w:rPr>
                <w:sz w:val="20"/>
                <w:szCs w:val="20"/>
              </w:rPr>
            </w:pPr>
            <w:r w:rsidRPr="00CD3005">
              <w:rPr>
                <w:color w:val="000000"/>
                <w:sz w:val="20"/>
                <w:szCs w:val="20"/>
              </w:rPr>
              <w:t>0.</w:t>
            </w:r>
            <w:r>
              <w:rPr>
                <w:color w:val="000000"/>
                <w:sz w:val="20"/>
                <w:szCs w:val="20"/>
              </w:rPr>
              <w:t>920</w:t>
            </w:r>
          </w:p>
        </w:tc>
        <w:tc>
          <w:tcPr>
            <w:tcW w:w="2001" w:type="dxa"/>
            <w:vAlign w:val="center"/>
          </w:tcPr>
          <w:p w14:paraId="70D63367" w14:textId="77777777" w:rsidR="00AB40A3" w:rsidRPr="006A6D8D" w:rsidRDefault="00AB40A3" w:rsidP="00AB40A3">
            <w:pPr>
              <w:jc w:val="center"/>
              <w:rPr>
                <w:sz w:val="20"/>
                <w:szCs w:val="20"/>
              </w:rPr>
            </w:pPr>
            <w:r>
              <w:rPr>
                <w:sz w:val="20"/>
                <w:szCs w:val="20"/>
              </w:rPr>
              <w:t>0.90</w:t>
            </w:r>
            <w:r w:rsidRPr="006A6D8D">
              <w:rPr>
                <w:sz w:val="20"/>
                <w:szCs w:val="20"/>
              </w:rPr>
              <w:t xml:space="preserve"> – 1.</w:t>
            </w:r>
            <w:r>
              <w:rPr>
                <w:sz w:val="20"/>
                <w:szCs w:val="20"/>
              </w:rPr>
              <w:t>12</w:t>
            </w:r>
          </w:p>
        </w:tc>
      </w:tr>
      <w:tr w:rsidR="00AB40A3" w14:paraId="7CCDB806" w14:textId="77777777" w:rsidTr="00AB40A3">
        <w:trPr>
          <w:trHeight w:val="319"/>
        </w:trPr>
        <w:tc>
          <w:tcPr>
            <w:tcW w:w="4438" w:type="dxa"/>
            <w:vAlign w:val="center"/>
          </w:tcPr>
          <w:p w14:paraId="76605C94" w14:textId="77777777" w:rsidR="00AB40A3" w:rsidRPr="006A6D8D" w:rsidRDefault="00AB40A3" w:rsidP="00AB40A3">
            <w:pPr>
              <w:rPr>
                <w:sz w:val="20"/>
                <w:szCs w:val="20"/>
              </w:rPr>
            </w:pPr>
            <w:r>
              <w:rPr>
                <w:sz w:val="20"/>
                <w:szCs w:val="20"/>
              </w:rPr>
              <w:t>Post-intervention y-intercept</w:t>
            </w:r>
          </w:p>
        </w:tc>
        <w:tc>
          <w:tcPr>
            <w:tcW w:w="1996" w:type="dxa"/>
            <w:vAlign w:val="center"/>
          </w:tcPr>
          <w:p w14:paraId="69CC7EEB" w14:textId="77777777" w:rsidR="00AB40A3" w:rsidRPr="00C84BB4" w:rsidRDefault="00AB40A3" w:rsidP="00AB40A3">
            <w:pPr>
              <w:jc w:val="center"/>
              <w:rPr>
                <w:sz w:val="20"/>
                <w:szCs w:val="20"/>
              </w:rPr>
            </w:pPr>
            <w:r w:rsidRPr="00C84BB4">
              <w:rPr>
                <w:sz w:val="20"/>
                <w:szCs w:val="20"/>
              </w:rPr>
              <w:t>0.</w:t>
            </w:r>
            <w:r>
              <w:rPr>
                <w:sz w:val="20"/>
                <w:szCs w:val="20"/>
              </w:rPr>
              <w:t>30</w:t>
            </w:r>
          </w:p>
        </w:tc>
        <w:tc>
          <w:tcPr>
            <w:tcW w:w="1996" w:type="dxa"/>
            <w:vAlign w:val="center"/>
          </w:tcPr>
          <w:p w14:paraId="652DDF9A" w14:textId="77777777" w:rsidR="00AB40A3" w:rsidRPr="00CD3005" w:rsidRDefault="00AB40A3" w:rsidP="00AB40A3">
            <w:pPr>
              <w:jc w:val="center"/>
              <w:rPr>
                <w:sz w:val="20"/>
                <w:szCs w:val="20"/>
              </w:rPr>
            </w:pPr>
            <w:r w:rsidRPr="00CD3005">
              <w:rPr>
                <w:color w:val="000000"/>
                <w:sz w:val="20"/>
                <w:szCs w:val="20"/>
              </w:rPr>
              <w:t>0.0</w:t>
            </w:r>
            <w:r>
              <w:rPr>
                <w:color w:val="000000"/>
                <w:sz w:val="20"/>
                <w:szCs w:val="20"/>
              </w:rPr>
              <w:t>64</w:t>
            </w:r>
          </w:p>
        </w:tc>
        <w:tc>
          <w:tcPr>
            <w:tcW w:w="2001" w:type="dxa"/>
            <w:vAlign w:val="center"/>
          </w:tcPr>
          <w:p w14:paraId="2BE7F5CE" w14:textId="77777777" w:rsidR="00AB40A3" w:rsidRPr="006A6D8D" w:rsidRDefault="00AB40A3" w:rsidP="00AB40A3">
            <w:pPr>
              <w:jc w:val="center"/>
              <w:rPr>
                <w:sz w:val="20"/>
                <w:szCs w:val="20"/>
              </w:rPr>
            </w:pPr>
            <w:r>
              <w:rPr>
                <w:sz w:val="20"/>
                <w:szCs w:val="20"/>
              </w:rPr>
              <w:t>0.08 – 1.07</w:t>
            </w:r>
          </w:p>
        </w:tc>
      </w:tr>
      <w:tr w:rsidR="00AB40A3" w14:paraId="523E901D" w14:textId="77777777" w:rsidTr="00AB40A3">
        <w:trPr>
          <w:trHeight w:val="319"/>
        </w:trPr>
        <w:tc>
          <w:tcPr>
            <w:tcW w:w="4438" w:type="dxa"/>
            <w:vAlign w:val="center"/>
          </w:tcPr>
          <w:p w14:paraId="7B19B65D" w14:textId="77777777" w:rsidR="00AB40A3" w:rsidRDefault="00AB40A3" w:rsidP="00AB40A3">
            <w:pPr>
              <w:rPr>
                <w:sz w:val="20"/>
                <w:szCs w:val="20"/>
              </w:rPr>
            </w:pPr>
            <w:r>
              <w:rPr>
                <w:sz w:val="20"/>
                <w:szCs w:val="20"/>
              </w:rPr>
              <w:t>Post-intervention trend</w:t>
            </w:r>
          </w:p>
        </w:tc>
        <w:tc>
          <w:tcPr>
            <w:tcW w:w="1996" w:type="dxa"/>
            <w:vAlign w:val="center"/>
          </w:tcPr>
          <w:p w14:paraId="2475F51D" w14:textId="77777777" w:rsidR="00AB40A3" w:rsidRPr="00C84BB4" w:rsidRDefault="00AB40A3" w:rsidP="00AB40A3">
            <w:pPr>
              <w:jc w:val="center"/>
              <w:rPr>
                <w:sz w:val="20"/>
                <w:szCs w:val="20"/>
              </w:rPr>
            </w:pPr>
            <w:r w:rsidRPr="00C84BB4">
              <w:rPr>
                <w:sz w:val="20"/>
                <w:szCs w:val="20"/>
              </w:rPr>
              <w:t>0.9</w:t>
            </w:r>
            <w:r>
              <w:rPr>
                <w:sz w:val="20"/>
                <w:szCs w:val="20"/>
              </w:rPr>
              <w:t>8</w:t>
            </w:r>
          </w:p>
        </w:tc>
        <w:tc>
          <w:tcPr>
            <w:tcW w:w="1996" w:type="dxa"/>
            <w:vAlign w:val="center"/>
          </w:tcPr>
          <w:p w14:paraId="5C491F97" w14:textId="77777777" w:rsidR="00AB40A3" w:rsidRPr="00CD3005" w:rsidRDefault="00AB40A3" w:rsidP="00AB40A3">
            <w:pPr>
              <w:jc w:val="center"/>
              <w:rPr>
                <w:sz w:val="20"/>
                <w:szCs w:val="20"/>
              </w:rPr>
            </w:pPr>
            <w:r w:rsidRPr="00CD3005">
              <w:rPr>
                <w:color w:val="000000"/>
                <w:sz w:val="20"/>
                <w:szCs w:val="20"/>
              </w:rPr>
              <w:t>0.1</w:t>
            </w:r>
            <w:r>
              <w:rPr>
                <w:color w:val="000000"/>
                <w:sz w:val="20"/>
                <w:szCs w:val="20"/>
              </w:rPr>
              <w:t>63</w:t>
            </w:r>
          </w:p>
        </w:tc>
        <w:tc>
          <w:tcPr>
            <w:tcW w:w="2001" w:type="dxa"/>
            <w:vAlign w:val="center"/>
          </w:tcPr>
          <w:p w14:paraId="7C4DDDAF" w14:textId="4A9F22A7" w:rsidR="00AB40A3" w:rsidRPr="006A6D8D" w:rsidRDefault="00AB40A3" w:rsidP="00AB40A3">
            <w:pPr>
              <w:jc w:val="center"/>
              <w:rPr>
                <w:sz w:val="20"/>
                <w:szCs w:val="20"/>
              </w:rPr>
            </w:pPr>
            <w:r w:rsidRPr="006A6D8D">
              <w:rPr>
                <w:sz w:val="20"/>
                <w:szCs w:val="20"/>
              </w:rPr>
              <w:t>0.</w:t>
            </w:r>
            <w:r>
              <w:rPr>
                <w:sz w:val="20"/>
                <w:szCs w:val="20"/>
              </w:rPr>
              <w:t>94</w:t>
            </w:r>
            <w:r w:rsidRPr="006A6D8D">
              <w:rPr>
                <w:sz w:val="20"/>
                <w:szCs w:val="20"/>
              </w:rPr>
              <w:t xml:space="preserve"> – </w:t>
            </w:r>
            <w:r>
              <w:rPr>
                <w:sz w:val="20"/>
                <w:szCs w:val="20"/>
              </w:rPr>
              <w:t>1</w:t>
            </w:r>
            <w:r w:rsidRPr="006A6D8D">
              <w:rPr>
                <w:sz w:val="20"/>
                <w:szCs w:val="20"/>
              </w:rPr>
              <w:t>.</w:t>
            </w:r>
            <w:r>
              <w:rPr>
                <w:sz w:val="20"/>
                <w:szCs w:val="20"/>
              </w:rPr>
              <w:t>0</w:t>
            </w:r>
            <w:r w:rsidR="00E85E88">
              <w:rPr>
                <w:sz w:val="20"/>
                <w:szCs w:val="20"/>
              </w:rPr>
              <w:t>1</w:t>
            </w:r>
          </w:p>
        </w:tc>
      </w:tr>
      <w:tr w:rsidR="00AB40A3" w14:paraId="314287F4" w14:textId="77777777" w:rsidTr="00AB40A3">
        <w:trPr>
          <w:trHeight w:val="319"/>
        </w:trPr>
        <w:tc>
          <w:tcPr>
            <w:tcW w:w="4438" w:type="dxa"/>
            <w:vAlign w:val="center"/>
          </w:tcPr>
          <w:p w14:paraId="452B8705" w14:textId="77777777" w:rsidR="00AB40A3" w:rsidRPr="006A6D8D" w:rsidRDefault="00AB40A3" w:rsidP="00AB40A3">
            <w:pPr>
              <w:ind w:firstLine="164"/>
              <w:rPr>
                <w:sz w:val="20"/>
                <w:szCs w:val="20"/>
              </w:rPr>
            </w:pPr>
          </w:p>
        </w:tc>
        <w:tc>
          <w:tcPr>
            <w:tcW w:w="1996" w:type="dxa"/>
            <w:vAlign w:val="center"/>
          </w:tcPr>
          <w:p w14:paraId="31E7A688" w14:textId="77777777" w:rsidR="00AB40A3" w:rsidRPr="006A6D8D" w:rsidRDefault="00AB40A3" w:rsidP="00AB40A3">
            <w:pPr>
              <w:jc w:val="center"/>
              <w:rPr>
                <w:sz w:val="20"/>
                <w:szCs w:val="20"/>
              </w:rPr>
            </w:pPr>
          </w:p>
        </w:tc>
        <w:tc>
          <w:tcPr>
            <w:tcW w:w="1996" w:type="dxa"/>
            <w:vAlign w:val="center"/>
          </w:tcPr>
          <w:p w14:paraId="1EEC6F79" w14:textId="77777777" w:rsidR="00AB40A3" w:rsidRPr="006A6D8D" w:rsidRDefault="00AB40A3" w:rsidP="00AB40A3">
            <w:pPr>
              <w:jc w:val="center"/>
              <w:rPr>
                <w:sz w:val="20"/>
                <w:szCs w:val="20"/>
              </w:rPr>
            </w:pPr>
          </w:p>
        </w:tc>
        <w:tc>
          <w:tcPr>
            <w:tcW w:w="2001" w:type="dxa"/>
            <w:vAlign w:val="center"/>
          </w:tcPr>
          <w:p w14:paraId="6F7D340B" w14:textId="77777777" w:rsidR="00AB40A3" w:rsidRPr="006A6D8D" w:rsidRDefault="00AB40A3" w:rsidP="00AB40A3">
            <w:pPr>
              <w:jc w:val="center"/>
              <w:rPr>
                <w:sz w:val="20"/>
                <w:szCs w:val="20"/>
              </w:rPr>
            </w:pPr>
          </w:p>
        </w:tc>
      </w:tr>
      <w:tr w:rsidR="00AB40A3" w14:paraId="41C25A65" w14:textId="77777777" w:rsidTr="00AB40A3">
        <w:trPr>
          <w:trHeight w:val="319"/>
        </w:trPr>
        <w:tc>
          <w:tcPr>
            <w:tcW w:w="4438" w:type="dxa"/>
            <w:vAlign w:val="center"/>
          </w:tcPr>
          <w:p w14:paraId="60665C27" w14:textId="77777777" w:rsidR="00AB40A3" w:rsidRPr="006A6D8D" w:rsidRDefault="00AB40A3" w:rsidP="00AB40A3">
            <w:pPr>
              <w:ind w:firstLine="164"/>
              <w:rPr>
                <w:b/>
                <w:bCs/>
                <w:sz w:val="20"/>
                <w:szCs w:val="20"/>
              </w:rPr>
            </w:pPr>
            <w:r w:rsidRPr="006A6D8D">
              <w:rPr>
                <w:b/>
                <w:bCs/>
                <w:sz w:val="20"/>
                <w:szCs w:val="20"/>
              </w:rPr>
              <w:t>MDA 14</w:t>
            </w:r>
            <w:r w:rsidRPr="006A6D8D">
              <w:rPr>
                <w:b/>
                <w:bCs/>
                <w:sz w:val="20"/>
                <w:szCs w:val="20"/>
                <w:vertAlign w:val="superscript"/>
              </w:rPr>
              <w:t>th</w:t>
            </w:r>
            <w:r w:rsidRPr="006A6D8D">
              <w:rPr>
                <w:b/>
                <w:bCs/>
                <w:sz w:val="20"/>
                <w:szCs w:val="20"/>
              </w:rPr>
              <w:t xml:space="preserve"> December 2016</w:t>
            </w:r>
          </w:p>
        </w:tc>
        <w:tc>
          <w:tcPr>
            <w:tcW w:w="1996" w:type="dxa"/>
            <w:vAlign w:val="center"/>
          </w:tcPr>
          <w:p w14:paraId="51EA2D11" w14:textId="77777777" w:rsidR="00AB40A3" w:rsidRPr="006A6D8D" w:rsidRDefault="00AB40A3" w:rsidP="00AB40A3">
            <w:pPr>
              <w:jc w:val="center"/>
              <w:rPr>
                <w:sz w:val="20"/>
                <w:szCs w:val="20"/>
              </w:rPr>
            </w:pPr>
          </w:p>
        </w:tc>
        <w:tc>
          <w:tcPr>
            <w:tcW w:w="1996" w:type="dxa"/>
            <w:vAlign w:val="center"/>
          </w:tcPr>
          <w:p w14:paraId="1FCFCA68" w14:textId="77777777" w:rsidR="00AB40A3" w:rsidRPr="006A6D8D" w:rsidRDefault="00AB40A3" w:rsidP="00AB40A3">
            <w:pPr>
              <w:jc w:val="center"/>
              <w:rPr>
                <w:sz w:val="20"/>
                <w:szCs w:val="20"/>
              </w:rPr>
            </w:pPr>
          </w:p>
        </w:tc>
        <w:tc>
          <w:tcPr>
            <w:tcW w:w="2001" w:type="dxa"/>
            <w:vAlign w:val="center"/>
          </w:tcPr>
          <w:p w14:paraId="0194BA79" w14:textId="77777777" w:rsidR="00AB40A3" w:rsidRPr="006A6D8D" w:rsidRDefault="00AB40A3" w:rsidP="00AB40A3">
            <w:pPr>
              <w:jc w:val="center"/>
              <w:rPr>
                <w:sz w:val="20"/>
                <w:szCs w:val="20"/>
              </w:rPr>
            </w:pPr>
          </w:p>
        </w:tc>
      </w:tr>
      <w:tr w:rsidR="00AB40A3" w14:paraId="41D7B012" w14:textId="77777777" w:rsidTr="00AB40A3">
        <w:trPr>
          <w:trHeight w:val="319"/>
        </w:trPr>
        <w:tc>
          <w:tcPr>
            <w:tcW w:w="4438" w:type="dxa"/>
            <w:vAlign w:val="center"/>
          </w:tcPr>
          <w:p w14:paraId="5812B580" w14:textId="77777777" w:rsidR="00AB40A3" w:rsidRPr="006A6D8D" w:rsidRDefault="00AB40A3" w:rsidP="00AB40A3">
            <w:pPr>
              <w:rPr>
                <w:sz w:val="20"/>
                <w:szCs w:val="20"/>
              </w:rPr>
            </w:pPr>
            <w:r>
              <w:rPr>
                <w:sz w:val="20"/>
                <w:szCs w:val="20"/>
              </w:rPr>
              <w:t xml:space="preserve">Pre-intervention y-intercept </w:t>
            </w:r>
          </w:p>
        </w:tc>
        <w:tc>
          <w:tcPr>
            <w:tcW w:w="1996" w:type="dxa"/>
            <w:vAlign w:val="center"/>
          </w:tcPr>
          <w:p w14:paraId="60C9C883" w14:textId="77777777" w:rsidR="00AB40A3" w:rsidRPr="00685D83" w:rsidRDefault="00AB40A3" w:rsidP="00AB40A3">
            <w:pPr>
              <w:jc w:val="center"/>
              <w:rPr>
                <w:sz w:val="20"/>
                <w:szCs w:val="20"/>
              </w:rPr>
            </w:pPr>
            <w:r w:rsidRPr="00685D83">
              <w:rPr>
                <w:color w:val="000000"/>
                <w:sz w:val="20"/>
                <w:szCs w:val="20"/>
              </w:rPr>
              <w:t>0.</w:t>
            </w:r>
            <w:r>
              <w:rPr>
                <w:color w:val="000000"/>
                <w:sz w:val="20"/>
                <w:szCs w:val="20"/>
              </w:rPr>
              <w:t>22</w:t>
            </w:r>
          </w:p>
        </w:tc>
        <w:tc>
          <w:tcPr>
            <w:tcW w:w="1996" w:type="dxa"/>
            <w:vAlign w:val="center"/>
          </w:tcPr>
          <w:p w14:paraId="381E41B3" w14:textId="77777777" w:rsidR="00AB40A3" w:rsidRPr="00255E85" w:rsidRDefault="00AB40A3" w:rsidP="00AB40A3">
            <w:pPr>
              <w:jc w:val="center"/>
              <w:rPr>
                <w:sz w:val="20"/>
                <w:szCs w:val="20"/>
              </w:rPr>
            </w:pPr>
            <w:r w:rsidRPr="00255E85">
              <w:rPr>
                <w:color w:val="000000"/>
                <w:sz w:val="20"/>
                <w:szCs w:val="20"/>
              </w:rPr>
              <w:t>0.07</w:t>
            </w:r>
            <w:r>
              <w:rPr>
                <w:color w:val="000000"/>
                <w:sz w:val="20"/>
                <w:szCs w:val="20"/>
              </w:rPr>
              <w:t>5</w:t>
            </w:r>
          </w:p>
        </w:tc>
        <w:tc>
          <w:tcPr>
            <w:tcW w:w="2001" w:type="dxa"/>
            <w:vAlign w:val="center"/>
          </w:tcPr>
          <w:p w14:paraId="7BCB5062" w14:textId="77777777" w:rsidR="00AB40A3" w:rsidRPr="006A6D8D" w:rsidRDefault="00AB40A3" w:rsidP="00AB40A3">
            <w:pPr>
              <w:jc w:val="center"/>
              <w:rPr>
                <w:sz w:val="20"/>
                <w:szCs w:val="20"/>
              </w:rPr>
            </w:pPr>
            <w:r>
              <w:rPr>
                <w:sz w:val="20"/>
                <w:szCs w:val="20"/>
              </w:rPr>
              <w:t>0.04 – 1.16</w:t>
            </w:r>
          </w:p>
        </w:tc>
      </w:tr>
      <w:tr w:rsidR="00AB40A3" w14:paraId="11B8A39B" w14:textId="77777777" w:rsidTr="00AB40A3">
        <w:trPr>
          <w:trHeight w:val="319"/>
        </w:trPr>
        <w:tc>
          <w:tcPr>
            <w:tcW w:w="4438" w:type="dxa"/>
            <w:vAlign w:val="center"/>
          </w:tcPr>
          <w:p w14:paraId="0A8A6EBF" w14:textId="77777777" w:rsidR="00AB40A3" w:rsidRPr="006A6D8D" w:rsidRDefault="00AB40A3" w:rsidP="00AB40A3">
            <w:pPr>
              <w:rPr>
                <w:sz w:val="20"/>
                <w:szCs w:val="20"/>
              </w:rPr>
            </w:pPr>
            <w:r w:rsidRPr="006A6D8D">
              <w:rPr>
                <w:sz w:val="20"/>
                <w:szCs w:val="20"/>
              </w:rPr>
              <w:t>Pre-intervention trend</w:t>
            </w:r>
          </w:p>
        </w:tc>
        <w:tc>
          <w:tcPr>
            <w:tcW w:w="1996" w:type="dxa"/>
            <w:vAlign w:val="center"/>
          </w:tcPr>
          <w:p w14:paraId="7BC73E72" w14:textId="4FD780F5" w:rsidR="00AB40A3" w:rsidRPr="00685D83" w:rsidRDefault="00AB40A3" w:rsidP="00AB40A3">
            <w:pPr>
              <w:jc w:val="center"/>
              <w:rPr>
                <w:sz w:val="20"/>
                <w:szCs w:val="20"/>
              </w:rPr>
            </w:pPr>
            <w:r w:rsidRPr="00685D83">
              <w:rPr>
                <w:color w:val="000000"/>
                <w:sz w:val="20"/>
                <w:szCs w:val="20"/>
              </w:rPr>
              <w:t>0.9</w:t>
            </w:r>
            <w:r w:rsidR="00AC2325">
              <w:rPr>
                <w:color w:val="000000"/>
                <w:sz w:val="20"/>
                <w:szCs w:val="20"/>
              </w:rPr>
              <w:t>6</w:t>
            </w:r>
          </w:p>
        </w:tc>
        <w:tc>
          <w:tcPr>
            <w:tcW w:w="1996" w:type="dxa"/>
            <w:vAlign w:val="center"/>
          </w:tcPr>
          <w:p w14:paraId="25B389EF" w14:textId="77777777" w:rsidR="00AB40A3" w:rsidRPr="00255E85" w:rsidRDefault="00AB40A3" w:rsidP="00AB40A3">
            <w:pPr>
              <w:jc w:val="center"/>
              <w:rPr>
                <w:sz w:val="20"/>
                <w:szCs w:val="20"/>
              </w:rPr>
            </w:pPr>
            <w:r w:rsidRPr="00255E85">
              <w:rPr>
                <w:color w:val="000000"/>
                <w:sz w:val="20"/>
                <w:szCs w:val="20"/>
              </w:rPr>
              <w:t>0.</w:t>
            </w:r>
            <w:r>
              <w:rPr>
                <w:color w:val="000000"/>
                <w:sz w:val="20"/>
                <w:szCs w:val="20"/>
              </w:rPr>
              <w:t>282</w:t>
            </w:r>
          </w:p>
        </w:tc>
        <w:tc>
          <w:tcPr>
            <w:tcW w:w="2001" w:type="dxa"/>
            <w:vAlign w:val="center"/>
          </w:tcPr>
          <w:p w14:paraId="73BF6CAA" w14:textId="77777777" w:rsidR="00AB40A3" w:rsidRPr="006A6D8D" w:rsidRDefault="00AB40A3" w:rsidP="00AB40A3">
            <w:pPr>
              <w:jc w:val="center"/>
              <w:rPr>
                <w:sz w:val="20"/>
                <w:szCs w:val="20"/>
              </w:rPr>
            </w:pPr>
            <w:r w:rsidRPr="006A6D8D">
              <w:rPr>
                <w:sz w:val="20"/>
                <w:szCs w:val="20"/>
              </w:rPr>
              <w:t>0.</w:t>
            </w:r>
            <w:r>
              <w:rPr>
                <w:sz w:val="20"/>
                <w:szCs w:val="20"/>
              </w:rPr>
              <w:t>89</w:t>
            </w:r>
            <w:r w:rsidRPr="006A6D8D">
              <w:rPr>
                <w:sz w:val="20"/>
                <w:szCs w:val="20"/>
              </w:rPr>
              <w:t xml:space="preserve"> – 1.0</w:t>
            </w:r>
            <w:r>
              <w:rPr>
                <w:sz w:val="20"/>
                <w:szCs w:val="20"/>
              </w:rPr>
              <w:t>3</w:t>
            </w:r>
          </w:p>
        </w:tc>
      </w:tr>
      <w:tr w:rsidR="00AB40A3" w14:paraId="2E218C31" w14:textId="77777777" w:rsidTr="00AB40A3">
        <w:trPr>
          <w:trHeight w:val="319"/>
        </w:trPr>
        <w:tc>
          <w:tcPr>
            <w:tcW w:w="4438" w:type="dxa"/>
            <w:vAlign w:val="center"/>
          </w:tcPr>
          <w:p w14:paraId="73692FDF" w14:textId="77777777" w:rsidR="00AB40A3" w:rsidRPr="006A6D8D" w:rsidRDefault="00AB40A3" w:rsidP="00AB40A3">
            <w:pPr>
              <w:rPr>
                <w:sz w:val="20"/>
                <w:szCs w:val="20"/>
              </w:rPr>
            </w:pPr>
            <w:r>
              <w:rPr>
                <w:sz w:val="20"/>
                <w:szCs w:val="20"/>
              </w:rPr>
              <w:t>Post-intervention y-intercept</w:t>
            </w:r>
          </w:p>
        </w:tc>
        <w:tc>
          <w:tcPr>
            <w:tcW w:w="1996" w:type="dxa"/>
            <w:vAlign w:val="center"/>
          </w:tcPr>
          <w:p w14:paraId="255E718E" w14:textId="77777777" w:rsidR="00AB40A3" w:rsidRPr="00685D83" w:rsidRDefault="00AB40A3" w:rsidP="00AB40A3">
            <w:pPr>
              <w:jc w:val="center"/>
              <w:rPr>
                <w:sz w:val="20"/>
                <w:szCs w:val="20"/>
              </w:rPr>
            </w:pPr>
            <w:r w:rsidRPr="00685D83">
              <w:rPr>
                <w:color w:val="000000"/>
                <w:sz w:val="20"/>
                <w:szCs w:val="20"/>
              </w:rPr>
              <w:t>0.</w:t>
            </w:r>
            <w:r>
              <w:rPr>
                <w:color w:val="000000"/>
                <w:sz w:val="20"/>
                <w:szCs w:val="20"/>
              </w:rPr>
              <w:t>18</w:t>
            </w:r>
          </w:p>
        </w:tc>
        <w:tc>
          <w:tcPr>
            <w:tcW w:w="1996" w:type="dxa"/>
            <w:vAlign w:val="center"/>
          </w:tcPr>
          <w:p w14:paraId="33370BA9" w14:textId="77777777" w:rsidR="00AB40A3" w:rsidRPr="00255E85" w:rsidRDefault="00AB40A3" w:rsidP="00AB40A3">
            <w:pPr>
              <w:jc w:val="center"/>
              <w:rPr>
                <w:sz w:val="20"/>
                <w:szCs w:val="20"/>
              </w:rPr>
            </w:pPr>
            <w:r w:rsidRPr="00255E85">
              <w:rPr>
                <w:color w:val="000000"/>
                <w:sz w:val="20"/>
                <w:szCs w:val="20"/>
              </w:rPr>
              <w:t>0.</w:t>
            </w:r>
            <w:r>
              <w:rPr>
                <w:color w:val="000000"/>
                <w:sz w:val="20"/>
                <w:szCs w:val="20"/>
              </w:rPr>
              <w:t>046</w:t>
            </w:r>
          </w:p>
        </w:tc>
        <w:tc>
          <w:tcPr>
            <w:tcW w:w="2001" w:type="dxa"/>
            <w:vAlign w:val="center"/>
          </w:tcPr>
          <w:p w14:paraId="61C71946" w14:textId="77777777" w:rsidR="00AB40A3" w:rsidRPr="006A6D8D" w:rsidRDefault="00AB40A3" w:rsidP="00AB40A3">
            <w:pPr>
              <w:jc w:val="center"/>
              <w:rPr>
                <w:sz w:val="20"/>
                <w:szCs w:val="20"/>
              </w:rPr>
            </w:pPr>
            <w:r w:rsidRPr="006A6D8D">
              <w:rPr>
                <w:sz w:val="20"/>
                <w:szCs w:val="20"/>
              </w:rPr>
              <w:t>0.</w:t>
            </w:r>
            <w:r>
              <w:rPr>
                <w:sz w:val="20"/>
                <w:szCs w:val="20"/>
              </w:rPr>
              <w:t>03</w:t>
            </w:r>
            <w:r w:rsidRPr="006A6D8D">
              <w:rPr>
                <w:sz w:val="20"/>
                <w:szCs w:val="20"/>
              </w:rPr>
              <w:t xml:space="preserve"> – </w:t>
            </w:r>
            <w:r>
              <w:rPr>
                <w:sz w:val="20"/>
                <w:szCs w:val="20"/>
              </w:rPr>
              <w:t>0.97</w:t>
            </w:r>
          </w:p>
        </w:tc>
      </w:tr>
      <w:tr w:rsidR="00AB40A3" w14:paraId="33E13307" w14:textId="77777777" w:rsidTr="00AB40A3">
        <w:trPr>
          <w:trHeight w:val="319"/>
        </w:trPr>
        <w:tc>
          <w:tcPr>
            <w:tcW w:w="4438" w:type="dxa"/>
            <w:vAlign w:val="center"/>
          </w:tcPr>
          <w:p w14:paraId="580BEDA5" w14:textId="77777777" w:rsidR="00AB40A3" w:rsidRPr="006A6D8D" w:rsidRDefault="00AB40A3" w:rsidP="00AB40A3">
            <w:pPr>
              <w:rPr>
                <w:sz w:val="20"/>
                <w:szCs w:val="20"/>
              </w:rPr>
            </w:pPr>
            <w:r>
              <w:rPr>
                <w:sz w:val="20"/>
                <w:szCs w:val="20"/>
              </w:rPr>
              <w:t>Post-intervention trend</w:t>
            </w:r>
          </w:p>
        </w:tc>
        <w:tc>
          <w:tcPr>
            <w:tcW w:w="1996" w:type="dxa"/>
            <w:vAlign w:val="center"/>
          </w:tcPr>
          <w:p w14:paraId="5CA8B578" w14:textId="77777777" w:rsidR="00AB40A3" w:rsidRPr="00685D83" w:rsidRDefault="00AB40A3" w:rsidP="00AB40A3">
            <w:pPr>
              <w:jc w:val="center"/>
              <w:rPr>
                <w:sz w:val="20"/>
                <w:szCs w:val="20"/>
              </w:rPr>
            </w:pPr>
            <w:r>
              <w:rPr>
                <w:sz w:val="20"/>
                <w:szCs w:val="20"/>
              </w:rPr>
              <w:t>0.97</w:t>
            </w:r>
          </w:p>
        </w:tc>
        <w:tc>
          <w:tcPr>
            <w:tcW w:w="1996" w:type="dxa"/>
            <w:vAlign w:val="center"/>
          </w:tcPr>
          <w:p w14:paraId="4F46B753" w14:textId="77777777" w:rsidR="00AB40A3" w:rsidRPr="00255E85" w:rsidRDefault="00AB40A3" w:rsidP="00AB40A3">
            <w:pPr>
              <w:jc w:val="center"/>
              <w:rPr>
                <w:sz w:val="20"/>
                <w:szCs w:val="20"/>
              </w:rPr>
            </w:pPr>
            <w:r w:rsidRPr="00255E85">
              <w:rPr>
                <w:color w:val="000000"/>
                <w:sz w:val="20"/>
                <w:szCs w:val="20"/>
              </w:rPr>
              <w:t>0.</w:t>
            </w:r>
            <w:r>
              <w:rPr>
                <w:color w:val="000000"/>
                <w:sz w:val="20"/>
                <w:szCs w:val="20"/>
              </w:rPr>
              <w:t>124</w:t>
            </w:r>
          </w:p>
        </w:tc>
        <w:tc>
          <w:tcPr>
            <w:tcW w:w="2001" w:type="dxa"/>
            <w:vAlign w:val="center"/>
          </w:tcPr>
          <w:p w14:paraId="66F3D938" w14:textId="05999866" w:rsidR="00AB40A3" w:rsidRPr="006A6D8D" w:rsidRDefault="00AB40A3" w:rsidP="00AB40A3">
            <w:pPr>
              <w:jc w:val="center"/>
              <w:rPr>
                <w:sz w:val="20"/>
                <w:szCs w:val="20"/>
              </w:rPr>
            </w:pPr>
            <w:r>
              <w:rPr>
                <w:sz w:val="20"/>
                <w:szCs w:val="20"/>
              </w:rPr>
              <w:t>0.94 – 1.0</w:t>
            </w:r>
            <w:r w:rsidR="008B4FFB">
              <w:rPr>
                <w:sz w:val="20"/>
                <w:szCs w:val="20"/>
              </w:rPr>
              <w:t>1</w:t>
            </w:r>
          </w:p>
        </w:tc>
      </w:tr>
    </w:tbl>
    <w:p w14:paraId="4BC2AE85" w14:textId="77777777" w:rsidR="005E1514" w:rsidRDefault="005E1514"/>
    <w:p w14:paraId="60D80759" w14:textId="3C1D3D0F" w:rsidR="00AE3F88" w:rsidRDefault="00AE3F88"/>
    <w:p w14:paraId="23DAEC76" w14:textId="4C552D26" w:rsidR="00B330F3" w:rsidRPr="009D358E" w:rsidRDefault="00B330F3" w:rsidP="00B330F3">
      <w:pPr>
        <w:rPr>
          <w:sz w:val="20"/>
          <w:szCs w:val="20"/>
        </w:rPr>
        <w:sectPr w:rsidR="00B330F3" w:rsidRPr="009D358E" w:rsidSect="009615CB">
          <w:headerReference w:type="default" r:id="rId10"/>
          <w:footerReference w:type="default" r:id="rId11"/>
          <w:pgSz w:w="11906" w:h="16838"/>
          <w:pgMar w:top="1440" w:right="1440" w:bottom="1440" w:left="1440" w:header="709" w:footer="709" w:gutter="0"/>
          <w:lnNumType w:countBy="1"/>
          <w:cols w:space="708"/>
          <w:docGrid w:linePitch="360"/>
        </w:sectPr>
      </w:pPr>
      <w:r w:rsidRPr="00CC7F2B">
        <w:rPr>
          <w:sz w:val="20"/>
          <w:szCs w:val="20"/>
        </w:rPr>
        <w:t>IRR: Incidence rate ratio; 95% CI: 95% confidence interval for IRR; PSA: Psychoactive Substances Act; MDA: Misuse of Drugs Act</w:t>
      </w:r>
      <w:r>
        <w:rPr>
          <w:sz w:val="20"/>
          <w:szCs w:val="20"/>
        </w:rPr>
        <w:t>.</w:t>
      </w:r>
      <w:r w:rsidR="00EA7039">
        <w:rPr>
          <w:sz w:val="20"/>
          <w:szCs w:val="20"/>
        </w:rPr>
        <w:t xml:space="preserve"> Models include the combined total number of SCRA and non-SCRA exposure cases as an offset variable</w:t>
      </w:r>
      <w:r w:rsidR="00FF7D68">
        <w:rPr>
          <w:sz w:val="20"/>
          <w:szCs w:val="20"/>
        </w:rPr>
        <w:t xml:space="preserve">, </w:t>
      </w:r>
      <w:r>
        <w:rPr>
          <w:sz w:val="20"/>
          <w:szCs w:val="20"/>
        </w:rPr>
        <w:t>a single pair of Fourier terms to account for seasonal trends</w:t>
      </w:r>
      <w:r w:rsidR="00FF7D68">
        <w:rPr>
          <w:sz w:val="20"/>
          <w:szCs w:val="20"/>
        </w:rPr>
        <w:t xml:space="preserve"> and are adjusted for the number of active sites within each month.</w:t>
      </w:r>
    </w:p>
    <w:p w14:paraId="38285FE8" w14:textId="3CDA6D54" w:rsidR="00FE00EB" w:rsidRDefault="00951A7B">
      <w:r w:rsidRPr="00177E57">
        <w:rPr>
          <w:b/>
          <w:bCs/>
        </w:rPr>
        <w:lastRenderedPageBreak/>
        <w:t>Supplementary Figure 1.</w:t>
      </w:r>
      <w:r>
        <w:t xml:space="preserve"> </w:t>
      </w:r>
      <w:r w:rsidR="00D813E9">
        <w:t>Total n</w:t>
      </w:r>
      <w:r>
        <w:t xml:space="preserve">umber of </w:t>
      </w:r>
      <w:r w:rsidR="00D813E9">
        <w:t>hospital presentation</w:t>
      </w:r>
      <w:r w:rsidR="00794375">
        <w:t>s</w:t>
      </w:r>
      <w:r w:rsidR="00D813E9">
        <w:t xml:space="preserve"> and </w:t>
      </w:r>
      <w:r>
        <w:t xml:space="preserve">active sites </w:t>
      </w:r>
      <w:r w:rsidR="00CD309C">
        <w:t>recruiting participants within each month</w:t>
      </w:r>
      <w:r w:rsidR="00177E57">
        <w:t xml:space="preserve"> </w:t>
      </w:r>
      <w:r w:rsidR="00794375">
        <w:t xml:space="preserve">between </w:t>
      </w:r>
      <w:r w:rsidR="00177E57" w:rsidRPr="00177E57">
        <w:t>July 2015 and December 2019.</w:t>
      </w:r>
    </w:p>
    <w:p w14:paraId="3081C98D" w14:textId="3F4F0F2A" w:rsidR="00951A7B" w:rsidRDefault="008C5AF6">
      <w:r>
        <w:rPr>
          <w:noProof/>
          <w:lang w:val="en-US" w:eastAsia="en-US"/>
        </w:rPr>
        <w:drawing>
          <wp:anchor distT="0" distB="0" distL="114300" distR="114300" simplePos="0" relativeHeight="251674624" behindDoc="0" locked="0" layoutInCell="1" allowOverlap="1" wp14:anchorId="6AFD4188" wp14:editId="580F1E63">
            <wp:simplePos x="0" y="0"/>
            <wp:positionH relativeFrom="margin">
              <wp:posOffset>-123825</wp:posOffset>
            </wp:positionH>
            <wp:positionV relativeFrom="paragraph">
              <wp:posOffset>237490</wp:posOffset>
            </wp:positionV>
            <wp:extent cx="6067425" cy="3714750"/>
            <wp:effectExtent l="0" t="0" r="0" b="0"/>
            <wp:wrapSquare wrapText="bothSides"/>
            <wp:docPr id="7" name="Chart 7">
              <a:extLst xmlns:a="http://schemas.openxmlformats.org/drawingml/2006/main">
                <a:ext uri="{FF2B5EF4-FFF2-40B4-BE49-F238E27FC236}">
                  <a16:creationId xmlns:a16="http://schemas.microsoft.com/office/drawing/2014/main" id="{501522EB-8A61-4CAB-A684-63EC8525F9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364DF865" w14:textId="683F120E" w:rsidR="00052CD6" w:rsidRPr="0080586D" w:rsidRDefault="00052CD6">
      <w:pPr>
        <w:rPr>
          <w:sz w:val="20"/>
          <w:szCs w:val="20"/>
        </w:rPr>
      </w:pPr>
    </w:p>
    <w:p w14:paraId="16A0523F" w14:textId="77777777" w:rsidR="0080586D" w:rsidRPr="0080586D" w:rsidRDefault="0080586D" w:rsidP="0080586D">
      <w:pPr>
        <w:spacing w:line="360" w:lineRule="auto"/>
        <w:rPr>
          <w:sz w:val="20"/>
          <w:szCs w:val="20"/>
        </w:rPr>
      </w:pPr>
      <w:r w:rsidRPr="0080586D">
        <w:rPr>
          <w:sz w:val="20"/>
          <w:szCs w:val="20"/>
        </w:rPr>
        <w:t xml:space="preserve">Note: Sites were considered to be active from the beginning of the month in which their first case was recorded, and inactive for all months after their last case was recorded. </w:t>
      </w:r>
    </w:p>
    <w:p w14:paraId="56A49B58" w14:textId="1F8002F8" w:rsidR="00052CD6" w:rsidRDefault="00052CD6"/>
    <w:p w14:paraId="06B48B92" w14:textId="575B068D" w:rsidR="00052CD6" w:rsidRDefault="00052CD6"/>
    <w:p w14:paraId="5A1736FF" w14:textId="47A5C46E" w:rsidR="00052CD6" w:rsidRDefault="00052CD6"/>
    <w:p w14:paraId="3D6D8A1A" w14:textId="2E57CEA1" w:rsidR="00052CD6" w:rsidRDefault="00052CD6"/>
    <w:p w14:paraId="799EBF64" w14:textId="38BE1524" w:rsidR="00052CD6" w:rsidRDefault="00052CD6"/>
    <w:p w14:paraId="6F3DC6F7" w14:textId="3006D71C" w:rsidR="00177E57" w:rsidRDefault="00177E57"/>
    <w:p w14:paraId="11771DDF" w14:textId="21C1BF8B" w:rsidR="00177E57" w:rsidRDefault="00177E57"/>
    <w:p w14:paraId="20DDEE92" w14:textId="7D161DEB" w:rsidR="00177E57" w:rsidRDefault="00177E57"/>
    <w:p w14:paraId="5486BA21" w14:textId="4F9F6445" w:rsidR="00177E57" w:rsidRDefault="00177E57"/>
    <w:p w14:paraId="30D69491" w14:textId="330E4EED" w:rsidR="00177E57" w:rsidRDefault="00177E57"/>
    <w:p w14:paraId="46F6A22E" w14:textId="7EB88E82" w:rsidR="00177E57" w:rsidRDefault="00177E57"/>
    <w:p w14:paraId="093FFC3A" w14:textId="76BBFF3B" w:rsidR="00177E57" w:rsidRDefault="00177E57"/>
    <w:p w14:paraId="253B632F" w14:textId="7258D983" w:rsidR="00177E57" w:rsidRDefault="00177E57"/>
    <w:p w14:paraId="559D75D1" w14:textId="14BDBD41" w:rsidR="00177E57" w:rsidRDefault="00177E57"/>
    <w:p w14:paraId="4E12106C" w14:textId="260CE6B6" w:rsidR="00177E57" w:rsidRDefault="00177E57"/>
    <w:p w14:paraId="57FBA809" w14:textId="6C6A4BE4" w:rsidR="00177E57" w:rsidRDefault="00177E57"/>
    <w:p w14:paraId="44EE55E0" w14:textId="06614985" w:rsidR="00177E57" w:rsidRDefault="00177E57"/>
    <w:p w14:paraId="5D4E304E" w14:textId="1BA01AFF" w:rsidR="00177E57" w:rsidRDefault="00177E57"/>
    <w:p w14:paraId="6838695F" w14:textId="7289361F" w:rsidR="00177E57" w:rsidRDefault="00177E57"/>
    <w:p w14:paraId="14EE2C50" w14:textId="471B0541" w:rsidR="00134AF3" w:rsidRDefault="00134AF3"/>
    <w:p w14:paraId="72A57078" w14:textId="505457DE" w:rsidR="00134AF3" w:rsidRDefault="00134AF3"/>
    <w:p w14:paraId="4EBBD18A" w14:textId="77777777" w:rsidR="00134AF3" w:rsidRDefault="00134AF3"/>
    <w:p w14:paraId="01E3CAF2" w14:textId="77777777" w:rsidR="00052CD6" w:rsidRDefault="00052CD6"/>
    <w:p w14:paraId="16348932" w14:textId="7759EA91" w:rsidR="00FE00EB" w:rsidRDefault="00FE00EB" w:rsidP="00FE00EB">
      <w:pPr>
        <w:rPr>
          <w:color w:val="000000" w:themeColor="text1"/>
        </w:rPr>
      </w:pPr>
      <w:r w:rsidRPr="0068751E">
        <w:rPr>
          <w:b/>
          <w:bCs/>
        </w:rPr>
        <w:lastRenderedPageBreak/>
        <w:t xml:space="preserve">Supplementary Figure </w:t>
      </w:r>
      <w:r w:rsidR="00052CD6">
        <w:rPr>
          <w:b/>
          <w:bCs/>
        </w:rPr>
        <w:t>2</w:t>
      </w:r>
      <w:r w:rsidR="00CB7C72">
        <w:rPr>
          <w:b/>
          <w:bCs/>
        </w:rPr>
        <w:t>a</w:t>
      </w:r>
      <w:r>
        <w:t xml:space="preserve">. Percentage of SCRA exposure cases by age range within each year </w:t>
      </w:r>
      <w:r w:rsidR="00750267">
        <w:t>of the study period</w:t>
      </w:r>
      <w:r>
        <w:rPr>
          <w:color w:val="000000" w:themeColor="text1"/>
        </w:rPr>
        <w:t xml:space="preserve">. </w:t>
      </w:r>
    </w:p>
    <w:p w14:paraId="78801236" w14:textId="4F88C592" w:rsidR="00FE00EB" w:rsidRDefault="00B60509" w:rsidP="00FE00EB">
      <w:r>
        <w:rPr>
          <w:noProof/>
          <w:lang w:val="en-US" w:eastAsia="en-US"/>
        </w:rPr>
        <w:drawing>
          <wp:anchor distT="0" distB="0" distL="114300" distR="114300" simplePos="0" relativeHeight="251680768" behindDoc="0" locked="0" layoutInCell="1" allowOverlap="1" wp14:anchorId="507DC090" wp14:editId="0E64F6E6">
            <wp:simplePos x="0" y="0"/>
            <wp:positionH relativeFrom="margin">
              <wp:posOffset>-111760</wp:posOffset>
            </wp:positionH>
            <wp:positionV relativeFrom="paragraph">
              <wp:posOffset>213995</wp:posOffset>
            </wp:positionV>
            <wp:extent cx="5891530" cy="3418840"/>
            <wp:effectExtent l="0" t="0" r="13970" b="0"/>
            <wp:wrapSquare wrapText="bothSides"/>
            <wp:docPr id="10" name="Chart 10">
              <a:extLst xmlns:a="http://schemas.openxmlformats.org/drawingml/2006/main">
                <a:ext uri="{FF2B5EF4-FFF2-40B4-BE49-F238E27FC236}">
                  <a16:creationId xmlns:a16="http://schemas.microsoft.com/office/drawing/2014/main" id="{7A8B3CD3-B518-48A4-A47C-1263621DAE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644793A8" w14:textId="3D8FAFF5" w:rsidR="00FE00EB" w:rsidRDefault="00FE00EB" w:rsidP="00FE00EB"/>
    <w:p w14:paraId="28F87F8E" w14:textId="4EEBB89C" w:rsidR="00FE00EB" w:rsidRDefault="00FE00EB" w:rsidP="00FE00EB"/>
    <w:p w14:paraId="2D76E66A" w14:textId="45175406" w:rsidR="00CB7C72" w:rsidRDefault="00CB7C72" w:rsidP="00FE00EB"/>
    <w:p w14:paraId="5C8C204E" w14:textId="61F2FFE5" w:rsidR="00FE00EB" w:rsidRDefault="00FE00EB" w:rsidP="00FE00EB">
      <w:pPr>
        <w:rPr>
          <w:color w:val="000000" w:themeColor="text1"/>
        </w:rPr>
      </w:pPr>
      <w:r w:rsidRPr="00304BB2">
        <w:rPr>
          <w:b/>
          <w:bCs/>
        </w:rPr>
        <w:t xml:space="preserve">Supplementary Figure </w:t>
      </w:r>
      <w:r w:rsidR="00CB7C72">
        <w:rPr>
          <w:b/>
          <w:bCs/>
        </w:rPr>
        <w:t>2b</w:t>
      </w:r>
      <w:r>
        <w:t xml:space="preserve">. Percentage of non-SCRA exposure cases by age range within each year </w:t>
      </w:r>
      <w:r w:rsidR="00750267">
        <w:t>of the study period</w:t>
      </w:r>
      <w:r>
        <w:rPr>
          <w:color w:val="000000" w:themeColor="text1"/>
        </w:rPr>
        <w:t xml:space="preserve">. </w:t>
      </w:r>
    </w:p>
    <w:p w14:paraId="06C0345E" w14:textId="557F6AFB" w:rsidR="00FE00EB" w:rsidRDefault="00B60509" w:rsidP="00FE00EB">
      <w:r>
        <w:rPr>
          <w:noProof/>
          <w:lang w:val="en-US" w:eastAsia="en-US"/>
        </w:rPr>
        <w:drawing>
          <wp:anchor distT="0" distB="0" distL="114300" distR="114300" simplePos="0" relativeHeight="251679744" behindDoc="0" locked="0" layoutInCell="1" allowOverlap="1" wp14:anchorId="419C9821" wp14:editId="4F378D70">
            <wp:simplePos x="0" y="0"/>
            <wp:positionH relativeFrom="margin">
              <wp:posOffset>-119380</wp:posOffset>
            </wp:positionH>
            <wp:positionV relativeFrom="paragraph">
              <wp:posOffset>300355</wp:posOffset>
            </wp:positionV>
            <wp:extent cx="5883910" cy="3259455"/>
            <wp:effectExtent l="0" t="0" r="2540" b="0"/>
            <wp:wrapSquare wrapText="bothSides"/>
            <wp:docPr id="9" name="Chart 9">
              <a:extLst xmlns:a="http://schemas.openxmlformats.org/drawingml/2006/main">
                <a:ext uri="{FF2B5EF4-FFF2-40B4-BE49-F238E27FC236}">
                  <a16:creationId xmlns:a16="http://schemas.microsoft.com/office/drawing/2014/main" id="{C67B40BD-8F2A-455F-9E18-DA13AB19DA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741C0A">
        <w:rPr>
          <w:noProof/>
          <w:lang w:val="en-US" w:eastAsia="en-US"/>
        </w:rPr>
        <mc:AlternateContent>
          <mc:Choice Requires="wps">
            <w:drawing>
              <wp:anchor distT="45720" distB="45720" distL="114300" distR="114300" simplePos="0" relativeHeight="251662336" behindDoc="0" locked="0" layoutInCell="1" allowOverlap="1" wp14:anchorId="16A5C06F" wp14:editId="75B1FDF1">
                <wp:simplePos x="0" y="0"/>
                <wp:positionH relativeFrom="column">
                  <wp:posOffset>4596848</wp:posOffset>
                </wp:positionH>
                <wp:positionV relativeFrom="paragraph">
                  <wp:posOffset>765230</wp:posOffset>
                </wp:positionV>
                <wp:extent cx="828675" cy="332740"/>
                <wp:effectExtent l="0" t="0" r="9525"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332740"/>
                        </a:xfrm>
                        <a:prstGeom prst="rect">
                          <a:avLst/>
                        </a:prstGeom>
                        <a:solidFill>
                          <a:srgbClr val="FFFFFF"/>
                        </a:solidFill>
                        <a:ln w="9525">
                          <a:noFill/>
                          <a:miter lim="800000"/>
                          <a:headEnd/>
                          <a:tailEnd/>
                        </a:ln>
                      </wps:spPr>
                      <wps:txbx>
                        <w:txbxContent>
                          <w:p w14:paraId="5494EED6" w14:textId="77777777" w:rsidR="00FE00EB" w:rsidRDefault="00FE00EB" w:rsidP="00FE00EB">
                            <w:r>
                              <w:t>Age range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6A5C06F" id="_x0000_t202" coordsize="21600,21600" o:spt="202" path="m,l,21600r21600,l21600,xe">
                <v:stroke joinstyle="miter"/>
                <v:path gradientshapeok="t" o:connecttype="rect"/>
              </v:shapetype>
              <v:shape id="_x0000_s1028" type="#_x0000_t202" style="position:absolute;margin-left:361.95pt;margin-top:60.25pt;width:65.25pt;height:26.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" stroked="f">
                <v:textbox>
                  <w:txbxContent>
                    <w:p w14:paraId="5494EED6" w14:textId="77777777" w:rsidR="00FE00EB" w:rsidRDefault="00FE00EB" w:rsidP="00FE00EB">
                      <w:r>
                        <w:t>Age range</w:t>
                      </w:r>
                    </w:p>
                  </w:txbxContent>
                </v:textbox>
                <w10:wrap type="square"/>
              </v:shape>
            </w:pict>
          </mc:Fallback>
        </mc:AlternateContent>
      </w:r>
    </w:p>
    <w:p w14:paraId="66F67C6A" w14:textId="2E4183BC" w:rsidR="00947E66" w:rsidRDefault="00947E66" w:rsidP="00CB2932">
      <w:pPr>
        <w:rPr>
          <w:b/>
          <w:bCs/>
        </w:rPr>
      </w:pPr>
    </w:p>
    <w:p w14:paraId="1F250B56" w14:textId="32012404" w:rsidR="009D0922" w:rsidRDefault="009D0922" w:rsidP="00CB2932">
      <w:pPr>
        <w:rPr>
          <w:b/>
          <w:bCs/>
        </w:rPr>
      </w:pPr>
    </w:p>
    <w:p w14:paraId="20E80C04" w14:textId="7B3A3DAB" w:rsidR="002516BF" w:rsidRPr="009D0922" w:rsidRDefault="002516BF" w:rsidP="002516BF">
      <w:pPr>
        <w:rPr>
          <w:color w:val="000000" w:themeColor="text1"/>
        </w:rPr>
      </w:pPr>
      <w:r w:rsidRPr="0068751E">
        <w:rPr>
          <w:b/>
          <w:bCs/>
        </w:rPr>
        <w:lastRenderedPageBreak/>
        <w:t xml:space="preserve">Supplementary Figure </w:t>
      </w:r>
      <w:r>
        <w:rPr>
          <w:b/>
          <w:bCs/>
        </w:rPr>
        <w:t>3</w:t>
      </w:r>
      <w:r>
        <w:t>. Total number of patients where SCRA exposure was reported or suspected and total number of patients where SCRA exposure was reported or suspected but not detected within each year of the study period.</w:t>
      </w:r>
    </w:p>
    <w:p w14:paraId="57CAC1D7" w14:textId="4384C978" w:rsidR="009D0922" w:rsidRDefault="00EA20A6" w:rsidP="00CB2932">
      <w:pPr>
        <w:rPr>
          <w:b/>
          <w:bCs/>
        </w:rPr>
      </w:pPr>
      <w:r>
        <w:rPr>
          <w:noProof/>
          <w:lang w:val="en-US" w:eastAsia="en-US"/>
        </w:rPr>
        <w:drawing>
          <wp:anchor distT="0" distB="0" distL="114300" distR="114300" simplePos="0" relativeHeight="251678720" behindDoc="0" locked="0" layoutInCell="1" allowOverlap="1" wp14:anchorId="187B4773" wp14:editId="2182088A">
            <wp:simplePos x="0" y="0"/>
            <wp:positionH relativeFrom="margin">
              <wp:align>left</wp:align>
            </wp:positionH>
            <wp:positionV relativeFrom="paragraph">
              <wp:posOffset>207645</wp:posOffset>
            </wp:positionV>
            <wp:extent cx="5838825" cy="3028950"/>
            <wp:effectExtent l="0" t="0" r="0" b="0"/>
            <wp:wrapSquare wrapText="bothSides"/>
            <wp:docPr id="8" name="Chart 8">
              <a:extLst xmlns:a="http://schemas.openxmlformats.org/drawingml/2006/main">
                <a:ext uri="{FF2B5EF4-FFF2-40B4-BE49-F238E27FC236}">
                  <a16:creationId xmlns:a16="http://schemas.microsoft.com/office/drawing/2014/main" id="{3658A07B-E8EF-4B1E-AF81-DD8A979D97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63E64051" w14:textId="2AAE554A" w:rsidR="009D0922" w:rsidRDefault="009D0922" w:rsidP="00CB2932">
      <w:pPr>
        <w:rPr>
          <w:b/>
          <w:bCs/>
        </w:rPr>
      </w:pPr>
    </w:p>
    <w:p w14:paraId="631702C9" w14:textId="52B3ECCE" w:rsidR="009D0922" w:rsidRDefault="009D0922" w:rsidP="00CB2932">
      <w:pPr>
        <w:rPr>
          <w:b/>
          <w:bCs/>
        </w:rPr>
      </w:pPr>
    </w:p>
    <w:p w14:paraId="53E46820" w14:textId="43610645" w:rsidR="009D0922" w:rsidRDefault="009D0922" w:rsidP="00CB2932">
      <w:pPr>
        <w:rPr>
          <w:b/>
          <w:bCs/>
        </w:rPr>
      </w:pPr>
    </w:p>
    <w:p w14:paraId="7C3A5CCE" w14:textId="53ADDC9B" w:rsidR="009D0922" w:rsidRDefault="009D0922" w:rsidP="00CB2932">
      <w:pPr>
        <w:rPr>
          <w:b/>
          <w:bCs/>
        </w:rPr>
      </w:pPr>
    </w:p>
    <w:p w14:paraId="4FF5001C" w14:textId="3974F66F" w:rsidR="009D0922" w:rsidRDefault="009D0922" w:rsidP="00CB2932">
      <w:pPr>
        <w:rPr>
          <w:b/>
          <w:bCs/>
        </w:rPr>
      </w:pPr>
    </w:p>
    <w:p w14:paraId="571EE600" w14:textId="6A67D5F0" w:rsidR="009D0922" w:rsidRDefault="009D0922" w:rsidP="00CB2932">
      <w:pPr>
        <w:rPr>
          <w:b/>
          <w:bCs/>
        </w:rPr>
      </w:pPr>
    </w:p>
    <w:p w14:paraId="2C8749B5" w14:textId="5C274CCB" w:rsidR="009D0922" w:rsidRDefault="009D0922" w:rsidP="00CB2932">
      <w:pPr>
        <w:rPr>
          <w:b/>
          <w:bCs/>
        </w:rPr>
      </w:pPr>
    </w:p>
    <w:p w14:paraId="6AB9F092" w14:textId="2A3F6983" w:rsidR="009D0922" w:rsidRDefault="009D0922" w:rsidP="00CB2932">
      <w:pPr>
        <w:rPr>
          <w:b/>
          <w:bCs/>
        </w:rPr>
      </w:pPr>
    </w:p>
    <w:p w14:paraId="5DBF9D6E" w14:textId="78CE99B4" w:rsidR="009D0922" w:rsidRDefault="009D0922" w:rsidP="00CB2932">
      <w:pPr>
        <w:rPr>
          <w:b/>
          <w:bCs/>
        </w:rPr>
      </w:pPr>
    </w:p>
    <w:p w14:paraId="28EB988F" w14:textId="03A7A6D9" w:rsidR="009D0922" w:rsidRDefault="009D0922" w:rsidP="00CB2932">
      <w:pPr>
        <w:rPr>
          <w:b/>
          <w:bCs/>
        </w:rPr>
      </w:pPr>
    </w:p>
    <w:p w14:paraId="51B8821C" w14:textId="7BAF29E6" w:rsidR="009D0922" w:rsidRDefault="009D0922" w:rsidP="00CB2932">
      <w:pPr>
        <w:rPr>
          <w:b/>
          <w:bCs/>
        </w:rPr>
      </w:pPr>
    </w:p>
    <w:p w14:paraId="09E7671A" w14:textId="10540379" w:rsidR="009D0922" w:rsidRDefault="009D0922" w:rsidP="00CB2932">
      <w:pPr>
        <w:rPr>
          <w:b/>
          <w:bCs/>
        </w:rPr>
      </w:pPr>
    </w:p>
    <w:p w14:paraId="021603F7" w14:textId="55D2ECD7" w:rsidR="009D0922" w:rsidRDefault="009D0922" w:rsidP="00CB2932">
      <w:pPr>
        <w:rPr>
          <w:b/>
          <w:bCs/>
        </w:rPr>
      </w:pPr>
    </w:p>
    <w:p w14:paraId="17D4CAE0" w14:textId="20DF37EB" w:rsidR="009D0922" w:rsidRDefault="009D0922" w:rsidP="00CB2932">
      <w:pPr>
        <w:rPr>
          <w:b/>
          <w:bCs/>
        </w:rPr>
      </w:pPr>
    </w:p>
    <w:p w14:paraId="2E710731" w14:textId="59256B25" w:rsidR="009D0922" w:rsidRDefault="009D0922" w:rsidP="00CB2932">
      <w:pPr>
        <w:rPr>
          <w:b/>
          <w:bCs/>
        </w:rPr>
      </w:pPr>
    </w:p>
    <w:p w14:paraId="0B8C4B2D" w14:textId="1F95E3D7" w:rsidR="009D0922" w:rsidRDefault="009D0922" w:rsidP="00CB2932">
      <w:pPr>
        <w:rPr>
          <w:b/>
          <w:bCs/>
        </w:rPr>
      </w:pPr>
    </w:p>
    <w:p w14:paraId="54528319" w14:textId="69C94C00" w:rsidR="009D0922" w:rsidRDefault="009D0922" w:rsidP="00CB2932">
      <w:pPr>
        <w:rPr>
          <w:b/>
          <w:bCs/>
        </w:rPr>
      </w:pPr>
    </w:p>
    <w:p w14:paraId="6A757DDB" w14:textId="7F105290" w:rsidR="009D0922" w:rsidRDefault="009D0922" w:rsidP="00CB2932">
      <w:pPr>
        <w:rPr>
          <w:b/>
          <w:bCs/>
        </w:rPr>
      </w:pPr>
    </w:p>
    <w:p w14:paraId="303C6D94" w14:textId="332F4D92" w:rsidR="009D0922" w:rsidRDefault="009D0922" w:rsidP="00CB2932">
      <w:pPr>
        <w:rPr>
          <w:b/>
          <w:bCs/>
        </w:rPr>
      </w:pPr>
    </w:p>
    <w:p w14:paraId="38BFA57E" w14:textId="5917E3F1" w:rsidR="009D0922" w:rsidRDefault="009D0922" w:rsidP="00CB2932">
      <w:pPr>
        <w:rPr>
          <w:b/>
          <w:bCs/>
        </w:rPr>
      </w:pPr>
    </w:p>
    <w:p w14:paraId="049078F5" w14:textId="7D3EAB4A" w:rsidR="009D0922" w:rsidRDefault="009D0922" w:rsidP="00CB2932">
      <w:pPr>
        <w:rPr>
          <w:b/>
          <w:bCs/>
        </w:rPr>
      </w:pPr>
    </w:p>
    <w:p w14:paraId="683E2633" w14:textId="3682D32E" w:rsidR="009D0922" w:rsidRDefault="009D0922" w:rsidP="00CB2932">
      <w:pPr>
        <w:rPr>
          <w:b/>
          <w:bCs/>
        </w:rPr>
      </w:pPr>
    </w:p>
    <w:p w14:paraId="53EC6ACB" w14:textId="71E99F68" w:rsidR="009D0922" w:rsidRDefault="009D0922" w:rsidP="00CB2932">
      <w:pPr>
        <w:rPr>
          <w:b/>
          <w:bCs/>
        </w:rPr>
      </w:pPr>
    </w:p>
    <w:p w14:paraId="2A953DC9" w14:textId="395C4753" w:rsidR="009D0922" w:rsidRDefault="009D0922" w:rsidP="00CB2932">
      <w:pPr>
        <w:rPr>
          <w:b/>
          <w:bCs/>
        </w:rPr>
      </w:pPr>
    </w:p>
    <w:p w14:paraId="24291FC8" w14:textId="5EBAFE2B" w:rsidR="009D0922" w:rsidRDefault="009D0922" w:rsidP="00CB2932">
      <w:pPr>
        <w:rPr>
          <w:b/>
          <w:bCs/>
        </w:rPr>
      </w:pPr>
    </w:p>
    <w:p w14:paraId="46B59249" w14:textId="079B86C9" w:rsidR="009D0922" w:rsidRDefault="009D0922" w:rsidP="00CB2932">
      <w:pPr>
        <w:rPr>
          <w:b/>
          <w:bCs/>
        </w:rPr>
      </w:pPr>
    </w:p>
    <w:p w14:paraId="37DF8216" w14:textId="77777777" w:rsidR="009D0922" w:rsidRDefault="009D0922" w:rsidP="00CB2932">
      <w:pPr>
        <w:rPr>
          <w:b/>
          <w:bCs/>
        </w:rPr>
      </w:pPr>
    </w:p>
    <w:p w14:paraId="054E69EA" w14:textId="68C5821F" w:rsidR="00CB2932" w:rsidRPr="0010657E" w:rsidRDefault="00652038" w:rsidP="00CB2932">
      <w:pPr>
        <w:rPr>
          <w:b/>
          <w:bCs/>
        </w:rPr>
      </w:pPr>
      <w:r>
        <w:rPr>
          <w:noProof/>
          <w:lang w:val="en-US" w:eastAsia="en-US"/>
        </w:rPr>
        <w:lastRenderedPageBreak/>
        <w:drawing>
          <wp:anchor distT="0" distB="0" distL="114300" distR="114300" simplePos="0" relativeHeight="251675648" behindDoc="0" locked="0" layoutInCell="1" allowOverlap="1" wp14:anchorId="332F675C" wp14:editId="03CD92B1">
            <wp:simplePos x="0" y="0"/>
            <wp:positionH relativeFrom="margin">
              <wp:align>center</wp:align>
            </wp:positionH>
            <wp:positionV relativeFrom="paragraph">
              <wp:posOffset>733425</wp:posOffset>
            </wp:positionV>
            <wp:extent cx="7381875" cy="3448050"/>
            <wp:effectExtent l="0" t="0" r="0" b="0"/>
            <wp:wrapSquare wrapText="bothSides"/>
            <wp:docPr id="1" name="Chart 1">
              <a:extLst xmlns:a="http://schemas.openxmlformats.org/drawingml/2006/main">
                <a:ext uri="{FF2B5EF4-FFF2-40B4-BE49-F238E27FC236}">
                  <a16:creationId xmlns:a16="http://schemas.microsoft.com/office/drawing/2014/main" id="{8123F281-AF64-4FC7-A094-B4945B7F7C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D078FC">
        <w:rPr>
          <w:b/>
          <w:bCs/>
        </w:rPr>
        <w:t xml:space="preserve">Supplementary </w:t>
      </w:r>
      <w:r w:rsidR="00CB2932" w:rsidRPr="0010657E">
        <w:rPr>
          <w:b/>
          <w:bCs/>
        </w:rPr>
        <w:t xml:space="preserve">Figure </w:t>
      </w:r>
      <w:r w:rsidR="009D0922">
        <w:rPr>
          <w:b/>
          <w:bCs/>
        </w:rPr>
        <w:t>4</w:t>
      </w:r>
      <w:r w:rsidR="00CB2932" w:rsidRPr="0010657E">
        <w:rPr>
          <w:b/>
          <w:bCs/>
        </w:rPr>
        <w:t xml:space="preserve">a. </w:t>
      </w:r>
      <w:r w:rsidR="00574242">
        <w:rPr>
          <w:b/>
          <w:bCs/>
        </w:rPr>
        <w:t>Observed</w:t>
      </w:r>
      <w:r w:rsidR="00CB2932" w:rsidRPr="0010657E">
        <w:rPr>
          <w:b/>
          <w:bCs/>
        </w:rPr>
        <w:t xml:space="preserve"> and predicted number of SCRA exposes cases within each mont</w:t>
      </w:r>
      <w:r w:rsidR="00CB2932">
        <w:rPr>
          <w:b/>
          <w:bCs/>
        </w:rPr>
        <w:t xml:space="preserve">h </w:t>
      </w:r>
      <w:r w:rsidR="00CB2932" w:rsidRPr="0010657E">
        <w:rPr>
          <w:b/>
          <w:bCs/>
        </w:rPr>
        <w:t xml:space="preserve">between July 2015 to December 2019 based on segmented Poisson regression estimating </w:t>
      </w:r>
      <w:r w:rsidR="0035601D">
        <w:rPr>
          <w:b/>
          <w:bCs/>
        </w:rPr>
        <w:t>trends before and after</w:t>
      </w:r>
      <w:r w:rsidR="00CB2932" w:rsidRPr="0010657E">
        <w:rPr>
          <w:b/>
          <w:bCs/>
        </w:rPr>
        <w:t xml:space="preserve"> </w:t>
      </w:r>
      <w:r w:rsidR="00D078FC">
        <w:rPr>
          <w:b/>
          <w:bCs/>
        </w:rPr>
        <w:t xml:space="preserve">the amendment to the MDA </w:t>
      </w:r>
      <w:r w:rsidR="00CB2932" w:rsidRPr="0010657E">
        <w:rPr>
          <w:b/>
          <w:bCs/>
        </w:rPr>
        <w:t>(see Table 1).</w:t>
      </w:r>
    </w:p>
    <w:p w14:paraId="7FAB2336" w14:textId="2ECA5A5F" w:rsidR="001336B6" w:rsidRDefault="001336B6"/>
    <w:p w14:paraId="37C76813" w14:textId="67E66E9D" w:rsidR="001336B6" w:rsidRDefault="001336B6"/>
    <w:p w14:paraId="249D3173" w14:textId="7DB5C6F9" w:rsidR="00EA20A6" w:rsidRDefault="00EA20A6" w:rsidP="005E4CFF">
      <w:pPr>
        <w:rPr>
          <w:b/>
          <w:bCs/>
        </w:rPr>
      </w:pPr>
      <w:r>
        <w:rPr>
          <w:noProof/>
          <w:lang w:val="en-US" w:eastAsia="en-US"/>
        </w:rPr>
        <w:drawing>
          <wp:anchor distT="0" distB="0" distL="114300" distR="114300" simplePos="0" relativeHeight="251676672" behindDoc="0" locked="0" layoutInCell="1" allowOverlap="1" wp14:anchorId="2F77FD26" wp14:editId="0395A200">
            <wp:simplePos x="0" y="0"/>
            <wp:positionH relativeFrom="page">
              <wp:align>right</wp:align>
            </wp:positionH>
            <wp:positionV relativeFrom="paragraph">
              <wp:posOffset>621030</wp:posOffset>
            </wp:positionV>
            <wp:extent cx="7305675" cy="3524250"/>
            <wp:effectExtent l="0" t="0" r="0" b="0"/>
            <wp:wrapSquare wrapText="bothSides"/>
            <wp:docPr id="6" name="Chart 6">
              <a:extLst xmlns:a="http://schemas.openxmlformats.org/drawingml/2006/main">
                <a:ext uri="{FF2B5EF4-FFF2-40B4-BE49-F238E27FC236}">
                  <a16:creationId xmlns:a16="http://schemas.microsoft.com/office/drawing/2014/main" id="{B63E37F3-F82A-4EA9-8B9F-F7F4B5F86F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B737BC">
        <w:rPr>
          <w:b/>
          <w:bCs/>
        </w:rPr>
        <w:t xml:space="preserve">Supplementary </w:t>
      </w:r>
      <w:r w:rsidR="00B737BC" w:rsidRPr="0010657E">
        <w:rPr>
          <w:b/>
          <w:bCs/>
        </w:rPr>
        <w:t xml:space="preserve">Figure </w:t>
      </w:r>
      <w:r w:rsidR="009D0922">
        <w:rPr>
          <w:b/>
          <w:bCs/>
        </w:rPr>
        <w:t>4</w:t>
      </w:r>
      <w:r w:rsidR="007D5BBD">
        <w:rPr>
          <w:b/>
          <w:bCs/>
        </w:rPr>
        <w:t>b</w:t>
      </w:r>
      <w:r w:rsidR="00B737BC" w:rsidRPr="0010657E">
        <w:rPr>
          <w:b/>
          <w:bCs/>
        </w:rPr>
        <w:t xml:space="preserve">. </w:t>
      </w:r>
      <w:r w:rsidR="00947E66">
        <w:rPr>
          <w:b/>
          <w:bCs/>
        </w:rPr>
        <w:t>Observed</w:t>
      </w:r>
      <w:r w:rsidR="00B737BC" w:rsidRPr="0010657E">
        <w:rPr>
          <w:b/>
          <w:bCs/>
        </w:rPr>
        <w:t xml:space="preserve"> and predicted number of </w:t>
      </w:r>
      <w:r w:rsidR="00B737BC">
        <w:rPr>
          <w:b/>
          <w:bCs/>
        </w:rPr>
        <w:t>non-</w:t>
      </w:r>
      <w:r w:rsidR="00B737BC" w:rsidRPr="0010657E">
        <w:rPr>
          <w:b/>
          <w:bCs/>
        </w:rPr>
        <w:t>SCRA exposes cases within each mont</w:t>
      </w:r>
      <w:r w:rsidR="00B737BC">
        <w:rPr>
          <w:b/>
          <w:bCs/>
        </w:rPr>
        <w:t xml:space="preserve">h </w:t>
      </w:r>
      <w:r w:rsidR="00B737BC" w:rsidRPr="0010657E">
        <w:rPr>
          <w:b/>
          <w:bCs/>
        </w:rPr>
        <w:t xml:space="preserve">between July 2015 to December 2019 based on segmented Poisson regression estimating </w:t>
      </w:r>
      <w:r>
        <w:rPr>
          <w:b/>
          <w:bCs/>
        </w:rPr>
        <w:t xml:space="preserve">trends </w:t>
      </w:r>
      <w:r w:rsidR="00DC5F55">
        <w:rPr>
          <w:b/>
          <w:bCs/>
        </w:rPr>
        <w:t>before and after</w:t>
      </w:r>
      <w:r w:rsidR="00B737BC" w:rsidRPr="0010657E">
        <w:rPr>
          <w:b/>
          <w:bCs/>
        </w:rPr>
        <w:t xml:space="preserve"> </w:t>
      </w:r>
      <w:r w:rsidR="00B737BC">
        <w:rPr>
          <w:b/>
          <w:bCs/>
        </w:rPr>
        <w:t xml:space="preserve">the amendment to the MDA </w:t>
      </w:r>
      <w:r w:rsidR="00B737BC" w:rsidRPr="0010657E">
        <w:rPr>
          <w:b/>
          <w:bCs/>
        </w:rPr>
        <w:t>(see Table 1)</w:t>
      </w:r>
    </w:p>
    <w:p w14:paraId="4FF1E92C" w14:textId="767D1283" w:rsidR="00BD1790" w:rsidRPr="00E83A1F" w:rsidRDefault="00836EB7" w:rsidP="00E83A1F">
      <w:pPr>
        <w:rPr>
          <w:b/>
          <w:bCs/>
        </w:rPr>
      </w:pPr>
      <w:r w:rsidRPr="0010657E">
        <w:rPr>
          <w:sz w:val="20"/>
          <w:szCs w:val="20"/>
        </w:rPr>
        <w:t xml:space="preserve">Note: Predicted number of cases </w:t>
      </w:r>
      <w:r>
        <w:rPr>
          <w:sz w:val="20"/>
          <w:szCs w:val="20"/>
        </w:rPr>
        <w:t>refer to fitted values</w:t>
      </w:r>
      <w:r w:rsidR="00952CD0">
        <w:rPr>
          <w:sz w:val="20"/>
          <w:szCs w:val="20"/>
        </w:rPr>
        <w:t xml:space="preserve"> (and 95% CI bands)</w:t>
      </w:r>
      <w:r>
        <w:rPr>
          <w:sz w:val="20"/>
          <w:szCs w:val="20"/>
        </w:rPr>
        <w:t xml:space="preserve"> of</w:t>
      </w:r>
      <w:r w:rsidRPr="0010657E">
        <w:rPr>
          <w:sz w:val="20"/>
          <w:szCs w:val="20"/>
        </w:rPr>
        <w:t xml:space="preserve"> the final segmented Poison regression model</w:t>
      </w:r>
      <w:r>
        <w:rPr>
          <w:sz w:val="20"/>
          <w:szCs w:val="20"/>
        </w:rPr>
        <w:t>s</w:t>
      </w:r>
      <w:r w:rsidRPr="0010657E">
        <w:rPr>
          <w:sz w:val="20"/>
          <w:szCs w:val="20"/>
        </w:rPr>
        <w:t xml:space="preserve"> </w:t>
      </w:r>
      <w:r>
        <w:rPr>
          <w:sz w:val="20"/>
          <w:szCs w:val="20"/>
        </w:rPr>
        <w:t>reported in Table 1 whilst the observed cases are the true number of hospital presentations across the study period.</w:t>
      </w:r>
    </w:p>
    <w:p w14:paraId="7D66D8A6" w14:textId="4DEE7456" w:rsidR="00F16BF7" w:rsidRDefault="001336B6" w:rsidP="00911646">
      <w:pPr>
        <w:ind w:left="-426" w:right="-613"/>
      </w:pPr>
      <w:r>
        <w:lastRenderedPageBreak/>
        <w:t xml:space="preserve">References </w:t>
      </w:r>
    </w:p>
    <w:p w14:paraId="2154B0AB" w14:textId="235C98B8" w:rsidR="00F16BF7" w:rsidRDefault="00F16BF7"/>
    <w:p w14:paraId="2DF898A9" w14:textId="77777777" w:rsidR="00E91AF6" w:rsidRPr="00E91AF6" w:rsidRDefault="00F16BF7" w:rsidP="00E91AF6">
      <w:pPr>
        <w:pStyle w:val="EndNoteBibliography"/>
        <w:ind w:left="720" w:hanging="720"/>
        <w:rPr>
          <w:noProof/>
        </w:rPr>
      </w:pPr>
      <w:r>
        <w:fldChar w:fldCharType="begin"/>
      </w:r>
      <w:r>
        <w:instrText xml:space="preserve"> ADDIN EN.REFLIST </w:instrText>
      </w:r>
      <w:r>
        <w:fldChar w:fldCharType="separate"/>
      </w:r>
      <w:r w:rsidR="00E91AF6" w:rsidRPr="00E91AF6">
        <w:rPr>
          <w:noProof/>
        </w:rPr>
        <w:t>1.</w:t>
      </w:r>
      <w:r w:rsidR="00E91AF6" w:rsidRPr="00E91AF6">
        <w:rPr>
          <w:noProof/>
        </w:rPr>
        <w:tab/>
      </w:r>
      <w:r w:rsidR="00E91AF6" w:rsidRPr="00E91AF6">
        <w:rPr>
          <w:smallCaps/>
          <w:noProof/>
        </w:rPr>
        <w:t>Hill S. L., Najafi J., Dunn M., Acheampong P., Kamour A., Grundlingh J.</w:t>
      </w:r>
      <w:r w:rsidR="00E91AF6" w:rsidRPr="00E91AF6">
        <w:rPr>
          <w:noProof/>
        </w:rPr>
        <w:t xml:space="preserve"> et al. Clinical toxicity following analytically confirmed use of the synthetic cannabinoid receptor agonist MDMB-CHMICA. A report from the Identification Of Novel psychoActive substances (IONA) study, Clinical Toxicology 2016: 54: 638-643.</w:t>
      </w:r>
    </w:p>
    <w:p w14:paraId="38E77CA1" w14:textId="77777777" w:rsidR="00E91AF6" w:rsidRPr="00E91AF6" w:rsidRDefault="00E91AF6" w:rsidP="00E91AF6">
      <w:pPr>
        <w:pStyle w:val="EndNoteBibliography"/>
        <w:ind w:left="720" w:hanging="720"/>
        <w:rPr>
          <w:noProof/>
        </w:rPr>
      </w:pPr>
      <w:r w:rsidRPr="00E91AF6">
        <w:rPr>
          <w:noProof/>
        </w:rPr>
        <w:t>2.</w:t>
      </w:r>
      <w:r w:rsidRPr="00E91AF6">
        <w:rPr>
          <w:noProof/>
        </w:rPr>
        <w:tab/>
      </w:r>
      <w:r w:rsidRPr="00E91AF6">
        <w:rPr>
          <w:smallCaps/>
          <w:noProof/>
        </w:rPr>
        <w:t>White J. C., Wood D. M., Hill S. L., Eddleston M., Officer J., Dargan P. I.</w:t>
      </w:r>
      <w:r w:rsidRPr="00E91AF6">
        <w:rPr>
          <w:noProof/>
        </w:rPr>
        <w:t xml:space="preserve"> et al. Acute toxicity following analytically confirmed use of the novel psychoactive substance (NPS) methiopropamine. A report from the Identification of Novel psychoActive substances (IONA) study, Clinical Toxicology 2019: 57: 663-667.</w:t>
      </w:r>
    </w:p>
    <w:p w14:paraId="42418A0D" w14:textId="77777777" w:rsidR="00E91AF6" w:rsidRPr="00E91AF6" w:rsidRDefault="00E91AF6" w:rsidP="00E91AF6">
      <w:pPr>
        <w:pStyle w:val="EndNoteBibliography"/>
        <w:ind w:left="720" w:hanging="720"/>
        <w:rPr>
          <w:noProof/>
        </w:rPr>
      </w:pPr>
      <w:r w:rsidRPr="00E91AF6">
        <w:rPr>
          <w:noProof/>
        </w:rPr>
        <w:t>3.</w:t>
      </w:r>
      <w:r w:rsidRPr="00E91AF6">
        <w:rPr>
          <w:noProof/>
        </w:rPr>
        <w:tab/>
      </w:r>
      <w:r w:rsidRPr="00E91AF6">
        <w:rPr>
          <w:smallCaps/>
          <w:noProof/>
        </w:rPr>
        <w:t>Waugh J., Najafi J., Hawkins L., Hill S. L., Eddleston M., Vale J. A.</w:t>
      </w:r>
      <w:r w:rsidRPr="00E91AF6">
        <w:rPr>
          <w:noProof/>
        </w:rPr>
        <w:t xml:space="preserve"> et al. Epidemiology and clinical features of toxicity following recreational use of synthetic cannabinoid receptor agonists: a report from the United Kingdom National Poisons Information Service, Clinical Toxicology 2016: 54: 512-518.</w:t>
      </w:r>
    </w:p>
    <w:p w14:paraId="43696D11" w14:textId="77777777" w:rsidR="00E91AF6" w:rsidRPr="00E91AF6" w:rsidRDefault="00E91AF6" w:rsidP="00E91AF6">
      <w:pPr>
        <w:pStyle w:val="EndNoteBibliography"/>
        <w:ind w:left="720" w:hanging="720"/>
        <w:rPr>
          <w:noProof/>
        </w:rPr>
      </w:pPr>
      <w:r w:rsidRPr="00E91AF6">
        <w:rPr>
          <w:noProof/>
        </w:rPr>
        <w:t>4.</w:t>
      </w:r>
      <w:r w:rsidRPr="00E91AF6">
        <w:rPr>
          <w:noProof/>
        </w:rPr>
        <w:tab/>
      </w:r>
      <w:r w:rsidRPr="00E91AF6">
        <w:rPr>
          <w:smallCaps/>
          <w:noProof/>
        </w:rPr>
        <w:t>European Monitoring Centre for Drugs and Drug Addiction</w:t>
      </w:r>
      <w:r w:rsidRPr="00E91AF6">
        <w:rPr>
          <w:noProof/>
        </w:rPr>
        <w:t>. New benzodiazepines in Europe – a review, Luxembourg: Publications Office of the European Union; 2021.</w:t>
      </w:r>
    </w:p>
    <w:p w14:paraId="44BAE7CE" w14:textId="77777777" w:rsidR="00E91AF6" w:rsidRPr="00E91AF6" w:rsidRDefault="00E91AF6" w:rsidP="00E91AF6">
      <w:pPr>
        <w:pStyle w:val="EndNoteBibliography"/>
        <w:ind w:left="720" w:hanging="720"/>
        <w:rPr>
          <w:noProof/>
        </w:rPr>
      </w:pPr>
      <w:r w:rsidRPr="00E91AF6">
        <w:rPr>
          <w:noProof/>
        </w:rPr>
        <w:t>5.</w:t>
      </w:r>
      <w:r w:rsidRPr="00E91AF6">
        <w:rPr>
          <w:noProof/>
        </w:rPr>
        <w:tab/>
      </w:r>
      <w:r w:rsidRPr="00E91AF6">
        <w:rPr>
          <w:smallCaps/>
          <w:noProof/>
        </w:rPr>
        <w:t>Hill S. L., Dunn M., Cano C., Harnor S. J., Hardcastle I. R., Grundlingh J.</w:t>
      </w:r>
      <w:r w:rsidRPr="00E91AF6">
        <w:rPr>
          <w:noProof/>
        </w:rPr>
        <w:t xml:space="preserve"> et al. Human Toxicity Caused by Indole and Indazole Carboxylate Synthetic Cannabinoid Receptor Agonists: From Horizon Scanning to Notification, Clinical Chemistry 2018: 64: 346-354.</w:t>
      </w:r>
    </w:p>
    <w:p w14:paraId="166E18F3" w14:textId="77777777" w:rsidR="00E91AF6" w:rsidRPr="00E91AF6" w:rsidRDefault="00E91AF6" w:rsidP="00E91AF6">
      <w:pPr>
        <w:pStyle w:val="EndNoteBibliography"/>
        <w:ind w:left="720" w:hanging="720"/>
        <w:rPr>
          <w:noProof/>
        </w:rPr>
      </w:pPr>
      <w:r w:rsidRPr="00E91AF6">
        <w:rPr>
          <w:noProof/>
        </w:rPr>
        <w:t>6.</w:t>
      </w:r>
      <w:r w:rsidRPr="00E91AF6">
        <w:rPr>
          <w:noProof/>
        </w:rPr>
        <w:tab/>
      </w:r>
      <w:r w:rsidRPr="00E91AF6">
        <w:rPr>
          <w:smallCaps/>
          <w:noProof/>
        </w:rPr>
        <w:t>Wagner A. K., Soumerai S. B., Zhang F., Ross-Degnan D.</w:t>
      </w:r>
      <w:r w:rsidRPr="00E91AF6">
        <w:rPr>
          <w:noProof/>
        </w:rPr>
        <w:t xml:space="preserve"> Segmented regression analysis of interrupted time series studies in medication use research, Journal of Clinical Pharmacy and Therapeutics 2002: 27: 299-309.</w:t>
      </w:r>
    </w:p>
    <w:p w14:paraId="6F798A8B" w14:textId="77777777" w:rsidR="00E91AF6" w:rsidRPr="00E91AF6" w:rsidRDefault="00E91AF6" w:rsidP="00E91AF6">
      <w:pPr>
        <w:pStyle w:val="EndNoteBibliography"/>
        <w:ind w:left="720" w:hanging="720"/>
        <w:rPr>
          <w:noProof/>
        </w:rPr>
      </w:pPr>
      <w:r w:rsidRPr="00E91AF6">
        <w:rPr>
          <w:noProof/>
        </w:rPr>
        <w:t>7.</w:t>
      </w:r>
      <w:r w:rsidRPr="00E91AF6">
        <w:rPr>
          <w:noProof/>
        </w:rPr>
        <w:tab/>
      </w:r>
      <w:r w:rsidRPr="00E91AF6">
        <w:rPr>
          <w:smallCaps/>
          <w:noProof/>
        </w:rPr>
        <w:t>Taljaard M., McKenzie J. E., Ramsay C. R., Grimshaw J. M.</w:t>
      </w:r>
      <w:r w:rsidRPr="00E91AF6">
        <w:rPr>
          <w:noProof/>
        </w:rPr>
        <w:t xml:space="preserve"> The use of segmented regression in analysing interrupted time series studies: an example in pre-hospital ambulance care, Implementation Science 2014: 9: 77.</w:t>
      </w:r>
    </w:p>
    <w:p w14:paraId="32A6694C" w14:textId="77777777" w:rsidR="00E91AF6" w:rsidRPr="00E91AF6" w:rsidRDefault="00E91AF6" w:rsidP="00E91AF6">
      <w:pPr>
        <w:pStyle w:val="EndNoteBibliography"/>
        <w:ind w:left="720" w:hanging="720"/>
        <w:rPr>
          <w:noProof/>
        </w:rPr>
      </w:pPr>
      <w:r w:rsidRPr="00E91AF6">
        <w:rPr>
          <w:noProof/>
        </w:rPr>
        <w:t>8.</w:t>
      </w:r>
      <w:r w:rsidRPr="00E91AF6">
        <w:rPr>
          <w:noProof/>
        </w:rPr>
        <w:tab/>
      </w:r>
      <w:r w:rsidRPr="00E91AF6">
        <w:rPr>
          <w:smallCaps/>
          <w:noProof/>
        </w:rPr>
        <w:t>Bernal J. L., Cummins S., Gasparrini A.</w:t>
      </w:r>
      <w:r w:rsidRPr="00E91AF6">
        <w:rPr>
          <w:noProof/>
        </w:rPr>
        <w:t xml:space="preserve"> Interrupted time series regression for the evaluation of public health interventions: a tutorial, International journal of epidemiology 2017: 46: 348-355.</w:t>
      </w:r>
    </w:p>
    <w:p w14:paraId="7948A96F" w14:textId="032A0514" w:rsidR="001336B6" w:rsidRDefault="00F16BF7">
      <w:r>
        <w:fldChar w:fldCharType="end"/>
      </w:r>
      <w:r w:rsidR="00E60281">
        <w:fldChar w:fldCharType="begin"/>
      </w:r>
      <w:r w:rsidR="00E60281">
        <w:instrText xml:space="preserve"> ADDIN </w:instrText>
      </w:r>
      <w:r w:rsidR="00E60281">
        <w:fldChar w:fldCharType="end"/>
      </w:r>
    </w:p>
    <w:sectPr w:rsidR="001336B6" w:rsidSect="00021F34">
      <w:footerReference w:type="even" r:id="rId18"/>
      <w:footerReference w:type="default" r:id="rId19"/>
      <w:pgSz w:w="11906" w:h="16838"/>
      <w:pgMar w:top="1440" w:right="1440" w:bottom="1134" w:left="1440" w:header="709" w:footer="709"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885A1" w14:textId="77777777" w:rsidR="00CD3BBF" w:rsidRDefault="00CD3BBF" w:rsidP="00063EA4">
      <w:r>
        <w:separator/>
      </w:r>
    </w:p>
    <w:p w14:paraId="757B2FE7" w14:textId="77777777" w:rsidR="00CD3BBF" w:rsidRDefault="00CD3BBF"/>
  </w:endnote>
  <w:endnote w:type="continuationSeparator" w:id="0">
    <w:p w14:paraId="494051D8" w14:textId="77777777" w:rsidR="00CD3BBF" w:rsidRDefault="00CD3BBF" w:rsidP="00063EA4">
      <w:r>
        <w:continuationSeparator/>
      </w:r>
    </w:p>
    <w:p w14:paraId="4390AA07" w14:textId="77777777" w:rsidR="00CD3BBF" w:rsidRDefault="00CD3BBF"/>
  </w:endnote>
  <w:endnote w:type="continuationNotice" w:id="1">
    <w:p w14:paraId="30B6BA04" w14:textId="77777777" w:rsidR="00CD3BBF" w:rsidRDefault="00CD3B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94453"/>
      <w:docPartObj>
        <w:docPartGallery w:val="Page Numbers (Bottom of Page)"/>
        <w:docPartUnique/>
      </w:docPartObj>
    </w:sdtPr>
    <w:sdtEndPr>
      <w:rPr>
        <w:noProof/>
      </w:rPr>
    </w:sdtEndPr>
    <w:sdtContent>
      <w:p w14:paraId="20AE1DF8" w14:textId="1FE07724" w:rsidR="00B330F3" w:rsidRDefault="00B330F3">
        <w:pPr>
          <w:pStyle w:val="Footer"/>
        </w:pPr>
        <w:r>
          <w:fldChar w:fldCharType="begin"/>
        </w:r>
        <w:r>
          <w:instrText xml:space="preserve"> PAGE   \* MERGEFORMAT </w:instrText>
        </w:r>
        <w:r>
          <w:fldChar w:fldCharType="separate"/>
        </w:r>
        <w:r w:rsidR="00533AF1">
          <w:rPr>
            <w:noProof/>
          </w:rPr>
          <w:t>3</w:t>
        </w:r>
        <w:r>
          <w:rPr>
            <w:noProof/>
          </w:rPr>
          <w:fldChar w:fldCharType="end"/>
        </w:r>
      </w:p>
    </w:sdtContent>
  </w:sdt>
  <w:p w14:paraId="52C08849" w14:textId="77777777" w:rsidR="00B330F3" w:rsidRDefault="00B330F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39341371"/>
      <w:docPartObj>
        <w:docPartGallery w:val="Page Numbers (Bottom of Page)"/>
        <w:docPartUnique/>
      </w:docPartObj>
    </w:sdtPr>
    <w:sdtEndPr>
      <w:rPr>
        <w:rStyle w:val="PageNumber"/>
      </w:rPr>
    </w:sdtEndPr>
    <w:sdtContent>
      <w:p w14:paraId="5D96676E" w14:textId="2FE36F81" w:rsidR="007E45CB" w:rsidRDefault="007E45CB" w:rsidP="005132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861A2" w14:textId="77777777" w:rsidR="007E45CB" w:rsidRDefault="007E45CB" w:rsidP="00E83A1F">
    <w:pPr>
      <w:pStyle w:val="Footer"/>
      <w:ind w:right="360"/>
    </w:pPr>
  </w:p>
  <w:p w14:paraId="7721988F" w14:textId="77777777" w:rsidR="00C0148A" w:rsidRDefault="00C0148A"/>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957910729"/>
      <w:docPartObj>
        <w:docPartGallery w:val="Page Numbers (Bottom of Page)"/>
        <w:docPartUnique/>
      </w:docPartObj>
    </w:sdtPr>
    <w:sdtEndPr>
      <w:rPr>
        <w:rStyle w:val="PageNumber"/>
      </w:rPr>
    </w:sdtEndPr>
    <w:sdtContent>
      <w:p w14:paraId="38BA0C16" w14:textId="6D02A691" w:rsidR="007E45CB" w:rsidRDefault="007E45CB" w:rsidP="005132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33AF1">
          <w:rPr>
            <w:rStyle w:val="PageNumber"/>
            <w:noProof/>
          </w:rPr>
          <w:t>9</w:t>
        </w:r>
        <w:r>
          <w:rPr>
            <w:rStyle w:val="PageNumber"/>
          </w:rPr>
          <w:fldChar w:fldCharType="end"/>
        </w:r>
      </w:p>
    </w:sdtContent>
  </w:sdt>
  <w:p w14:paraId="7D86D583" w14:textId="77777777" w:rsidR="007E45CB" w:rsidRDefault="007E45CB" w:rsidP="00E83A1F">
    <w:pPr>
      <w:pStyle w:val="Footer"/>
      <w:ind w:right="360"/>
    </w:pPr>
  </w:p>
  <w:p w14:paraId="25CEC748" w14:textId="77777777" w:rsidR="00C0148A" w:rsidRDefault="00C0148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681F2" w14:textId="77777777" w:rsidR="00CD3BBF" w:rsidRDefault="00CD3BBF" w:rsidP="00063EA4">
      <w:r>
        <w:separator/>
      </w:r>
    </w:p>
    <w:p w14:paraId="3D340518" w14:textId="77777777" w:rsidR="00CD3BBF" w:rsidRDefault="00CD3BBF"/>
  </w:footnote>
  <w:footnote w:type="continuationSeparator" w:id="0">
    <w:p w14:paraId="10B90053" w14:textId="77777777" w:rsidR="00CD3BBF" w:rsidRDefault="00CD3BBF" w:rsidP="00063EA4">
      <w:r>
        <w:continuationSeparator/>
      </w:r>
    </w:p>
    <w:p w14:paraId="244E255A" w14:textId="77777777" w:rsidR="00CD3BBF" w:rsidRDefault="00CD3BBF"/>
  </w:footnote>
  <w:footnote w:type="continuationNotice" w:id="1">
    <w:p w14:paraId="29EEE6C5" w14:textId="77777777" w:rsidR="00CD3BBF" w:rsidRDefault="00CD3BB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09C9F" w14:textId="77777777" w:rsidR="00EA20A6" w:rsidRDefault="00EA20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ddic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Total_Editing_Time" w:val="41"/>
  </w:docVars>
  <w:rsids>
    <w:rsidRoot w:val="00F3410E"/>
    <w:rsid w:val="00001CD1"/>
    <w:rsid w:val="00005E62"/>
    <w:rsid w:val="00012D9A"/>
    <w:rsid w:val="000178D9"/>
    <w:rsid w:val="0002093F"/>
    <w:rsid w:val="00021F34"/>
    <w:rsid w:val="00024197"/>
    <w:rsid w:val="000253F7"/>
    <w:rsid w:val="0002683B"/>
    <w:rsid w:val="00037E38"/>
    <w:rsid w:val="000401AB"/>
    <w:rsid w:val="00040E4E"/>
    <w:rsid w:val="00040FD0"/>
    <w:rsid w:val="0004526E"/>
    <w:rsid w:val="00050D5D"/>
    <w:rsid w:val="00052CD6"/>
    <w:rsid w:val="00063EA4"/>
    <w:rsid w:val="00091194"/>
    <w:rsid w:val="00092588"/>
    <w:rsid w:val="00095B0A"/>
    <w:rsid w:val="000C0ED8"/>
    <w:rsid w:val="000C7598"/>
    <w:rsid w:val="000D21CD"/>
    <w:rsid w:val="000D5DA9"/>
    <w:rsid w:val="000E0CE7"/>
    <w:rsid w:val="000E3162"/>
    <w:rsid w:val="000F0082"/>
    <w:rsid w:val="00110DDE"/>
    <w:rsid w:val="0012457F"/>
    <w:rsid w:val="00127A9F"/>
    <w:rsid w:val="00132C25"/>
    <w:rsid w:val="001336B6"/>
    <w:rsid w:val="00134AF3"/>
    <w:rsid w:val="001441AD"/>
    <w:rsid w:val="00147A40"/>
    <w:rsid w:val="00177E57"/>
    <w:rsid w:val="0019606A"/>
    <w:rsid w:val="001A0175"/>
    <w:rsid w:val="001A2527"/>
    <w:rsid w:val="001B05EA"/>
    <w:rsid w:val="001C2BD7"/>
    <w:rsid w:val="001C3F4E"/>
    <w:rsid w:val="001E3649"/>
    <w:rsid w:val="001F46F5"/>
    <w:rsid w:val="00201595"/>
    <w:rsid w:val="00201FBF"/>
    <w:rsid w:val="00204C6E"/>
    <w:rsid w:val="002127E7"/>
    <w:rsid w:val="0022439D"/>
    <w:rsid w:val="00232749"/>
    <w:rsid w:val="00233832"/>
    <w:rsid w:val="00240830"/>
    <w:rsid w:val="00240923"/>
    <w:rsid w:val="00243719"/>
    <w:rsid w:val="0025044D"/>
    <w:rsid w:val="002516BF"/>
    <w:rsid w:val="00254415"/>
    <w:rsid w:val="00255E85"/>
    <w:rsid w:val="002629FA"/>
    <w:rsid w:val="00270A0F"/>
    <w:rsid w:val="002812A6"/>
    <w:rsid w:val="00284078"/>
    <w:rsid w:val="0028786C"/>
    <w:rsid w:val="00290AAA"/>
    <w:rsid w:val="002B06A0"/>
    <w:rsid w:val="002B3FF3"/>
    <w:rsid w:val="002B774A"/>
    <w:rsid w:val="002D0147"/>
    <w:rsid w:val="002D298A"/>
    <w:rsid w:val="002D571C"/>
    <w:rsid w:val="002D5D5E"/>
    <w:rsid w:val="002E1D42"/>
    <w:rsid w:val="002E5ACD"/>
    <w:rsid w:val="002F72DD"/>
    <w:rsid w:val="003144CD"/>
    <w:rsid w:val="0031549F"/>
    <w:rsid w:val="00334C70"/>
    <w:rsid w:val="00340F85"/>
    <w:rsid w:val="003474D8"/>
    <w:rsid w:val="003503A9"/>
    <w:rsid w:val="0035601D"/>
    <w:rsid w:val="0036038A"/>
    <w:rsid w:val="00361841"/>
    <w:rsid w:val="00373CFB"/>
    <w:rsid w:val="003759FC"/>
    <w:rsid w:val="003775C3"/>
    <w:rsid w:val="003834E1"/>
    <w:rsid w:val="003934EA"/>
    <w:rsid w:val="003A0F31"/>
    <w:rsid w:val="003A769E"/>
    <w:rsid w:val="003B5287"/>
    <w:rsid w:val="003C2EAE"/>
    <w:rsid w:val="003C5134"/>
    <w:rsid w:val="003D1FD0"/>
    <w:rsid w:val="003E0BEE"/>
    <w:rsid w:val="003E5D25"/>
    <w:rsid w:val="003F32BB"/>
    <w:rsid w:val="003F491D"/>
    <w:rsid w:val="00400BF5"/>
    <w:rsid w:val="00413FF4"/>
    <w:rsid w:val="00436607"/>
    <w:rsid w:val="00440AC8"/>
    <w:rsid w:val="00453E2B"/>
    <w:rsid w:val="004635D0"/>
    <w:rsid w:val="004750E2"/>
    <w:rsid w:val="0048407B"/>
    <w:rsid w:val="0048667A"/>
    <w:rsid w:val="004A0B2E"/>
    <w:rsid w:val="004D2639"/>
    <w:rsid w:val="004D2831"/>
    <w:rsid w:val="004E18EF"/>
    <w:rsid w:val="004E3755"/>
    <w:rsid w:val="004F6DC4"/>
    <w:rsid w:val="004F6FC4"/>
    <w:rsid w:val="005032E4"/>
    <w:rsid w:val="00510A3B"/>
    <w:rsid w:val="00515360"/>
    <w:rsid w:val="005215E6"/>
    <w:rsid w:val="005250A2"/>
    <w:rsid w:val="00533AF1"/>
    <w:rsid w:val="00550800"/>
    <w:rsid w:val="00562BF1"/>
    <w:rsid w:val="005645A1"/>
    <w:rsid w:val="00564DDC"/>
    <w:rsid w:val="00574242"/>
    <w:rsid w:val="00574747"/>
    <w:rsid w:val="00581DD7"/>
    <w:rsid w:val="00586B83"/>
    <w:rsid w:val="00587336"/>
    <w:rsid w:val="00592832"/>
    <w:rsid w:val="00597C49"/>
    <w:rsid w:val="005A491A"/>
    <w:rsid w:val="005A569C"/>
    <w:rsid w:val="005A75C9"/>
    <w:rsid w:val="005B223F"/>
    <w:rsid w:val="005C2F84"/>
    <w:rsid w:val="005C3FF7"/>
    <w:rsid w:val="005D279E"/>
    <w:rsid w:val="005E0779"/>
    <w:rsid w:val="005E1514"/>
    <w:rsid w:val="005E4CFF"/>
    <w:rsid w:val="0061073B"/>
    <w:rsid w:val="0062111E"/>
    <w:rsid w:val="006404D1"/>
    <w:rsid w:val="00646CDC"/>
    <w:rsid w:val="00651E51"/>
    <w:rsid w:val="00652038"/>
    <w:rsid w:val="0065351E"/>
    <w:rsid w:val="00663DB4"/>
    <w:rsid w:val="006648CA"/>
    <w:rsid w:val="00664FB6"/>
    <w:rsid w:val="00671385"/>
    <w:rsid w:val="00672051"/>
    <w:rsid w:val="00685D83"/>
    <w:rsid w:val="0069081D"/>
    <w:rsid w:val="0069145A"/>
    <w:rsid w:val="00691F71"/>
    <w:rsid w:val="00692A18"/>
    <w:rsid w:val="006932D7"/>
    <w:rsid w:val="006941B4"/>
    <w:rsid w:val="006944C3"/>
    <w:rsid w:val="006A02D9"/>
    <w:rsid w:val="006A20A3"/>
    <w:rsid w:val="006A3744"/>
    <w:rsid w:val="006B364D"/>
    <w:rsid w:val="006B6B8E"/>
    <w:rsid w:val="006D2F32"/>
    <w:rsid w:val="006E2D87"/>
    <w:rsid w:val="00700813"/>
    <w:rsid w:val="00704DA3"/>
    <w:rsid w:val="007115D1"/>
    <w:rsid w:val="00720669"/>
    <w:rsid w:val="00731DA8"/>
    <w:rsid w:val="00732969"/>
    <w:rsid w:val="00741C0A"/>
    <w:rsid w:val="00750267"/>
    <w:rsid w:val="00751FAF"/>
    <w:rsid w:val="00764E2B"/>
    <w:rsid w:val="00783DC8"/>
    <w:rsid w:val="00794375"/>
    <w:rsid w:val="007944C5"/>
    <w:rsid w:val="007958BE"/>
    <w:rsid w:val="007B1A7C"/>
    <w:rsid w:val="007C4F4D"/>
    <w:rsid w:val="007C6FB5"/>
    <w:rsid w:val="007D40E7"/>
    <w:rsid w:val="007D5BBD"/>
    <w:rsid w:val="007E39D1"/>
    <w:rsid w:val="007E45CB"/>
    <w:rsid w:val="007E74E2"/>
    <w:rsid w:val="0080103D"/>
    <w:rsid w:val="0080586D"/>
    <w:rsid w:val="008114F8"/>
    <w:rsid w:val="00811AE3"/>
    <w:rsid w:val="00813EB5"/>
    <w:rsid w:val="008319F5"/>
    <w:rsid w:val="00836EB7"/>
    <w:rsid w:val="00842DD8"/>
    <w:rsid w:val="008431C3"/>
    <w:rsid w:val="00846FAD"/>
    <w:rsid w:val="0085270F"/>
    <w:rsid w:val="00852782"/>
    <w:rsid w:val="008600F7"/>
    <w:rsid w:val="00862DED"/>
    <w:rsid w:val="00863101"/>
    <w:rsid w:val="00876B17"/>
    <w:rsid w:val="008906B7"/>
    <w:rsid w:val="008A6173"/>
    <w:rsid w:val="008B128D"/>
    <w:rsid w:val="008B4FFB"/>
    <w:rsid w:val="008C2267"/>
    <w:rsid w:val="008C5AF6"/>
    <w:rsid w:val="008E24A1"/>
    <w:rsid w:val="008E3675"/>
    <w:rsid w:val="008E775B"/>
    <w:rsid w:val="00904C49"/>
    <w:rsid w:val="00904CD4"/>
    <w:rsid w:val="00911646"/>
    <w:rsid w:val="00916C83"/>
    <w:rsid w:val="009272D0"/>
    <w:rsid w:val="00947E66"/>
    <w:rsid w:val="00951A7B"/>
    <w:rsid w:val="00952CD0"/>
    <w:rsid w:val="00957E87"/>
    <w:rsid w:val="009751AF"/>
    <w:rsid w:val="00983B43"/>
    <w:rsid w:val="00984A8D"/>
    <w:rsid w:val="009938C8"/>
    <w:rsid w:val="00997945"/>
    <w:rsid w:val="009A0019"/>
    <w:rsid w:val="009A0BF5"/>
    <w:rsid w:val="009A0CD2"/>
    <w:rsid w:val="009B648B"/>
    <w:rsid w:val="009C1FFF"/>
    <w:rsid w:val="009C32E5"/>
    <w:rsid w:val="009C3A27"/>
    <w:rsid w:val="009D0922"/>
    <w:rsid w:val="009E248C"/>
    <w:rsid w:val="009E4CF2"/>
    <w:rsid w:val="009F3DB9"/>
    <w:rsid w:val="009F471F"/>
    <w:rsid w:val="009F4800"/>
    <w:rsid w:val="00A0361F"/>
    <w:rsid w:val="00A11AA6"/>
    <w:rsid w:val="00A26C9E"/>
    <w:rsid w:val="00A3020D"/>
    <w:rsid w:val="00A36B22"/>
    <w:rsid w:val="00A457B9"/>
    <w:rsid w:val="00A464DA"/>
    <w:rsid w:val="00A7041C"/>
    <w:rsid w:val="00A75370"/>
    <w:rsid w:val="00A91510"/>
    <w:rsid w:val="00A9367F"/>
    <w:rsid w:val="00A9532B"/>
    <w:rsid w:val="00A9566C"/>
    <w:rsid w:val="00AB0B70"/>
    <w:rsid w:val="00AB40A3"/>
    <w:rsid w:val="00AC2325"/>
    <w:rsid w:val="00AC2AD3"/>
    <w:rsid w:val="00AD5876"/>
    <w:rsid w:val="00AD6464"/>
    <w:rsid w:val="00AE2A1C"/>
    <w:rsid w:val="00AE3F88"/>
    <w:rsid w:val="00AE7FAA"/>
    <w:rsid w:val="00AF5485"/>
    <w:rsid w:val="00B02EC1"/>
    <w:rsid w:val="00B113E9"/>
    <w:rsid w:val="00B17ED0"/>
    <w:rsid w:val="00B330F3"/>
    <w:rsid w:val="00B429D8"/>
    <w:rsid w:val="00B43C43"/>
    <w:rsid w:val="00B502BA"/>
    <w:rsid w:val="00B55C72"/>
    <w:rsid w:val="00B60509"/>
    <w:rsid w:val="00B62BF4"/>
    <w:rsid w:val="00B64718"/>
    <w:rsid w:val="00B67904"/>
    <w:rsid w:val="00B737BC"/>
    <w:rsid w:val="00B83FEE"/>
    <w:rsid w:val="00B906E5"/>
    <w:rsid w:val="00B910F9"/>
    <w:rsid w:val="00BA4A1C"/>
    <w:rsid w:val="00BA4FEA"/>
    <w:rsid w:val="00BA6D0C"/>
    <w:rsid w:val="00BC55FA"/>
    <w:rsid w:val="00BD1790"/>
    <w:rsid w:val="00BE0A1F"/>
    <w:rsid w:val="00BE29AC"/>
    <w:rsid w:val="00BF3830"/>
    <w:rsid w:val="00C0148A"/>
    <w:rsid w:val="00C51EBF"/>
    <w:rsid w:val="00C53A71"/>
    <w:rsid w:val="00C65E02"/>
    <w:rsid w:val="00C71162"/>
    <w:rsid w:val="00C84BB4"/>
    <w:rsid w:val="00C91223"/>
    <w:rsid w:val="00C937A9"/>
    <w:rsid w:val="00C950C2"/>
    <w:rsid w:val="00C97180"/>
    <w:rsid w:val="00CA600A"/>
    <w:rsid w:val="00CB2932"/>
    <w:rsid w:val="00CB7C72"/>
    <w:rsid w:val="00CD3005"/>
    <w:rsid w:val="00CD309C"/>
    <w:rsid w:val="00CD3BBF"/>
    <w:rsid w:val="00CE051E"/>
    <w:rsid w:val="00CF1749"/>
    <w:rsid w:val="00CF5387"/>
    <w:rsid w:val="00D017EB"/>
    <w:rsid w:val="00D078FC"/>
    <w:rsid w:val="00D15017"/>
    <w:rsid w:val="00D176F2"/>
    <w:rsid w:val="00D20944"/>
    <w:rsid w:val="00D33107"/>
    <w:rsid w:val="00D46BD1"/>
    <w:rsid w:val="00D7646D"/>
    <w:rsid w:val="00D813E9"/>
    <w:rsid w:val="00D8465F"/>
    <w:rsid w:val="00D961C9"/>
    <w:rsid w:val="00D96E20"/>
    <w:rsid w:val="00DB49EC"/>
    <w:rsid w:val="00DB5903"/>
    <w:rsid w:val="00DC5F55"/>
    <w:rsid w:val="00DD4224"/>
    <w:rsid w:val="00DD48D5"/>
    <w:rsid w:val="00DF4AFF"/>
    <w:rsid w:val="00E06ABC"/>
    <w:rsid w:val="00E07222"/>
    <w:rsid w:val="00E14337"/>
    <w:rsid w:val="00E156F3"/>
    <w:rsid w:val="00E367B0"/>
    <w:rsid w:val="00E41028"/>
    <w:rsid w:val="00E463D9"/>
    <w:rsid w:val="00E60281"/>
    <w:rsid w:val="00E64B28"/>
    <w:rsid w:val="00E657EF"/>
    <w:rsid w:val="00E83A1F"/>
    <w:rsid w:val="00E85E88"/>
    <w:rsid w:val="00E862C7"/>
    <w:rsid w:val="00E91AF6"/>
    <w:rsid w:val="00E92E29"/>
    <w:rsid w:val="00E938E5"/>
    <w:rsid w:val="00EA20A6"/>
    <w:rsid w:val="00EA7039"/>
    <w:rsid w:val="00EA7B4A"/>
    <w:rsid w:val="00EC6359"/>
    <w:rsid w:val="00ED6034"/>
    <w:rsid w:val="00EF5B48"/>
    <w:rsid w:val="00EF6906"/>
    <w:rsid w:val="00EF692C"/>
    <w:rsid w:val="00EF6ADE"/>
    <w:rsid w:val="00EF7188"/>
    <w:rsid w:val="00F03DF7"/>
    <w:rsid w:val="00F16BF7"/>
    <w:rsid w:val="00F215F2"/>
    <w:rsid w:val="00F2654D"/>
    <w:rsid w:val="00F3410E"/>
    <w:rsid w:val="00F46644"/>
    <w:rsid w:val="00F54A22"/>
    <w:rsid w:val="00F55EC2"/>
    <w:rsid w:val="00F56E21"/>
    <w:rsid w:val="00F65A50"/>
    <w:rsid w:val="00F754D9"/>
    <w:rsid w:val="00F75A45"/>
    <w:rsid w:val="00F76E6E"/>
    <w:rsid w:val="00F9157F"/>
    <w:rsid w:val="00FA0274"/>
    <w:rsid w:val="00FB561D"/>
    <w:rsid w:val="00FC3EF4"/>
    <w:rsid w:val="00FD739C"/>
    <w:rsid w:val="00FD7506"/>
    <w:rsid w:val="00FE00EB"/>
    <w:rsid w:val="00FE0C50"/>
    <w:rsid w:val="00FE146F"/>
    <w:rsid w:val="00FF147D"/>
    <w:rsid w:val="00FF1BF2"/>
    <w:rsid w:val="00FF2CBB"/>
    <w:rsid w:val="00FF7D6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DA228A"/>
  <w15:chartTrackingRefBased/>
  <w15:docId w15:val="{D6D2592F-3875-4352-B23C-B6FE3B8FF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10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F16BF7"/>
    <w:pPr>
      <w:jc w:val="center"/>
    </w:pPr>
  </w:style>
  <w:style w:type="character" w:customStyle="1" w:styleId="EndNoteBibliographyTitleChar">
    <w:name w:val="EndNote Bibliography Title Char"/>
    <w:basedOn w:val="DefaultParagraphFont"/>
    <w:link w:val="EndNoteBibliographyTitle"/>
    <w:rsid w:val="00F16BF7"/>
    <w:rPr>
      <w:rFonts w:ascii="Times New Roman" w:eastAsia="Times New Roman" w:hAnsi="Times New Roman" w:cs="Times New Roman"/>
      <w:sz w:val="24"/>
      <w:szCs w:val="24"/>
      <w:lang w:eastAsia="en-GB"/>
    </w:rPr>
  </w:style>
  <w:style w:type="paragraph" w:customStyle="1" w:styleId="EndNoteBibliography">
    <w:name w:val="EndNote Bibliography"/>
    <w:basedOn w:val="Normal"/>
    <w:link w:val="EndNoteBibliographyChar"/>
    <w:rsid w:val="00F16BF7"/>
  </w:style>
  <w:style w:type="character" w:customStyle="1" w:styleId="EndNoteBibliographyChar">
    <w:name w:val="EndNote Bibliography Char"/>
    <w:basedOn w:val="DefaultParagraphFont"/>
    <w:link w:val="EndNoteBibliography"/>
    <w:rsid w:val="00F16BF7"/>
    <w:rPr>
      <w:rFonts w:ascii="Times New Roman" w:eastAsia="Times New Roman" w:hAnsi="Times New Roman" w:cs="Times New Roman"/>
      <w:sz w:val="24"/>
      <w:szCs w:val="24"/>
      <w:lang w:eastAsia="en-GB"/>
    </w:rPr>
  </w:style>
  <w:style w:type="paragraph" w:styleId="Revision">
    <w:name w:val="Revision"/>
    <w:hidden/>
    <w:uiPriority w:val="99"/>
    <w:semiHidden/>
    <w:rsid w:val="00B910F9"/>
    <w:pPr>
      <w:spacing w:after="0" w:line="240" w:lineRule="auto"/>
    </w:pPr>
    <w:rPr>
      <w:rFonts w:ascii="Times New Roman" w:eastAsia="Times New Roman" w:hAnsi="Times New Roman" w:cs="Times New Roman"/>
      <w:sz w:val="24"/>
      <w:szCs w:val="24"/>
      <w:lang w:eastAsia="en-GB"/>
    </w:rPr>
  </w:style>
  <w:style w:type="character" w:styleId="LineNumber">
    <w:name w:val="line number"/>
    <w:basedOn w:val="DefaultParagraphFont"/>
    <w:uiPriority w:val="99"/>
    <w:semiHidden/>
    <w:unhideWhenUsed/>
    <w:rsid w:val="00B910F9"/>
  </w:style>
  <w:style w:type="paragraph" w:styleId="Footer">
    <w:name w:val="footer"/>
    <w:basedOn w:val="Normal"/>
    <w:link w:val="FooterChar"/>
    <w:uiPriority w:val="99"/>
    <w:unhideWhenUsed/>
    <w:rsid w:val="007E45CB"/>
    <w:pPr>
      <w:tabs>
        <w:tab w:val="center" w:pos="4513"/>
        <w:tab w:val="right" w:pos="9026"/>
      </w:tabs>
    </w:pPr>
  </w:style>
  <w:style w:type="character" w:customStyle="1" w:styleId="FooterChar">
    <w:name w:val="Footer Char"/>
    <w:basedOn w:val="DefaultParagraphFont"/>
    <w:link w:val="Footer"/>
    <w:uiPriority w:val="99"/>
    <w:rsid w:val="007E45CB"/>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7E45CB"/>
  </w:style>
  <w:style w:type="table" w:styleId="TableGrid">
    <w:name w:val="Table Grid"/>
    <w:basedOn w:val="TableNormal"/>
    <w:uiPriority w:val="39"/>
    <w:rsid w:val="005E1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3649"/>
    <w:rPr>
      <w:sz w:val="16"/>
      <w:szCs w:val="16"/>
    </w:rPr>
  </w:style>
  <w:style w:type="paragraph" w:styleId="CommentText">
    <w:name w:val="annotation text"/>
    <w:basedOn w:val="Normal"/>
    <w:link w:val="CommentTextChar"/>
    <w:uiPriority w:val="99"/>
    <w:semiHidden/>
    <w:unhideWhenUsed/>
    <w:rsid w:val="001E3649"/>
    <w:rPr>
      <w:sz w:val="20"/>
      <w:szCs w:val="20"/>
    </w:rPr>
  </w:style>
  <w:style w:type="character" w:customStyle="1" w:styleId="CommentTextChar">
    <w:name w:val="Comment Text Char"/>
    <w:basedOn w:val="DefaultParagraphFont"/>
    <w:link w:val="CommentText"/>
    <w:uiPriority w:val="99"/>
    <w:semiHidden/>
    <w:rsid w:val="001E364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E3649"/>
    <w:rPr>
      <w:b/>
      <w:bCs/>
    </w:rPr>
  </w:style>
  <w:style w:type="character" w:customStyle="1" w:styleId="CommentSubjectChar">
    <w:name w:val="Comment Subject Char"/>
    <w:basedOn w:val="CommentTextChar"/>
    <w:link w:val="CommentSubject"/>
    <w:uiPriority w:val="99"/>
    <w:semiHidden/>
    <w:rsid w:val="001E3649"/>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EA20A6"/>
    <w:pPr>
      <w:tabs>
        <w:tab w:val="center" w:pos="4513"/>
        <w:tab w:val="right" w:pos="9026"/>
      </w:tabs>
    </w:pPr>
  </w:style>
  <w:style w:type="character" w:customStyle="1" w:styleId="HeaderChar">
    <w:name w:val="Header Char"/>
    <w:basedOn w:val="DefaultParagraphFont"/>
    <w:link w:val="Header"/>
    <w:uiPriority w:val="99"/>
    <w:rsid w:val="00EA20A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2.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chart" Target="charts/chart4.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https://computingservices-my.sharepoint.com/personal/ssc55_bath_ac_uk/Documents/IONA/IONA%20data/active%20sit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omputingservices-my.sharepoint.com/personal/ssc55_bath_ac_uk/Documents/IONA/Graphs%20&amp;%20figures/IONA%20final%20graphs.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https://computingservices-my.sharepoint.com/personal/ssc55_bath_ac_uk/Documents/IONA/Graphs%20&amp;%20figures/IONA%20final%20graphs.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https://computingservices-my.sharepoint.com/personal/ssc55_bath_ac_uk/Documents/IONA/Graphs%20&amp;%20figures/Seg%20reg%20figures%20submission%20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omputingservices-my.sharepoint.com/personal/ssc55_bath_ac_uk/Documents/IONA/Graphs%20&amp;%20figures/Seg%20reg%20figures%20submission%202.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3.xml"/></Relationships>
</file>

<file path=word/charts/_rels/chart6.xml.rels><?xml version="1.0" encoding="UTF-8" standalone="yes"?>
<Relationships xmlns="http://schemas.openxmlformats.org/package/2006/relationships"><Relationship Id="rId3" Type="http://schemas.openxmlformats.org/officeDocument/2006/relationships/oleObject" Target="https://computingservices-my.sharepoint.com/personal/ssc55_bath_ac_uk/Documents/IONA/Graphs%20&amp;%20figures/Seg%20reg%20figures%20submission%202.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Number of active sites</c:v>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Sheet1!$G$1:$G$54</c:f>
              <c:numCache>
                <c:formatCode>mmm\-yy</c:formatCode>
                <c:ptCount val="54"/>
                <c:pt idx="0">
                  <c:v>42186</c:v>
                </c:pt>
                <c:pt idx="1">
                  <c:v>42217</c:v>
                </c:pt>
                <c:pt idx="2">
                  <c:v>42248</c:v>
                </c:pt>
                <c:pt idx="3">
                  <c:v>42278</c:v>
                </c:pt>
                <c:pt idx="4">
                  <c:v>42309</c:v>
                </c:pt>
                <c:pt idx="5">
                  <c:v>42339</c:v>
                </c:pt>
                <c:pt idx="6">
                  <c:v>42370</c:v>
                </c:pt>
                <c:pt idx="7">
                  <c:v>42401</c:v>
                </c:pt>
                <c:pt idx="8">
                  <c:v>42430</c:v>
                </c:pt>
                <c:pt idx="9">
                  <c:v>42461</c:v>
                </c:pt>
                <c:pt idx="10">
                  <c:v>42491</c:v>
                </c:pt>
                <c:pt idx="11">
                  <c:v>42522</c:v>
                </c:pt>
                <c:pt idx="12">
                  <c:v>42552</c:v>
                </c:pt>
                <c:pt idx="13">
                  <c:v>42583</c:v>
                </c:pt>
                <c:pt idx="14">
                  <c:v>42614</c:v>
                </c:pt>
                <c:pt idx="15">
                  <c:v>42644</c:v>
                </c:pt>
                <c:pt idx="16">
                  <c:v>42675</c:v>
                </c:pt>
                <c:pt idx="17">
                  <c:v>42705</c:v>
                </c:pt>
                <c:pt idx="18">
                  <c:v>42736</c:v>
                </c:pt>
                <c:pt idx="19">
                  <c:v>42767</c:v>
                </c:pt>
                <c:pt idx="20">
                  <c:v>42795</c:v>
                </c:pt>
                <c:pt idx="21">
                  <c:v>42826</c:v>
                </c:pt>
                <c:pt idx="22">
                  <c:v>42856</c:v>
                </c:pt>
                <c:pt idx="23">
                  <c:v>42887</c:v>
                </c:pt>
                <c:pt idx="24">
                  <c:v>42917</c:v>
                </c:pt>
                <c:pt idx="25">
                  <c:v>42948</c:v>
                </c:pt>
                <c:pt idx="26">
                  <c:v>42979</c:v>
                </c:pt>
                <c:pt idx="27">
                  <c:v>43009</c:v>
                </c:pt>
                <c:pt idx="28">
                  <c:v>43040</c:v>
                </c:pt>
                <c:pt idx="29">
                  <c:v>43070</c:v>
                </c:pt>
                <c:pt idx="30">
                  <c:v>43101</c:v>
                </c:pt>
                <c:pt idx="31">
                  <c:v>43132</c:v>
                </c:pt>
                <c:pt idx="32">
                  <c:v>43160</c:v>
                </c:pt>
                <c:pt idx="33">
                  <c:v>43191</c:v>
                </c:pt>
                <c:pt idx="34">
                  <c:v>43221</c:v>
                </c:pt>
                <c:pt idx="35">
                  <c:v>43252</c:v>
                </c:pt>
                <c:pt idx="36">
                  <c:v>43282</c:v>
                </c:pt>
                <c:pt idx="37">
                  <c:v>43313</c:v>
                </c:pt>
                <c:pt idx="38">
                  <c:v>43344</c:v>
                </c:pt>
                <c:pt idx="39">
                  <c:v>43374</c:v>
                </c:pt>
                <c:pt idx="40">
                  <c:v>43405</c:v>
                </c:pt>
                <c:pt idx="41">
                  <c:v>43435</c:v>
                </c:pt>
                <c:pt idx="42">
                  <c:v>43466</c:v>
                </c:pt>
                <c:pt idx="43">
                  <c:v>43497</c:v>
                </c:pt>
                <c:pt idx="44">
                  <c:v>43525</c:v>
                </c:pt>
                <c:pt idx="45">
                  <c:v>43556</c:v>
                </c:pt>
                <c:pt idx="46">
                  <c:v>43586</c:v>
                </c:pt>
                <c:pt idx="47">
                  <c:v>43617</c:v>
                </c:pt>
                <c:pt idx="48">
                  <c:v>43647</c:v>
                </c:pt>
                <c:pt idx="49">
                  <c:v>43678</c:v>
                </c:pt>
                <c:pt idx="50">
                  <c:v>43709</c:v>
                </c:pt>
                <c:pt idx="51">
                  <c:v>43739</c:v>
                </c:pt>
                <c:pt idx="52">
                  <c:v>43770</c:v>
                </c:pt>
                <c:pt idx="53">
                  <c:v>43800</c:v>
                </c:pt>
              </c:numCache>
            </c:numRef>
          </c:cat>
          <c:val>
            <c:numRef>
              <c:f>Sheet1!$T:$T</c:f>
              <c:numCache>
                <c:formatCode>General</c:formatCode>
                <c:ptCount val="1048576"/>
                <c:pt idx="0">
                  <c:v>3</c:v>
                </c:pt>
                <c:pt idx="1">
                  <c:v>4</c:v>
                </c:pt>
                <c:pt idx="2">
                  <c:v>4</c:v>
                </c:pt>
                <c:pt idx="3">
                  <c:v>6</c:v>
                </c:pt>
                <c:pt idx="4">
                  <c:v>7</c:v>
                </c:pt>
                <c:pt idx="5">
                  <c:v>8</c:v>
                </c:pt>
                <c:pt idx="6">
                  <c:v>8</c:v>
                </c:pt>
                <c:pt idx="7">
                  <c:v>9</c:v>
                </c:pt>
                <c:pt idx="8">
                  <c:v>10</c:v>
                </c:pt>
                <c:pt idx="9">
                  <c:v>9</c:v>
                </c:pt>
                <c:pt idx="10">
                  <c:v>10</c:v>
                </c:pt>
                <c:pt idx="11">
                  <c:v>11</c:v>
                </c:pt>
                <c:pt idx="12">
                  <c:v>10</c:v>
                </c:pt>
                <c:pt idx="13">
                  <c:v>10</c:v>
                </c:pt>
                <c:pt idx="14">
                  <c:v>10</c:v>
                </c:pt>
                <c:pt idx="15">
                  <c:v>11</c:v>
                </c:pt>
                <c:pt idx="16">
                  <c:v>11</c:v>
                </c:pt>
                <c:pt idx="17">
                  <c:v>11</c:v>
                </c:pt>
                <c:pt idx="18">
                  <c:v>11</c:v>
                </c:pt>
                <c:pt idx="19">
                  <c:v>11</c:v>
                </c:pt>
                <c:pt idx="20">
                  <c:v>14</c:v>
                </c:pt>
                <c:pt idx="21">
                  <c:v>13</c:v>
                </c:pt>
                <c:pt idx="22">
                  <c:v>15</c:v>
                </c:pt>
                <c:pt idx="23">
                  <c:v>16</c:v>
                </c:pt>
                <c:pt idx="24">
                  <c:v>15</c:v>
                </c:pt>
                <c:pt idx="25">
                  <c:v>15</c:v>
                </c:pt>
                <c:pt idx="26">
                  <c:v>15</c:v>
                </c:pt>
                <c:pt idx="27">
                  <c:v>16</c:v>
                </c:pt>
                <c:pt idx="28">
                  <c:v>15</c:v>
                </c:pt>
                <c:pt idx="29">
                  <c:v>16</c:v>
                </c:pt>
                <c:pt idx="30">
                  <c:v>18</c:v>
                </c:pt>
                <c:pt idx="31">
                  <c:v>18</c:v>
                </c:pt>
                <c:pt idx="32">
                  <c:v>18</c:v>
                </c:pt>
                <c:pt idx="33">
                  <c:v>18</c:v>
                </c:pt>
                <c:pt idx="34">
                  <c:v>18</c:v>
                </c:pt>
                <c:pt idx="35">
                  <c:v>20</c:v>
                </c:pt>
                <c:pt idx="36">
                  <c:v>20</c:v>
                </c:pt>
                <c:pt idx="37">
                  <c:v>20</c:v>
                </c:pt>
                <c:pt idx="38">
                  <c:v>19</c:v>
                </c:pt>
                <c:pt idx="39">
                  <c:v>18</c:v>
                </c:pt>
                <c:pt idx="40">
                  <c:v>18</c:v>
                </c:pt>
                <c:pt idx="41">
                  <c:v>18</c:v>
                </c:pt>
                <c:pt idx="42">
                  <c:v>18</c:v>
                </c:pt>
                <c:pt idx="43">
                  <c:v>18</c:v>
                </c:pt>
                <c:pt idx="44">
                  <c:v>20</c:v>
                </c:pt>
                <c:pt idx="45">
                  <c:v>20</c:v>
                </c:pt>
                <c:pt idx="46">
                  <c:v>20</c:v>
                </c:pt>
                <c:pt idx="47">
                  <c:v>21</c:v>
                </c:pt>
                <c:pt idx="48">
                  <c:v>20</c:v>
                </c:pt>
                <c:pt idx="49">
                  <c:v>20</c:v>
                </c:pt>
                <c:pt idx="50">
                  <c:v>20</c:v>
                </c:pt>
                <c:pt idx="51">
                  <c:v>20</c:v>
                </c:pt>
                <c:pt idx="52">
                  <c:v>19</c:v>
                </c:pt>
                <c:pt idx="53">
                  <c:v>19</c:v>
                </c:pt>
              </c:numCache>
            </c:numRef>
          </c:val>
          <c:smooth val="0"/>
          <c:extLst>
            <c:ext xmlns:c16="http://schemas.microsoft.com/office/drawing/2014/chart" uri="{C3380CC4-5D6E-409C-BE32-E72D297353CC}">
              <c16:uniqueId val="{00000000-41F3-445E-A8A0-AE8AA95DBB6D}"/>
            </c:ext>
          </c:extLst>
        </c:ser>
        <c:ser>
          <c:idx val="1"/>
          <c:order val="1"/>
          <c:tx>
            <c:v>Total number of presentations</c:v>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Sheet1!$Q:$Q</c:f>
              <c:numCache>
                <c:formatCode>General</c:formatCode>
                <c:ptCount val="1048576"/>
                <c:pt idx="0">
                  <c:v>9</c:v>
                </c:pt>
                <c:pt idx="1">
                  <c:v>5</c:v>
                </c:pt>
                <c:pt idx="2">
                  <c:v>8</c:v>
                </c:pt>
                <c:pt idx="3">
                  <c:v>11</c:v>
                </c:pt>
                <c:pt idx="4">
                  <c:v>11</c:v>
                </c:pt>
                <c:pt idx="5">
                  <c:v>2</c:v>
                </c:pt>
                <c:pt idx="6">
                  <c:v>6</c:v>
                </c:pt>
                <c:pt idx="7">
                  <c:v>19</c:v>
                </c:pt>
                <c:pt idx="8">
                  <c:v>13</c:v>
                </c:pt>
                <c:pt idx="9">
                  <c:v>26</c:v>
                </c:pt>
                <c:pt idx="10">
                  <c:v>14</c:v>
                </c:pt>
                <c:pt idx="11">
                  <c:v>15</c:v>
                </c:pt>
                <c:pt idx="12">
                  <c:v>9</c:v>
                </c:pt>
                <c:pt idx="13">
                  <c:v>19</c:v>
                </c:pt>
                <c:pt idx="14">
                  <c:v>6</c:v>
                </c:pt>
                <c:pt idx="15">
                  <c:v>12</c:v>
                </c:pt>
                <c:pt idx="16">
                  <c:v>6</c:v>
                </c:pt>
                <c:pt idx="17">
                  <c:v>7</c:v>
                </c:pt>
                <c:pt idx="18">
                  <c:v>5</c:v>
                </c:pt>
                <c:pt idx="19">
                  <c:v>17</c:v>
                </c:pt>
                <c:pt idx="20">
                  <c:v>15</c:v>
                </c:pt>
                <c:pt idx="21">
                  <c:v>18</c:v>
                </c:pt>
                <c:pt idx="22">
                  <c:v>19</c:v>
                </c:pt>
                <c:pt idx="23">
                  <c:v>20</c:v>
                </c:pt>
                <c:pt idx="24">
                  <c:v>13</c:v>
                </c:pt>
                <c:pt idx="25">
                  <c:v>28</c:v>
                </c:pt>
                <c:pt idx="26">
                  <c:v>14</c:v>
                </c:pt>
                <c:pt idx="27">
                  <c:v>11</c:v>
                </c:pt>
                <c:pt idx="28">
                  <c:v>12</c:v>
                </c:pt>
                <c:pt idx="29">
                  <c:v>8</c:v>
                </c:pt>
                <c:pt idx="30">
                  <c:v>7</c:v>
                </c:pt>
                <c:pt idx="31">
                  <c:v>9</c:v>
                </c:pt>
                <c:pt idx="32">
                  <c:v>5</c:v>
                </c:pt>
                <c:pt idx="33">
                  <c:v>8</c:v>
                </c:pt>
                <c:pt idx="34">
                  <c:v>8</c:v>
                </c:pt>
                <c:pt idx="35">
                  <c:v>14</c:v>
                </c:pt>
                <c:pt idx="36">
                  <c:v>12</c:v>
                </c:pt>
                <c:pt idx="37">
                  <c:v>17</c:v>
                </c:pt>
                <c:pt idx="38">
                  <c:v>9</c:v>
                </c:pt>
                <c:pt idx="39">
                  <c:v>10</c:v>
                </c:pt>
                <c:pt idx="40">
                  <c:v>5</c:v>
                </c:pt>
                <c:pt idx="41">
                  <c:v>7</c:v>
                </c:pt>
                <c:pt idx="42">
                  <c:v>6</c:v>
                </c:pt>
                <c:pt idx="43">
                  <c:v>9</c:v>
                </c:pt>
                <c:pt idx="44">
                  <c:v>11</c:v>
                </c:pt>
                <c:pt idx="45">
                  <c:v>5</c:v>
                </c:pt>
                <c:pt idx="46">
                  <c:v>11</c:v>
                </c:pt>
                <c:pt idx="47">
                  <c:v>11</c:v>
                </c:pt>
                <c:pt idx="48">
                  <c:v>26</c:v>
                </c:pt>
                <c:pt idx="49">
                  <c:v>20</c:v>
                </c:pt>
                <c:pt idx="50">
                  <c:v>11</c:v>
                </c:pt>
                <c:pt idx="51">
                  <c:v>11</c:v>
                </c:pt>
                <c:pt idx="52">
                  <c:v>6</c:v>
                </c:pt>
                <c:pt idx="53">
                  <c:v>11</c:v>
                </c:pt>
              </c:numCache>
            </c:numRef>
          </c:val>
          <c:smooth val="0"/>
          <c:extLst>
            <c:ext xmlns:c16="http://schemas.microsoft.com/office/drawing/2014/chart" uri="{C3380CC4-5D6E-409C-BE32-E72D297353CC}">
              <c16:uniqueId val="{00000001-41F3-445E-A8A0-AE8AA95DBB6D}"/>
            </c:ext>
          </c:extLst>
        </c:ser>
        <c:dLbls>
          <c:showLegendKey val="0"/>
          <c:showVal val="0"/>
          <c:showCatName val="0"/>
          <c:showSerName val="0"/>
          <c:showPercent val="0"/>
          <c:showBubbleSize val="0"/>
        </c:dLbls>
        <c:marker val="1"/>
        <c:smooth val="0"/>
        <c:axId val="1358613040"/>
        <c:axId val="1358615952"/>
      </c:lineChart>
      <c:dateAx>
        <c:axId val="1358613040"/>
        <c:scaling>
          <c:orientation val="minMax"/>
          <c:max val="43800"/>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58615952"/>
        <c:crosses val="autoZero"/>
        <c:auto val="1"/>
        <c:lblOffset val="100"/>
        <c:baseTimeUnit val="months"/>
      </c:dateAx>
      <c:valAx>
        <c:axId val="135861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586130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span"/>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10185088271679"/>
          <c:y val="4.32579471399656E-2"/>
          <c:w val="0.70699258583088964"/>
          <c:h val="0.85674205286003435"/>
        </c:manualLayout>
      </c:layout>
      <c:barChart>
        <c:barDir val="col"/>
        <c:grouping val="percentStacked"/>
        <c:varyColors val="0"/>
        <c:ser>
          <c:idx val="0"/>
          <c:order val="0"/>
          <c:tx>
            <c:strRef>
              <c:f>Sheet1!$A$2</c:f>
              <c:strCache>
                <c:ptCount val="1"/>
                <c:pt idx="0">
                  <c:v>16-24</c:v>
                </c:pt>
              </c:strCache>
            </c:strRef>
          </c:tx>
          <c:spPr>
            <a:solidFill>
              <a:schemeClr val="accent5">
                <a:lumMod val="60000"/>
                <a:lumOff val="40000"/>
              </a:schemeClr>
            </a:solidFill>
            <a:ln>
              <a:noFill/>
            </a:ln>
            <a:effectLst/>
          </c:spPr>
          <c:invertIfNegative val="0"/>
          <c:cat>
            <c:numRef>
              <c:f>Sheet1!$B$1:$F$1</c:f>
              <c:numCache>
                <c:formatCode>General</c:formatCode>
                <c:ptCount val="5"/>
                <c:pt idx="0">
                  <c:v>2015</c:v>
                </c:pt>
                <c:pt idx="1">
                  <c:v>2016</c:v>
                </c:pt>
                <c:pt idx="2">
                  <c:v>2017</c:v>
                </c:pt>
                <c:pt idx="3">
                  <c:v>2018</c:v>
                </c:pt>
                <c:pt idx="4">
                  <c:v>2019</c:v>
                </c:pt>
              </c:numCache>
            </c:numRef>
          </c:cat>
          <c:val>
            <c:numRef>
              <c:f>Sheet1!$B$2:$F$2</c:f>
              <c:numCache>
                <c:formatCode>0.0%</c:formatCode>
                <c:ptCount val="5"/>
                <c:pt idx="0">
                  <c:v>0.38100000000000001</c:v>
                </c:pt>
                <c:pt idx="1">
                  <c:v>0.23100000000000001</c:v>
                </c:pt>
                <c:pt idx="2">
                  <c:v>0.10299999999999999</c:v>
                </c:pt>
                <c:pt idx="3">
                  <c:v>0.27</c:v>
                </c:pt>
                <c:pt idx="4">
                  <c:v>7.1400000000000005E-2</c:v>
                </c:pt>
              </c:numCache>
            </c:numRef>
          </c:val>
          <c:extLst>
            <c:ext xmlns:c16="http://schemas.microsoft.com/office/drawing/2014/chart" uri="{C3380CC4-5D6E-409C-BE32-E72D297353CC}">
              <c16:uniqueId val="{00000000-467E-4348-93FA-1E04665C32EA}"/>
            </c:ext>
          </c:extLst>
        </c:ser>
        <c:ser>
          <c:idx val="1"/>
          <c:order val="1"/>
          <c:tx>
            <c:strRef>
              <c:f>Sheet1!$A$3</c:f>
              <c:strCache>
                <c:ptCount val="1"/>
                <c:pt idx="0">
                  <c:v>25-34</c:v>
                </c:pt>
              </c:strCache>
            </c:strRef>
          </c:tx>
          <c:spPr>
            <a:solidFill>
              <a:schemeClr val="accent5">
                <a:lumMod val="75000"/>
              </a:schemeClr>
            </a:solidFill>
            <a:ln>
              <a:noFill/>
            </a:ln>
            <a:effectLst/>
          </c:spPr>
          <c:invertIfNegative val="0"/>
          <c:cat>
            <c:numRef>
              <c:f>Sheet1!$B$1:$F$1</c:f>
              <c:numCache>
                <c:formatCode>General</c:formatCode>
                <c:ptCount val="5"/>
                <c:pt idx="0">
                  <c:v>2015</c:v>
                </c:pt>
                <c:pt idx="1">
                  <c:v>2016</c:v>
                </c:pt>
                <c:pt idx="2">
                  <c:v>2017</c:v>
                </c:pt>
                <c:pt idx="3">
                  <c:v>2018</c:v>
                </c:pt>
                <c:pt idx="4">
                  <c:v>2019</c:v>
                </c:pt>
              </c:numCache>
            </c:numRef>
          </c:cat>
          <c:val>
            <c:numRef>
              <c:f>Sheet1!$B$3:$F$3</c:f>
              <c:numCache>
                <c:formatCode>0.0%</c:formatCode>
                <c:ptCount val="5"/>
                <c:pt idx="0">
                  <c:v>0.23799999999999999</c:v>
                </c:pt>
                <c:pt idx="1">
                  <c:v>0.32100000000000001</c:v>
                </c:pt>
                <c:pt idx="2">
                  <c:v>0.31</c:v>
                </c:pt>
                <c:pt idx="3">
                  <c:v>0.46</c:v>
                </c:pt>
                <c:pt idx="4">
                  <c:v>0.39300000000000002</c:v>
                </c:pt>
              </c:numCache>
            </c:numRef>
          </c:val>
          <c:extLst>
            <c:ext xmlns:c16="http://schemas.microsoft.com/office/drawing/2014/chart" uri="{C3380CC4-5D6E-409C-BE32-E72D297353CC}">
              <c16:uniqueId val="{00000001-467E-4348-93FA-1E04665C32EA}"/>
            </c:ext>
          </c:extLst>
        </c:ser>
        <c:ser>
          <c:idx val="2"/>
          <c:order val="2"/>
          <c:tx>
            <c:strRef>
              <c:f>Sheet1!$A$4</c:f>
              <c:strCache>
                <c:ptCount val="1"/>
                <c:pt idx="0">
                  <c:v>35-44</c:v>
                </c:pt>
              </c:strCache>
            </c:strRef>
          </c:tx>
          <c:spPr>
            <a:solidFill>
              <a:schemeClr val="accent5">
                <a:lumMod val="50000"/>
              </a:schemeClr>
            </a:solidFill>
            <a:ln>
              <a:noFill/>
            </a:ln>
            <a:effectLst/>
          </c:spPr>
          <c:invertIfNegative val="0"/>
          <c:cat>
            <c:numRef>
              <c:f>Sheet1!$B$1:$F$1</c:f>
              <c:numCache>
                <c:formatCode>General</c:formatCode>
                <c:ptCount val="5"/>
                <c:pt idx="0">
                  <c:v>2015</c:v>
                </c:pt>
                <c:pt idx="1">
                  <c:v>2016</c:v>
                </c:pt>
                <c:pt idx="2">
                  <c:v>2017</c:v>
                </c:pt>
                <c:pt idx="3">
                  <c:v>2018</c:v>
                </c:pt>
                <c:pt idx="4">
                  <c:v>2019</c:v>
                </c:pt>
              </c:numCache>
            </c:numRef>
          </c:cat>
          <c:val>
            <c:numRef>
              <c:f>Sheet1!$B$4:$F$4</c:f>
              <c:numCache>
                <c:formatCode>0.0%</c:formatCode>
                <c:ptCount val="5"/>
                <c:pt idx="0">
                  <c:v>0.191</c:v>
                </c:pt>
                <c:pt idx="1">
                  <c:v>0.29499999999999998</c:v>
                </c:pt>
                <c:pt idx="2">
                  <c:v>0.32800000000000001</c:v>
                </c:pt>
                <c:pt idx="3">
                  <c:v>0.24299999999999999</c:v>
                </c:pt>
                <c:pt idx="4">
                  <c:v>0.32100000000000001</c:v>
                </c:pt>
              </c:numCache>
            </c:numRef>
          </c:val>
          <c:extLst>
            <c:ext xmlns:c16="http://schemas.microsoft.com/office/drawing/2014/chart" uri="{C3380CC4-5D6E-409C-BE32-E72D297353CC}">
              <c16:uniqueId val="{00000002-467E-4348-93FA-1E04665C32EA}"/>
            </c:ext>
          </c:extLst>
        </c:ser>
        <c:ser>
          <c:idx val="3"/>
          <c:order val="3"/>
          <c:tx>
            <c:strRef>
              <c:f>Sheet1!$A$5</c:f>
              <c:strCache>
                <c:ptCount val="1"/>
                <c:pt idx="0">
                  <c:v>45-70</c:v>
                </c:pt>
              </c:strCache>
            </c:strRef>
          </c:tx>
          <c:spPr>
            <a:solidFill>
              <a:srgbClr val="001642"/>
            </a:solidFill>
            <a:ln>
              <a:noFill/>
            </a:ln>
            <a:effectLst/>
          </c:spPr>
          <c:invertIfNegative val="0"/>
          <c:cat>
            <c:numRef>
              <c:f>Sheet1!$B$1:$F$1</c:f>
              <c:numCache>
                <c:formatCode>General</c:formatCode>
                <c:ptCount val="5"/>
                <c:pt idx="0">
                  <c:v>2015</c:v>
                </c:pt>
                <c:pt idx="1">
                  <c:v>2016</c:v>
                </c:pt>
                <c:pt idx="2">
                  <c:v>2017</c:v>
                </c:pt>
                <c:pt idx="3">
                  <c:v>2018</c:v>
                </c:pt>
                <c:pt idx="4">
                  <c:v>2019</c:v>
                </c:pt>
              </c:numCache>
            </c:numRef>
          </c:cat>
          <c:val>
            <c:numRef>
              <c:f>Sheet1!$B$5:$F$5</c:f>
              <c:numCache>
                <c:formatCode>0.0%</c:formatCode>
                <c:ptCount val="5"/>
                <c:pt idx="0">
                  <c:v>0.191</c:v>
                </c:pt>
                <c:pt idx="1">
                  <c:v>0.154</c:v>
                </c:pt>
                <c:pt idx="2">
                  <c:v>0.25900000000000001</c:v>
                </c:pt>
                <c:pt idx="3">
                  <c:v>2.7E-2</c:v>
                </c:pt>
                <c:pt idx="4">
                  <c:v>0.214</c:v>
                </c:pt>
              </c:numCache>
            </c:numRef>
          </c:val>
          <c:extLst>
            <c:ext xmlns:c16="http://schemas.microsoft.com/office/drawing/2014/chart" uri="{C3380CC4-5D6E-409C-BE32-E72D297353CC}">
              <c16:uniqueId val="{00000003-467E-4348-93FA-1E04665C32EA}"/>
            </c:ext>
          </c:extLst>
        </c:ser>
        <c:dLbls>
          <c:showLegendKey val="0"/>
          <c:showVal val="0"/>
          <c:showCatName val="0"/>
          <c:showSerName val="0"/>
          <c:showPercent val="0"/>
          <c:showBubbleSize val="0"/>
        </c:dLbls>
        <c:gapWidth val="150"/>
        <c:overlap val="100"/>
        <c:axId val="1332999295"/>
        <c:axId val="1332991391"/>
      </c:barChart>
      <c:catAx>
        <c:axId val="1332999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32991391"/>
        <c:crosses val="autoZero"/>
        <c:auto val="1"/>
        <c:lblAlgn val="ctr"/>
        <c:lblOffset val="100"/>
        <c:noMultiLvlLbl val="0"/>
      </c:catAx>
      <c:valAx>
        <c:axId val="13329913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a:solidFill>
                      <a:sysClr val="windowText" lastClr="000000"/>
                    </a:solidFill>
                    <a:latin typeface="Times New Roman" panose="02020603050405020304" pitchFamily="18" charset="0"/>
                    <a:cs typeface="Times New Roman" panose="02020603050405020304" pitchFamily="18" charset="0"/>
                  </a:rPr>
                  <a:t>Percentage of SCRA exposure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32999295"/>
        <c:crosses val="autoZero"/>
        <c:crossBetween val="between"/>
      </c:valAx>
      <c:spPr>
        <a:noFill/>
        <a:ln>
          <a:noFill/>
        </a:ln>
        <a:effectLst/>
      </c:spPr>
    </c:plotArea>
    <c:legend>
      <c:legendPos val="r"/>
      <c:layout>
        <c:manualLayout>
          <c:xMode val="edge"/>
          <c:yMode val="edge"/>
          <c:x val="0.8793790407585127"/>
          <c:y val="0.35767394788875762"/>
          <c:w val="9.9064589334179748E-2"/>
          <c:h val="0.2846521042224848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649531113298336"/>
          <c:y val="4.6046023606479795E-2"/>
          <c:w val="0.71700699460823625"/>
          <c:h val="0.84750874112266217"/>
        </c:manualLayout>
      </c:layout>
      <c:barChart>
        <c:barDir val="col"/>
        <c:grouping val="percentStacked"/>
        <c:varyColors val="0"/>
        <c:ser>
          <c:idx val="0"/>
          <c:order val="0"/>
          <c:tx>
            <c:strRef>
              <c:f>Sheet1!$H$2</c:f>
              <c:strCache>
                <c:ptCount val="1"/>
                <c:pt idx="0">
                  <c:v>16-24</c:v>
                </c:pt>
              </c:strCache>
            </c:strRef>
          </c:tx>
          <c:spPr>
            <a:solidFill>
              <a:schemeClr val="accent5">
                <a:lumMod val="60000"/>
                <a:lumOff val="40000"/>
              </a:schemeClr>
            </a:solidFill>
            <a:ln>
              <a:noFill/>
            </a:ln>
            <a:effectLst/>
          </c:spPr>
          <c:invertIfNegative val="0"/>
          <c:cat>
            <c:numRef>
              <c:f>Sheet1!$I$1:$M$1</c:f>
              <c:numCache>
                <c:formatCode>General</c:formatCode>
                <c:ptCount val="5"/>
                <c:pt idx="0">
                  <c:v>2015</c:v>
                </c:pt>
                <c:pt idx="1">
                  <c:v>2016</c:v>
                </c:pt>
                <c:pt idx="2">
                  <c:v>2017</c:v>
                </c:pt>
                <c:pt idx="3">
                  <c:v>2018</c:v>
                </c:pt>
                <c:pt idx="4">
                  <c:v>2019</c:v>
                </c:pt>
              </c:numCache>
            </c:numRef>
          </c:cat>
          <c:val>
            <c:numRef>
              <c:f>Sheet1!$I$2:$M$2</c:f>
              <c:numCache>
                <c:formatCode>0.0%</c:formatCode>
                <c:ptCount val="5"/>
                <c:pt idx="0">
                  <c:v>0.08</c:v>
                </c:pt>
                <c:pt idx="1">
                  <c:v>0.23</c:v>
                </c:pt>
                <c:pt idx="2">
                  <c:v>0.41799999999999998</c:v>
                </c:pt>
                <c:pt idx="3">
                  <c:v>0.33300000000000002</c:v>
                </c:pt>
                <c:pt idx="4">
                  <c:v>0.22600000000000001</c:v>
                </c:pt>
              </c:numCache>
            </c:numRef>
          </c:val>
          <c:extLst>
            <c:ext xmlns:c16="http://schemas.microsoft.com/office/drawing/2014/chart" uri="{C3380CC4-5D6E-409C-BE32-E72D297353CC}">
              <c16:uniqueId val="{00000000-98AE-4F90-8920-FAA29384C4D9}"/>
            </c:ext>
          </c:extLst>
        </c:ser>
        <c:ser>
          <c:idx val="1"/>
          <c:order val="1"/>
          <c:tx>
            <c:strRef>
              <c:f>Sheet1!$H$3</c:f>
              <c:strCache>
                <c:ptCount val="1"/>
                <c:pt idx="0">
                  <c:v>25-34</c:v>
                </c:pt>
              </c:strCache>
            </c:strRef>
          </c:tx>
          <c:spPr>
            <a:solidFill>
              <a:schemeClr val="accent5">
                <a:lumMod val="75000"/>
              </a:schemeClr>
            </a:solidFill>
            <a:ln>
              <a:noFill/>
            </a:ln>
            <a:effectLst/>
          </c:spPr>
          <c:invertIfNegative val="0"/>
          <c:cat>
            <c:numRef>
              <c:f>Sheet1!$I$1:$M$1</c:f>
              <c:numCache>
                <c:formatCode>General</c:formatCode>
                <c:ptCount val="5"/>
                <c:pt idx="0">
                  <c:v>2015</c:v>
                </c:pt>
                <c:pt idx="1">
                  <c:v>2016</c:v>
                </c:pt>
                <c:pt idx="2">
                  <c:v>2017</c:v>
                </c:pt>
                <c:pt idx="3">
                  <c:v>2018</c:v>
                </c:pt>
                <c:pt idx="4">
                  <c:v>2019</c:v>
                </c:pt>
              </c:numCache>
            </c:numRef>
          </c:cat>
          <c:val>
            <c:numRef>
              <c:f>Sheet1!$I$3:$M$3</c:f>
              <c:numCache>
                <c:formatCode>0.0%</c:formatCode>
                <c:ptCount val="5"/>
                <c:pt idx="0">
                  <c:v>0.6</c:v>
                </c:pt>
                <c:pt idx="1">
                  <c:v>0.32400000000000001</c:v>
                </c:pt>
                <c:pt idx="2">
                  <c:v>0.189</c:v>
                </c:pt>
                <c:pt idx="3">
                  <c:v>0.26400000000000001</c:v>
                </c:pt>
                <c:pt idx="4">
                  <c:v>0.36799999999999999</c:v>
                </c:pt>
              </c:numCache>
            </c:numRef>
          </c:val>
          <c:extLst>
            <c:ext xmlns:c16="http://schemas.microsoft.com/office/drawing/2014/chart" uri="{C3380CC4-5D6E-409C-BE32-E72D297353CC}">
              <c16:uniqueId val="{00000001-98AE-4F90-8920-FAA29384C4D9}"/>
            </c:ext>
          </c:extLst>
        </c:ser>
        <c:ser>
          <c:idx val="2"/>
          <c:order val="2"/>
          <c:tx>
            <c:strRef>
              <c:f>Sheet1!$H$4</c:f>
              <c:strCache>
                <c:ptCount val="1"/>
                <c:pt idx="0">
                  <c:v>35-44</c:v>
                </c:pt>
              </c:strCache>
            </c:strRef>
          </c:tx>
          <c:spPr>
            <a:solidFill>
              <a:schemeClr val="accent5">
                <a:lumMod val="50000"/>
              </a:schemeClr>
            </a:solidFill>
            <a:ln>
              <a:noFill/>
            </a:ln>
            <a:effectLst/>
          </c:spPr>
          <c:invertIfNegative val="0"/>
          <c:cat>
            <c:numRef>
              <c:f>Sheet1!$I$1:$M$1</c:f>
              <c:numCache>
                <c:formatCode>General</c:formatCode>
                <c:ptCount val="5"/>
                <c:pt idx="0">
                  <c:v>2015</c:v>
                </c:pt>
                <c:pt idx="1">
                  <c:v>2016</c:v>
                </c:pt>
                <c:pt idx="2">
                  <c:v>2017</c:v>
                </c:pt>
                <c:pt idx="3">
                  <c:v>2018</c:v>
                </c:pt>
                <c:pt idx="4">
                  <c:v>2019</c:v>
                </c:pt>
              </c:numCache>
            </c:numRef>
          </c:cat>
          <c:val>
            <c:numRef>
              <c:f>Sheet1!$I$4:$M$4</c:f>
              <c:numCache>
                <c:formatCode>0.0%</c:formatCode>
                <c:ptCount val="5"/>
                <c:pt idx="0">
                  <c:v>0.28000000000000003</c:v>
                </c:pt>
                <c:pt idx="1">
                  <c:v>0.25700000000000001</c:v>
                </c:pt>
                <c:pt idx="2">
                  <c:v>0.23</c:v>
                </c:pt>
                <c:pt idx="3">
                  <c:v>0.26400000000000001</c:v>
                </c:pt>
                <c:pt idx="4">
                  <c:v>0.30199999999999999</c:v>
                </c:pt>
              </c:numCache>
            </c:numRef>
          </c:val>
          <c:extLst>
            <c:ext xmlns:c16="http://schemas.microsoft.com/office/drawing/2014/chart" uri="{C3380CC4-5D6E-409C-BE32-E72D297353CC}">
              <c16:uniqueId val="{00000002-98AE-4F90-8920-FAA29384C4D9}"/>
            </c:ext>
          </c:extLst>
        </c:ser>
        <c:ser>
          <c:idx val="3"/>
          <c:order val="3"/>
          <c:tx>
            <c:strRef>
              <c:f>Sheet1!$H$5</c:f>
              <c:strCache>
                <c:ptCount val="1"/>
                <c:pt idx="0">
                  <c:v>45-70</c:v>
                </c:pt>
              </c:strCache>
            </c:strRef>
          </c:tx>
          <c:spPr>
            <a:solidFill>
              <a:srgbClr val="001642"/>
            </a:solidFill>
            <a:ln>
              <a:noFill/>
            </a:ln>
            <a:effectLst/>
          </c:spPr>
          <c:invertIfNegative val="0"/>
          <c:cat>
            <c:numRef>
              <c:f>Sheet1!$I$1:$M$1</c:f>
              <c:numCache>
                <c:formatCode>General</c:formatCode>
                <c:ptCount val="5"/>
                <c:pt idx="0">
                  <c:v>2015</c:v>
                </c:pt>
                <c:pt idx="1">
                  <c:v>2016</c:v>
                </c:pt>
                <c:pt idx="2">
                  <c:v>2017</c:v>
                </c:pt>
                <c:pt idx="3">
                  <c:v>2018</c:v>
                </c:pt>
                <c:pt idx="4">
                  <c:v>2019</c:v>
                </c:pt>
              </c:numCache>
            </c:numRef>
          </c:cat>
          <c:val>
            <c:numRef>
              <c:f>Sheet1!$I$5:$M$5</c:f>
              <c:numCache>
                <c:formatCode>0.0%</c:formatCode>
                <c:ptCount val="5"/>
                <c:pt idx="0">
                  <c:v>0.04</c:v>
                </c:pt>
                <c:pt idx="1">
                  <c:v>0.189</c:v>
                </c:pt>
                <c:pt idx="2">
                  <c:v>0.16400000000000001</c:v>
                </c:pt>
                <c:pt idx="3">
                  <c:v>0.13900000000000001</c:v>
                </c:pt>
                <c:pt idx="4">
                  <c:v>0.104</c:v>
                </c:pt>
              </c:numCache>
            </c:numRef>
          </c:val>
          <c:extLst>
            <c:ext xmlns:c16="http://schemas.microsoft.com/office/drawing/2014/chart" uri="{C3380CC4-5D6E-409C-BE32-E72D297353CC}">
              <c16:uniqueId val="{00000003-98AE-4F90-8920-FAA29384C4D9}"/>
            </c:ext>
          </c:extLst>
        </c:ser>
        <c:dLbls>
          <c:showLegendKey val="0"/>
          <c:showVal val="0"/>
          <c:showCatName val="0"/>
          <c:showSerName val="0"/>
          <c:showPercent val="0"/>
          <c:showBubbleSize val="0"/>
        </c:dLbls>
        <c:gapWidth val="150"/>
        <c:overlap val="100"/>
        <c:axId val="735126000"/>
        <c:axId val="735127248"/>
      </c:barChart>
      <c:catAx>
        <c:axId val="735126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35127248"/>
        <c:crosses val="autoZero"/>
        <c:auto val="1"/>
        <c:lblAlgn val="ctr"/>
        <c:lblOffset val="100"/>
        <c:noMultiLvlLbl val="0"/>
      </c:catAx>
      <c:valAx>
        <c:axId val="735127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sz="1200">
                    <a:solidFill>
                      <a:sysClr val="windowText" lastClr="000000"/>
                    </a:solidFill>
                    <a:latin typeface="Times New Roman" panose="02020603050405020304" pitchFamily="18" charset="0"/>
                    <a:cs typeface="Times New Roman" panose="02020603050405020304" pitchFamily="18" charset="0"/>
                  </a:rPr>
                  <a:t>Percentage of non-SCRA exposure cases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35126000"/>
        <c:crosses val="autoZero"/>
        <c:crossBetween val="between"/>
      </c:valAx>
      <c:spPr>
        <a:noFill/>
        <a:ln>
          <a:noFill/>
        </a:ln>
        <a:effectLst/>
      </c:spPr>
    </c:plotArea>
    <c:legend>
      <c:legendPos val="r"/>
      <c:layout>
        <c:manualLayout>
          <c:xMode val="edge"/>
          <c:yMode val="edge"/>
          <c:x val="0.87639230535019919"/>
          <c:y val="0.34567614101618083"/>
          <c:w val="9.9192883643699506E-2"/>
          <c:h val="0.29857138693431878"/>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All self-reported or suspected SCRA exposures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Sheet1!$A$2:$A$6</c:f>
              <c:numCache>
                <c:formatCode>General</c:formatCode>
                <c:ptCount val="5"/>
                <c:pt idx="0">
                  <c:v>2015</c:v>
                </c:pt>
                <c:pt idx="1">
                  <c:v>2016</c:v>
                </c:pt>
                <c:pt idx="2">
                  <c:v>2017</c:v>
                </c:pt>
                <c:pt idx="3">
                  <c:v>2018</c:v>
                </c:pt>
                <c:pt idx="4">
                  <c:v>2019</c:v>
                </c:pt>
              </c:numCache>
            </c:numRef>
          </c:xVal>
          <c:yVal>
            <c:numRef>
              <c:f>Sheet1!$B$2:$B$6</c:f>
              <c:numCache>
                <c:formatCode>General</c:formatCode>
                <c:ptCount val="5"/>
                <c:pt idx="0">
                  <c:v>19</c:v>
                </c:pt>
                <c:pt idx="1">
                  <c:v>63</c:v>
                </c:pt>
                <c:pt idx="2">
                  <c:v>71</c:v>
                </c:pt>
                <c:pt idx="3">
                  <c:v>35</c:v>
                </c:pt>
                <c:pt idx="4">
                  <c:v>24</c:v>
                </c:pt>
              </c:numCache>
            </c:numRef>
          </c:yVal>
          <c:smooth val="0"/>
          <c:extLst>
            <c:ext xmlns:c16="http://schemas.microsoft.com/office/drawing/2014/chart" uri="{C3380CC4-5D6E-409C-BE32-E72D297353CC}">
              <c16:uniqueId val="{00000000-1E29-488E-AAC3-8B7990F6CEE8}"/>
            </c:ext>
          </c:extLst>
        </c:ser>
        <c:ser>
          <c:idx val="1"/>
          <c:order val="1"/>
          <c:tx>
            <c:strRef>
              <c:f>Sheet1!$C$1</c:f>
              <c:strCache>
                <c:ptCount val="1"/>
                <c:pt idx="0">
                  <c:v>SCRAs reported or suspected but not detected</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Sheet1!$A$2:$A$6</c:f>
              <c:numCache>
                <c:formatCode>General</c:formatCode>
                <c:ptCount val="5"/>
                <c:pt idx="0">
                  <c:v>2015</c:v>
                </c:pt>
                <c:pt idx="1">
                  <c:v>2016</c:v>
                </c:pt>
                <c:pt idx="2">
                  <c:v>2017</c:v>
                </c:pt>
                <c:pt idx="3">
                  <c:v>2018</c:v>
                </c:pt>
                <c:pt idx="4">
                  <c:v>2019</c:v>
                </c:pt>
              </c:numCache>
            </c:numRef>
          </c:xVal>
          <c:yVal>
            <c:numRef>
              <c:f>Sheet1!$C$2:$C$6</c:f>
              <c:numCache>
                <c:formatCode>General</c:formatCode>
                <c:ptCount val="5"/>
                <c:pt idx="0">
                  <c:v>5</c:v>
                </c:pt>
                <c:pt idx="1">
                  <c:v>22</c:v>
                </c:pt>
                <c:pt idx="2">
                  <c:v>27</c:v>
                </c:pt>
                <c:pt idx="3">
                  <c:v>10</c:v>
                </c:pt>
                <c:pt idx="4">
                  <c:v>8</c:v>
                </c:pt>
              </c:numCache>
            </c:numRef>
          </c:yVal>
          <c:smooth val="0"/>
          <c:extLst>
            <c:ext xmlns:c16="http://schemas.microsoft.com/office/drawing/2014/chart" uri="{C3380CC4-5D6E-409C-BE32-E72D297353CC}">
              <c16:uniqueId val="{00000001-1E29-488E-AAC3-8B7990F6CEE8}"/>
            </c:ext>
          </c:extLst>
        </c:ser>
        <c:dLbls>
          <c:showLegendKey val="0"/>
          <c:showVal val="0"/>
          <c:showCatName val="0"/>
          <c:showSerName val="0"/>
          <c:showPercent val="0"/>
          <c:showBubbleSize val="0"/>
        </c:dLbls>
        <c:axId val="1454457104"/>
        <c:axId val="1513024256"/>
      </c:scatterChart>
      <c:valAx>
        <c:axId val="1454457104"/>
        <c:scaling>
          <c:orientation val="minMax"/>
          <c:max val="2019"/>
          <c:min val="2015"/>
        </c:scaling>
        <c:delete val="0"/>
        <c:axPos val="b"/>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3024256"/>
        <c:crosses val="autoZero"/>
        <c:crossBetween val="midCat"/>
        <c:majorUnit val="1"/>
      </c:valAx>
      <c:valAx>
        <c:axId val="151302425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sz="1200">
                    <a:solidFill>
                      <a:sysClr val="windowText" lastClr="000000"/>
                    </a:solidFill>
                    <a:latin typeface="Times New Roman" panose="02020603050405020304" pitchFamily="18" charset="0"/>
                    <a:cs typeface="Times New Roman" panose="02020603050405020304" pitchFamily="18" charset="0"/>
                  </a:rPr>
                  <a:t>Number of patients</a:t>
                </a:r>
              </a:p>
            </c:rich>
          </c:tx>
          <c:layout>
            <c:manualLayout>
              <c:xMode val="edge"/>
              <c:yMode val="edge"/>
              <c:x val="8.7003806416530716E-3"/>
              <c:y val="0.24024930320242477"/>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5445710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129032258064517E-2"/>
          <c:y val="8.6797136653107329E-2"/>
          <c:w val="0.92236559139784946"/>
          <c:h val="0.47000580664167402"/>
        </c:manualLayout>
      </c:layout>
      <c:areaChart>
        <c:grouping val="standard"/>
        <c:varyColors val="0"/>
        <c:ser>
          <c:idx val="3"/>
          <c:order val="3"/>
          <c:tx>
            <c:strRef>
              <c:f>'SCRA MDA'!$F$1</c:f>
              <c:strCache>
                <c:ptCount val="1"/>
                <c:pt idx="0">
                  <c:v>95% CI bands of predictions</c:v>
                </c:pt>
              </c:strCache>
            </c:strRef>
          </c:tx>
          <c:spPr>
            <a:solidFill>
              <a:schemeClr val="bg1">
                <a:lumMod val="85000"/>
              </a:schemeClr>
            </a:solidFill>
            <a:ln>
              <a:noFill/>
            </a:ln>
            <a:effectLst/>
          </c:spPr>
          <c:cat>
            <c:multiLvlStrRef>
              <c:f>'SCRA MDA'!$A$2:$B$55</c:f>
              <c:multiLvlStrCache>
                <c:ptCount val="54"/>
                <c:lvl>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pt idx="12">
                    <c:v>July</c:v>
                  </c:pt>
                  <c:pt idx="13">
                    <c:v>August</c:v>
                  </c:pt>
                  <c:pt idx="14">
                    <c:v>September</c:v>
                  </c:pt>
                  <c:pt idx="15">
                    <c:v>October</c:v>
                  </c:pt>
                  <c:pt idx="16">
                    <c:v>November</c:v>
                  </c:pt>
                  <c:pt idx="17">
                    <c:v>December</c:v>
                  </c:pt>
                  <c:pt idx="18">
                    <c:v>January</c:v>
                  </c:pt>
                  <c:pt idx="19">
                    <c:v>February</c:v>
                  </c:pt>
                  <c:pt idx="20">
                    <c:v>March</c:v>
                  </c:pt>
                  <c:pt idx="21">
                    <c:v>April</c:v>
                  </c:pt>
                  <c:pt idx="22">
                    <c:v>May</c:v>
                  </c:pt>
                  <c:pt idx="23">
                    <c:v>June</c:v>
                  </c:pt>
                  <c:pt idx="24">
                    <c:v>July</c:v>
                  </c:pt>
                  <c:pt idx="25">
                    <c:v>August</c:v>
                  </c:pt>
                  <c:pt idx="26">
                    <c:v>September</c:v>
                  </c:pt>
                  <c:pt idx="27">
                    <c:v>October</c:v>
                  </c:pt>
                  <c:pt idx="28">
                    <c:v>November</c:v>
                  </c:pt>
                  <c:pt idx="29">
                    <c:v>December</c:v>
                  </c:pt>
                  <c:pt idx="30">
                    <c:v>January</c:v>
                  </c:pt>
                  <c:pt idx="31">
                    <c:v>February</c:v>
                  </c:pt>
                  <c:pt idx="32">
                    <c:v>March</c:v>
                  </c:pt>
                  <c:pt idx="33">
                    <c:v>April</c:v>
                  </c:pt>
                  <c:pt idx="34">
                    <c:v>May</c:v>
                  </c:pt>
                  <c:pt idx="35">
                    <c:v>June</c:v>
                  </c:pt>
                  <c:pt idx="36">
                    <c:v>July</c:v>
                  </c:pt>
                  <c:pt idx="37">
                    <c:v>August</c:v>
                  </c:pt>
                  <c:pt idx="38">
                    <c:v>September</c:v>
                  </c:pt>
                  <c:pt idx="39">
                    <c:v>October</c:v>
                  </c:pt>
                  <c:pt idx="40">
                    <c:v>November</c:v>
                  </c:pt>
                  <c:pt idx="41">
                    <c:v>December</c:v>
                  </c:pt>
                  <c:pt idx="42">
                    <c:v>January</c:v>
                  </c:pt>
                  <c:pt idx="43">
                    <c:v>February</c:v>
                  </c:pt>
                  <c:pt idx="44">
                    <c:v>March</c:v>
                  </c:pt>
                  <c:pt idx="45">
                    <c:v>April</c:v>
                  </c:pt>
                  <c:pt idx="46">
                    <c:v>May</c:v>
                  </c:pt>
                  <c:pt idx="47">
                    <c:v>June</c:v>
                  </c:pt>
                  <c:pt idx="48">
                    <c:v>July</c:v>
                  </c:pt>
                  <c:pt idx="49">
                    <c:v>August</c:v>
                  </c:pt>
                  <c:pt idx="50">
                    <c:v>September</c:v>
                  </c:pt>
                  <c:pt idx="51">
                    <c:v>October</c:v>
                  </c:pt>
                  <c:pt idx="52">
                    <c:v>November</c:v>
                  </c:pt>
                  <c:pt idx="53">
                    <c:v>December</c:v>
                  </c:pt>
                </c:lvl>
                <c:lvl>
                  <c:pt idx="0">
                    <c:v>2015</c:v>
                  </c:pt>
                  <c:pt idx="6">
                    <c:v>2016</c:v>
                  </c:pt>
                  <c:pt idx="18">
                    <c:v>2017</c:v>
                  </c:pt>
                  <c:pt idx="30">
                    <c:v>2018</c:v>
                  </c:pt>
                  <c:pt idx="42">
                    <c:v>2019</c:v>
                  </c:pt>
                </c:lvl>
              </c:multiLvlStrCache>
            </c:multiLvlStrRef>
          </c:cat>
          <c:val>
            <c:numRef>
              <c:f>'SCRA MDA'!$F$2:$F$55</c:f>
              <c:numCache>
                <c:formatCode>General</c:formatCode>
                <c:ptCount val="54"/>
                <c:pt idx="0">
                  <c:v>7.6306089999999998</c:v>
                </c:pt>
                <c:pt idx="1">
                  <c:v>7.2058520000000001</c:v>
                </c:pt>
                <c:pt idx="2">
                  <c:v>6.2643940000000002</c:v>
                </c:pt>
                <c:pt idx="3">
                  <c:v>5.6434119999999997</c:v>
                </c:pt>
                <c:pt idx="4">
                  <c:v>5.2431400000000004</c:v>
                </c:pt>
                <c:pt idx="5">
                  <c:v>5.3345560000000001</c:v>
                </c:pt>
                <c:pt idx="6">
                  <c:v>5.7194180000000001</c:v>
                </c:pt>
                <c:pt idx="7">
                  <c:v>7.326479</c:v>
                </c:pt>
                <c:pt idx="8">
                  <c:v>10.34896</c:v>
                </c:pt>
                <c:pt idx="9">
                  <c:v>14.587160000000001</c:v>
                </c:pt>
                <c:pt idx="10">
                  <c:v>21.658809999999999</c:v>
                </c:pt>
                <c:pt idx="11">
                  <c:v>10.471109999999999</c:v>
                </c:pt>
                <c:pt idx="12">
                  <c:v>10.048170000000001</c:v>
                </c:pt>
                <c:pt idx="13">
                  <c:v>8.6870639999999995</c:v>
                </c:pt>
                <c:pt idx="14">
                  <c:v>6.9308569999999996</c:v>
                </c:pt>
                <c:pt idx="15">
                  <c:v>5.3837250000000001</c:v>
                </c:pt>
                <c:pt idx="16">
                  <c:v>4.2898290000000001</c:v>
                </c:pt>
                <c:pt idx="17">
                  <c:v>3.7505359999999999</c:v>
                </c:pt>
                <c:pt idx="18">
                  <c:v>3.7319279999999999</c:v>
                </c:pt>
                <c:pt idx="19">
                  <c:v>4.2128699999999997</c:v>
                </c:pt>
                <c:pt idx="20">
                  <c:v>5.0960619999999999</c:v>
                </c:pt>
                <c:pt idx="21">
                  <c:v>6.1406210000000003</c:v>
                </c:pt>
                <c:pt idx="22">
                  <c:v>7.4420029999999997</c:v>
                </c:pt>
                <c:pt idx="23">
                  <c:v>8.5530559999999998</c:v>
                </c:pt>
                <c:pt idx="24">
                  <c:v>7.6869459999999998</c:v>
                </c:pt>
                <c:pt idx="25">
                  <c:v>6.7231969999999999</c:v>
                </c:pt>
                <c:pt idx="26">
                  <c:v>5.4101400000000002</c:v>
                </c:pt>
                <c:pt idx="27">
                  <c:v>4.460432</c:v>
                </c:pt>
                <c:pt idx="28">
                  <c:v>3.3249680000000001</c:v>
                </c:pt>
                <c:pt idx="29">
                  <c:v>2.9930189999999999</c:v>
                </c:pt>
                <c:pt idx="30">
                  <c:v>3.3003459999999998</c:v>
                </c:pt>
                <c:pt idx="31">
                  <c:v>3.5160710000000002</c:v>
                </c:pt>
                <c:pt idx="32">
                  <c:v>4.1037400000000002</c:v>
                </c:pt>
                <c:pt idx="33">
                  <c:v>4.9530620000000001</c:v>
                </c:pt>
                <c:pt idx="34">
                  <c:v>5.7996999999999996</c:v>
                </c:pt>
                <c:pt idx="35">
                  <c:v>7.2596679999999996</c:v>
                </c:pt>
                <c:pt idx="36">
                  <c:v>7.0896540000000003</c:v>
                </c:pt>
                <c:pt idx="37">
                  <c:v>6.2118929999999999</c:v>
                </c:pt>
                <c:pt idx="38">
                  <c:v>4.5877790000000003</c:v>
                </c:pt>
                <c:pt idx="39">
                  <c:v>3.3766280000000002</c:v>
                </c:pt>
                <c:pt idx="40">
                  <c:v>2.69394</c:v>
                </c:pt>
                <c:pt idx="41">
                  <c:v>2.3579870000000001</c:v>
                </c:pt>
                <c:pt idx="42">
                  <c:v>2.3536109999999999</c:v>
                </c:pt>
                <c:pt idx="43">
                  <c:v>2.6711179999999999</c:v>
                </c:pt>
                <c:pt idx="44">
                  <c:v>3.2332350000000001</c:v>
                </c:pt>
                <c:pt idx="45">
                  <c:v>4.0296570000000003</c:v>
                </c:pt>
                <c:pt idx="46">
                  <c:v>4.8535519999999996</c:v>
                </c:pt>
                <c:pt idx="47">
                  <c:v>5.3641990000000002</c:v>
                </c:pt>
                <c:pt idx="48">
                  <c:v>5.264742</c:v>
                </c:pt>
                <c:pt idx="49">
                  <c:v>4.608498</c:v>
                </c:pt>
                <c:pt idx="50">
                  <c:v>3.696898</c:v>
                </c:pt>
                <c:pt idx="51">
                  <c:v>2.867858</c:v>
                </c:pt>
                <c:pt idx="52">
                  <c:v>2.3451010000000001</c:v>
                </c:pt>
                <c:pt idx="53">
                  <c:v>2.0785840000000002</c:v>
                </c:pt>
              </c:numCache>
            </c:numRef>
          </c:val>
          <c:extLst>
            <c:ext xmlns:c16="http://schemas.microsoft.com/office/drawing/2014/chart" uri="{C3380CC4-5D6E-409C-BE32-E72D297353CC}">
              <c16:uniqueId val="{00000000-A0ED-4DDC-AB1C-9FEFBD746AC8}"/>
            </c:ext>
          </c:extLst>
        </c:ser>
        <c:ser>
          <c:idx val="4"/>
          <c:order val="4"/>
          <c:tx>
            <c:strRef>
              <c:f>'SCRA MDA'!$G$1</c:f>
              <c:strCache>
                <c:ptCount val="1"/>
                <c:pt idx="0">
                  <c:v>Lower bound CI</c:v>
                </c:pt>
              </c:strCache>
            </c:strRef>
          </c:tx>
          <c:spPr>
            <a:solidFill>
              <a:schemeClr val="bg1"/>
            </a:solidFill>
            <a:ln>
              <a:noFill/>
            </a:ln>
            <a:effectLst/>
          </c:spPr>
          <c:cat>
            <c:multiLvlStrRef>
              <c:f>'SCRA MDA'!$A$2:$B$55</c:f>
              <c:multiLvlStrCache>
                <c:ptCount val="54"/>
                <c:lvl>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pt idx="12">
                    <c:v>July</c:v>
                  </c:pt>
                  <c:pt idx="13">
                    <c:v>August</c:v>
                  </c:pt>
                  <c:pt idx="14">
                    <c:v>September</c:v>
                  </c:pt>
                  <c:pt idx="15">
                    <c:v>October</c:v>
                  </c:pt>
                  <c:pt idx="16">
                    <c:v>November</c:v>
                  </c:pt>
                  <c:pt idx="17">
                    <c:v>December</c:v>
                  </c:pt>
                  <c:pt idx="18">
                    <c:v>January</c:v>
                  </c:pt>
                  <c:pt idx="19">
                    <c:v>February</c:v>
                  </c:pt>
                  <c:pt idx="20">
                    <c:v>March</c:v>
                  </c:pt>
                  <c:pt idx="21">
                    <c:v>April</c:v>
                  </c:pt>
                  <c:pt idx="22">
                    <c:v>May</c:v>
                  </c:pt>
                  <c:pt idx="23">
                    <c:v>June</c:v>
                  </c:pt>
                  <c:pt idx="24">
                    <c:v>July</c:v>
                  </c:pt>
                  <c:pt idx="25">
                    <c:v>August</c:v>
                  </c:pt>
                  <c:pt idx="26">
                    <c:v>September</c:v>
                  </c:pt>
                  <c:pt idx="27">
                    <c:v>October</c:v>
                  </c:pt>
                  <c:pt idx="28">
                    <c:v>November</c:v>
                  </c:pt>
                  <c:pt idx="29">
                    <c:v>December</c:v>
                  </c:pt>
                  <c:pt idx="30">
                    <c:v>January</c:v>
                  </c:pt>
                  <c:pt idx="31">
                    <c:v>February</c:v>
                  </c:pt>
                  <c:pt idx="32">
                    <c:v>March</c:v>
                  </c:pt>
                  <c:pt idx="33">
                    <c:v>April</c:v>
                  </c:pt>
                  <c:pt idx="34">
                    <c:v>May</c:v>
                  </c:pt>
                  <c:pt idx="35">
                    <c:v>June</c:v>
                  </c:pt>
                  <c:pt idx="36">
                    <c:v>July</c:v>
                  </c:pt>
                  <c:pt idx="37">
                    <c:v>August</c:v>
                  </c:pt>
                  <c:pt idx="38">
                    <c:v>September</c:v>
                  </c:pt>
                  <c:pt idx="39">
                    <c:v>October</c:v>
                  </c:pt>
                  <c:pt idx="40">
                    <c:v>November</c:v>
                  </c:pt>
                  <c:pt idx="41">
                    <c:v>December</c:v>
                  </c:pt>
                  <c:pt idx="42">
                    <c:v>January</c:v>
                  </c:pt>
                  <c:pt idx="43">
                    <c:v>February</c:v>
                  </c:pt>
                  <c:pt idx="44">
                    <c:v>March</c:v>
                  </c:pt>
                  <c:pt idx="45">
                    <c:v>April</c:v>
                  </c:pt>
                  <c:pt idx="46">
                    <c:v>May</c:v>
                  </c:pt>
                  <c:pt idx="47">
                    <c:v>June</c:v>
                  </c:pt>
                  <c:pt idx="48">
                    <c:v>July</c:v>
                  </c:pt>
                  <c:pt idx="49">
                    <c:v>August</c:v>
                  </c:pt>
                  <c:pt idx="50">
                    <c:v>September</c:v>
                  </c:pt>
                  <c:pt idx="51">
                    <c:v>October</c:v>
                  </c:pt>
                  <c:pt idx="52">
                    <c:v>November</c:v>
                  </c:pt>
                  <c:pt idx="53">
                    <c:v>December</c:v>
                  </c:pt>
                </c:lvl>
                <c:lvl>
                  <c:pt idx="0">
                    <c:v>2015</c:v>
                  </c:pt>
                  <c:pt idx="6">
                    <c:v>2016</c:v>
                  </c:pt>
                  <c:pt idx="18">
                    <c:v>2017</c:v>
                  </c:pt>
                  <c:pt idx="30">
                    <c:v>2018</c:v>
                  </c:pt>
                  <c:pt idx="42">
                    <c:v>2019</c:v>
                  </c:pt>
                </c:lvl>
              </c:multiLvlStrCache>
            </c:multiLvlStrRef>
          </c:cat>
          <c:val>
            <c:numRef>
              <c:f>'SCRA MDA'!$G$2:$G$55</c:f>
              <c:numCache>
                <c:formatCode>General</c:formatCode>
                <c:ptCount val="54"/>
                <c:pt idx="0">
                  <c:v>1.5945579999999999</c:v>
                </c:pt>
                <c:pt idx="1">
                  <c:v>2.2031209999999999</c:v>
                </c:pt>
                <c:pt idx="2">
                  <c:v>2.276843</c:v>
                </c:pt>
                <c:pt idx="3">
                  <c:v>2.2655319999999999</c:v>
                </c:pt>
                <c:pt idx="4">
                  <c:v>2.1151490000000002</c:v>
                </c:pt>
                <c:pt idx="5">
                  <c:v>2.1424470000000002</c:v>
                </c:pt>
                <c:pt idx="6">
                  <c:v>2.6311260000000001</c:v>
                </c:pt>
                <c:pt idx="7">
                  <c:v>3.4932340000000002</c:v>
                </c:pt>
                <c:pt idx="8">
                  <c:v>4.9863590000000002</c:v>
                </c:pt>
                <c:pt idx="9">
                  <c:v>6.7212189999999996</c:v>
                </c:pt>
                <c:pt idx="10">
                  <c:v>8.607621</c:v>
                </c:pt>
                <c:pt idx="11">
                  <c:v>4.9976120000000002</c:v>
                </c:pt>
                <c:pt idx="12">
                  <c:v>4.6513429999999998</c:v>
                </c:pt>
                <c:pt idx="13">
                  <c:v>4.014716</c:v>
                </c:pt>
                <c:pt idx="14">
                  <c:v>3.102598</c:v>
                </c:pt>
                <c:pt idx="15">
                  <c:v>2.4874939999999999</c:v>
                </c:pt>
                <c:pt idx="16">
                  <c:v>1.91449</c:v>
                </c:pt>
                <c:pt idx="17">
                  <c:v>1.59066</c:v>
                </c:pt>
                <c:pt idx="18">
                  <c:v>1.458858</c:v>
                </c:pt>
                <c:pt idx="19">
                  <c:v>1.4852019999999999</c:v>
                </c:pt>
                <c:pt idx="20">
                  <c:v>2.3177129999999999</c:v>
                </c:pt>
                <c:pt idx="21">
                  <c:v>2.8234340000000002</c:v>
                </c:pt>
                <c:pt idx="22">
                  <c:v>3.9378359999999999</c:v>
                </c:pt>
                <c:pt idx="23">
                  <c:v>4.325342</c:v>
                </c:pt>
                <c:pt idx="24">
                  <c:v>4.5510510000000002</c:v>
                </c:pt>
                <c:pt idx="25">
                  <c:v>3.8516020000000002</c:v>
                </c:pt>
                <c:pt idx="26">
                  <c:v>2.9431590000000001</c:v>
                </c:pt>
                <c:pt idx="27">
                  <c:v>2.0927090000000002</c:v>
                </c:pt>
                <c:pt idx="28">
                  <c:v>1.704107</c:v>
                </c:pt>
                <c:pt idx="29">
                  <c:v>1.4537659999999999</c:v>
                </c:pt>
                <c:pt idx="30">
                  <c:v>1.2586349999999999</c:v>
                </c:pt>
                <c:pt idx="31">
                  <c:v>1.488451</c:v>
                </c:pt>
                <c:pt idx="32">
                  <c:v>1.905691</c:v>
                </c:pt>
                <c:pt idx="33">
                  <c:v>2.5099130000000001</c:v>
                </c:pt>
                <c:pt idx="34">
                  <c:v>3.1811310000000002</c:v>
                </c:pt>
                <c:pt idx="35">
                  <c:v>3.1792570000000002</c:v>
                </c:pt>
                <c:pt idx="36">
                  <c:v>3.0990250000000001</c:v>
                </c:pt>
                <c:pt idx="37">
                  <c:v>2.5920990000000002</c:v>
                </c:pt>
                <c:pt idx="38">
                  <c:v>2.183208</c:v>
                </c:pt>
                <c:pt idx="39">
                  <c:v>1.6585669999999999</c:v>
                </c:pt>
                <c:pt idx="40">
                  <c:v>1.274945</c:v>
                </c:pt>
                <c:pt idx="41">
                  <c:v>1.0587610000000001</c:v>
                </c:pt>
                <c:pt idx="42">
                  <c:v>0.96691959999999999</c:v>
                </c:pt>
                <c:pt idx="43">
                  <c:v>0.9739217</c:v>
                </c:pt>
                <c:pt idx="44">
                  <c:v>1.384193</c:v>
                </c:pt>
                <c:pt idx="45">
                  <c:v>1.7046220000000001</c:v>
                </c:pt>
                <c:pt idx="46">
                  <c:v>2.0469919999999999</c:v>
                </c:pt>
                <c:pt idx="47">
                  <c:v>2.4450449999999999</c:v>
                </c:pt>
                <c:pt idx="48">
                  <c:v>2.156174</c:v>
                </c:pt>
                <c:pt idx="49">
                  <c:v>1.8038829999999999</c:v>
                </c:pt>
                <c:pt idx="50">
                  <c:v>1.368403</c:v>
                </c:pt>
                <c:pt idx="51">
                  <c:v>1.0010030000000001</c:v>
                </c:pt>
                <c:pt idx="52">
                  <c:v>0.62397780000000003</c:v>
                </c:pt>
                <c:pt idx="53">
                  <c:v>0.4774468</c:v>
                </c:pt>
              </c:numCache>
            </c:numRef>
          </c:val>
          <c:extLst>
            <c:ext xmlns:c16="http://schemas.microsoft.com/office/drawing/2014/chart" uri="{C3380CC4-5D6E-409C-BE32-E72D297353CC}">
              <c16:uniqueId val="{00000001-A0ED-4DDC-AB1C-9FEFBD746AC8}"/>
            </c:ext>
          </c:extLst>
        </c:ser>
        <c:dLbls>
          <c:showLegendKey val="0"/>
          <c:showVal val="0"/>
          <c:showCatName val="0"/>
          <c:showSerName val="0"/>
          <c:showPercent val="0"/>
          <c:showBubbleSize val="0"/>
        </c:dLbls>
        <c:axId val="1482146559"/>
        <c:axId val="1482141151"/>
      </c:areaChart>
      <c:lineChart>
        <c:grouping val="standard"/>
        <c:varyColors val="0"/>
        <c:ser>
          <c:idx val="1"/>
          <c:order val="0"/>
          <c:tx>
            <c:strRef>
              <c:f>'SCRA MDA'!$D$1</c:f>
              <c:strCache>
                <c:ptCount val="1"/>
                <c:pt idx="0">
                  <c:v>Predicted number of cases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'SCRA MDA'!$A$2:$B$55</c:f>
              <c:multiLvlStrCache>
                <c:ptCount val="54"/>
                <c:lvl>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pt idx="12">
                    <c:v>July</c:v>
                  </c:pt>
                  <c:pt idx="13">
                    <c:v>August</c:v>
                  </c:pt>
                  <c:pt idx="14">
                    <c:v>September</c:v>
                  </c:pt>
                  <c:pt idx="15">
                    <c:v>October</c:v>
                  </c:pt>
                  <c:pt idx="16">
                    <c:v>November</c:v>
                  </c:pt>
                  <c:pt idx="17">
                    <c:v>December</c:v>
                  </c:pt>
                  <c:pt idx="18">
                    <c:v>January</c:v>
                  </c:pt>
                  <c:pt idx="19">
                    <c:v>February</c:v>
                  </c:pt>
                  <c:pt idx="20">
                    <c:v>March</c:v>
                  </c:pt>
                  <c:pt idx="21">
                    <c:v>April</c:v>
                  </c:pt>
                  <c:pt idx="22">
                    <c:v>May</c:v>
                  </c:pt>
                  <c:pt idx="23">
                    <c:v>June</c:v>
                  </c:pt>
                  <c:pt idx="24">
                    <c:v>July</c:v>
                  </c:pt>
                  <c:pt idx="25">
                    <c:v>August</c:v>
                  </c:pt>
                  <c:pt idx="26">
                    <c:v>September</c:v>
                  </c:pt>
                  <c:pt idx="27">
                    <c:v>October</c:v>
                  </c:pt>
                  <c:pt idx="28">
                    <c:v>November</c:v>
                  </c:pt>
                  <c:pt idx="29">
                    <c:v>December</c:v>
                  </c:pt>
                  <c:pt idx="30">
                    <c:v>January</c:v>
                  </c:pt>
                  <c:pt idx="31">
                    <c:v>February</c:v>
                  </c:pt>
                  <c:pt idx="32">
                    <c:v>March</c:v>
                  </c:pt>
                  <c:pt idx="33">
                    <c:v>April</c:v>
                  </c:pt>
                  <c:pt idx="34">
                    <c:v>May</c:v>
                  </c:pt>
                  <c:pt idx="35">
                    <c:v>June</c:v>
                  </c:pt>
                  <c:pt idx="36">
                    <c:v>July</c:v>
                  </c:pt>
                  <c:pt idx="37">
                    <c:v>August</c:v>
                  </c:pt>
                  <c:pt idx="38">
                    <c:v>September</c:v>
                  </c:pt>
                  <c:pt idx="39">
                    <c:v>October</c:v>
                  </c:pt>
                  <c:pt idx="40">
                    <c:v>November</c:v>
                  </c:pt>
                  <c:pt idx="41">
                    <c:v>December</c:v>
                  </c:pt>
                  <c:pt idx="42">
                    <c:v>January</c:v>
                  </c:pt>
                  <c:pt idx="43">
                    <c:v>February</c:v>
                  </c:pt>
                  <c:pt idx="44">
                    <c:v>March</c:v>
                  </c:pt>
                  <c:pt idx="45">
                    <c:v>April</c:v>
                  </c:pt>
                  <c:pt idx="46">
                    <c:v>May</c:v>
                  </c:pt>
                  <c:pt idx="47">
                    <c:v>June</c:v>
                  </c:pt>
                  <c:pt idx="48">
                    <c:v>July</c:v>
                  </c:pt>
                  <c:pt idx="49">
                    <c:v>August</c:v>
                  </c:pt>
                  <c:pt idx="50">
                    <c:v>September</c:v>
                  </c:pt>
                  <c:pt idx="51">
                    <c:v>October</c:v>
                  </c:pt>
                  <c:pt idx="52">
                    <c:v>November</c:v>
                  </c:pt>
                  <c:pt idx="53">
                    <c:v>December</c:v>
                  </c:pt>
                </c:lvl>
                <c:lvl>
                  <c:pt idx="0">
                    <c:v>2015</c:v>
                  </c:pt>
                  <c:pt idx="6">
                    <c:v>2016</c:v>
                  </c:pt>
                  <c:pt idx="18">
                    <c:v>2017</c:v>
                  </c:pt>
                  <c:pt idx="30">
                    <c:v>2018</c:v>
                  </c:pt>
                  <c:pt idx="42">
                    <c:v>2019</c:v>
                  </c:pt>
                </c:lvl>
              </c:multiLvlStrCache>
            </c:multiLvlStrRef>
          </c:cat>
          <c:val>
            <c:numRef>
              <c:f>'SCRA MDA'!$D$2:$D$55</c:f>
              <c:numCache>
                <c:formatCode>General</c:formatCode>
                <c:ptCount val="54"/>
                <c:pt idx="0">
                  <c:v>4.6125829999999999</c:v>
                </c:pt>
                <c:pt idx="1">
                  <c:v>4.7044860000000002</c:v>
                </c:pt>
                <c:pt idx="2">
                  <c:v>4.2706179999999998</c:v>
                </c:pt>
                <c:pt idx="3">
                  <c:v>3.954472</c:v>
                </c:pt>
                <c:pt idx="4">
                  <c:v>3.679144</c:v>
                </c:pt>
                <c:pt idx="5">
                  <c:v>3.7385009999999999</c:v>
                </c:pt>
                <c:pt idx="6">
                  <c:v>4.1752719999999997</c:v>
                </c:pt>
                <c:pt idx="7">
                  <c:v>5.4098569999999997</c:v>
                </c:pt>
                <c:pt idx="8">
                  <c:v>7.6676580000000003</c:v>
                </c:pt>
                <c:pt idx="9">
                  <c:v>10.65419</c:v>
                </c:pt>
                <c:pt idx="10">
                  <c:v>15.13322</c:v>
                </c:pt>
                <c:pt idx="11">
                  <c:v>7.7343590000000004</c:v>
                </c:pt>
                <c:pt idx="12">
                  <c:v>7.349755</c:v>
                </c:pt>
                <c:pt idx="13">
                  <c:v>6.3508909999999998</c:v>
                </c:pt>
                <c:pt idx="14">
                  <c:v>5.0167270000000004</c:v>
                </c:pt>
                <c:pt idx="15">
                  <c:v>3.9356100000000001</c:v>
                </c:pt>
                <c:pt idx="16">
                  <c:v>3.10216</c:v>
                </c:pt>
                <c:pt idx="17">
                  <c:v>2.670598</c:v>
                </c:pt>
                <c:pt idx="18">
                  <c:v>2.5953930000000001</c:v>
                </c:pt>
                <c:pt idx="19">
                  <c:v>2.8490359999999999</c:v>
                </c:pt>
                <c:pt idx="20">
                  <c:v>3.706887</c:v>
                </c:pt>
                <c:pt idx="21">
                  <c:v>4.4820279999999997</c:v>
                </c:pt>
                <c:pt idx="22">
                  <c:v>5.6899189999999997</c:v>
                </c:pt>
                <c:pt idx="23">
                  <c:v>6.4391990000000003</c:v>
                </c:pt>
                <c:pt idx="24">
                  <c:v>6.1189989999999996</c:v>
                </c:pt>
                <c:pt idx="25">
                  <c:v>5.2873999999999999</c:v>
                </c:pt>
                <c:pt idx="26">
                  <c:v>4.1766500000000004</c:v>
                </c:pt>
                <c:pt idx="27">
                  <c:v>3.2765710000000001</c:v>
                </c:pt>
                <c:pt idx="28">
                  <c:v>2.5145369999999998</c:v>
                </c:pt>
                <c:pt idx="29">
                  <c:v>2.223392</c:v>
                </c:pt>
                <c:pt idx="30">
                  <c:v>2.27949</c:v>
                </c:pt>
                <c:pt idx="31">
                  <c:v>2.5022609999999998</c:v>
                </c:pt>
                <c:pt idx="32">
                  <c:v>3.004715</c:v>
                </c:pt>
                <c:pt idx="33">
                  <c:v>3.7314880000000001</c:v>
                </c:pt>
                <c:pt idx="34">
                  <c:v>4.4904149999999996</c:v>
                </c:pt>
                <c:pt idx="35">
                  <c:v>5.2194630000000002</c:v>
                </c:pt>
                <c:pt idx="36">
                  <c:v>5.0943389999999997</c:v>
                </c:pt>
                <c:pt idx="37">
                  <c:v>4.4019959999999996</c:v>
                </c:pt>
                <c:pt idx="38">
                  <c:v>3.3854929999999999</c:v>
                </c:pt>
                <c:pt idx="39">
                  <c:v>2.517598</c:v>
                </c:pt>
                <c:pt idx="40">
                  <c:v>1.984442</c:v>
                </c:pt>
                <c:pt idx="41">
                  <c:v>1.7083740000000001</c:v>
                </c:pt>
                <c:pt idx="42">
                  <c:v>1.6602650000000001</c:v>
                </c:pt>
                <c:pt idx="43">
                  <c:v>1.8225199999999999</c:v>
                </c:pt>
                <c:pt idx="44">
                  <c:v>2.3087140000000002</c:v>
                </c:pt>
                <c:pt idx="45">
                  <c:v>2.86714</c:v>
                </c:pt>
                <c:pt idx="46">
                  <c:v>3.450272</c:v>
                </c:pt>
                <c:pt idx="47">
                  <c:v>3.9046219999999998</c:v>
                </c:pt>
                <c:pt idx="48">
                  <c:v>3.710458</c:v>
                </c:pt>
                <c:pt idx="49">
                  <c:v>3.206191</c:v>
                </c:pt>
                <c:pt idx="50">
                  <c:v>2.5326499999999998</c:v>
                </c:pt>
                <c:pt idx="51">
                  <c:v>1.9344300000000001</c:v>
                </c:pt>
                <c:pt idx="52">
                  <c:v>1.4845390000000001</c:v>
                </c:pt>
                <c:pt idx="53">
                  <c:v>1.278016</c:v>
                </c:pt>
              </c:numCache>
            </c:numRef>
          </c:val>
          <c:smooth val="0"/>
          <c:extLst>
            <c:ext xmlns:c16="http://schemas.microsoft.com/office/drawing/2014/chart" uri="{C3380CC4-5D6E-409C-BE32-E72D297353CC}">
              <c16:uniqueId val="{00000002-A0ED-4DDC-AB1C-9FEFBD746AC8}"/>
            </c:ext>
          </c:extLst>
        </c:ser>
        <c:ser>
          <c:idx val="0"/>
          <c:order val="1"/>
          <c:tx>
            <c:strRef>
              <c:f>'SCRA MDA'!$C$1</c:f>
              <c:strCache>
                <c:ptCount val="1"/>
                <c:pt idx="0">
                  <c:v>Observed number of cases</c:v>
                </c:pt>
              </c:strCache>
            </c:strRef>
          </c:tx>
          <c:spPr>
            <a:ln w="28575" cap="rnd">
              <a:noFill/>
              <a:round/>
            </a:ln>
            <a:effectLst/>
          </c:spPr>
          <c:marker>
            <c:symbol val="triangle"/>
            <c:size val="5"/>
            <c:spPr>
              <a:solidFill>
                <a:schemeClr val="tx1"/>
              </a:solidFill>
              <a:ln w="9525">
                <a:solidFill>
                  <a:schemeClr val="tx1"/>
                </a:solidFill>
              </a:ln>
              <a:effectLst/>
            </c:spPr>
          </c:marker>
          <c:cat>
            <c:multiLvlStrRef>
              <c:f>'SCRA MDA'!$A$2:$B$55</c:f>
              <c:multiLvlStrCache>
                <c:ptCount val="54"/>
                <c:lvl>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pt idx="12">
                    <c:v>July</c:v>
                  </c:pt>
                  <c:pt idx="13">
                    <c:v>August</c:v>
                  </c:pt>
                  <c:pt idx="14">
                    <c:v>September</c:v>
                  </c:pt>
                  <c:pt idx="15">
                    <c:v>October</c:v>
                  </c:pt>
                  <c:pt idx="16">
                    <c:v>November</c:v>
                  </c:pt>
                  <c:pt idx="17">
                    <c:v>December</c:v>
                  </c:pt>
                  <c:pt idx="18">
                    <c:v>January</c:v>
                  </c:pt>
                  <c:pt idx="19">
                    <c:v>February</c:v>
                  </c:pt>
                  <c:pt idx="20">
                    <c:v>March</c:v>
                  </c:pt>
                  <c:pt idx="21">
                    <c:v>April</c:v>
                  </c:pt>
                  <c:pt idx="22">
                    <c:v>May</c:v>
                  </c:pt>
                  <c:pt idx="23">
                    <c:v>June</c:v>
                  </c:pt>
                  <c:pt idx="24">
                    <c:v>July</c:v>
                  </c:pt>
                  <c:pt idx="25">
                    <c:v>August</c:v>
                  </c:pt>
                  <c:pt idx="26">
                    <c:v>September</c:v>
                  </c:pt>
                  <c:pt idx="27">
                    <c:v>October</c:v>
                  </c:pt>
                  <c:pt idx="28">
                    <c:v>November</c:v>
                  </c:pt>
                  <c:pt idx="29">
                    <c:v>December</c:v>
                  </c:pt>
                  <c:pt idx="30">
                    <c:v>January</c:v>
                  </c:pt>
                  <c:pt idx="31">
                    <c:v>February</c:v>
                  </c:pt>
                  <c:pt idx="32">
                    <c:v>March</c:v>
                  </c:pt>
                  <c:pt idx="33">
                    <c:v>April</c:v>
                  </c:pt>
                  <c:pt idx="34">
                    <c:v>May</c:v>
                  </c:pt>
                  <c:pt idx="35">
                    <c:v>June</c:v>
                  </c:pt>
                  <c:pt idx="36">
                    <c:v>July</c:v>
                  </c:pt>
                  <c:pt idx="37">
                    <c:v>August</c:v>
                  </c:pt>
                  <c:pt idx="38">
                    <c:v>September</c:v>
                  </c:pt>
                  <c:pt idx="39">
                    <c:v>October</c:v>
                  </c:pt>
                  <c:pt idx="40">
                    <c:v>November</c:v>
                  </c:pt>
                  <c:pt idx="41">
                    <c:v>December</c:v>
                  </c:pt>
                  <c:pt idx="42">
                    <c:v>January</c:v>
                  </c:pt>
                  <c:pt idx="43">
                    <c:v>February</c:v>
                  </c:pt>
                  <c:pt idx="44">
                    <c:v>March</c:v>
                  </c:pt>
                  <c:pt idx="45">
                    <c:v>April</c:v>
                  </c:pt>
                  <c:pt idx="46">
                    <c:v>May</c:v>
                  </c:pt>
                  <c:pt idx="47">
                    <c:v>June</c:v>
                  </c:pt>
                  <c:pt idx="48">
                    <c:v>July</c:v>
                  </c:pt>
                  <c:pt idx="49">
                    <c:v>August</c:v>
                  </c:pt>
                  <c:pt idx="50">
                    <c:v>September</c:v>
                  </c:pt>
                  <c:pt idx="51">
                    <c:v>October</c:v>
                  </c:pt>
                  <c:pt idx="52">
                    <c:v>November</c:v>
                  </c:pt>
                  <c:pt idx="53">
                    <c:v>December</c:v>
                  </c:pt>
                </c:lvl>
                <c:lvl>
                  <c:pt idx="0">
                    <c:v>2015</c:v>
                  </c:pt>
                  <c:pt idx="6">
                    <c:v>2016</c:v>
                  </c:pt>
                  <c:pt idx="18">
                    <c:v>2017</c:v>
                  </c:pt>
                  <c:pt idx="30">
                    <c:v>2018</c:v>
                  </c:pt>
                  <c:pt idx="42">
                    <c:v>2019</c:v>
                  </c:pt>
                </c:lvl>
              </c:multiLvlStrCache>
            </c:multiLvlStrRef>
          </c:cat>
          <c:val>
            <c:numRef>
              <c:f>'SCRA MDA'!$C$2:$C$55</c:f>
              <c:numCache>
                <c:formatCode>General</c:formatCode>
                <c:ptCount val="54"/>
                <c:pt idx="0">
                  <c:v>5</c:v>
                </c:pt>
                <c:pt idx="1">
                  <c:v>3</c:v>
                </c:pt>
                <c:pt idx="2">
                  <c:v>6</c:v>
                </c:pt>
                <c:pt idx="3">
                  <c:v>6</c:v>
                </c:pt>
                <c:pt idx="4">
                  <c:v>1</c:v>
                </c:pt>
                <c:pt idx="5">
                  <c:v>0</c:v>
                </c:pt>
                <c:pt idx="6">
                  <c:v>5</c:v>
                </c:pt>
                <c:pt idx="7">
                  <c:v>8</c:v>
                </c:pt>
                <c:pt idx="8">
                  <c:v>7</c:v>
                </c:pt>
                <c:pt idx="9">
                  <c:v>19</c:v>
                </c:pt>
                <c:pt idx="10">
                  <c:v>8</c:v>
                </c:pt>
                <c:pt idx="11">
                  <c:v>7</c:v>
                </c:pt>
                <c:pt idx="12">
                  <c:v>3</c:v>
                </c:pt>
                <c:pt idx="13">
                  <c:v>6</c:v>
                </c:pt>
                <c:pt idx="14">
                  <c:v>6</c:v>
                </c:pt>
                <c:pt idx="15">
                  <c:v>5</c:v>
                </c:pt>
                <c:pt idx="16">
                  <c:v>3</c:v>
                </c:pt>
                <c:pt idx="17">
                  <c:v>1</c:v>
                </c:pt>
                <c:pt idx="18">
                  <c:v>1</c:v>
                </c:pt>
                <c:pt idx="19">
                  <c:v>4</c:v>
                </c:pt>
                <c:pt idx="20">
                  <c:v>6</c:v>
                </c:pt>
                <c:pt idx="21">
                  <c:v>4</c:v>
                </c:pt>
                <c:pt idx="22">
                  <c:v>8</c:v>
                </c:pt>
                <c:pt idx="23">
                  <c:v>9</c:v>
                </c:pt>
                <c:pt idx="24">
                  <c:v>4</c:v>
                </c:pt>
                <c:pt idx="25">
                  <c:v>12</c:v>
                </c:pt>
                <c:pt idx="26">
                  <c:v>5</c:v>
                </c:pt>
                <c:pt idx="27">
                  <c:v>2</c:v>
                </c:pt>
                <c:pt idx="28">
                  <c:v>1</c:v>
                </c:pt>
                <c:pt idx="29">
                  <c:v>2</c:v>
                </c:pt>
                <c:pt idx="30">
                  <c:v>3</c:v>
                </c:pt>
                <c:pt idx="31">
                  <c:v>3</c:v>
                </c:pt>
                <c:pt idx="32">
                  <c:v>2</c:v>
                </c:pt>
                <c:pt idx="33">
                  <c:v>3</c:v>
                </c:pt>
                <c:pt idx="34">
                  <c:v>3</c:v>
                </c:pt>
                <c:pt idx="35">
                  <c:v>8</c:v>
                </c:pt>
                <c:pt idx="36">
                  <c:v>4</c:v>
                </c:pt>
                <c:pt idx="37">
                  <c:v>4</c:v>
                </c:pt>
                <c:pt idx="38">
                  <c:v>3</c:v>
                </c:pt>
                <c:pt idx="39">
                  <c:v>3</c:v>
                </c:pt>
                <c:pt idx="40">
                  <c:v>0</c:v>
                </c:pt>
                <c:pt idx="41">
                  <c:v>3</c:v>
                </c:pt>
                <c:pt idx="42">
                  <c:v>2</c:v>
                </c:pt>
                <c:pt idx="43">
                  <c:v>1</c:v>
                </c:pt>
                <c:pt idx="44">
                  <c:v>2</c:v>
                </c:pt>
                <c:pt idx="45">
                  <c:v>2</c:v>
                </c:pt>
                <c:pt idx="46">
                  <c:v>1</c:v>
                </c:pt>
                <c:pt idx="47">
                  <c:v>0</c:v>
                </c:pt>
                <c:pt idx="48">
                  <c:v>7</c:v>
                </c:pt>
                <c:pt idx="49">
                  <c:v>5</c:v>
                </c:pt>
                <c:pt idx="50">
                  <c:v>0</c:v>
                </c:pt>
                <c:pt idx="51">
                  <c:v>3</c:v>
                </c:pt>
                <c:pt idx="52">
                  <c:v>3</c:v>
                </c:pt>
                <c:pt idx="53">
                  <c:v>2</c:v>
                </c:pt>
              </c:numCache>
            </c:numRef>
          </c:val>
          <c:smooth val="0"/>
          <c:extLst>
            <c:ext xmlns:c16="http://schemas.microsoft.com/office/drawing/2014/chart" uri="{C3380CC4-5D6E-409C-BE32-E72D297353CC}">
              <c16:uniqueId val="{00000003-A0ED-4DDC-AB1C-9FEFBD746AC8}"/>
            </c:ext>
          </c:extLst>
        </c:ser>
        <c:ser>
          <c:idx val="2"/>
          <c:order val="2"/>
          <c:tx>
            <c:strRef>
              <c:f>'SCRA MDA'!$E$1</c:f>
              <c:strCache>
                <c:ptCount val="1"/>
                <c:pt idx="0">
                  <c:v>Lower bound CI</c:v>
                </c:pt>
              </c:strCache>
            </c:strRef>
          </c:tx>
          <c:spPr>
            <a:ln w="28575" cap="rnd">
              <a:noFill/>
              <a:round/>
            </a:ln>
            <a:effectLst/>
          </c:spPr>
          <c:marker>
            <c:symbol val="circle"/>
            <c:size val="5"/>
            <c:spPr>
              <a:noFill/>
              <a:ln w="9525">
                <a:noFill/>
              </a:ln>
              <a:effectLst/>
            </c:spPr>
          </c:marker>
          <c:cat>
            <c:multiLvlStrRef>
              <c:f>'SCRA MDA'!$A$2:$B$55</c:f>
              <c:multiLvlStrCache>
                <c:ptCount val="54"/>
                <c:lvl>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pt idx="12">
                    <c:v>July</c:v>
                  </c:pt>
                  <c:pt idx="13">
                    <c:v>August</c:v>
                  </c:pt>
                  <c:pt idx="14">
                    <c:v>September</c:v>
                  </c:pt>
                  <c:pt idx="15">
                    <c:v>October</c:v>
                  </c:pt>
                  <c:pt idx="16">
                    <c:v>November</c:v>
                  </c:pt>
                  <c:pt idx="17">
                    <c:v>December</c:v>
                  </c:pt>
                  <c:pt idx="18">
                    <c:v>January</c:v>
                  </c:pt>
                  <c:pt idx="19">
                    <c:v>February</c:v>
                  </c:pt>
                  <c:pt idx="20">
                    <c:v>March</c:v>
                  </c:pt>
                  <c:pt idx="21">
                    <c:v>April</c:v>
                  </c:pt>
                  <c:pt idx="22">
                    <c:v>May</c:v>
                  </c:pt>
                  <c:pt idx="23">
                    <c:v>June</c:v>
                  </c:pt>
                  <c:pt idx="24">
                    <c:v>July</c:v>
                  </c:pt>
                  <c:pt idx="25">
                    <c:v>August</c:v>
                  </c:pt>
                  <c:pt idx="26">
                    <c:v>September</c:v>
                  </c:pt>
                  <c:pt idx="27">
                    <c:v>October</c:v>
                  </c:pt>
                  <c:pt idx="28">
                    <c:v>November</c:v>
                  </c:pt>
                  <c:pt idx="29">
                    <c:v>December</c:v>
                  </c:pt>
                  <c:pt idx="30">
                    <c:v>January</c:v>
                  </c:pt>
                  <c:pt idx="31">
                    <c:v>February</c:v>
                  </c:pt>
                  <c:pt idx="32">
                    <c:v>March</c:v>
                  </c:pt>
                  <c:pt idx="33">
                    <c:v>April</c:v>
                  </c:pt>
                  <c:pt idx="34">
                    <c:v>May</c:v>
                  </c:pt>
                  <c:pt idx="35">
                    <c:v>June</c:v>
                  </c:pt>
                  <c:pt idx="36">
                    <c:v>July</c:v>
                  </c:pt>
                  <c:pt idx="37">
                    <c:v>August</c:v>
                  </c:pt>
                  <c:pt idx="38">
                    <c:v>September</c:v>
                  </c:pt>
                  <c:pt idx="39">
                    <c:v>October</c:v>
                  </c:pt>
                  <c:pt idx="40">
                    <c:v>November</c:v>
                  </c:pt>
                  <c:pt idx="41">
                    <c:v>December</c:v>
                  </c:pt>
                  <c:pt idx="42">
                    <c:v>January</c:v>
                  </c:pt>
                  <c:pt idx="43">
                    <c:v>February</c:v>
                  </c:pt>
                  <c:pt idx="44">
                    <c:v>March</c:v>
                  </c:pt>
                  <c:pt idx="45">
                    <c:v>April</c:v>
                  </c:pt>
                  <c:pt idx="46">
                    <c:v>May</c:v>
                  </c:pt>
                  <c:pt idx="47">
                    <c:v>June</c:v>
                  </c:pt>
                  <c:pt idx="48">
                    <c:v>July</c:v>
                  </c:pt>
                  <c:pt idx="49">
                    <c:v>August</c:v>
                  </c:pt>
                  <c:pt idx="50">
                    <c:v>September</c:v>
                  </c:pt>
                  <c:pt idx="51">
                    <c:v>October</c:v>
                  </c:pt>
                  <c:pt idx="52">
                    <c:v>November</c:v>
                  </c:pt>
                  <c:pt idx="53">
                    <c:v>December</c:v>
                  </c:pt>
                </c:lvl>
                <c:lvl>
                  <c:pt idx="0">
                    <c:v>2015</c:v>
                  </c:pt>
                  <c:pt idx="6">
                    <c:v>2016</c:v>
                  </c:pt>
                  <c:pt idx="18">
                    <c:v>2017</c:v>
                  </c:pt>
                  <c:pt idx="30">
                    <c:v>2018</c:v>
                  </c:pt>
                  <c:pt idx="42">
                    <c:v>2019</c:v>
                  </c:pt>
                </c:lvl>
              </c:multiLvlStrCache>
            </c:multiLvlStrRef>
          </c:cat>
          <c:val>
            <c:numRef>
              <c:f>'SCRA MDA'!$E$2:$E$55</c:f>
              <c:numCache>
                <c:formatCode>General</c:formatCode>
                <c:ptCount val="54"/>
                <c:pt idx="0">
                  <c:v>1.5945579999999999</c:v>
                </c:pt>
                <c:pt idx="1">
                  <c:v>2.2031209999999999</c:v>
                </c:pt>
                <c:pt idx="2">
                  <c:v>2.276843</c:v>
                </c:pt>
                <c:pt idx="3">
                  <c:v>2.2655319999999999</c:v>
                </c:pt>
                <c:pt idx="4">
                  <c:v>2.1151490000000002</c:v>
                </c:pt>
                <c:pt idx="5">
                  <c:v>2.1424470000000002</c:v>
                </c:pt>
                <c:pt idx="6">
                  <c:v>2.6311260000000001</c:v>
                </c:pt>
                <c:pt idx="7">
                  <c:v>3.4932340000000002</c:v>
                </c:pt>
                <c:pt idx="8">
                  <c:v>4.9863590000000002</c:v>
                </c:pt>
                <c:pt idx="9">
                  <c:v>6.7212189999999996</c:v>
                </c:pt>
                <c:pt idx="10">
                  <c:v>8.607621</c:v>
                </c:pt>
                <c:pt idx="11">
                  <c:v>4.9976120000000002</c:v>
                </c:pt>
                <c:pt idx="12">
                  <c:v>4.6513429999999998</c:v>
                </c:pt>
                <c:pt idx="13">
                  <c:v>4.014716</c:v>
                </c:pt>
                <c:pt idx="14">
                  <c:v>3.102598</c:v>
                </c:pt>
                <c:pt idx="15">
                  <c:v>2.4874939999999999</c:v>
                </c:pt>
                <c:pt idx="16">
                  <c:v>1.91449</c:v>
                </c:pt>
                <c:pt idx="17">
                  <c:v>1.59066</c:v>
                </c:pt>
                <c:pt idx="18">
                  <c:v>1.458858</c:v>
                </c:pt>
                <c:pt idx="19">
                  <c:v>1.4852019999999999</c:v>
                </c:pt>
                <c:pt idx="20">
                  <c:v>2.3177129999999999</c:v>
                </c:pt>
                <c:pt idx="21">
                  <c:v>2.8234340000000002</c:v>
                </c:pt>
                <c:pt idx="22">
                  <c:v>3.9378359999999999</c:v>
                </c:pt>
                <c:pt idx="23">
                  <c:v>4.325342</c:v>
                </c:pt>
                <c:pt idx="24">
                  <c:v>4.5510510000000002</c:v>
                </c:pt>
                <c:pt idx="25">
                  <c:v>3.8516020000000002</c:v>
                </c:pt>
                <c:pt idx="26">
                  <c:v>2.9431590000000001</c:v>
                </c:pt>
                <c:pt idx="27">
                  <c:v>2.0927090000000002</c:v>
                </c:pt>
                <c:pt idx="28">
                  <c:v>1.704107</c:v>
                </c:pt>
                <c:pt idx="29">
                  <c:v>1.4537659999999999</c:v>
                </c:pt>
                <c:pt idx="30">
                  <c:v>1.2586349999999999</c:v>
                </c:pt>
                <c:pt idx="31">
                  <c:v>1.488451</c:v>
                </c:pt>
                <c:pt idx="32">
                  <c:v>1.905691</c:v>
                </c:pt>
                <c:pt idx="33">
                  <c:v>2.5099130000000001</c:v>
                </c:pt>
                <c:pt idx="34">
                  <c:v>3.1811310000000002</c:v>
                </c:pt>
                <c:pt idx="35">
                  <c:v>3.1792570000000002</c:v>
                </c:pt>
                <c:pt idx="36">
                  <c:v>3.0990250000000001</c:v>
                </c:pt>
                <c:pt idx="37">
                  <c:v>2.5920990000000002</c:v>
                </c:pt>
                <c:pt idx="38">
                  <c:v>2.183208</c:v>
                </c:pt>
                <c:pt idx="39">
                  <c:v>1.6585669999999999</c:v>
                </c:pt>
                <c:pt idx="40">
                  <c:v>1.274945</c:v>
                </c:pt>
                <c:pt idx="41">
                  <c:v>1.0587610000000001</c:v>
                </c:pt>
                <c:pt idx="42">
                  <c:v>0.96691959999999999</c:v>
                </c:pt>
                <c:pt idx="43">
                  <c:v>0.9739217</c:v>
                </c:pt>
                <c:pt idx="44">
                  <c:v>1.384193</c:v>
                </c:pt>
                <c:pt idx="45">
                  <c:v>1.7046220000000001</c:v>
                </c:pt>
                <c:pt idx="46">
                  <c:v>2.0469919999999999</c:v>
                </c:pt>
                <c:pt idx="47">
                  <c:v>2.4450449999999999</c:v>
                </c:pt>
                <c:pt idx="48">
                  <c:v>2.156174</c:v>
                </c:pt>
                <c:pt idx="49">
                  <c:v>1.8038829999999999</c:v>
                </c:pt>
                <c:pt idx="50">
                  <c:v>1.368403</c:v>
                </c:pt>
                <c:pt idx="51">
                  <c:v>1.0010030000000001</c:v>
                </c:pt>
                <c:pt idx="52">
                  <c:v>0.62397780000000003</c:v>
                </c:pt>
                <c:pt idx="53">
                  <c:v>0.4774468</c:v>
                </c:pt>
              </c:numCache>
            </c:numRef>
          </c:val>
          <c:smooth val="0"/>
          <c:extLst>
            <c:ext xmlns:c16="http://schemas.microsoft.com/office/drawing/2014/chart" uri="{C3380CC4-5D6E-409C-BE32-E72D297353CC}">
              <c16:uniqueId val="{00000004-A0ED-4DDC-AB1C-9FEFBD746AC8}"/>
            </c:ext>
          </c:extLst>
        </c:ser>
        <c:dLbls>
          <c:showLegendKey val="0"/>
          <c:showVal val="0"/>
          <c:showCatName val="0"/>
          <c:showSerName val="0"/>
          <c:showPercent val="0"/>
          <c:showBubbleSize val="0"/>
        </c:dLbls>
        <c:marker val="1"/>
        <c:smooth val="0"/>
        <c:axId val="1482146559"/>
        <c:axId val="1482141151"/>
      </c:lineChart>
      <c:catAx>
        <c:axId val="14821465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82141151"/>
        <c:crosses val="autoZero"/>
        <c:auto val="1"/>
        <c:lblAlgn val="ctr"/>
        <c:lblOffset val="100"/>
        <c:noMultiLvlLbl val="0"/>
      </c:catAx>
      <c:valAx>
        <c:axId val="1482141151"/>
        <c:scaling>
          <c:orientation val="minMax"/>
          <c:max val="25"/>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82146559"/>
        <c:crosses val="autoZero"/>
        <c:crossBetween val="between"/>
      </c:valAx>
      <c:spPr>
        <a:noFill/>
        <a:ln>
          <a:noFill/>
        </a:ln>
        <a:effectLst/>
      </c:spPr>
    </c:plotArea>
    <c:legend>
      <c:legendPos val="b"/>
      <c:legendEntry>
        <c:idx val="1"/>
        <c:delete val="1"/>
      </c:legendEntry>
      <c:legendEntry>
        <c:idx val="4"/>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764331210191081E-2"/>
          <c:y val="0.112333487725799"/>
          <c:w val="0.93255201698513801"/>
          <c:h val="0.45424579280531108"/>
        </c:manualLayout>
      </c:layout>
      <c:areaChart>
        <c:grouping val="standard"/>
        <c:varyColors val="0"/>
        <c:ser>
          <c:idx val="3"/>
          <c:order val="3"/>
          <c:tx>
            <c:strRef>
              <c:f>'non-SCRA MDA'!$F$1</c:f>
              <c:strCache>
                <c:ptCount val="1"/>
                <c:pt idx="0">
                  <c:v>95% CI bands of predictions</c:v>
                </c:pt>
              </c:strCache>
            </c:strRef>
          </c:tx>
          <c:spPr>
            <a:solidFill>
              <a:schemeClr val="bg1">
                <a:lumMod val="85000"/>
              </a:schemeClr>
            </a:solidFill>
            <a:ln>
              <a:noFill/>
            </a:ln>
            <a:effectLst/>
          </c:spPr>
          <c:cat>
            <c:multiLvlStrRef>
              <c:f>'non-SCRA MDA'!$A$2:$B$55</c:f>
              <c:multiLvlStrCache>
                <c:ptCount val="54"/>
                <c:lvl>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pt idx="12">
                    <c:v>July</c:v>
                  </c:pt>
                  <c:pt idx="13">
                    <c:v>August</c:v>
                  </c:pt>
                  <c:pt idx="14">
                    <c:v>September</c:v>
                  </c:pt>
                  <c:pt idx="15">
                    <c:v>October</c:v>
                  </c:pt>
                  <c:pt idx="16">
                    <c:v>November</c:v>
                  </c:pt>
                  <c:pt idx="17">
                    <c:v>December</c:v>
                  </c:pt>
                  <c:pt idx="18">
                    <c:v>January</c:v>
                  </c:pt>
                  <c:pt idx="19">
                    <c:v>February</c:v>
                  </c:pt>
                  <c:pt idx="20">
                    <c:v>March</c:v>
                  </c:pt>
                  <c:pt idx="21">
                    <c:v>April</c:v>
                  </c:pt>
                  <c:pt idx="22">
                    <c:v>May</c:v>
                  </c:pt>
                  <c:pt idx="23">
                    <c:v>June</c:v>
                  </c:pt>
                  <c:pt idx="24">
                    <c:v>July</c:v>
                  </c:pt>
                  <c:pt idx="25">
                    <c:v>August</c:v>
                  </c:pt>
                  <c:pt idx="26">
                    <c:v>September</c:v>
                  </c:pt>
                  <c:pt idx="27">
                    <c:v>October</c:v>
                  </c:pt>
                  <c:pt idx="28">
                    <c:v>November</c:v>
                  </c:pt>
                  <c:pt idx="29">
                    <c:v>December</c:v>
                  </c:pt>
                  <c:pt idx="30">
                    <c:v>January</c:v>
                  </c:pt>
                  <c:pt idx="31">
                    <c:v>February</c:v>
                  </c:pt>
                  <c:pt idx="32">
                    <c:v>March</c:v>
                  </c:pt>
                  <c:pt idx="33">
                    <c:v>April</c:v>
                  </c:pt>
                  <c:pt idx="34">
                    <c:v>May</c:v>
                  </c:pt>
                  <c:pt idx="35">
                    <c:v>June</c:v>
                  </c:pt>
                  <c:pt idx="36">
                    <c:v>July</c:v>
                  </c:pt>
                  <c:pt idx="37">
                    <c:v>August</c:v>
                  </c:pt>
                  <c:pt idx="38">
                    <c:v>September</c:v>
                  </c:pt>
                  <c:pt idx="39">
                    <c:v>October</c:v>
                  </c:pt>
                  <c:pt idx="40">
                    <c:v>November</c:v>
                  </c:pt>
                  <c:pt idx="41">
                    <c:v>December</c:v>
                  </c:pt>
                  <c:pt idx="42">
                    <c:v>January</c:v>
                  </c:pt>
                  <c:pt idx="43">
                    <c:v>February</c:v>
                  </c:pt>
                  <c:pt idx="44">
                    <c:v>March</c:v>
                  </c:pt>
                  <c:pt idx="45">
                    <c:v>April</c:v>
                  </c:pt>
                  <c:pt idx="46">
                    <c:v>May</c:v>
                  </c:pt>
                  <c:pt idx="47">
                    <c:v>June</c:v>
                  </c:pt>
                  <c:pt idx="48">
                    <c:v>July</c:v>
                  </c:pt>
                  <c:pt idx="49">
                    <c:v>August</c:v>
                  </c:pt>
                  <c:pt idx="50">
                    <c:v>September</c:v>
                  </c:pt>
                  <c:pt idx="51">
                    <c:v>October</c:v>
                  </c:pt>
                  <c:pt idx="52">
                    <c:v>November</c:v>
                  </c:pt>
                  <c:pt idx="53">
                    <c:v>December</c:v>
                  </c:pt>
                </c:lvl>
                <c:lvl>
                  <c:pt idx="0">
                    <c:v>2015</c:v>
                  </c:pt>
                  <c:pt idx="6">
                    <c:v>2016</c:v>
                  </c:pt>
                  <c:pt idx="18">
                    <c:v>2017</c:v>
                  </c:pt>
                  <c:pt idx="30">
                    <c:v>2018</c:v>
                  </c:pt>
                  <c:pt idx="42">
                    <c:v>2019</c:v>
                  </c:pt>
                </c:lvl>
              </c:multiLvlStrCache>
            </c:multiLvlStrRef>
          </c:cat>
          <c:val>
            <c:numRef>
              <c:f>'non-SCRA MDA'!$F$2:$F$55</c:f>
              <c:numCache>
                <c:formatCode>General</c:formatCode>
                <c:ptCount val="54"/>
                <c:pt idx="0">
                  <c:v>9.8990299999999998</c:v>
                </c:pt>
                <c:pt idx="1">
                  <c:v>8.7260240000000007</c:v>
                </c:pt>
                <c:pt idx="2">
                  <c:v>7.896401</c:v>
                </c:pt>
                <c:pt idx="3">
                  <c:v>6.0975979999999996</c:v>
                </c:pt>
                <c:pt idx="4">
                  <c:v>5.2540230000000001</c:v>
                </c:pt>
                <c:pt idx="5">
                  <c:v>4.8144130000000001</c:v>
                </c:pt>
                <c:pt idx="6">
                  <c:v>4.8767969999999998</c:v>
                </c:pt>
                <c:pt idx="7">
                  <c:v>5.212332</c:v>
                </c:pt>
                <c:pt idx="8">
                  <c:v>5.9347070000000004</c:v>
                </c:pt>
                <c:pt idx="9">
                  <c:v>7.568962</c:v>
                </c:pt>
                <c:pt idx="10">
                  <c:v>8.6818369999999998</c:v>
                </c:pt>
                <c:pt idx="11">
                  <c:v>9.5121099999999998</c:v>
                </c:pt>
                <c:pt idx="12">
                  <c:v>10.929410000000001</c:v>
                </c:pt>
                <c:pt idx="13">
                  <c:v>10.93242</c:v>
                </c:pt>
                <c:pt idx="14">
                  <c:v>10.30128</c:v>
                </c:pt>
                <c:pt idx="15">
                  <c:v>8.8229810000000004</c:v>
                </c:pt>
                <c:pt idx="16">
                  <c:v>8.2924450000000007</c:v>
                </c:pt>
                <c:pt idx="17">
                  <c:v>8.2994000000000003</c:v>
                </c:pt>
                <c:pt idx="18">
                  <c:v>10.87223</c:v>
                </c:pt>
                <c:pt idx="19">
                  <c:v>12.040979999999999</c:v>
                </c:pt>
                <c:pt idx="20">
                  <c:v>10.37355</c:v>
                </c:pt>
                <c:pt idx="21">
                  <c:v>13.79466</c:v>
                </c:pt>
                <c:pt idx="22">
                  <c:v>13.38944</c:v>
                </c:pt>
                <c:pt idx="23">
                  <c:v>13.97114</c:v>
                </c:pt>
                <c:pt idx="24">
                  <c:v>15.309010000000001</c:v>
                </c:pt>
                <c:pt idx="25">
                  <c:v>14.42001</c:v>
                </c:pt>
                <c:pt idx="26">
                  <c:v>12.699149999999999</c:v>
                </c:pt>
                <c:pt idx="27">
                  <c:v>10.35285</c:v>
                </c:pt>
                <c:pt idx="28">
                  <c:v>9.3784069999999993</c:v>
                </c:pt>
                <c:pt idx="29">
                  <c:v>8.1328379999999996</c:v>
                </c:pt>
                <c:pt idx="30">
                  <c:v>7.6793360000000002</c:v>
                </c:pt>
                <c:pt idx="31">
                  <c:v>8.0170399999999997</c:v>
                </c:pt>
                <c:pt idx="32">
                  <c:v>8.9441640000000007</c:v>
                </c:pt>
                <c:pt idx="33">
                  <c:v>10.382389999999999</c:v>
                </c:pt>
                <c:pt idx="34">
                  <c:v>12.034219999999999</c:v>
                </c:pt>
                <c:pt idx="35">
                  <c:v>12.537430000000001</c:v>
                </c:pt>
                <c:pt idx="36">
                  <c:v>12.805339999999999</c:v>
                </c:pt>
                <c:pt idx="37">
                  <c:v>12.174429999999999</c:v>
                </c:pt>
                <c:pt idx="38">
                  <c:v>10.96848</c:v>
                </c:pt>
                <c:pt idx="39">
                  <c:v>9.8039439999999995</c:v>
                </c:pt>
                <c:pt idx="40">
                  <c:v>8.5991959999999992</c:v>
                </c:pt>
                <c:pt idx="41">
                  <c:v>7.9810270000000001</c:v>
                </c:pt>
                <c:pt idx="42">
                  <c:v>8.0791109999999993</c:v>
                </c:pt>
                <c:pt idx="43">
                  <c:v>8.9972320000000003</c:v>
                </c:pt>
                <c:pt idx="44">
                  <c:v>9.1209500000000006</c:v>
                </c:pt>
                <c:pt idx="45">
                  <c:v>10.873530000000001</c:v>
                </c:pt>
                <c:pt idx="46">
                  <c:v>12.81507</c:v>
                </c:pt>
                <c:pt idx="47">
                  <c:v>13.154529999999999</c:v>
                </c:pt>
                <c:pt idx="48">
                  <c:v>14.516450000000001</c:v>
                </c:pt>
                <c:pt idx="49">
                  <c:v>13.578849999999999</c:v>
                </c:pt>
                <c:pt idx="50">
                  <c:v>11.95844</c:v>
                </c:pt>
                <c:pt idx="51">
                  <c:v>10.3254</c:v>
                </c:pt>
                <c:pt idx="52">
                  <c:v>10.0143</c:v>
                </c:pt>
                <c:pt idx="53">
                  <c:v>9.4638150000000003</c:v>
                </c:pt>
              </c:numCache>
            </c:numRef>
          </c:val>
          <c:extLst>
            <c:ext xmlns:c16="http://schemas.microsoft.com/office/drawing/2014/chart" uri="{C3380CC4-5D6E-409C-BE32-E72D297353CC}">
              <c16:uniqueId val="{00000000-8471-4E34-A3CD-07C65CCE5599}"/>
            </c:ext>
          </c:extLst>
        </c:ser>
        <c:ser>
          <c:idx val="4"/>
          <c:order val="4"/>
          <c:tx>
            <c:strRef>
              <c:f>'non-SCRA MDA'!$G$1</c:f>
              <c:strCache>
                <c:ptCount val="1"/>
                <c:pt idx="0">
                  <c:v>lb1_nonscra_mda</c:v>
                </c:pt>
              </c:strCache>
            </c:strRef>
          </c:tx>
          <c:spPr>
            <a:solidFill>
              <a:schemeClr val="bg1"/>
            </a:solidFill>
            <a:ln>
              <a:noFill/>
            </a:ln>
            <a:effectLst/>
          </c:spPr>
          <c:cat>
            <c:multiLvlStrRef>
              <c:f>'non-SCRA MDA'!$A$2:$B$55</c:f>
              <c:multiLvlStrCache>
                <c:ptCount val="54"/>
                <c:lvl>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pt idx="12">
                    <c:v>July</c:v>
                  </c:pt>
                  <c:pt idx="13">
                    <c:v>August</c:v>
                  </c:pt>
                  <c:pt idx="14">
                    <c:v>September</c:v>
                  </c:pt>
                  <c:pt idx="15">
                    <c:v>October</c:v>
                  </c:pt>
                  <c:pt idx="16">
                    <c:v>November</c:v>
                  </c:pt>
                  <c:pt idx="17">
                    <c:v>December</c:v>
                  </c:pt>
                  <c:pt idx="18">
                    <c:v>January</c:v>
                  </c:pt>
                  <c:pt idx="19">
                    <c:v>February</c:v>
                  </c:pt>
                  <c:pt idx="20">
                    <c:v>March</c:v>
                  </c:pt>
                  <c:pt idx="21">
                    <c:v>April</c:v>
                  </c:pt>
                  <c:pt idx="22">
                    <c:v>May</c:v>
                  </c:pt>
                  <c:pt idx="23">
                    <c:v>June</c:v>
                  </c:pt>
                  <c:pt idx="24">
                    <c:v>July</c:v>
                  </c:pt>
                  <c:pt idx="25">
                    <c:v>August</c:v>
                  </c:pt>
                  <c:pt idx="26">
                    <c:v>September</c:v>
                  </c:pt>
                  <c:pt idx="27">
                    <c:v>October</c:v>
                  </c:pt>
                  <c:pt idx="28">
                    <c:v>November</c:v>
                  </c:pt>
                  <c:pt idx="29">
                    <c:v>December</c:v>
                  </c:pt>
                  <c:pt idx="30">
                    <c:v>January</c:v>
                  </c:pt>
                  <c:pt idx="31">
                    <c:v>February</c:v>
                  </c:pt>
                  <c:pt idx="32">
                    <c:v>March</c:v>
                  </c:pt>
                  <c:pt idx="33">
                    <c:v>April</c:v>
                  </c:pt>
                  <c:pt idx="34">
                    <c:v>May</c:v>
                  </c:pt>
                  <c:pt idx="35">
                    <c:v>June</c:v>
                  </c:pt>
                  <c:pt idx="36">
                    <c:v>July</c:v>
                  </c:pt>
                  <c:pt idx="37">
                    <c:v>August</c:v>
                  </c:pt>
                  <c:pt idx="38">
                    <c:v>September</c:v>
                  </c:pt>
                  <c:pt idx="39">
                    <c:v>October</c:v>
                  </c:pt>
                  <c:pt idx="40">
                    <c:v>November</c:v>
                  </c:pt>
                  <c:pt idx="41">
                    <c:v>December</c:v>
                  </c:pt>
                  <c:pt idx="42">
                    <c:v>January</c:v>
                  </c:pt>
                  <c:pt idx="43">
                    <c:v>February</c:v>
                  </c:pt>
                  <c:pt idx="44">
                    <c:v>March</c:v>
                  </c:pt>
                  <c:pt idx="45">
                    <c:v>April</c:v>
                  </c:pt>
                  <c:pt idx="46">
                    <c:v>May</c:v>
                  </c:pt>
                  <c:pt idx="47">
                    <c:v>June</c:v>
                  </c:pt>
                  <c:pt idx="48">
                    <c:v>July</c:v>
                  </c:pt>
                  <c:pt idx="49">
                    <c:v>August</c:v>
                  </c:pt>
                  <c:pt idx="50">
                    <c:v>September</c:v>
                  </c:pt>
                  <c:pt idx="51">
                    <c:v>October</c:v>
                  </c:pt>
                  <c:pt idx="52">
                    <c:v>November</c:v>
                  </c:pt>
                  <c:pt idx="53">
                    <c:v>December</c:v>
                  </c:pt>
                </c:lvl>
                <c:lvl>
                  <c:pt idx="0">
                    <c:v>2015</c:v>
                  </c:pt>
                  <c:pt idx="6">
                    <c:v>2016</c:v>
                  </c:pt>
                  <c:pt idx="18">
                    <c:v>2017</c:v>
                  </c:pt>
                  <c:pt idx="30">
                    <c:v>2018</c:v>
                  </c:pt>
                  <c:pt idx="42">
                    <c:v>2019</c:v>
                  </c:pt>
                </c:lvl>
              </c:multiLvlStrCache>
            </c:multiLvlStrRef>
          </c:cat>
          <c:val>
            <c:numRef>
              <c:f>'non-SCRA MDA'!$G$2:$G$55</c:f>
              <c:numCache>
                <c:formatCode>General</c:formatCode>
                <c:ptCount val="54"/>
                <c:pt idx="0">
                  <c:v>2.4796969999999998</c:v>
                </c:pt>
                <c:pt idx="1">
                  <c:v>2.7117469999999999</c:v>
                </c:pt>
                <c:pt idx="2">
                  <c:v>2.6720090000000001</c:v>
                </c:pt>
                <c:pt idx="3">
                  <c:v>2.2277149999999999</c:v>
                </c:pt>
                <c:pt idx="4">
                  <c:v>1.8667800000000001</c:v>
                </c:pt>
                <c:pt idx="5">
                  <c:v>1.634207</c:v>
                </c:pt>
                <c:pt idx="6">
                  <c:v>1.8940090000000001</c:v>
                </c:pt>
                <c:pt idx="7">
                  <c:v>2.0386660000000001</c:v>
                </c:pt>
                <c:pt idx="8">
                  <c:v>2.3571770000000001</c:v>
                </c:pt>
                <c:pt idx="9">
                  <c:v>3.5531199999999998</c:v>
                </c:pt>
                <c:pt idx="10">
                  <c:v>4.1852549999999997</c:v>
                </c:pt>
                <c:pt idx="11">
                  <c:v>4.5472409999999996</c:v>
                </c:pt>
                <c:pt idx="12">
                  <c:v>5.2036809999999996</c:v>
                </c:pt>
                <c:pt idx="13">
                  <c:v>4.9854149999999997</c:v>
                </c:pt>
                <c:pt idx="14">
                  <c:v>4.4066720000000004</c:v>
                </c:pt>
                <c:pt idx="15">
                  <c:v>3.5491359999999998</c:v>
                </c:pt>
                <c:pt idx="16">
                  <c:v>3.0074260000000002</c:v>
                </c:pt>
                <c:pt idx="17">
                  <c:v>2.6278869999999999</c:v>
                </c:pt>
                <c:pt idx="18">
                  <c:v>4.3320249999999998</c:v>
                </c:pt>
                <c:pt idx="19">
                  <c:v>4.5091650000000003</c:v>
                </c:pt>
                <c:pt idx="20">
                  <c:v>5.4255959999999996</c:v>
                </c:pt>
                <c:pt idx="21">
                  <c:v>6.3771440000000004</c:v>
                </c:pt>
                <c:pt idx="22">
                  <c:v>7.4131049999999998</c:v>
                </c:pt>
                <c:pt idx="23">
                  <c:v>7.665</c:v>
                </c:pt>
                <c:pt idx="24">
                  <c:v>8.3235209999999995</c:v>
                </c:pt>
                <c:pt idx="25">
                  <c:v>7.7749879999999996</c:v>
                </c:pt>
                <c:pt idx="26">
                  <c:v>6.8218290000000001</c:v>
                </c:pt>
                <c:pt idx="27">
                  <c:v>5.2776149999999999</c:v>
                </c:pt>
                <c:pt idx="28">
                  <c:v>5.1320399999999999</c:v>
                </c:pt>
                <c:pt idx="29">
                  <c:v>4.3754239999999998</c:v>
                </c:pt>
                <c:pt idx="30">
                  <c:v>3.284106</c:v>
                </c:pt>
                <c:pt idx="31">
                  <c:v>3.9168940000000001</c:v>
                </c:pt>
                <c:pt idx="32">
                  <c:v>4.9271779999999996</c:v>
                </c:pt>
                <c:pt idx="33">
                  <c:v>6.2031130000000001</c:v>
                </c:pt>
                <c:pt idx="34">
                  <c:v>7.468826</c:v>
                </c:pt>
                <c:pt idx="35">
                  <c:v>6.458672</c:v>
                </c:pt>
                <c:pt idx="36">
                  <c:v>6.6256120000000003</c:v>
                </c:pt>
                <c:pt idx="37">
                  <c:v>6.0745639999999996</c:v>
                </c:pt>
                <c:pt idx="38">
                  <c:v>6.1705620000000003</c:v>
                </c:pt>
                <c:pt idx="39">
                  <c:v>5.8440560000000001</c:v>
                </c:pt>
                <c:pt idx="40">
                  <c:v>5.004804</c:v>
                </c:pt>
                <c:pt idx="41">
                  <c:v>4.5412670000000004</c:v>
                </c:pt>
                <c:pt idx="42">
                  <c:v>4.436032</c:v>
                </c:pt>
                <c:pt idx="43">
                  <c:v>4.6257609999999998</c:v>
                </c:pt>
                <c:pt idx="44">
                  <c:v>4.7659529999999997</c:v>
                </c:pt>
                <c:pt idx="45">
                  <c:v>5.7305809999999999</c:v>
                </c:pt>
                <c:pt idx="46">
                  <c:v>6.7098550000000001</c:v>
                </c:pt>
                <c:pt idx="47">
                  <c:v>7.1527820000000002</c:v>
                </c:pt>
                <c:pt idx="48">
                  <c:v>7.6646549999999998</c:v>
                </c:pt>
                <c:pt idx="49">
                  <c:v>7.2530010000000003</c:v>
                </c:pt>
                <c:pt idx="50">
                  <c:v>6.3636280000000003</c:v>
                </c:pt>
                <c:pt idx="51">
                  <c:v>5.3401500000000004</c:v>
                </c:pt>
                <c:pt idx="52">
                  <c:v>4.5287179999999996</c:v>
                </c:pt>
                <c:pt idx="53">
                  <c:v>3.9228320000000001</c:v>
                </c:pt>
              </c:numCache>
            </c:numRef>
          </c:val>
          <c:extLst>
            <c:ext xmlns:c16="http://schemas.microsoft.com/office/drawing/2014/chart" uri="{C3380CC4-5D6E-409C-BE32-E72D297353CC}">
              <c16:uniqueId val="{00000001-8471-4E34-A3CD-07C65CCE5599}"/>
            </c:ext>
          </c:extLst>
        </c:ser>
        <c:dLbls>
          <c:showLegendKey val="0"/>
          <c:showVal val="0"/>
          <c:showCatName val="0"/>
          <c:showSerName val="0"/>
          <c:showPercent val="0"/>
          <c:showBubbleSize val="0"/>
        </c:dLbls>
        <c:axId val="1795654703"/>
        <c:axId val="1795647631"/>
      </c:areaChart>
      <c:lineChart>
        <c:grouping val="standard"/>
        <c:varyColors val="0"/>
        <c:ser>
          <c:idx val="1"/>
          <c:order val="0"/>
          <c:tx>
            <c:strRef>
              <c:f>'non-SCRA MDA'!$D$1</c:f>
              <c:strCache>
                <c:ptCount val="1"/>
                <c:pt idx="0">
                  <c:v>Predicted number of cases</c:v>
                </c:pt>
              </c:strCache>
            </c:strRef>
          </c:tx>
          <c:spPr>
            <a:ln w="25400" cap="rnd">
              <a:solidFill>
                <a:schemeClr val="accent1"/>
              </a:solidFill>
              <a:round/>
            </a:ln>
            <a:effectLst/>
          </c:spPr>
          <c:marker>
            <c:symbol val="circle"/>
            <c:size val="5"/>
            <c:spPr>
              <a:solidFill>
                <a:schemeClr val="accent1"/>
              </a:solidFill>
              <a:ln w="9525">
                <a:solidFill>
                  <a:schemeClr val="accent1"/>
                </a:solidFill>
              </a:ln>
              <a:effectLst/>
            </c:spPr>
          </c:marker>
          <c:val>
            <c:numRef>
              <c:f>'non-SCRA MDA'!$D$2:$D$55</c:f>
              <c:numCache>
                <c:formatCode>General</c:formatCode>
                <c:ptCount val="54"/>
                <c:pt idx="0">
                  <c:v>6.1893630000000002</c:v>
                </c:pt>
                <c:pt idx="1">
                  <c:v>5.7188850000000002</c:v>
                </c:pt>
                <c:pt idx="2">
                  <c:v>5.284205</c:v>
                </c:pt>
                <c:pt idx="3">
                  <c:v>4.1626560000000001</c:v>
                </c:pt>
                <c:pt idx="4">
                  <c:v>3.5604010000000001</c:v>
                </c:pt>
                <c:pt idx="5">
                  <c:v>3.22431</c:v>
                </c:pt>
                <c:pt idx="6">
                  <c:v>3.3854030000000002</c:v>
                </c:pt>
                <c:pt idx="7">
                  <c:v>3.625499</c:v>
                </c:pt>
                <c:pt idx="8">
                  <c:v>4.1459419999999998</c:v>
                </c:pt>
                <c:pt idx="9">
                  <c:v>5.5610410000000003</c:v>
                </c:pt>
                <c:pt idx="10">
                  <c:v>6.4335459999999998</c:v>
                </c:pt>
                <c:pt idx="11">
                  <c:v>7.0296750000000001</c:v>
                </c:pt>
                <c:pt idx="12">
                  <c:v>8.0665440000000004</c:v>
                </c:pt>
                <c:pt idx="13">
                  <c:v>7.9589150000000002</c:v>
                </c:pt>
                <c:pt idx="14">
                  <c:v>7.3539750000000002</c:v>
                </c:pt>
                <c:pt idx="15">
                  <c:v>6.1860590000000002</c:v>
                </c:pt>
                <c:pt idx="16">
                  <c:v>5.6499360000000003</c:v>
                </c:pt>
                <c:pt idx="17">
                  <c:v>5.4636440000000004</c:v>
                </c:pt>
                <c:pt idx="18">
                  <c:v>7.6021260000000002</c:v>
                </c:pt>
                <c:pt idx="19">
                  <c:v>8.2750719999999998</c:v>
                </c:pt>
                <c:pt idx="20">
                  <c:v>7.8995730000000002</c:v>
                </c:pt>
                <c:pt idx="21">
                  <c:v>10.085900000000001</c:v>
                </c:pt>
                <c:pt idx="22">
                  <c:v>10.40127</c:v>
                </c:pt>
                <c:pt idx="23">
                  <c:v>10.818070000000001</c:v>
                </c:pt>
                <c:pt idx="24">
                  <c:v>11.816269999999999</c:v>
                </c:pt>
                <c:pt idx="25">
                  <c:v>11.0975</c:v>
                </c:pt>
                <c:pt idx="26">
                  <c:v>9.760491</c:v>
                </c:pt>
                <c:pt idx="27">
                  <c:v>7.8152330000000001</c:v>
                </c:pt>
                <c:pt idx="28">
                  <c:v>7.255223</c:v>
                </c:pt>
                <c:pt idx="29">
                  <c:v>6.2541310000000001</c:v>
                </c:pt>
                <c:pt idx="30">
                  <c:v>5.4817200000000001</c:v>
                </c:pt>
                <c:pt idx="31">
                  <c:v>5.9669670000000004</c:v>
                </c:pt>
                <c:pt idx="32">
                  <c:v>6.9356710000000001</c:v>
                </c:pt>
                <c:pt idx="33">
                  <c:v>8.2927520000000001</c:v>
                </c:pt>
                <c:pt idx="34">
                  <c:v>9.7515210000000003</c:v>
                </c:pt>
                <c:pt idx="35">
                  <c:v>9.4980539999999998</c:v>
                </c:pt>
                <c:pt idx="36">
                  <c:v>9.7154779999999992</c:v>
                </c:pt>
                <c:pt idx="37">
                  <c:v>9.1244960000000006</c:v>
                </c:pt>
                <c:pt idx="38">
                  <c:v>8.5695209999999999</c:v>
                </c:pt>
                <c:pt idx="39">
                  <c:v>7.8239999999999998</c:v>
                </c:pt>
                <c:pt idx="40">
                  <c:v>6.8020009999999997</c:v>
                </c:pt>
                <c:pt idx="41">
                  <c:v>6.2611470000000002</c:v>
                </c:pt>
                <c:pt idx="42">
                  <c:v>6.2575719999999997</c:v>
                </c:pt>
                <c:pt idx="43">
                  <c:v>6.8114970000000001</c:v>
                </c:pt>
                <c:pt idx="44">
                  <c:v>6.9434509999999996</c:v>
                </c:pt>
                <c:pt idx="45">
                  <c:v>8.3020549999999993</c:v>
                </c:pt>
                <c:pt idx="46">
                  <c:v>9.7624610000000001</c:v>
                </c:pt>
                <c:pt idx="47">
                  <c:v>10.15366</c:v>
                </c:pt>
                <c:pt idx="48">
                  <c:v>11.09055</c:v>
                </c:pt>
                <c:pt idx="49">
                  <c:v>10.415929999999999</c:v>
                </c:pt>
                <c:pt idx="50">
                  <c:v>9.1610340000000008</c:v>
                </c:pt>
                <c:pt idx="51">
                  <c:v>7.8327770000000001</c:v>
                </c:pt>
                <c:pt idx="52">
                  <c:v>7.271509</c:v>
                </c:pt>
                <c:pt idx="53">
                  <c:v>6.6933239999999996</c:v>
                </c:pt>
              </c:numCache>
            </c:numRef>
          </c:val>
          <c:smooth val="0"/>
          <c:extLst>
            <c:ext xmlns:c16="http://schemas.microsoft.com/office/drawing/2014/chart" uri="{C3380CC4-5D6E-409C-BE32-E72D297353CC}">
              <c16:uniqueId val="{00000002-8471-4E34-A3CD-07C65CCE5599}"/>
            </c:ext>
          </c:extLst>
        </c:ser>
        <c:ser>
          <c:idx val="0"/>
          <c:order val="1"/>
          <c:tx>
            <c:strRef>
              <c:f>'non-SCRA MDA'!$C$1</c:f>
              <c:strCache>
                <c:ptCount val="1"/>
                <c:pt idx="0">
                  <c:v>Observed number of cases</c:v>
                </c:pt>
              </c:strCache>
            </c:strRef>
          </c:tx>
          <c:spPr>
            <a:ln w="28575" cap="rnd">
              <a:noFill/>
              <a:round/>
            </a:ln>
            <a:effectLst/>
          </c:spPr>
          <c:marker>
            <c:symbol val="triangle"/>
            <c:size val="5"/>
            <c:spPr>
              <a:solidFill>
                <a:schemeClr val="tx1"/>
              </a:solidFill>
              <a:ln w="9525">
                <a:solidFill>
                  <a:schemeClr val="tx1"/>
                </a:solidFill>
              </a:ln>
              <a:effectLst/>
            </c:spPr>
          </c:marker>
          <c:cat>
            <c:multiLvlStrRef>
              <c:f>'non-SCRA MDA'!$A$2:$B$55</c:f>
              <c:multiLvlStrCache>
                <c:ptCount val="54"/>
                <c:lvl>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pt idx="12">
                    <c:v>July</c:v>
                  </c:pt>
                  <c:pt idx="13">
                    <c:v>August</c:v>
                  </c:pt>
                  <c:pt idx="14">
                    <c:v>September</c:v>
                  </c:pt>
                  <c:pt idx="15">
                    <c:v>October</c:v>
                  </c:pt>
                  <c:pt idx="16">
                    <c:v>November</c:v>
                  </c:pt>
                  <c:pt idx="17">
                    <c:v>December</c:v>
                  </c:pt>
                  <c:pt idx="18">
                    <c:v>January</c:v>
                  </c:pt>
                  <c:pt idx="19">
                    <c:v>February</c:v>
                  </c:pt>
                  <c:pt idx="20">
                    <c:v>March</c:v>
                  </c:pt>
                  <c:pt idx="21">
                    <c:v>April</c:v>
                  </c:pt>
                  <c:pt idx="22">
                    <c:v>May</c:v>
                  </c:pt>
                  <c:pt idx="23">
                    <c:v>June</c:v>
                  </c:pt>
                  <c:pt idx="24">
                    <c:v>July</c:v>
                  </c:pt>
                  <c:pt idx="25">
                    <c:v>August</c:v>
                  </c:pt>
                  <c:pt idx="26">
                    <c:v>September</c:v>
                  </c:pt>
                  <c:pt idx="27">
                    <c:v>October</c:v>
                  </c:pt>
                  <c:pt idx="28">
                    <c:v>November</c:v>
                  </c:pt>
                  <c:pt idx="29">
                    <c:v>December</c:v>
                  </c:pt>
                  <c:pt idx="30">
                    <c:v>January</c:v>
                  </c:pt>
                  <c:pt idx="31">
                    <c:v>February</c:v>
                  </c:pt>
                  <c:pt idx="32">
                    <c:v>March</c:v>
                  </c:pt>
                  <c:pt idx="33">
                    <c:v>April</c:v>
                  </c:pt>
                  <c:pt idx="34">
                    <c:v>May</c:v>
                  </c:pt>
                  <c:pt idx="35">
                    <c:v>June</c:v>
                  </c:pt>
                  <c:pt idx="36">
                    <c:v>July</c:v>
                  </c:pt>
                  <c:pt idx="37">
                    <c:v>August</c:v>
                  </c:pt>
                  <c:pt idx="38">
                    <c:v>September</c:v>
                  </c:pt>
                  <c:pt idx="39">
                    <c:v>October</c:v>
                  </c:pt>
                  <c:pt idx="40">
                    <c:v>November</c:v>
                  </c:pt>
                  <c:pt idx="41">
                    <c:v>December</c:v>
                  </c:pt>
                  <c:pt idx="42">
                    <c:v>January</c:v>
                  </c:pt>
                  <c:pt idx="43">
                    <c:v>February</c:v>
                  </c:pt>
                  <c:pt idx="44">
                    <c:v>March</c:v>
                  </c:pt>
                  <c:pt idx="45">
                    <c:v>April</c:v>
                  </c:pt>
                  <c:pt idx="46">
                    <c:v>May</c:v>
                  </c:pt>
                  <c:pt idx="47">
                    <c:v>June</c:v>
                  </c:pt>
                  <c:pt idx="48">
                    <c:v>July</c:v>
                  </c:pt>
                  <c:pt idx="49">
                    <c:v>August</c:v>
                  </c:pt>
                  <c:pt idx="50">
                    <c:v>September</c:v>
                  </c:pt>
                  <c:pt idx="51">
                    <c:v>October</c:v>
                  </c:pt>
                  <c:pt idx="52">
                    <c:v>November</c:v>
                  </c:pt>
                  <c:pt idx="53">
                    <c:v>December</c:v>
                  </c:pt>
                </c:lvl>
                <c:lvl>
                  <c:pt idx="0">
                    <c:v>2015</c:v>
                  </c:pt>
                  <c:pt idx="6">
                    <c:v>2016</c:v>
                  </c:pt>
                  <c:pt idx="18">
                    <c:v>2017</c:v>
                  </c:pt>
                  <c:pt idx="30">
                    <c:v>2018</c:v>
                  </c:pt>
                  <c:pt idx="42">
                    <c:v>2019</c:v>
                  </c:pt>
                </c:lvl>
              </c:multiLvlStrCache>
            </c:multiLvlStrRef>
          </c:cat>
          <c:val>
            <c:numRef>
              <c:f>'non-SCRA MDA'!$C$2:$C$55</c:f>
              <c:numCache>
                <c:formatCode>General</c:formatCode>
                <c:ptCount val="54"/>
                <c:pt idx="0">
                  <c:v>4</c:v>
                </c:pt>
                <c:pt idx="1">
                  <c:v>2</c:v>
                </c:pt>
                <c:pt idx="2">
                  <c:v>2</c:v>
                </c:pt>
                <c:pt idx="3">
                  <c:v>5</c:v>
                </c:pt>
                <c:pt idx="4">
                  <c:v>10</c:v>
                </c:pt>
                <c:pt idx="5">
                  <c:v>2</c:v>
                </c:pt>
                <c:pt idx="6">
                  <c:v>1</c:v>
                </c:pt>
                <c:pt idx="7">
                  <c:v>11</c:v>
                </c:pt>
                <c:pt idx="8">
                  <c:v>6</c:v>
                </c:pt>
                <c:pt idx="9">
                  <c:v>7</c:v>
                </c:pt>
                <c:pt idx="10">
                  <c:v>6</c:v>
                </c:pt>
                <c:pt idx="11">
                  <c:v>8</c:v>
                </c:pt>
                <c:pt idx="12">
                  <c:v>6</c:v>
                </c:pt>
                <c:pt idx="13">
                  <c:v>13</c:v>
                </c:pt>
                <c:pt idx="14">
                  <c:v>0</c:v>
                </c:pt>
                <c:pt idx="15">
                  <c:v>7</c:v>
                </c:pt>
                <c:pt idx="16">
                  <c:v>3</c:v>
                </c:pt>
                <c:pt idx="17">
                  <c:v>6</c:v>
                </c:pt>
                <c:pt idx="18">
                  <c:v>4</c:v>
                </c:pt>
                <c:pt idx="19">
                  <c:v>13</c:v>
                </c:pt>
                <c:pt idx="20">
                  <c:v>9</c:v>
                </c:pt>
                <c:pt idx="21">
                  <c:v>14</c:v>
                </c:pt>
                <c:pt idx="22">
                  <c:v>11</c:v>
                </c:pt>
                <c:pt idx="23">
                  <c:v>11</c:v>
                </c:pt>
                <c:pt idx="24">
                  <c:v>9</c:v>
                </c:pt>
                <c:pt idx="25">
                  <c:v>16</c:v>
                </c:pt>
                <c:pt idx="26">
                  <c:v>9</c:v>
                </c:pt>
                <c:pt idx="27">
                  <c:v>9</c:v>
                </c:pt>
                <c:pt idx="28">
                  <c:v>11</c:v>
                </c:pt>
                <c:pt idx="29">
                  <c:v>6</c:v>
                </c:pt>
                <c:pt idx="30">
                  <c:v>4</c:v>
                </c:pt>
                <c:pt idx="31">
                  <c:v>6</c:v>
                </c:pt>
                <c:pt idx="32">
                  <c:v>3</c:v>
                </c:pt>
                <c:pt idx="33">
                  <c:v>5</c:v>
                </c:pt>
                <c:pt idx="34">
                  <c:v>5</c:v>
                </c:pt>
                <c:pt idx="35">
                  <c:v>6</c:v>
                </c:pt>
                <c:pt idx="36">
                  <c:v>8</c:v>
                </c:pt>
                <c:pt idx="37">
                  <c:v>13</c:v>
                </c:pt>
                <c:pt idx="38">
                  <c:v>6</c:v>
                </c:pt>
                <c:pt idx="39">
                  <c:v>7</c:v>
                </c:pt>
                <c:pt idx="40">
                  <c:v>5</c:v>
                </c:pt>
                <c:pt idx="41">
                  <c:v>4</c:v>
                </c:pt>
                <c:pt idx="42">
                  <c:v>4</c:v>
                </c:pt>
                <c:pt idx="43">
                  <c:v>8</c:v>
                </c:pt>
                <c:pt idx="44">
                  <c:v>9</c:v>
                </c:pt>
                <c:pt idx="45">
                  <c:v>3</c:v>
                </c:pt>
                <c:pt idx="46">
                  <c:v>10</c:v>
                </c:pt>
                <c:pt idx="47">
                  <c:v>11</c:v>
                </c:pt>
                <c:pt idx="48">
                  <c:v>19</c:v>
                </c:pt>
                <c:pt idx="49">
                  <c:v>15</c:v>
                </c:pt>
                <c:pt idx="50">
                  <c:v>11</c:v>
                </c:pt>
                <c:pt idx="51">
                  <c:v>8</c:v>
                </c:pt>
                <c:pt idx="52">
                  <c:v>3</c:v>
                </c:pt>
                <c:pt idx="53">
                  <c:v>9</c:v>
                </c:pt>
              </c:numCache>
            </c:numRef>
          </c:val>
          <c:smooth val="0"/>
          <c:extLst>
            <c:ext xmlns:c16="http://schemas.microsoft.com/office/drawing/2014/chart" uri="{C3380CC4-5D6E-409C-BE32-E72D297353CC}">
              <c16:uniqueId val="{00000003-8471-4E34-A3CD-07C65CCE5599}"/>
            </c:ext>
          </c:extLst>
        </c:ser>
        <c:ser>
          <c:idx val="2"/>
          <c:order val="2"/>
          <c:tx>
            <c:strRef>
              <c:f>'non-SCRA MDA'!$E$1</c:f>
              <c:strCache>
                <c:ptCount val="1"/>
                <c:pt idx="0">
                  <c:v>lb1_nonscra_mda</c:v>
                </c:pt>
              </c:strCache>
            </c:strRef>
          </c:tx>
          <c:spPr>
            <a:ln w="28575" cap="rnd">
              <a:noFill/>
              <a:round/>
            </a:ln>
            <a:effectLst/>
          </c:spPr>
          <c:marker>
            <c:symbol val="circle"/>
            <c:size val="5"/>
            <c:spPr>
              <a:noFill/>
              <a:ln w="9525">
                <a:noFill/>
              </a:ln>
              <a:effectLst/>
            </c:spPr>
          </c:marker>
          <c:cat>
            <c:multiLvlStrRef>
              <c:f>'non-SCRA MDA'!$A$2:$B$55</c:f>
              <c:multiLvlStrCache>
                <c:ptCount val="54"/>
                <c:lvl>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pt idx="12">
                    <c:v>July</c:v>
                  </c:pt>
                  <c:pt idx="13">
                    <c:v>August</c:v>
                  </c:pt>
                  <c:pt idx="14">
                    <c:v>September</c:v>
                  </c:pt>
                  <c:pt idx="15">
                    <c:v>October</c:v>
                  </c:pt>
                  <c:pt idx="16">
                    <c:v>November</c:v>
                  </c:pt>
                  <c:pt idx="17">
                    <c:v>December</c:v>
                  </c:pt>
                  <c:pt idx="18">
                    <c:v>January</c:v>
                  </c:pt>
                  <c:pt idx="19">
                    <c:v>February</c:v>
                  </c:pt>
                  <c:pt idx="20">
                    <c:v>March</c:v>
                  </c:pt>
                  <c:pt idx="21">
                    <c:v>April</c:v>
                  </c:pt>
                  <c:pt idx="22">
                    <c:v>May</c:v>
                  </c:pt>
                  <c:pt idx="23">
                    <c:v>June</c:v>
                  </c:pt>
                  <c:pt idx="24">
                    <c:v>July</c:v>
                  </c:pt>
                  <c:pt idx="25">
                    <c:v>August</c:v>
                  </c:pt>
                  <c:pt idx="26">
                    <c:v>September</c:v>
                  </c:pt>
                  <c:pt idx="27">
                    <c:v>October</c:v>
                  </c:pt>
                  <c:pt idx="28">
                    <c:v>November</c:v>
                  </c:pt>
                  <c:pt idx="29">
                    <c:v>December</c:v>
                  </c:pt>
                  <c:pt idx="30">
                    <c:v>January</c:v>
                  </c:pt>
                  <c:pt idx="31">
                    <c:v>February</c:v>
                  </c:pt>
                  <c:pt idx="32">
                    <c:v>March</c:v>
                  </c:pt>
                  <c:pt idx="33">
                    <c:v>April</c:v>
                  </c:pt>
                  <c:pt idx="34">
                    <c:v>May</c:v>
                  </c:pt>
                  <c:pt idx="35">
                    <c:v>June</c:v>
                  </c:pt>
                  <c:pt idx="36">
                    <c:v>July</c:v>
                  </c:pt>
                  <c:pt idx="37">
                    <c:v>August</c:v>
                  </c:pt>
                  <c:pt idx="38">
                    <c:v>September</c:v>
                  </c:pt>
                  <c:pt idx="39">
                    <c:v>October</c:v>
                  </c:pt>
                  <c:pt idx="40">
                    <c:v>November</c:v>
                  </c:pt>
                  <c:pt idx="41">
                    <c:v>December</c:v>
                  </c:pt>
                  <c:pt idx="42">
                    <c:v>January</c:v>
                  </c:pt>
                  <c:pt idx="43">
                    <c:v>February</c:v>
                  </c:pt>
                  <c:pt idx="44">
                    <c:v>March</c:v>
                  </c:pt>
                  <c:pt idx="45">
                    <c:v>April</c:v>
                  </c:pt>
                  <c:pt idx="46">
                    <c:v>May</c:v>
                  </c:pt>
                  <c:pt idx="47">
                    <c:v>June</c:v>
                  </c:pt>
                  <c:pt idx="48">
                    <c:v>July</c:v>
                  </c:pt>
                  <c:pt idx="49">
                    <c:v>August</c:v>
                  </c:pt>
                  <c:pt idx="50">
                    <c:v>September</c:v>
                  </c:pt>
                  <c:pt idx="51">
                    <c:v>October</c:v>
                  </c:pt>
                  <c:pt idx="52">
                    <c:v>November</c:v>
                  </c:pt>
                  <c:pt idx="53">
                    <c:v>December</c:v>
                  </c:pt>
                </c:lvl>
                <c:lvl>
                  <c:pt idx="0">
                    <c:v>2015</c:v>
                  </c:pt>
                  <c:pt idx="6">
                    <c:v>2016</c:v>
                  </c:pt>
                  <c:pt idx="18">
                    <c:v>2017</c:v>
                  </c:pt>
                  <c:pt idx="30">
                    <c:v>2018</c:v>
                  </c:pt>
                  <c:pt idx="42">
                    <c:v>2019</c:v>
                  </c:pt>
                </c:lvl>
              </c:multiLvlStrCache>
            </c:multiLvlStrRef>
          </c:cat>
          <c:val>
            <c:numRef>
              <c:f>'non-SCRA MDA'!$E$2:$E$55</c:f>
              <c:numCache>
                <c:formatCode>General</c:formatCode>
                <c:ptCount val="54"/>
                <c:pt idx="0">
                  <c:v>2.4796969999999998</c:v>
                </c:pt>
                <c:pt idx="1">
                  <c:v>2.7117469999999999</c:v>
                </c:pt>
                <c:pt idx="2">
                  <c:v>2.6720090000000001</c:v>
                </c:pt>
                <c:pt idx="3">
                  <c:v>2.2277149999999999</c:v>
                </c:pt>
                <c:pt idx="4">
                  <c:v>1.8667800000000001</c:v>
                </c:pt>
                <c:pt idx="5">
                  <c:v>1.634207</c:v>
                </c:pt>
                <c:pt idx="6">
                  <c:v>1.8940090000000001</c:v>
                </c:pt>
                <c:pt idx="7">
                  <c:v>2.0386660000000001</c:v>
                </c:pt>
                <c:pt idx="8">
                  <c:v>2.3571770000000001</c:v>
                </c:pt>
                <c:pt idx="9">
                  <c:v>3.5531199999999998</c:v>
                </c:pt>
                <c:pt idx="10">
                  <c:v>4.1852549999999997</c:v>
                </c:pt>
                <c:pt idx="11">
                  <c:v>4.5472409999999996</c:v>
                </c:pt>
                <c:pt idx="12">
                  <c:v>5.2036809999999996</c:v>
                </c:pt>
                <c:pt idx="13">
                  <c:v>4.9854149999999997</c:v>
                </c:pt>
                <c:pt idx="14">
                  <c:v>4.4066720000000004</c:v>
                </c:pt>
                <c:pt idx="15">
                  <c:v>3.5491359999999998</c:v>
                </c:pt>
                <c:pt idx="16">
                  <c:v>3.0074260000000002</c:v>
                </c:pt>
                <c:pt idx="17">
                  <c:v>2.6278869999999999</c:v>
                </c:pt>
                <c:pt idx="18">
                  <c:v>4.3320249999999998</c:v>
                </c:pt>
                <c:pt idx="19">
                  <c:v>4.5091650000000003</c:v>
                </c:pt>
                <c:pt idx="20">
                  <c:v>5.4255959999999996</c:v>
                </c:pt>
                <c:pt idx="21">
                  <c:v>6.3771440000000004</c:v>
                </c:pt>
                <c:pt idx="22">
                  <c:v>7.4131049999999998</c:v>
                </c:pt>
                <c:pt idx="23">
                  <c:v>7.665</c:v>
                </c:pt>
                <c:pt idx="24">
                  <c:v>8.3235209999999995</c:v>
                </c:pt>
                <c:pt idx="25">
                  <c:v>7.7749879999999996</c:v>
                </c:pt>
                <c:pt idx="26">
                  <c:v>6.8218290000000001</c:v>
                </c:pt>
                <c:pt idx="27">
                  <c:v>5.2776149999999999</c:v>
                </c:pt>
                <c:pt idx="28">
                  <c:v>5.1320399999999999</c:v>
                </c:pt>
                <c:pt idx="29">
                  <c:v>4.3754239999999998</c:v>
                </c:pt>
                <c:pt idx="30">
                  <c:v>3.284106</c:v>
                </c:pt>
                <c:pt idx="31">
                  <c:v>3.9168940000000001</c:v>
                </c:pt>
                <c:pt idx="32">
                  <c:v>4.9271779999999996</c:v>
                </c:pt>
                <c:pt idx="33">
                  <c:v>6.2031130000000001</c:v>
                </c:pt>
                <c:pt idx="34">
                  <c:v>7.468826</c:v>
                </c:pt>
                <c:pt idx="35">
                  <c:v>6.458672</c:v>
                </c:pt>
                <c:pt idx="36">
                  <c:v>6.6256120000000003</c:v>
                </c:pt>
                <c:pt idx="37">
                  <c:v>6.0745639999999996</c:v>
                </c:pt>
                <c:pt idx="38">
                  <c:v>6.1705620000000003</c:v>
                </c:pt>
                <c:pt idx="39">
                  <c:v>5.8440560000000001</c:v>
                </c:pt>
                <c:pt idx="40">
                  <c:v>5.004804</c:v>
                </c:pt>
                <c:pt idx="41">
                  <c:v>4.5412670000000004</c:v>
                </c:pt>
                <c:pt idx="42">
                  <c:v>4.436032</c:v>
                </c:pt>
                <c:pt idx="43">
                  <c:v>4.6257609999999998</c:v>
                </c:pt>
                <c:pt idx="44">
                  <c:v>4.7659529999999997</c:v>
                </c:pt>
                <c:pt idx="45">
                  <c:v>5.7305809999999999</c:v>
                </c:pt>
                <c:pt idx="46">
                  <c:v>6.7098550000000001</c:v>
                </c:pt>
                <c:pt idx="47">
                  <c:v>7.1527820000000002</c:v>
                </c:pt>
                <c:pt idx="48">
                  <c:v>7.6646549999999998</c:v>
                </c:pt>
                <c:pt idx="49">
                  <c:v>7.2530010000000003</c:v>
                </c:pt>
                <c:pt idx="50">
                  <c:v>6.3636280000000003</c:v>
                </c:pt>
                <c:pt idx="51">
                  <c:v>5.3401500000000004</c:v>
                </c:pt>
                <c:pt idx="52">
                  <c:v>4.5287179999999996</c:v>
                </c:pt>
                <c:pt idx="53">
                  <c:v>3.9228320000000001</c:v>
                </c:pt>
              </c:numCache>
            </c:numRef>
          </c:val>
          <c:smooth val="0"/>
          <c:extLst>
            <c:ext xmlns:c16="http://schemas.microsoft.com/office/drawing/2014/chart" uri="{C3380CC4-5D6E-409C-BE32-E72D297353CC}">
              <c16:uniqueId val="{00000004-8471-4E34-A3CD-07C65CCE5599}"/>
            </c:ext>
          </c:extLst>
        </c:ser>
        <c:dLbls>
          <c:showLegendKey val="0"/>
          <c:showVal val="0"/>
          <c:showCatName val="0"/>
          <c:showSerName val="0"/>
          <c:showPercent val="0"/>
          <c:showBubbleSize val="0"/>
        </c:dLbls>
        <c:marker val="1"/>
        <c:smooth val="0"/>
        <c:axId val="1795654703"/>
        <c:axId val="1795647631"/>
      </c:lineChart>
      <c:catAx>
        <c:axId val="1795654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5647631"/>
        <c:crosses val="autoZero"/>
        <c:auto val="1"/>
        <c:lblAlgn val="ctr"/>
        <c:lblOffset val="100"/>
        <c:noMultiLvlLbl val="0"/>
      </c:catAx>
      <c:valAx>
        <c:axId val="1795647631"/>
        <c:scaling>
          <c:orientation val="minMax"/>
          <c:max val="25"/>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5654703"/>
        <c:crosses val="autoZero"/>
        <c:crossBetween val="between"/>
      </c:valAx>
      <c:spPr>
        <a:noFill/>
        <a:ln>
          <a:noFill/>
        </a:ln>
        <a:effectLst/>
      </c:spPr>
    </c:plotArea>
    <c:legend>
      <c:legendPos val="b"/>
      <c:legendEntry>
        <c:idx val="1"/>
        <c:delete val="1"/>
      </c:legendEntry>
      <c:legendEntry>
        <c:idx val="4"/>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0.85632</cdr:x>
      <cdr:y>0.28053</cdr:y>
    </cdr:from>
    <cdr:to>
      <cdr:x>1</cdr:x>
      <cdr:y>0.37812</cdr:y>
    </cdr:to>
    <cdr:sp macro="" textlink="">
      <cdr:nvSpPr>
        <cdr:cNvPr id="3" name="Text Box 2"/>
        <cdr:cNvSpPr txBox="1">
          <a:spLocks xmlns:a="http://schemas.openxmlformats.org/drawingml/2006/main" noChangeArrowheads="1"/>
        </cdr:cNvSpPr>
      </cdr:nvSpPr>
      <cdr:spPr bwMode="auto">
        <a:xfrm xmlns:a="http://schemas.openxmlformats.org/drawingml/2006/main">
          <a:off x="5045023" y="959089"/>
          <a:ext cx="846507" cy="333656"/>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200">
              <a:effectLst/>
              <a:latin typeface="Times New Roman" panose="02020603050405020304" pitchFamily="18" charset="0"/>
              <a:ea typeface="Times New Roman" panose="02020603050405020304" pitchFamily="18" charset="0"/>
            </a:rPr>
            <a:t>Age range</a:t>
          </a:r>
        </a:p>
      </cdr:txBody>
    </cdr:sp>
  </cdr:relSizeAnchor>
</c:userShapes>
</file>

<file path=word/drawings/drawing2.xml><?xml version="1.0" encoding="utf-8"?>
<c:userShapes xmlns:c="http://schemas.openxmlformats.org/drawingml/2006/chart">
  <cdr:relSizeAnchor xmlns:cdr="http://schemas.openxmlformats.org/drawingml/2006/chartDrawing">
    <cdr:from>
      <cdr:x>0.84983</cdr:x>
      <cdr:y>0.26349</cdr:y>
    </cdr:from>
    <cdr:to>
      <cdr:x>1</cdr:x>
      <cdr:y>0.36659</cdr:y>
    </cdr:to>
    <cdr:sp macro="" textlink="">
      <cdr:nvSpPr>
        <cdr:cNvPr id="2" name="Text Box 2"/>
        <cdr:cNvSpPr txBox="1">
          <a:spLocks xmlns:a="http://schemas.openxmlformats.org/drawingml/2006/main" noChangeArrowheads="1"/>
        </cdr:cNvSpPr>
      </cdr:nvSpPr>
      <cdr:spPr bwMode="auto">
        <a:xfrm xmlns:a="http://schemas.openxmlformats.org/drawingml/2006/main">
          <a:off x="5121727" y="846272"/>
          <a:ext cx="905058" cy="331168"/>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GB" sz="1200">
              <a:effectLst/>
              <a:latin typeface="Times New Roman" panose="02020603050405020304" pitchFamily="18" charset="0"/>
              <a:ea typeface="Times New Roman" panose="02020603050405020304" pitchFamily="18" charset="0"/>
            </a:rPr>
            <a:t>Age range</a:t>
          </a:r>
        </a:p>
      </cdr:txBody>
    </cdr:sp>
  </cdr:relSizeAnchor>
</c:userShapes>
</file>

<file path=word/drawings/drawing3.xml><?xml version="1.0" encoding="utf-8"?>
<c:userShapes xmlns:c="http://schemas.openxmlformats.org/drawingml/2006/chart">
  <cdr:relSizeAnchor xmlns:cdr="http://schemas.openxmlformats.org/drawingml/2006/chartDrawing">
    <cdr:from>
      <cdr:x>0.36325</cdr:x>
      <cdr:y>0.08942</cdr:y>
    </cdr:from>
    <cdr:to>
      <cdr:x>0.36325</cdr:x>
      <cdr:y>0.54957</cdr:y>
    </cdr:to>
    <cdr:cxnSp macro="">
      <cdr:nvCxnSpPr>
        <cdr:cNvPr id="3" name="Straight Connector 2">
          <a:extLst xmlns:a="http://schemas.openxmlformats.org/drawingml/2006/main">
            <a:ext uri="{FF2B5EF4-FFF2-40B4-BE49-F238E27FC236}">
              <a16:creationId xmlns:a16="http://schemas.microsoft.com/office/drawing/2014/main" id="{107FA7DF-2F90-472E-A018-D81DA3C515B2}"/>
            </a:ext>
          </a:extLst>
        </cdr:cNvPr>
        <cdr:cNvCxnSpPr/>
      </cdr:nvCxnSpPr>
      <cdr:spPr>
        <a:xfrm xmlns:a="http://schemas.openxmlformats.org/drawingml/2006/main" flipV="1">
          <a:off x="2681446" y="308339"/>
          <a:ext cx="0" cy="1586620"/>
        </a:xfrm>
        <a:prstGeom xmlns:a="http://schemas.openxmlformats.org/drawingml/2006/main" prst="line">
          <a:avLst/>
        </a:prstGeom>
        <a:ln xmlns:a="http://schemas.openxmlformats.org/drawingml/2006/main" w="15875">
          <a:solidFill>
            <a:srgbClr val="FF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0.04301</cdr:x>
      <cdr:y>0</cdr:y>
    </cdr:from>
    <cdr:to>
      <cdr:x>0.88023</cdr:x>
      <cdr:y>0.08043</cdr:y>
    </cdr:to>
    <cdr:sp macro="" textlink="">
      <cdr:nvSpPr>
        <cdr:cNvPr id="4" name="TextBox 3">
          <a:extLst xmlns:a="http://schemas.openxmlformats.org/drawingml/2006/main">
            <a:ext uri="{FF2B5EF4-FFF2-40B4-BE49-F238E27FC236}">
              <a16:creationId xmlns:a16="http://schemas.microsoft.com/office/drawing/2014/main" id="{D66D95E5-91AA-4B24-A0E2-DAC6CBFE994B}"/>
            </a:ext>
          </a:extLst>
        </cdr:cNvPr>
        <cdr:cNvSpPr txBox="1"/>
      </cdr:nvSpPr>
      <cdr:spPr>
        <a:xfrm xmlns:a="http://schemas.openxmlformats.org/drawingml/2006/main">
          <a:off x="279400" y="0"/>
          <a:ext cx="5438645" cy="2547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200">
              <a:solidFill>
                <a:srgbClr val="FF0000"/>
              </a:solidFill>
              <a:latin typeface="Times New Roman" panose="02020603050405020304" pitchFamily="18" charset="0"/>
              <a:cs typeface="Times New Roman" panose="02020603050405020304" pitchFamily="18" charset="0"/>
            </a:rPr>
            <a:t>Ammendment to the</a:t>
          </a:r>
          <a:r>
            <a:rPr lang="en-GB" sz="1200" baseline="0">
              <a:solidFill>
                <a:srgbClr val="FF0000"/>
              </a:solidFill>
              <a:latin typeface="Times New Roman" panose="02020603050405020304" pitchFamily="18" charset="0"/>
              <a:cs typeface="Times New Roman" panose="02020603050405020304" pitchFamily="18" charset="0"/>
            </a:rPr>
            <a:t> Misuse of Drugs Act, 14</a:t>
          </a:r>
          <a:r>
            <a:rPr lang="en-GB" sz="1200" baseline="30000">
              <a:solidFill>
                <a:srgbClr val="FF0000"/>
              </a:solidFill>
              <a:latin typeface="Times New Roman" panose="02020603050405020304" pitchFamily="18" charset="0"/>
              <a:cs typeface="Times New Roman" panose="02020603050405020304" pitchFamily="18" charset="0"/>
            </a:rPr>
            <a:t>th</a:t>
          </a:r>
          <a:r>
            <a:rPr lang="en-GB" sz="1200" baseline="0">
              <a:solidFill>
                <a:srgbClr val="FF0000"/>
              </a:solidFill>
              <a:latin typeface="Times New Roman" panose="02020603050405020304" pitchFamily="18" charset="0"/>
              <a:cs typeface="Times New Roman" panose="02020603050405020304" pitchFamily="18" charset="0"/>
            </a:rPr>
            <a:t> December 2016</a:t>
          </a:r>
          <a:endParaRPr lang="en-GB" sz="1200">
            <a:solidFill>
              <a:srgbClr val="FF0000"/>
            </a:solidFill>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0.35924</cdr:x>
      <cdr:y>0.08464</cdr:y>
    </cdr:from>
    <cdr:to>
      <cdr:x>0.35924</cdr:x>
      <cdr:y>0.56475</cdr:y>
    </cdr:to>
    <cdr:cxnSp macro="">
      <cdr:nvCxnSpPr>
        <cdr:cNvPr id="3" name="Straight Connector 2">
          <a:extLst xmlns:a="http://schemas.openxmlformats.org/drawingml/2006/main">
            <a:ext uri="{FF2B5EF4-FFF2-40B4-BE49-F238E27FC236}">
              <a16:creationId xmlns:a16="http://schemas.microsoft.com/office/drawing/2014/main" id="{6B8A5C18-A991-40F1-B170-E51DE0F6FA6C}"/>
            </a:ext>
          </a:extLst>
        </cdr:cNvPr>
        <cdr:cNvCxnSpPr/>
      </cdr:nvCxnSpPr>
      <cdr:spPr>
        <a:xfrm xmlns:a="http://schemas.openxmlformats.org/drawingml/2006/main" flipV="1">
          <a:off x="2624491" y="298310"/>
          <a:ext cx="0" cy="1692000"/>
        </a:xfrm>
        <a:prstGeom xmlns:a="http://schemas.openxmlformats.org/drawingml/2006/main" prst="line">
          <a:avLst/>
        </a:prstGeom>
        <a:ln xmlns:a="http://schemas.openxmlformats.org/drawingml/2006/main" w="15875">
          <a:solidFill>
            <a:srgbClr val="FF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0.03618</cdr:x>
      <cdr:y>0.00811</cdr:y>
    </cdr:from>
    <cdr:to>
      <cdr:x>0.76355</cdr:x>
      <cdr:y>0.08676</cdr:y>
    </cdr:to>
    <cdr:sp macro="" textlink="">
      <cdr:nvSpPr>
        <cdr:cNvPr id="6" name="TextBox 1">
          <a:extLst xmlns:a="http://schemas.openxmlformats.org/drawingml/2006/main">
            <a:ext uri="{FF2B5EF4-FFF2-40B4-BE49-F238E27FC236}">
              <a16:creationId xmlns:a16="http://schemas.microsoft.com/office/drawing/2014/main" id="{D41A13C8-07D2-427C-A044-81890823E46A}"/>
            </a:ext>
          </a:extLst>
        </cdr:cNvPr>
        <cdr:cNvSpPr txBox="1"/>
      </cdr:nvSpPr>
      <cdr:spPr>
        <a:xfrm xmlns:a="http://schemas.openxmlformats.org/drawingml/2006/main">
          <a:off x="264329" y="28575"/>
          <a:ext cx="5313929" cy="27718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200">
              <a:solidFill>
                <a:srgbClr val="FF0000"/>
              </a:solidFill>
              <a:latin typeface="Times New Roman" panose="02020603050405020304" pitchFamily="18" charset="0"/>
              <a:cs typeface="Times New Roman" panose="02020603050405020304" pitchFamily="18" charset="0"/>
            </a:rPr>
            <a:t>Ammendment to the</a:t>
          </a:r>
          <a:r>
            <a:rPr lang="en-GB" sz="1200" baseline="0">
              <a:solidFill>
                <a:srgbClr val="FF0000"/>
              </a:solidFill>
              <a:latin typeface="Times New Roman" panose="02020603050405020304" pitchFamily="18" charset="0"/>
              <a:cs typeface="Times New Roman" panose="02020603050405020304" pitchFamily="18" charset="0"/>
            </a:rPr>
            <a:t> Misuse of Drugs Act, 14</a:t>
          </a:r>
          <a:r>
            <a:rPr lang="en-GB" sz="1200" baseline="30000">
              <a:solidFill>
                <a:srgbClr val="FF0000"/>
              </a:solidFill>
              <a:latin typeface="Times New Roman" panose="02020603050405020304" pitchFamily="18" charset="0"/>
              <a:cs typeface="Times New Roman" panose="02020603050405020304" pitchFamily="18" charset="0"/>
            </a:rPr>
            <a:t>th</a:t>
          </a:r>
          <a:r>
            <a:rPr lang="en-GB" sz="1200" baseline="0">
              <a:solidFill>
                <a:srgbClr val="FF0000"/>
              </a:solidFill>
              <a:latin typeface="Times New Roman" panose="02020603050405020304" pitchFamily="18" charset="0"/>
              <a:cs typeface="Times New Roman" panose="02020603050405020304" pitchFamily="18" charset="0"/>
            </a:rPr>
            <a:t> December 2016</a:t>
          </a:r>
          <a:endParaRPr lang="en-GB" sz="1200">
            <a:solidFill>
              <a:srgbClr val="FF0000"/>
            </a:solidFill>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F3F4109AB7524CBAD9E71EE7353646" ma:contentTypeVersion="8" ma:contentTypeDescription="Create a new document." ma:contentTypeScope="" ma:versionID="d12767c1c082289b45ffcf3a21a450d9">
  <xsd:schema xmlns:xsd="http://www.w3.org/2001/XMLSchema" xmlns:xs="http://www.w3.org/2001/XMLSchema" xmlns:p="http://schemas.microsoft.com/office/2006/metadata/properties" xmlns:ns3="0cb57ac3-6bf0-4bdc-965c-95808db04a7b" targetNamespace="http://schemas.microsoft.com/office/2006/metadata/properties" ma:root="true" ma:fieldsID="3b6030d926830799a8651ab1021a095b" ns3:_="">
    <xsd:import namespace="0cb57ac3-6bf0-4bdc-965c-95808db04a7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57ac3-6bf0-4bdc-965c-95808db04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82621-415E-4807-9010-5373C48FD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57ac3-6bf0-4bdc-965c-95808db04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000662-4B25-499E-8D53-8E66B94493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102410-F3FD-4EF4-BF8C-C305CA7005CA}">
  <ds:schemaRefs>
    <ds:schemaRef ds:uri="http://schemas.microsoft.com/sharepoint/v3/contenttype/forms"/>
  </ds:schemaRefs>
</ds:datastoreItem>
</file>

<file path=customXml/itemProps4.xml><?xml version="1.0" encoding="utf-8"?>
<ds:datastoreItem xmlns:ds="http://schemas.openxmlformats.org/officeDocument/2006/customXml" ds:itemID="{01320CC2-A6D5-4CD7-857D-199E14F5F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2241</Words>
  <Characters>12375</Characters>
  <Application>Microsoft Office Word</Application>
  <DocSecurity>0</DocSecurity>
  <Lines>334</Lines>
  <Paragraphs>98</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Craft</dc:creator>
  <cp:keywords/>
  <dc:description/>
  <cp:lastModifiedBy>AAMADEO</cp:lastModifiedBy>
  <cp:revision>27</cp:revision>
  <dcterms:created xsi:type="dcterms:W3CDTF">2022-05-11T11:08:00Z</dcterms:created>
  <dcterms:modified xsi:type="dcterms:W3CDTF">2022-06-04T07:14:00Z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0x01010049F3F4109AB7524CBAD9E71EE7353646</vt:lpwstr>
  </property>
</Properties>
</file>