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F1C92" w14:textId="23785449" w:rsidR="00875F9B" w:rsidRPr="00875F9B" w:rsidRDefault="00875F9B" w:rsidP="00875F9B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</w:pPr>
      <w:r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  <w:t>S</w:t>
      </w:r>
      <w:r w:rsidR="00E67B3A"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  <w:t>6</w:t>
      </w:r>
      <w:r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  <w:t xml:space="preserve"> Table</w:t>
      </w:r>
      <w:r w:rsidRPr="00875F9B"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  <w:t>. I</w:t>
      </w:r>
      <w:r w:rsidRPr="00875F9B"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vertAlign w:val="superscript"/>
          <w:lang w:eastAsia="zh-TW"/>
        </w:rPr>
        <w:t>2</w:t>
      </w:r>
      <w:r w:rsidRPr="00875F9B"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vertAlign w:val="subscript"/>
          <w:lang w:eastAsia="zh-TW"/>
        </w:rPr>
        <w:t xml:space="preserve">GX </w:t>
      </w:r>
      <w:r w:rsidRPr="00875F9B"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  <w:t>statistics for the MR instruments in univaria</w:t>
      </w:r>
      <w:r w:rsidR="00573E60"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  <w:t>ble</w:t>
      </w:r>
      <w:r w:rsidRPr="00875F9B"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  <w:t xml:space="preserve"> MR analyses </w:t>
      </w:r>
    </w:p>
    <w:p w14:paraId="1877C889" w14:textId="77777777" w:rsidR="00875F9B" w:rsidRPr="00875F9B" w:rsidRDefault="00875F9B" w:rsidP="00875F9B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  <w:u w:color="000000"/>
          <w:lang w:eastAsia="zh-TW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2"/>
        <w:gridCol w:w="3074"/>
      </w:tblGrid>
      <w:tr w:rsidR="00875F9B" w:rsidRPr="00875F9B" w14:paraId="1C9CA3E0" w14:textId="77777777" w:rsidTr="00A858B8">
        <w:trPr>
          <w:jc w:val="center"/>
        </w:trPr>
        <w:tc>
          <w:tcPr>
            <w:tcW w:w="3102" w:type="dxa"/>
            <w:tcBorders>
              <w:top w:val="single" w:sz="4" w:space="0" w:color="auto"/>
              <w:bottom w:val="single" w:sz="4" w:space="0" w:color="auto"/>
            </w:tcBorders>
          </w:tcPr>
          <w:p w14:paraId="4654EBC9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Trait</w:t>
            </w:r>
          </w:p>
        </w:tc>
        <w:tc>
          <w:tcPr>
            <w:tcW w:w="3074" w:type="dxa"/>
            <w:tcBorders>
              <w:top w:val="single" w:sz="4" w:space="0" w:color="auto"/>
              <w:bottom w:val="single" w:sz="4" w:space="0" w:color="auto"/>
            </w:tcBorders>
          </w:tcPr>
          <w:p w14:paraId="42E66AD1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I</w:t>
            </w:r>
            <w:r w:rsidRPr="00875F9B">
              <w:rPr>
                <w:rFonts w:eastAsia="Times New Roman" w:cs="Times New Roman"/>
                <w:szCs w:val="24"/>
                <w:vertAlign w:val="superscript"/>
              </w:rPr>
              <w:t>2</w:t>
            </w:r>
            <w:r w:rsidRPr="00875F9B">
              <w:rPr>
                <w:rFonts w:eastAsia="Times New Roman" w:cs="Times New Roman"/>
                <w:szCs w:val="24"/>
                <w:vertAlign w:val="subscript"/>
              </w:rPr>
              <w:t>GX</w:t>
            </w:r>
          </w:p>
        </w:tc>
      </w:tr>
      <w:tr w:rsidR="00875F9B" w:rsidRPr="00875F9B" w14:paraId="023065AB" w14:textId="77777777" w:rsidTr="00A858B8">
        <w:trPr>
          <w:jc w:val="center"/>
        </w:trPr>
        <w:tc>
          <w:tcPr>
            <w:tcW w:w="3102" w:type="dxa"/>
            <w:tcBorders>
              <w:top w:val="single" w:sz="4" w:space="0" w:color="auto"/>
            </w:tcBorders>
          </w:tcPr>
          <w:p w14:paraId="40479AF2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ADHD</w:t>
            </w:r>
          </w:p>
        </w:tc>
        <w:tc>
          <w:tcPr>
            <w:tcW w:w="3074" w:type="dxa"/>
            <w:tcBorders>
              <w:top w:val="single" w:sz="4" w:space="0" w:color="auto"/>
            </w:tcBorders>
          </w:tcPr>
          <w:p w14:paraId="16101633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94.9%</w:t>
            </w:r>
          </w:p>
        </w:tc>
      </w:tr>
      <w:tr w:rsidR="00875F9B" w:rsidRPr="00875F9B" w14:paraId="44704300" w14:textId="77777777" w:rsidTr="00A858B8">
        <w:trPr>
          <w:jc w:val="center"/>
        </w:trPr>
        <w:tc>
          <w:tcPr>
            <w:tcW w:w="3102" w:type="dxa"/>
          </w:tcPr>
          <w:p w14:paraId="15B8FB02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Alcohol dependence disorder</w:t>
            </w:r>
          </w:p>
        </w:tc>
        <w:tc>
          <w:tcPr>
            <w:tcW w:w="3074" w:type="dxa"/>
          </w:tcPr>
          <w:p w14:paraId="748243CF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93.0%</w:t>
            </w:r>
          </w:p>
        </w:tc>
      </w:tr>
      <w:tr w:rsidR="00875F9B" w:rsidRPr="00875F9B" w14:paraId="13664CE1" w14:textId="77777777" w:rsidTr="00A858B8">
        <w:trPr>
          <w:jc w:val="center"/>
        </w:trPr>
        <w:tc>
          <w:tcPr>
            <w:tcW w:w="3102" w:type="dxa"/>
          </w:tcPr>
          <w:p w14:paraId="21C738EF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Bipolar disorder</w:t>
            </w:r>
          </w:p>
        </w:tc>
        <w:tc>
          <w:tcPr>
            <w:tcW w:w="3074" w:type="dxa"/>
          </w:tcPr>
          <w:p w14:paraId="72DFEBCF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94.4%</w:t>
            </w:r>
          </w:p>
        </w:tc>
      </w:tr>
      <w:tr w:rsidR="00875F9B" w:rsidRPr="00875F9B" w14:paraId="2D2EB3D6" w14:textId="77777777" w:rsidTr="00A858B8">
        <w:trPr>
          <w:jc w:val="center"/>
        </w:trPr>
        <w:tc>
          <w:tcPr>
            <w:tcW w:w="3102" w:type="dxa"/>
          </w:tcPr>
          <w:p w14:paraId="569FFDC6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Lifetime cannabis use</w:t>
            </w:r>
          </w:p>
        </w:tc>
        <w:tc>
          <w:tcPr>
            <w:tcW w:w="3074" w:type="dxa"/>
          </w:tcPr>
          <w:p w14:paraId="52D76AF2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94.7%</w:t>
            </w:r>
          </w:p>
        </w:tc>
      </w:tr>
      <w:tr w:rsidR="00875F9B" w:rsidRPr="00875F9B" w14:paraId="50DC18C9" w14:textId="77777777" w:rsidTr="00A858B8">
        <w:trPr>
          <w:jc w:val="center"/>
        </w:trPr>
        <w:tc>
          <w:tcPr>
            <w:tcW w:w="3102" w:type="dxa"/>
          </w:tcPr>
          <w:p w14:paraId="73B5DE1F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MDD</w:t>
            </w:r>
          </w:p>
        </w:tc>
        <w:tc>
          <w:tcPr>
            <w:tcW w:w="3074" w:type="dxa"/>
          </w:tcPr>
          <w:p w14:paraId="2317531C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94.7%</w:t>
            </w:r>
          </w:p>
        </w:tc>
      </w:tr>
      <w:tr w:rsidR="00875F9B" w:rsidRPr="00875F9B" w14:paraId="1F77EBB1" w14:textId="77777777" w:rsidTr="00A858B8">
        <w:trPr>
          <w:jc w:val="center"/>
        </w:trPr>
        <w:tc>
          <w:tcPr>
            <w:tcW w:w="3102" w:type="dxa"/>
          </w:tcPr>
          <w:p w14:paraId="26AFB907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Schizophrenia</w:t>
            </w:r>
          </w:p>
        </w:tc>
        <w:tc>
          <w:tcPr>
            <w:tcW w:w="3074" w:type="dxa"/>
          </w:tcPr>
          <w:p w14:paraId="3E5A0B7F" w14:textId="77777777" w:rsidR="00875F9B" w:rsidRPr="00875F9B" w:rsidRDefault="00875F9B" w:rsidP="00875F9B">
            <w:pPr>
              <w:rPr>
                <w:rFonts w:eastAsia="Times New Roman" w:cs="Times New Roman"/>
                <w:szCs w:val="24"/>
              </w:rPr>
            </w:pPr>
            <w:r w:rsidRPr="00875F9B">
              <w:rPr>
                <w:rFonts w:eastAsia="Times New Roman" w:cs="Times New Roman"/>
                <w:szCs w:val="24"/>
              </w:rPr>
              <w:t>95.7%</w:t>
            </w:r>
          </w:p>
        </w:tc>
      </w:tr>
    </w:tbl>
    <w:p w14:paraId="5143B69A" w14:textId="481E61EC" w:rsidR="00875F9B" w:rsidRPr="00875F9B" w:rsidRDefault="00875F9B" w:rsidP="00875F9B">
      <w:pPr>
        <w:keepNext/>
        <w:keepLines/>
        <w:spacing w:before="40" w:after="0" w:line="240" w:lineRule="auto"/>
        <w:outlineLvl w:val="1"/>
        <w:rPr>
          <w:rFonts w:ascii="Times New Roman" w:eastAsiaTheme="majorEastAsia" w:hAnsi="Times New Roman" w:cs="Times New Roman"/>
          <w:sz w:val="24"/>
          <w:szCs w:val="24"/>
          <w:u w:color="000000"/>
          <w:lang w:eastAsia="zh-TW"/>
        </w:rPr>
      </w:pPr>
      <w:r w:rsidRPr="00875F9B">
        <w:rPr>
          <w:rFonts w:ascii="Times New Roman" w:hAnsi="Times New Roman" w:cs="Times New Roman"/>
          <w:sz w:val="24"/>
          <w:szCs w:val="24"/>
        </w:rPr>
        <w:t xml:space="preserve">Note. These </w:t>
      </w:r>
      <w:r w:rsidRPr="00875F9B">
        <w:rPr>
          <w:rFonts w:ascii="Times New Roman" w:eastAsiaTheme="majorEastAsia" w:hAnsi="Times New Roman" w:cs="Times New Roman"/>
          <w:sz w:val="24"/>
          <w:szCs w:val="24"/>
          <w:u w:color="000000"/>
          <w:lang w:eastAsia="zh-TW"/>
        </w:rPr>
        <w:t>I</w:t>
      </w:r>
      <w:r w:rsidRPr="00875F9B">
        <w:rPr>
          <w:rFonts w:ascii="Times New Roman" w:eastAsiaTheme="majorEastAsia" w:hAnsi="Times New Roman" w:cs="Times New Roman"/>
          <w:sz w:val="24"/>
          <w:szCs w:val="24"/>
          <w:u w:color="000000"/>
          <w:vertAlign w:val="superscript"/>
          <w:lang w:eastAsia="zh-TW"/>
        </w:rPr>
        <w:t>2</w:t>
      </w:r>
      <w:r w:rsidRPr="00875F9B">
        <w:rPr>
          <w:rFonts w:ascii="Times New Roman" w:eastAsiaTheme="majorEastAsia" w:hAnsi="Times New Roman" w:cs="Times New Roman"/>
          <w:sz w:val="24"/>
          <w:szCs w:val="24"/>
          <w:u w:color="000000"/>
          <w:vertAlign w:val="subscript"/>
          <w:lang w:eastAsia="zh-TW"/>
        </w:rPr>
        <w:t>GX</w:t>
      </w:r>
      <w:r w:rsidRPr="00875F9B">
        <w:rPr>
          <w:rFonts w:ascii="Times New Roman" w:eastAsiaTheme="majorEastAsia" w:hAnsi="Times New Roman" w:cs="Times New Roman"/>
          <w:sz w:val="24"/>
          <w:szCs w:val="24"/>
          <w:u w:color="000000"/>
          <w:lang w:eastAsia="zh-TW"/>
        </w:rPr>
        <w:t xml:space="preserve"> statistics are applicable to MR for both self-harm and SSH as outcomes. </w:t>
      </w:r>
    </w:p>
    <w:p w14:paraId="37DA167C" w14:textId="2DC1014C" w:rsidR="00875F9B" w:rsidRDefault="00875F9B"/>
    <w:sectPr w:rsidR="00875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9B"/>
    <w:rsid w:val="00573E60"/>
    <w:rsid w:val="00875F9B"/>
    <w:rsid w:val="00E67B3A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8B2C8"/>
  <w15:chartTrackingRefBased/>
  <w15:docId w15:val="{E784383F-0D80-4439-B252-FFEA1FBA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F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75F9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875F9B"/>
    <w:pPr>
      <w:spacing w:after="0" w:line="240" w:lineRule="auto"/>
    </w:pPr>
    <w:rPr>
      <w:rFonts w:ascii="Times New Roman" w:eastAsiaTheme="majorEastAsia" w:hAnsi="Times New Roman" w:cstheme="majorBidi"/>
      <w:sz w:val="24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75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F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CF8C7A0DD294A81C051F04D0EC997" ma:contentTypeVersion="13" ma:contentTypeDescription="Create a new document." ma:contentTypeScope="" ma:versionID="bb391bcd83328ed944c6ded535bc439e">
  <xsd:schema xmlns:xsd="http://www.w3.org/2001/XMLSchema" xmlns:xs="http://www.w3.org/2001/XMLSchema" xmlns:p="http://schemas.microsoft.com/office/2006/metadata/properties" xmlns:ns3="3d72f227-f787-447d-b1cf-170f5907a0b1" xmlns:ns4="9c21d64e-8cfa-4d6d-8704-238aa09fa296" targetNamespace="http://schemas.microsoft.com/office/2006/metadata/properties" ma:root="true" ma:fieldsID="415ee8c5de1a9c6045c4e0724ec38a68" ns3:_="" ns4:_="">
    <xsd:import namespace="3d72f227-f787-447d-b1cf-170f5907a0b1"/>
    <xsd:import namespace="9c21d64e-8cfa-4d6d-8704-238aa09fa2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2f227-f787-447d-b1cf-170f5907a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1d64e-8cfa-4d6d-8704-238aa09fa29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AAB2C5-61EB-4EFC-B2C8-B0EB53D77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2f227-f787-447d-b1cf-170f5907a0b1"/>
    <ds:schemaRef ds:uri="9c21d64e-8cfa-4d6d-8704-238aa09fa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185A11-1406-4D77-934F-944DE5C57E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E225AB-3D86-494D-8B63-E948010AAC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Kai</dc:creator>
  <cp:keywords/>
  <dc:description/>
  <cp:lastModifiedBy>Lim, Kai</cp:lastModifiedBy>
  <cp:revision>4</cp:revision>
  <dcterms:created xsi:type="dcterms:W3CDTF">2020-02-21T12:42:00Z</dcterms:created>
  <dcterms:modified xsi:type="dcterms:W3CDTF">2020-05-12T15:53:00Z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0x010100489CF8C7A0DD294A81C051F04D0EC997</vt:lpwstr>
  </property>
</Properties>
</file>