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71" w:rsidRPr="00224F26" w:rsidRDefault="009A0C71" w:rsidP="009A0C71">
      <w:pPr>
        <w:ind w:right="-5180"/>
        <w:rPr>
          <w:rFonts w:ascii="Times New Roman"/>
          <w:sz w:val="52"/>
          <w:szCs w:val="52"/>
        </w:rPr>
      </w:pPr>
      <w:r w:rsidRPr="00224F26">
        <w:rPr>
          <w:rFonts w:ascii="Times New Roman"/>
          <w:sz w:val="52"/>
          <w:szCs w:val="52"/>
        </w:rPr>
        <w:t>Supplementary Information</w:t>
      </w:r>
    </w:p>
    <w:p w:rsidR="009A0C71" w:rsidRPr="00224F26" w:rsidRDefault="009A0C71" w:rsidP="009A0C71">
      <w:pPr>
        <w:ind w:right="-5180"/>
        <w:rPr>
          <w:rFonts w:ascii="Times New Roman"/>
          <w:sz w:val="52"/>
          <w:szCs w:val="52"/>
        </w:rPr>
      </w:pPr>
    </w:p>
    <w:p w:rsidR="009A0C71" w:rsidRPr="009A0C71" w:rsidRDefault="009A0C71" w:rsidP="009A0C71">
      <w:pPr>
        <w:widowControl/>
        <w:autoSpaceDE/>
        <w:autoSpaceDN/>
        <w:spacing w:after="160" w:line="480" w:lineRule="auto"/>
        <w:jc w:val="both"/>
        <w:rPr>
          <w:rFonts w:ascii="Times New Roman" w:eastAsia="MS Mincho" w:hAnsi="Times New Roman" w:cs="Times New Roman"/>
          <w:bCs/>
          <w:kern w:val="2"/>
          <w:sz w:val="32"/>
          <w:szCs w:val="32"/>
          <w14:ligatures w14:val="standardContextual"/>
        </w:rPr>
      </w:pPr>
      <w:r w:rsidRPr="009A0C71">
        <w:rPr>
          <w:rFonts w:ascii="Times New Roman" w:eastAsia="MS Mincho" w:hAnsi="Times New Roman" w:cs="Times New Roman"/>
          <w:bCs/>
          <w:kern w:val="2"/>
          <w:sz w:val="32"/>
          <w:szCs w:val="32"/>
          <w14:ligatures w14:val="standardContextual"/>
        </w:rPr>
        <w:t xml:space="preserve">Rapid LC-QTOF-MS screening method for semi-synthetic </w:t>
      </w:r>
      <w:r>
        <w:rPr>
          <w:rFonts w:ascii="Times New Roman" w:eastAsia="MS Mincho" w:hAnsi="Times New Roman" w:cs="Times New Roman"/>
          <w:bCs/>
          <w:kern w:val="2"/>
          <w:sz w:val="32"/>
          <w:szCs w:val="32"/>
          <w14:ligatures w14:val="standardContextual"/>
        </w:rPr>
        <w:t>c</w:t>
      </w:r>
      <w:r w:rsidRPr="009A0C71">
        <w:rPr>
          <w:rFonts w:ascii="Times New Roman" w:eastAsia="MS Mincho" w:hAnsi="Times New Roman" w:cs="Times New Roman"/>
          <w:bCs/>
          <w:kern w:val="2"/>
          <w:sz w:val="32"/>
          <w:szCs w:val="32"/>
          <w14:ligatures w14:val="standardContextual"/>
        </w:rPr>
        <w:t>annabinoids in whole blood</w:t>
      </w:r>
    </w:p>
    <w:p w:rsidR="009A0C71" w:rsidRPr="00F25F1A" w:rsidRDefault="009A0C71" w:rsidP="009A0C71">
      <w:pPr>
        <w:ind w:right="-5180"/>
        <w:rPr>
          <w:rFonts w:ascii="Times New Roman"/>
          <w:sz w:val="52"/>
          <w:szCs w:val="52"/>
        </w:rPr>
      </w:pPr>
    </w:p>
    <w:p w:rsidR="009A0C71" w:rsidRDefault="009A0C71" w:rsidP="009A0C71">
      <w:pPr>
        <w:widowControl/>
        <w:autoSpaceDE/>
        <w:autoSpaceDN/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br w:type="page"/>
      </w:r>
    </w:p>
    <w:p w:rsidR="009A0C71" w:rsidRPr="00EB71CB" w:rsidRDefault="000E1101" w:rsidP="009A0C71">
      <w:pPr>
        <w:ind w:right="-567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lastRenderedPageBreak/>
        <w:t>Table of contents</w:t>
      </w:r>
    </w:p>
    <w:p w:rsidR="000E1101" w:rsidRPr="000E1101" w:rsidRDefault="000E1101" w:rsidP="000E1101">
      <w:pPr>
        <w:pStyle w:val="Listenabsatz"/>
        <w:numPr>
          <w:ilvl w:val="0"/>
          <w:numId w:val="1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Table Recovery rates and matrix effects</w:t>
      </w:r>
      <w:r w:rsidR="00E77B34">
        <w:rPr>
          <w:rFonts w:ascii="Times New Roman" w:hAnsi="Times New Roman" w:cs="Times New Roman"/>
          <w:sz w:val="28"/>
          <w:szCs w:val="28"/>
        </w:rPr>
        <w:t xml:space="preserve"> SPE, and LLE in glass vials</w:t>
      </w:r>
      <w:bookmarkStart w:id="0" w:name="_GoBack"/>
      <w:bookmarkEnd w:id="0"/>
      <w:r w:rsidR="009A0C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S1</w:t>
      </w:r>
    </w:p>
    <w:p w:rsidR="000E1101" w:rsidRDefault="000E1101" w:rsidP="000E1101">
      <w:pPr>
        <w:pStyle w:val="Listenabsatz"/>
        <w:numPr>
          <w:ilvl w:val="0"/>
          <w:numId w:val="1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Recovery rates from the LLE protocol, measured in PP vials</w:t>
      </w:r>
      <w:r>
        <w:rPr>
          <w:rFonts w:ascii="Times New Roman" w:hAnsi="Times New Roman" w:cs="Times New Roman"/>
          <w:sz w:val="28"/>
          <w:szCs w:val="28"/>
        </w:rPr>
        <w:tab/>
      </w:r>
      <w:r w:rsidRPr="00B0309D">
        <w:rPr>
          <w:rFonts w:ascii="Times New Roman" w:hAnsi="Times New Roman" w:cs="Times New Roman"/>
          <w:b/>
          <w:sz w:val="28"/>
          <w:szCs w:val="28"/>
        </w:rPr>
        <w:t>S2</w:t>
      </w:r>
    </w:p>
    <w:p w:rsidR="000E1101" w:rsidRDefault="000E1101" w:rsidP="000E1101">
      <w:pPr>
        <w:pStyle w:val="Listenabsatz"/>
        <w:numPr>
          <w:ilvl w:val="0"/>
          <w:numId w:val="1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Recovery rates from the LLE protocol, measured in glass vials</w:t>
      </w:r>
      <w:r>
        <w:rPr>
          <w:rFonts w:ascii="Times New Roman" w:hAnsi="Times New Roman" w:cs="Times New Roman"/>
          <w:sz w:val="28"/>
          <w:szCs w:val="28"/>
        </w:rPr>
        <w:tab/>
      </w:r>
      <w:r w:rsidRPr="00B0309D">
        <w:rPr>
          <w:rFonts w:ascii="Times New Roman" w:hAnsi="Times New Roman" w:cs="Times New Roman"/>
          <w:b/>
          <w:sz w:val="28"/>
          <w:szCs w:val="28"/>
        </w:rPr>
        <w:t>S3</w:t>
      </w:r>
    </w:p>
    <w:p w:rsidR="000E1101" w:rsidRDefault="000E1101" w:rsidP="000E1101">
      <w:pPr>
        <w:pStyle w:val="Listenabsatz"/>
        <w:numPr>
          <w:ilvl w:val="0"/>
          <w:numId w:val="1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Recovery rates from the SPE protocol, measured in PP vials</w:t>
      </w:r>
      <w:r>
        <w:rPr>
          <w:rFonts w:ascii="Times New Roman" w:hAnsi="Times New Roman" w:cs="Times New Roman"/>
          <w:sz w:val="28"/>
          <w:szCs w:val="28"/>
        </w:rPr>
        <w:tab/>
      </w:r>
      <w:r w:rsidRPr="00B0309D">
        <w:rPr>
          <w:rFonts w:ascii="Times New Roman" w:hAnsi="Times New Roman" w:cs="Times New Roman"/>
          <w:b/>
          <w:sz w:val="28"/>
          <w:szCs w:val="28"/>
        </w:rPr>
        <w:t>S4</w:t>
      </w:r>
    </w:p>
    <w:p w:rsidR="000E1101" w:rsidRDefault="000E1101" w:rsidP="000E1101">
      <w:pPr>
        <w:pStyle w:val="Listenabsatz"/>
        <w:numPr>
          <w:ilvl w:val="0"/>
          <w:numId w:val="1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Δ</w:t>
      </w:r>
      <w:r w:rsidRPr="000E1101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-THC-COOH interference in a real case sample (Δ</w:t>
      </w:r>
      <w:r w:rsidRPr="000E1101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>
        <w:rPr>
          <w:rFonts w:ascii="Times New Roman" w:hAnsi="Times New Roman" w:cs="Times New Roman"/>
          <w:sz w:val="28"/>
          <w:szCs w:val="28"/>
        </w:rPr>
        <w:t>-THC-COOH)</w:t>
      </w:r>
      <w:r>
        <w:rPr>
          <w:rFonts w:ascii="Times New Roman" w:hAnsi="Times New Roman" w:cs="Times New Roman"/>
          <w:sz w:val="28"/>
          <w:szCs w:val="28"/>
        </w:rPr>
        <w:tab/>
      </w:r>
      <w:r w:rsidRPr="00B0309D">
        <w:rPr>
          <w:rFonts w:ascii="Times New Roman" w:hAnsi="Times New Roman" w:cs="Times New Roman"/>
          <w:b/>
          <w:sz w:val="28"/>
          <w:szCs w:val="28"/>
        </w:rPr>
        <w:t>S5</w:t>
      </w:r>
    </w:p>
    <w:p w:rsidR="000E1101" w:rsidRDefault="000E1101" w:rsidP="000E1101">
      <w:pPr>
        <w:pStyle w:val="Listenabsatz"/>
        <w:numPr>
          <w:ilvl w:val="0"/>
          <w:numId w:val="1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Δ</w:t>
      </w:r>
      <w:r w:rsidRPr="000E1101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-THC and Δ</w:t>
      </w:r>
      <w:r w:rsidRPr="000E1101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>
        <w:rPr>
          <w:rFonts w:ascii="Times New Roman" w:hAnsi="Times New Roman" w:cs="Times New Roman"/>
          <w:sz w:val="28"/>
          <w:szCs w:val="28"/>
        </w:rPr>
        <w:t>-THC in a real case sample</w:t>
      </w:r>
      <w:r>
        <w:rPr>
          <w:rFonts w:ascii="Times New Roman" w:hAnsi="Times New Roman" w:cs="Times New Roman"/>
          <w:sz w:val="28"/>
          <w:szCs w:val="28"/>
        </w:rPr>
        <w:tab/>
      </w:r>
      <w:r w:rsidRPr="00B0309D">
        <w:rPr>
          <w:rFonts w:ascii="Times New Roman" w:hAnsi="Times New Roman" w:cs="Times New Roman"/>
          <w:b/>
          <w:sz w:val="28"/>
          <w:szCs w:val="28"/>
        </w:rPr>
        <w:t>S6</w:t>
      </w:r>
    </w:p>
    <w:p w:rsidR="000E1101" w:rsidRDefault="000E1101" w:rsidP="000E1101">
      <w:pPr>
        <w:pStyle w:val="Listenabsatz"/>
        <w:numPr>
          <w:ilvl w:val="0"/>
          <w:numId w:val="1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Δ</w:t>
      </w:r>
      <w:r w:rsidRPr="000E1101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-THC and Δ</w:t>
      </w:r>
      <w:r w:rsidRPr="000E1101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>
        <w:rPr>
          <w:rFonts w:ascii="Times New Roman" w:hAnsi="Times New Roman" w:cs="Times New Roman"/>
          <w:sz w:val="28"/>
          <w:szCs w:val="28"/>
        </w:rPr>
        <w:t>-THC in a real case sample</w:t>
      </w:r>
      <w:r>
        <w:rPr>
          <w:rFonts w:ascii="Times New Roman" w:hAnsi="Times New Roman" w:cs="Times New Roman"/>
          <w:sz w:val="28"/>
          <w:szCs w:val="28"/>
        </w:rPr>
        <w:tab/>
      </w:r>
      <w:r w:rsidRPr="00B0309D">
        <w:rPr>
          <w:rFonts w:ascii="Times New Roman" w:hAnsi="Times New Roman" w:cs="Times New Roman"/>
          <w:b/>
          <w:sz w:val="28"/>
          <w:szCs w:val="28"/>
        </w:rPr>
        <w:t>S7</w:t>
      </w:r>
    </w:p>
    <w:p w:rsidR="000E1101" w:rsidRPr="000E1101" w:rsidRDefault="000E1101" w:rsidP="000E1101">
      <w:pPr>
        <w:pStyle w:val="Listenabsatz"/>
        <w:numPr>
          <w:ilvl w:val="0"/>
          <w:numId w:val="1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HHC in a real case sample</w:t>
      </w:r>
      <w:r>
        <w:rPr>
          <w:rFonts w:ascii="Times New Roman" w:hAnsi="Times New Roman" w:cs="Times New Roman"/>
          <w:sz w:val="28"/>
          <w:szCs w:val="28"/>
        </w:rPr>
        <w:tab/>
      </w:r>
      <w:r w:rsidRPr="00B0309D">
        <w:rPr>
          <w:rFonts w:ascii="Times New Roman" w:hAnsi="Times New Roman" w:cs="Times New Roman"/>
          <w:b/>
          <w:sz w:val="28"/>
          <w:szCs w:val="28"/>
        </w:rPr>
        <w:t>S8</w:t>
      </w:r>
    </w:p>
    <w:p w:rsidR="003E6834" w:rsidRDefault="003E6834"/>
    <w:p w:rsidR="009A0C71" w:rsidRDefault="009A0C71"/>
    <w:p w:rsidR="00C70646" w:rsidRDefault="009A0C71">
      <w:pPr>
        <w:widowControl/>
        <w:autoSpaceDE/>
        <w:autoSpaceDN/>
        <w:spacing w:after="160" w:line="259" w:lineRule="auto"/>
      </w:pPr>
      <w:r>
        <w:br w:type="page"/>
      </w:r>
    </w:p>
    <w:p w:rsidR="00C70646" w:rsidRPr="00C70646" w:rsidRDefault="00C70646" w:rsidP="00C70646">
      <w:pPr>
        <w:pStyle w:val="Beschriftung"/>
        <w:keepNext/>
        <w:rPr>
          <w:i w:val="0"/>
          <w:color w:val="auto"/>
        </w:rPr>
      </w:pPr>
      <w:r>
        <w:rPr>
          <w:i w:val="0"/>
          <w:color w:val="auto"/>
        </w:rPr>
        <w:lastRenderedPageBreak/>
        <w:t>S</w:t>
      </w:r>
      <w:r w:rsidRPr="00C70646">
        <w:rPr>
          <w:i w:val="0"/>
          <w:color w:val="auto"/>
        </w:rPr>
        <w:fldChar w:fldCharType="begin"/>
      </w:r>
      <w:r w:rsidRPr="00C70646">
        <w:rPr>
          <w:i w:val="0"/>
          <w:color w:val="auto"/>
        </w:rPr>
        <w:instrText xml:space="preserve"> SEQ S \* ARABIC </w:instrText>
      </w:r>
      <w:r w:rsidRPr="00C70646">
        <w:rPr>
          <w:i w:val="0"/>
          <w:color w:val="auto"/>
        </w:rPr>
        <w:fldChar w:fldCharType="separate"/>
      </w:r>
      <w:r w:rsidR="00580F1B">
        <w:rPr>
          <w:i w:val="0"/>
          <w:noProof/>
          <w:color w:val="auto"/>
        </w:rPr>
        <w:t>1</w:t>
      </w:r>
      <w:r w:rsidRPr="00C70646">
        <w:rPr>
          <w:i w:val="0"/>
          <w:color w:val="auto"/>
        </w:rPr>
        <w:fldChar w:fldCharType="end"/>
      </w:r>
      <w:r w:rsidRPr="00C70646">
        <w:rPr>
          <w:i w:val="0"/>
          <w:color w:val="auto"/>
        </w:rPr>
        <w:t xml:space="preserve">: Recovery rates and matrix effects of the </w:t>
      </w:r>
      <w:proofErr w:type="spellStart"/>
      <w:r w:rsidRPr="00C70646">
        <w:rPr>
          <w:i w:val="0"/>
          <w:color w:val="auto"/>
        </w:rPr>
        <w:t>analytes</w:t>
      </w:r>
      <w:proofErr w:type="spellEnd"/>
      <w:r w:rsidR="00A46192">
        <w:rPr>
          <w:i w:val="0"/>
          <w:color w:val="auto"/>
        </w:rPr>
        <w:t xml:space="preserve"> from the liquid-liquid extraction protocol (LLE), measured in glass vials (left side) and</w:t>
      </w:r>
      <w:r w:rsidRPr="00C70646">
        <w:rPr>
          <w:i w:val="0"/>
          <w:color w:val="auto"/>
        </w:rPr>
        <w:t xml:space="preserve"> from the solid-phase extraction protocol</w:t>
      </w:r>
      <w:r w:rsidR="00EC0A18">
        <w:rPr>
          <w:i w:val="0"/>
          <w:color w:val="auto"/>
        </w:rPr>
        <w:t xml:space="preserve"> (SPE)</w:t>
      </w:r>
      <w:r w:rsidRPr="00C70646">
        <w:rPr>
          <w:i w:val="0"/>
          <w:color w:val="auto"/>
        </w:rPr>
        <w:t>, measured in polypropylene vials</w:t>
      </w:r>
      <w:r w:rsidR="00EC0A18">
        <w:rPr>
          <w:i w:val="0"/>
          <w:color w:val="auto"/>
        </w:rPr>
        <w:t xml:space="preserve"> </w:t>
      </w:r>
      <w:r w:rsidR="00A46192">
        <w:rPr>
          <w:i w:val="0"/>
          <w:color w:val="auto"/>
        </w:rPr>
        <w:t>(right side)</w:t>
      </w:r>
      <w:r w:rsidRPr="00C70646">
        <w:rPr>
          <w:i w:val="0"/>
          <w:color w:val="auto"/>
        </w:rPr>
        <w:t>.</w:t>
      </w:r>
      <w:r>
        <w:rPr>
          <w:i w:val="0"/>
          <w:color w:val="auto"/>
        </w:rPr>
        <w:t xml:space="preserve"> Graphical illustration of the recovery rates</w:t>
      </w:r>
      <w:r w:rsidR="00A46192">
        <w:rPr>
          <w:i w:val="0"/>
          <w:color w:val="auto"/>
        </w:rPr>
        <w:t xml:space="preserve"> from the LLE</w:t>
      </w:r>
      <w:r w:rsidR="00EC0A18">
        <w:rPr>
          <w:i w:val="0"/>
          <w:color w:val="auto"/>
        </w:rPr>
        <w:t xml:space="preserve"> </w:t>
      </w:r>
      <w:r w:rsidR="00A46192">
        <w:rPr>
          <w:i w:val="0"/>
          <w:color w:val="auto"/>
        </w:rPr>
        <w:t>protocol (analyzed in glass vials)</w:t>
      </w:r>
      <w:r>
        <w:rPr>
          <w:i w:val="0"/>
          <w:color w:val="auto"/>
        </w:rPr>
        <w:t xml:space="preserve"> </w:t>
      </w:r>
      <w:proofErr w:type="gramStart"/>
      <w:r>
        <w:rPr>
          <w:i w:val="0"/>
          <w:color w:val="auto"/>
        </w:rPr>
        <w:t>are shown</w:t>
      </w:r>
      <w:proofErr w:type="gramEnd"/>
      <w:r>
        <w:rPr>
          <w:i w:val="0"/>
          <w:color w:val="auto"/>
        </w:rPr>
        <w:t xml:space="preserve"> in </w:t>
      </w:r>
      <w:r w:rsidR="00EC0A18">
        <w:rPr>
          <w:i w:val="0"/>
          <w:color w:val="auto"/>
        </w:rPr>
        <w:t>S</w:t>
      </w:r>
      <w:r w:rsidR="00A46192">
        <w:rPr>
          <w:i w:val="0"/>
          <w:color w:val="auto"/>
        </w:rPr>
        <w:t>3</w:t>
      </w:r>
      <w:r>
        <w:rPr>
          <w:i w:val="0"/>
          <w:color w:val="auto"/>
        </w:rPr>
        <w:t>.</w:t>
      </w:r>
      <w:r w:rsidR="00EC0A18">
        <w:rPr>
          <w:i w:val="0"/>
          <w:color w:val="auto"/>
        </w:rPr>
        <w:t xml:space="preserve"> Graphical illustration of the recovery rates from the </w:t>
      </w:r>
      <w:r w:rsidR="00A46192">
        <w:rPr>
          <w:i w:val="0"/>
          <w:color w:val="auto"/>
        </w:rPr>
        <w:t>SPE</w:t>
      </w:r>
      <w:r w:rsidR="00EC0A18">
        <w:rPr>
          <w:i w:val="0"/>
          <w:color w:val="auto"/>
        </w:rPr>
        <w:t xml:space="preserve"> protocol </w:t>
      </w:r>
      <w:proofErr w:type="gramStart"/>
      <w:r w:rsidR="00A46192">
        <w:rPr>
          <w:i w:val="0"/>
          <w:color w:val="auto"/>
        </w:rPr>
        <w:t>are shown</w:t>
      </w:r>
      <w:proofErr w:type="gramEnd"/>
      <w:r w:rsidR="00A46192">
        <w:rPr>
          <w:i w:val="0"/>
          <w:color w:val="auto"/>
        </w:rPr>
        <w:t xml:space="preserve"> in S4</w:t>
      </w:r>
      <w:r w:rsidR="00EC0A18">
        <w:rPr>
          <w:i w:val="0"/>
          <w:color w:val="auto"/>
        </w:rPr>
        <w:t>.</w:t>
      </w:r>
    </w:p>
    <w:tbl>
      <w:tblPr>
        <w:tblStyle w:val="EinfacheTabelle1"/>
        <w:tblW w:w="9493" w:type="dxa"/>
        <w:tblLook w:val="04A0" w:firstRow="1" w:lastRow="0" w:firstColumn="1" w:lastColumn="0" w:noHBand="0" w:noVBand="1"/>
      </w:tblPr>
      <w:tblGrid>
        <w:gridCol w:w="1838"/>
        <w:gridCol w:w="2126"/>
        <w:gridCol w:w="1985"/>
        <w:gridCol w:w="1521"/>
        <w:gridCol w:w="2023"/>
      </w:tblGrid>
      <w:tr w:rsidR="00A46192" w:rsidRPr="00556849" w:rsidTr="00A46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bottom w:val="single" w:sz="4" w:space="0" w:color="auto"/>
            </w:tcBorders>
            <w:noWrap/>
            <w:hideMark/>
          </w:tcPr>
          <w:p w:rsidR="00A46192" w:rsidRPr="009B0010" w:rsidRDefault="00A46192" w:rsidP="00A46192">
            <w:pPr>
              <w:rPr>
                <w:rFonts w:eastAsia="Times New Roman"/>
                <w:bCs w:val="0"/>
                <w:color w:val="000000"/>
                <w:sz w:val="20"/>
                <w:szCs w:val="20"/>
              </w:rPr>
            </w:pPr>
            <w:proofErr w:type="spellStart"/>
            <w:r w:rsidRPr="009B0010">
              <w:rPr>
                <w:rFonts w:eastAsia="Times New Roman"/>
                <w:color w:val="000000"/>
                <w:sz w:val="20"/>
                <w:szCs w:val="20"/>
              </w:rPr>
              <w:t>Analyte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Recovery rates LLE glass vials / %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Matrix effects LLE glass vials / %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6192" w:rsidRPr="00A46192" w:rsidRDefault="00A46192" w:rsidP="00A46192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val="de-LI"/>
              </w:rPr>
            </w:pPr>
            <w:r w:rsidRPr="00A46192">
              <w:rPr>
                <w:bCs w:val="0"/>
                <w:color w:val="000000"/>
                <w:sz w:val="20"/>
                <w:szCs w:val="20"/>
              </w:rPr>
              <w:t>Recovery rates SPE / %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20"/>
                <w:szCs w:val="20"/>
              </w:rPr>
            </w:pPr>
            <w:r w:rsidRPr="00A46192">
              <w:rPr>
                <w:bCs w:val="0"/>
                <w:color w:val="000000"/>
                <w:sz w:val="20"/>
                <w:szCs w:val="20"/>
              </w:rPr>
              <w:t>Matrix effects SPE / %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-THCO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79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7.3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69 ± 6.2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9β-OH-HHC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55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4.8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82 ± 2.4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11-OH-Δ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96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10.5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39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75 ± 2.0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</w:tr>
      <w:tr w:rsidR="00A46192" w:rsidRPr="00556849" w:rsidTr="00A46192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11-OH-Δ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8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61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7.7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86 ± 12.1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-THCE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91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1.3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75 ± 7.3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11-COOH-9</w:t>
            </w:r>
            <w:r w:rsidRPr="00374EEF">
              <w:rPr>
                <w:rFonts w:eastAsia="Times New Roman"/>
                <w:b w:val="0"/>
                <w:i/>
                <w:iCs/>
                <w:color w:val="000000"/>
                <w:sz w:val="20"/>
                <w:szCs w:val="20"/>
              </w:rPr>
              <w:t>R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-HHC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62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6.4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90 ± 1.1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11-COOH-Δ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99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8.3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28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64 ± 4.4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9α-OH-HHC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96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48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66 ± 4.4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CBD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65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10.8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81 ± 5.8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CBG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94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16.3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62 ± 6.8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-THCB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103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15.3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63 ± 3.6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CBN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111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26.5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63 ± 2.2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74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16.0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68 ± 5.7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8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95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31.8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61 ± 2.4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9</w:t>
            </w:r>
            <w:r w:rsidRPr="00374EEF">
              <w:rPr>
                <w:rFonts w:eastAsia="Times New Roman"/>
                <w:b w:val="0"/>
                <w:i/>
                <w:iCs/>
                <w:color w:val="000000"/>
                <w:sz w:val="20"/>
                <w:szCs w:val="20"/>
              </w:rPr>
              <w:t>S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-HHC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113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30.5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53 ± 2.3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</w:p>
        </w:tc>
      </w:tr>
      <w:tr w:rsidR="00A46192" w:rsidRPr="00556849" w:rsidTr="00A46192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9</w:t>
            </w:r>
            <w:r w:rsidRPr="00374EEF">
              <w:rPr>
                <w:rFonts w:eastAsia="Times New Roman"/>
                <w:b w:val="0"/>
                <w:i/>
                <w:iCs/>
                <w:color w:val="000000"/>
                <w:sz w:val="20"/>
                <w:szCs w:val="20"/>
              </w:rPr>
              <w:t>R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-HHC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B77587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N/A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69 ± 2.7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-THCH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101 </w:t>
            </w:r>
            <w:r w:rsidRPr="00374EEF">
              <w:rPr>
                <w:rFonts w:eastAsia="Times New Roman"/>
                <w:bCs/>
                <w:color w:val="000000"/>
                <w:sz w:val="20"/>
                <w:szCs w:val="20"/>
              </w:rPr>
              <w:t>±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29.9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72 ± 3.4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</w:t>
            </w:r>
          </w:p>
        </w:tc>
      </w:tr>
      <w:tr w:rsidR="00A46192" w:rsidRPr="00556849" w:rsidTr="00A46192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9</w:t>
            </w:r>
            <w:r w:rsidRPr="00374EEF">
              <w:rPr>
                <w:rFonts w:eastAsia="Times New Roman"/>
                <w:b w:val="0"/>
                <w:i/>
                <w:iCs/>
                <w:color w:val="000000"/>
                <w:sz w:val="20"/>
                <w:szCs w:val="20"/>
              </w:rPr>
              <w:t>R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-HHCH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B77587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N/A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86 ± 1.8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-THCP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B77587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N/A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45 ± 4.6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-THC-O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B77587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N/A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57 ± 2.5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9</w:t>
            </w:r>
            <w:r w:rsidRPr="00374EEF">
              <w:rPr>
                <w:rFonts w:eastAsia="Times New Roman"/>
                <w:b w:val="0"/>
                <w:i/>
                <w:iCs/>
                <w:color w:val="000000"/>
                <w:sz w:val="20"/>
                <w:szCs w:val="20"/>
              </w:rPr>
              <w:t>R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-HHCP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B77587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N/A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44 ± 3.0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9</w:t>
            </w:r>
            <w:r w:rsidRPr="00374EEF">
              <w:rPr>
                <w:rFonts w:eastAsia="Times New Roman"/>
                <w:b w:val="0"/>
                <w:i/>
                <w:iCs/>
                <w:color w:val="000000"/>
                <w:sz w:val="20"/>
                <w:szCs w:val="20"/>
              </w:rPr>
              <w:t>R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-HHC-O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B77587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58 ± 1.7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</w:tr>
      <w:tr w:rsidR="00A46192" w:rsidRPr="00556849" w:rsidTr="00A4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-THC-C8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B77587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N/A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31 ± 4.0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</w:tr>
      <w:tr w:rsidR="00A46192" w:rsidRPr="00556849" w:rsidTr="00A4619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:rsidR="00A46192" w:rsidRPr="00374EEF" w:rsidRDefault="00A46192" w:rsidP="00A46192">
            <w:pPr>
              <w:rPr>
                <w:rFonts w:eastAsia="Times New Roman"/>
                <w:b w:val="0"/>
                <w:color w:val="000000"/>
                <w:sz w:val="20"/>
                <w:szCs w:val="20"/>
              </w:rPr>
            </w:pP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Δ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  <w:vertAlign w:val="superscript"/>
              </w:rPr>
              <w:t>9</w:t>
            </w:r>
            <w:r w:rsidRPr="00374EEF">
              <w:rPr>
                <w:rFonts w:eastAsia="Times New Roman"/>
                <w:b w:val="0"/>
                <w:color w:val="000000"/>
                <w:sz w:val="20"/>
                <w:szCs w:val="20"/>
              </w:rPr>
              <w:t>-THC-OMe</w:t>
            </w:r>
          </w:p>
        </w:tc>
        <w:tc>
          <w:tcPr>
            <w:tcW w:w="2126" w:type="dxa"/>
            <w:noWrap/>
            <w:hideMark/>
          </w:tcPr>
          <w:p w:rsidR="00A46192" w:rsidRPr="00374EEF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noWrap/>
            <w:hideMark/>
          </w:tcPr>
          <w:p w:rsidR="00A46192" w:rsidRPr="00374EEF" w:rsidRDefault="00B77587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21" w:type="dxa"/>
            <w:tcBorders>
              <w:left w:val="single" w:sz="4" w:space="0" w:color="auto"/>
            </w:tcBorders>
            <w:vAlign w:val="center"/>
          </w:tcPr>
          <w:p w:rsidR="00A46192" w:rsidRP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46192">
              <w:rPr>
                <w:bCs/>
                <w:color w:val="000000"/>
                <w:sz w:val="20"/>
                <w:szCs w:val="20"/>
              </w:rPr>
              <w:t>28 ± 2.8</w:t>
            </w:r>
          </w:p>
        </w:tc>
        <w:tc>
          <w:tcPr>
            <w:tcW w:w="2023" w:type="dxa"/>
            <w:vAlign w:val="center"/>
          </w:tcPr>
          <w:p w:rsidR="00A46192" w:rsidRDefault="00A46192" w:rsidP="00A461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</w:tr>
    </w:tbl>
    <w:p w:rsidR="00D629D4" w:rsidRDefault="00D629D4"/>
    <w:p w:rsidR="00FD1819" w:rsidRDefault="00D629D4" w:rsidP="00FD1819">
      <w:pPr>
        <w:keepNext/>
        <w:widowControl/>
        <w:autoSpaceDE/>
        <w:autoSpaceDN/>
        <w:spacing w:after="160" w:line="259" w:lineRule="auto"/>
      </w:pPr>
      <w:r>
        <w:br w:type="page"/>
      </w:r>
      <w:r w:rsidR="00FD1819">
        <w:rPr>
          <w:noProof/>
          <w:lang w:val="de-LI" w:eastAsia="de-LI"/>
        </w:rPr>
        <w:drawing>
          <wp:inline distT="0" distB="0" distL="0" distR="0" wp14:anchorId="64FA8318" wp14:editId="1F920C42">
            <wp:extent cx="6042992" cy="3450866"/>
            <wp:effectExtent l="0" t="0" r="15240" b="16510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648758B1-57B5-5642-8A84-0081A6AD66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D1819" w:rsidRDefault="00FD1819" w:rsidP="00FD1819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>S</w:t>
      </w:r>
      <w:r w:rsidR="00C70646">
        <w:rPr>
          <w:i w:val="0"/>
          <w:color w:val="auto"/>
        </w:rPr>
        <w:fldChar w:fldCharType="begin"/>
      </w:r>
      <w:r w:rsidR="00C70646">
        <w:rPr>
          <w:i w:val="0"/>
          <w:color w:val="auto"/>
        </w:rPr>
        <w:instrText xml:space="preserve"> SEQ S \* ARABIC </w:instrText>
      </w:r>
      <w:r w:rsidR="00C70646">
        <w:rPr>
          <w:i w:val="0"/>
          <w:color w:val="auto"/>
        </w:rPr>
        <w:fldChar w:fldCharType="separate"/>
      </w:r>
      <w:r w:rsidR="00580F1B">
        <w:rPr>
          <w:i w:val="0"/>
          <w:noProof/>
          <w:color w:val="auto"/>
        </w:rPr>
        <w:t>2</w:t>
      </w:r>
      <w:r w:rsidR="00C70646">
        <w:rPr>
          <w:i w:val="0"/>
          <w:color w:val="auto"/>
        </w:rPr>
        <w:fldChar w:fldCharType="end"/>
      </w:r>
      <w:r w:rsidRPr="00FD1819">
        <w:rPr>
          <w:i w:val="0"/>
          <w:color w:val="auto"/>
        </w:rPr>
        <w:t xml:space="preserve">: Recovery rates of the </w:t>
      </w:r>
      <w:proofErr w:type="spellStart"/>
      <w:r w:rsidRPr="00FD1819">
        <w:rPr>
          <w:i w:val="0"/>
          <w:color w:val="auto"/>
        </w:rPr>
        <w:t>analytes</w:t>
      </w:r>
      <w:proofErr w:type="spellEnd"/>
      <w:r w:rsidRPr="00FD1819">
        <w:rPr>
          <w:i w:val="0"/>
          <w:color w:val="auto"/>
        </w:rPr>
        <w:t xml:space="preserve"> included in the screening panel. </w:t>
      </w:r>
      <w:proofErr w:type="spellStart"/>
      <w:r w:rsidRPr="00FD1819">
        <w:rPr>
          <w:i w:val="0"/>
          <w:color w:val="auto"/>
        </w:rPr>
        <w:t>Analytes</w:t>
      </w:r>
      <w:proofErr w:type="spellEnd"/>
      <w:r w:rsidRPr="00FD1819">
        <w:rPr>
          <w:i w:val="0"/>
          <w:color w:val="auto"/>
        </w:rPr>
        <w:t xml:space="preserve"> </w:t>
      </w:r>
      <w:proofErr w:type="gramStart"/>
      <w:r w:rsidRPr="00FD1819">
        <w:rPr>
          <w:i w:val="0"/>
          <w:color w:val="auto"/>
        </w:rPr>
        <w:t>were spiked</w:t>
      </w:r>
      <w:proofErr w:type="gramEnd"/>
      <w:r w:rsidRPr="00FD1819">
        <w:rPr>
          <w:i w:val="0"/>
          <w:color w:val="auto"/>
        </w:rPr>
        <w:t xml:space="preserve"> on blank blood and were extracted with a liquid-liquid-extraction</w:t>
      </w:r>
      <w:r w:rsidR="00B765DD">
        <w:rPr>
          <w:i w:val="0"/>
          <w:color w:val="auto"/>
        </w:rPr>
        <w:t xml:space="preserve"> (LLE)</w:t>
      </w:r>
      <w:r w:rsidRPr="00FD1819">
        <w:rPr>
          <w:i w:val="0"/>
          <w:color w:val="auto"/>
        </w:rPr>
        <w:t xml:space="preserve"> protocol. The solutions were measured using </w:t>
      </w:r>
      <w:r w:rsidR="00B765DD">
        <w:rPr>
          <w:i w:val="0"/>
          <w:color w:val="auto"/>
        </w:rPr>
        <w:t>polypropylene (</w:t>
      </w:r>
      <w:r w:rsidRPr="00FD1819">
        <w:rPr>
          <w:i w:val="0"/>
          <w:color w:val="auto"/>
        </w:rPr>
        <w:t>PP</w:t>
      </w:r>
      <w:r w:rsidR="00B765DD">
        <w:rPr>
          <w:i w:val="0"/>
          <w:color w:val="auto"/>
        </w:rPr>
        <w:t>)</w:t>
      </w:r>
      <w:r w:rsidRPr="00FD1819">
        <w:rPr>
          <w:i w:val="0"/>
          <w:color w:val="auto"/>
        </w:rPr>
        <w:t xml:space="preserve"> vials. Recovery rates and error bars were determined from triplicates.</w:t>
      </w:r>
    </w:p>
    <w:p w:rsidR="00EE4FCE" w:rsidRDefault="000B60E4" w:rsidP="00EE4FCE">
      <w:pPr>
        <w:keepNext/>
      </w:pPr>
      <w:r>
        <w:rPr>
          <w:noProof/>
          <w:lang w:val="de-LI" w:eastAsia="de-LI"/>
        </w:rPr>
        <w:drawing>
          <wp:inline distT="0" distB="0" distL="0" distR="0" wp14:anchorId="553C85F2" wp14:editId="7F5EE4A4">
            <wp:extent cx="5998464" cy="3511296"/>
            <wp:effectExtent l="0" t="0" r="2540" b="13335"/>
            <wp:docPr id="4" name="Diagramm 4">
              <a:extLst xmlns:a="http://schemas.openxmlformats.org/drawingml/2006/main">
                <a:ext uri="{FF2B5EF4-FFF2-40B4-BE49-F238E27FC236}">
                  <a16:creationId xmlns:a16="http://schemas.microsoft.com/office/drawing/2014/main" id="{648758B1-57B5-5642-8A84-0081A6AD66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32B5F" w:rsidRDefault="00EE4FCE" w:rsidP="00EE4FCE">
      <w:pPr>
        <w:pStyle w:val="Beschriftung"/>
        <w:rPr>
          <w:i w:val="0"/>
          <w:color w:val="auto"/>
        </w:rPr>
      </w:pPr>
      <w:r w:rsidRPr="00EE4FCE">
        <w:rPr>
          <w:i w:val="0"/>
          <w:color w:val="auto"/>
        </w:rPr>
        <w:t>S</w:t>
      </w:r>
      <w:r w:rsidR="00C70646">
        <w:rPr>
          <w:i w:val="0"/>
          <w:color w:val="auto"/>
        </w:rPr>
        <w:fldChar w:fldCharType="begin"/>
      </w:r>
      <w:r w:rsidR="00C70646">
        <w:rPr>
          <w:i w:val="0"/>
          <w:color w:val="auto"/>
        </w:rPr>
        <w:instrText xml:space="preserve"> SEQ S \* ARABIC </w:instrText>
      </w:r>
      <w:r w:rsidR="00C70646">
        <w:rPr>
          <w:i w:val="0"/>
          <w:color w:val="auto"/>
        </w:rPr>
        <w:fldChar w:fldCharType="separate"/>
      </w:r>
      <w:r w:rsidR="00580F1B">
        <w:rPr>
          <w:i w:val="0"/>
          <w:noProof/>
          <w:color w:val="auto"/>
        </w:rPr>
        <w:t>3</w:t>
      </w:r>
      <w:r w:rsidR="00C70646">
        <w:rPr>
          <w:i w:val="0"/>
          <w:color w:val="auto"/>
        </w:rPr>
        <w:fldChar w:fldCharType="end"/>
      </w:r>
      <w:r w:rsidRPr="00EE4FCE">
        <w:rPr>
          <w:i w:val="0"/>
          <w:color w:val="auto"/>
        </w:rPr>
        <w:t xml:space="preserve">: Recovery rates of the </w:t>
      </w:r>
      <w:proofErr w:type="spellStart"/>
      <w:r w:rsidRPr="00EE4FCE">
        <w:rPr>
          <w:i w:val="0"/>
          <w:color w:val="auto"/>
        </w:rPr>
        <w:t>analytes</w:t>
      </w:r>
      <w:proofErr w:type="spellEnd"/>
      <w:r w:rsidRPr="00EE4FCE">
        <w:rPr>
          <w:i w:val="0"/>
          <w:color w:val="auto"/>
        </w:rPr>
        <w:t xml:space="preserve"> included in the screening </w:t>
      </w:r>
      <w:r w:rsidR="00E32B5F">
        <w:rPr>
          <w:i w:val="0"/>
          <w:color w:val="auto"/>
        </w:rPr>
        <w:t>panel</w:t>
      </w:r>
      <w:r w:rsidRPr="00EE4FCE">
        <w:rPr>
          <w:i w:val="0"/>
          <w:color w:val="auto"/>
        </w:rPr>
        <w:t xml:space="preserve">. </w:t>
      </w:r>
      <w:proofErr w:type="spellStart"/>
      <w:r w:rsidRPr="00EE4FCE">
        <w:rPr>
          <w:i w:val="0"/>
          <w:color w:val="auto"/>
        </w:rPr>
        <w:t>Analytes</w:t>
      </w:r>
      <w:proofErr w:type="spellEnd"/>
      <w:r w:rsidRPr="00EE4FCE">
        <w:rPr>
          <w:i w:val="0"/>
          <w:color w:val="auto"/>
        </w:rPr>
        <w:t xml:space="preserve"> </w:t>
      </w:r>
      <w:proofErr w:type="gramStart"/>
      <w:r w:rsidRPr="00EE4FCE">
        <w:rPr>
          <w:i w:val="0"/>
          <w:color w:val="auto"/>
        </w:rPr>
        <w:t>were spiked</w:t>
      </w:r>
      <w:proofErr w:type="gramEnd"/>
      <w:r w:rsidRPr="00EE4FCE">
        <w:rPr>
          <w:i w:val="0"/>
          <w:color w:val="auto"/>
        </w:rPr>
        <w:t xml:space="preserve"> on blank blood and were extracted with a liquid-liquid-extraction protocol. The solutions were measured using glass vials. The recovery rates were in general lower than fr</w:t>
      </w:r>
      <w:r w:rsidR="00FA4150">
        <w:rPr>
          <w:i w:val="0"/>
          <w:color w:val="auto"/>
        </w:rPr>
        <w:t>om PP vials and the late eluting compounds</w:t>
      </w:r>
      <w:r w:rsidRPr="00EE4FCE">
        <w:rPr>
          <w:i w:val="0"/>
          <w:color w:val="auto"/>
        </w:rPr>
        <w:t xml:space="preserve"> </w:t>
      </w:r>
      <w:proofErr w:type="gramStart"/>
      <w:r w:rsidRPr="00EE4FCE">
        <w:rPr>
          <w:i w:val="0"/>
          <w:color w:val="auto"/>
        </w:rPr>
        <w:t>were not detected</w:t>
      </w:r>
      <w:proofErr w:type="gramEnd"/>
      <w:r w:rsidRPr="00EE4FCE">
        <w:rPr>
          <w:i w:val="0"/>
          <w:color w:val="auto"/>
        </w:rPr>
        <w:t>.</w:t>
      </w:r>
      <w:r>
        <w:rPr>
          <w:i w:val="0"/>
          <w:color w:val="auto"/>
        </w:rPr>
        <w:t xml:space="preserve"> Recovery rates and error bars </w:t>
      </w:r>
      <w:r w:rsidR="00FA4150">
        <w:rPr>
          <w:i w:val="0"/>
          <w:color w:val="auto"/>
        </w:rPr>
        <w:t>were determined from triplicates.</w:t>
      </w:r>
    </w:p>
    <w:p w:rsidR="00E32B5F" w:rsidRDefault="00E32B5F">
      <w:pPr>
        <w:widowControl/>
        <w:autoSpaceDE/>
        <w:autoSpaceDN/>
        <w:spacing w:after="160" w:line="259" w:lineRule="auto"/>
        <w:rPr>
          <w:iCs/>
          <w:sz w:val="18"/>
          <w:szCs w:val="18"/>
        </w:rPr>
      </w:pPr>
      <w:r>
        <w:rPr>
          <w:i/>
        </w:rPr>
        <w:br w:type="page"/>
      </w:r>
    </w:p>
    <w:p w:rsidR="00E32B5F" w:rsidRDefault="00E32B5F" w:rsidP="00E32B5F">
      <w:pPr>
        <w:pStyle w:val="Beschriftung"/>
        <w:keepNext/>
      </w:pPr>
      <w:r>
        <w:rPr>
          <w:noProof/>
          <w:lang w:val="de-LI" w:eastAsia="de-LI"/>
        </w:rPr>
        <w:drawing>
          <wp:inline distT="0" distB="0" distL="0" distR="0" wp14:anchorId="2995FAB8" wp14:editId="27B3CD9B">
            <wp:extent cx="6035040" cy="3458818"/>
            <wp:effectExtent l="0" t="0" r="3810" b="8890"/>
            <wp:docPr id="3" name="Diagramm 3">
              <a:extLst xmlns:a="http://schemas.openxmlformats.org/drawingml/2006/main">
                <a:ext uri="{FF2B5EF4-FFF2-40B4-BE49-F238E27FC236}">
                  <a16:creationId xmlns:a16="http://schemas.microsoft.com/office/drawing/2014/main" id="{648758B1-57B5-5642-8A84-0081A6AD66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51D2E" w:rsidRDefault="00E32B5F" w:rsidP="00580F1B">
      <w:pPr>
        <w:pStyle w:val="Beschriftung"/>
        <w:jc w:val="both"/>
      </w:pPr>
      <w:bookmarkStart w:id="1" w:name="_Ref199154676"/>
      <w:bookmarkStart w:id="2" w:name="_Ref199154669"/>
      <w:r w:rsidRPr="00E32B5F">
        <w:rPr>
          <w:i w:val="0"/>
          <w:color w:val="auto"/>
        </w:rPr>
        <w:t>S</w:t>
      </w:r>
      <w:r w:rsidR="00C70646">
        <w:rPr>
          <w:i w:val="0"/>
          <w:color w:val="auto"/>
        </w:rPr>
        <w:fldChar w:fldCharType="begin"/>
      </w:r>
      <w:r w:rsidR="00C70646">
        <w:rPr>
          <w:i w:val="0"/>
          <w:color w:val="auto"/>
        </w:rPr>
        <w:instrText xml:space="preserve"> SEQ S \* ARABIC </w:instrText>
      </w:r>
      <w:r w:rsidR="00C70646">
        <w:rPr>
          <w:i w:val="0"/>
          <w:color w:val="auto"/>
        </w:rPr>
        <w:fldChar w:fldCharType="separate"/>
      </w:r>
      <w:r w:rsidR="00580F1B">
        <w:rPr>
          <w:i w:val="0"/>
          <w:noProof/>
          <w:color w:val="auto"/>
        </w:rPr>
        <w:t>4</w:t>
      </w:r>
      <w:r w:rsidR="00C70646">
        <w:rPr>
          <w:i w:val="0"/>
          <w:color w:val="auto"/>
        </w:rPr>
        <w:fldChar w:fldCharType="end"/>
      </w:r>
      <w:bookmarkEnd w:id="1"/>
      <w:r w:rsidRPr="00E32B5F">
        <w:rPr>
          <w:i w:val="0"/>
          <w:color w:val="auto"/>
        </w:rPr>
        <w:t xml:space="preserve">: </w:t>
      </w:r>
      <w:r w:rsidR="00443290" w:rsidRPr="00443290">
        <w:rPr>
          <w:i w:val="0"/>
          <w:color w:val="auto"/>
        </w:rPr>
        <w:t xml:space="preserve">Recovery rates of the </w:t>
      </w:r>
      <w:proofErr w:type="spellStart"/>
      <w:r w:rsidR="00443290" w:rsidRPr="00443290">
        <w:rPr>
          <w:i w:val="0"/>
          <w:color w:val="auto"/>
        </w:rPr>
        <w:t>analytes</w:t>
      </w:r>
      <w:proofErr w:type="spellEnd"/>
      <w:r w:rsidR="00443290" w:rsidRPr="00443290">
        <w:rPr>
          <w:i w:val="0"/>
          <w:color w:val="auto"/>
        </w:rPr>
        <w:t xml:space="preserve"> included in the screening </w:t>
      </w:r>
      <w:r w:rsidR="00443290">
        <w:rPr>
          <w:i w:val="0"/>
          <w:color w:val="auto"/>
        </w:rPr>
        <w:t>panel</w:t>
      </w:r>
      <w:r w:rsidR="00443290" w:rsidRPr="00443290">
        <w:rPr>
          <w:i w:val="0"/>
          <w:color w:val="auto"/>
        </w:rPr>
        <w:t xml:space="preserve">. </w:t>
      </w:r>
      <w:proofErr w:type="spellStart"/>
      <w:r w:rsidR="00443290" w:rsidRPr="00443290">
        <w:rPr>
          <w:i w:val="0"/>
          <w:color w:val="auto"/>
        </w:rPr>
        <w:t>Analytes</w:t>
      </w:r>
      <w:proofErr w:type="spellEnd"/>
      <w:r w:rsidR="00443290" w:rsidRPr="00443290">
        <w:rPr>
          <w:i w:val="0"/>
          <w:color w:val="auto"/>
        </w:rPr>
        <w:t xml:space="preserve"> </w:t>
      </w:r>
      <w:proofErr w:type="gramStart"/>
      <w:r w:rsidR="00443290" w:rsidRPr="00443290">
        <w:rPr>
          <w:i w:val="0"/>
          <w:color w:val="auto"/>
        </w:rPr>
        <w:t>were spiked</w:t>
      </w:r>
      <w:proofErr w:type="gramEnd"/>
      <w:r w:rsidR="00443290" w:rsidRPr="00443290">
        <w:rPr>
          <w:i w:val="0"/>
          <w:color w:val="auto"/>
        </w:rPr>
        <w:t xml:space="preserve"> on blank blood and were extracted with a solid-phase-extraction</w:t>
      </w:r>
      <w:r w:rsidR="00AD269A">
        <w:rPr>
          <w:i w:val="0"/>
          <w:color w:val="auto"/>
        </w:rPr>
        <w:t xml:space="preserve"> (SPE)</w:t>
      </w:r>
      <w:r w:rsidR="00443290" w:rsidRPr="00443290">
        <w:rPr>
          <w:i w:val="0"/>
          <w:color w:val="auto"/>
        </w:rPr>
        <w:t xml:space="preserve"> protocol. The solutions were measured using PP vials. Recovery rates seem to drop with the </w:t>
      </w:r>
      <w:proofErr w:type="spellStart"/>
      <w:r w:rsidR="00443290" w:rsidRPr="00443290">
        <w:rPr>
          <w:i w:val="0"/>
          <w:color w:val="auto"/>
        </w:rPr>
        <w:t>lipophilicity</w:t>
      </w:r>
      <w:proofErr w:type="spellEnd"/>
      <w:r w:rsidR="00443290" w:rsidRPr="00443290">
        <w:rPr>
          <w:i w:val="0"/>
          <w:color w:val="auto"/>
        </w:rPr>
        <w:t xml:space="preserve"> of the </w:t>
      </w:r>
      <w:proofErr w:type="spellStart"/>
      <w:r w:rsidR="00443290" w:rsidRPr="00443290">
        <w:rPr>
          <w:i w:val="0"/>
          <w:color w:val="auto"/>
        </w:rPr>
        <w:t>analyte</w:t>
      </w:r>
      <w:r w:rsidR="00443290">
        <w:rPr>
          <w:i w:val="0"/>
          <w:color w:val="auto"/>
        </w:rPr>
        <w:t>s</w:t>
      </w:r>
      <w:proofErr w:type="spellEnd"/>
      <w:r w:rsidR="00443290" w:rsidRPr="00443290">
        <w:rPr>
          <w:i w:val="0"/>
          <w:color w:val="auto"/>
        </w:rPr>
        <w:t>.</w:t>
      </w:r>
      <w:r w:rsidR="00443290">
        <w:rPr>
          <w:i w:val="0"/>
          <w:color w:val="auto"/>
        </w:rPr>
        <w:t xml:space="preserve"> Recovery rates and error bars were determined from triplicates.</w:t>
      </w:r>
      <w:bookmarkEnd w:id="2"/>
      <w:r w:rsidR="00951D2E">
        <w:br w:type="page"/>
      </w:r>
    </w:p>
    <w:p w:rsidR="000A4C9C" w:rsidRDefault="000A4C9C">
      <w:pPr>
        <w:widowControl/>
        <w:autoSpaceDE/>
        <w:autoSpaceDN/>
        <w:spacing w:after="160" w:line="259" w:lineRule="auto"/>
        <w:sectPr w:rsidR="000A4C9C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D629D4" w:rsidRDefault="00D629D4">
      <w:pPr>
        <w:widowControl/>
        <w:autoSpaceDE/>
        <w:autoSpaceDN/>
        <w:spacing w:after="160" w:line="259" w:lineRule="auto"/>
      </w:pPr>
    </w:p>
    <w:p w:rsidR="000A4C9C" w:rsidRDefault="000A4C9C" w:rsidP="000A4C9C">
      <w:pPr>
        <w:keepNext/>
      </w:pPr>
      <w:r>
        <w:rPr>
          <w:noProof/>
          <w:lang w:val="de-LI" w:eastAsia="de-LI"/>
        </w:rPr>
        <w:drawing>
          <wp:inline distT="0" distB="0" distL="0" distR="0" wp14:anchorId="0ED865A2" wp14:editId="1EBFA56A">
            <wp:extent cx="9696088" cy="4878085"/>
            <wp:effectExtent l="0" t="0" r="63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33161" cy="489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C9C" w:rsidRDefault="000A4C9C" w:rsidP="00580F1B">
      <w:pPr>
        <w:pStyle w:val="Beschriftung"/>
        <w:jc w:val="both"/>
        <w:rPr>
          <w:i w:val="0"/>
          <w:color w:val="auto"/>
        </w:rPr>
      </w:pPr>
      <w:r w:rsidRPr="000A4C9C">
        <w:rPr>
          <w:i w:val="0"/>
          <w:color w:val="auto"/>
        </w:rPr>
        <w:t>S</w:t>
      </w:r>
      <w:r w:rsidR="00C70646">
        <w:rPr>
          <w:i w:val="0"/>
          <w:color w:val="auto"/>
        </w:rPr>
        <w:fldChar w:fldCharType="begin"/>
      </w:r>
      <w:r w:rsidR="00C70646">
        <w:rPr>
          <w:i w:val="0"/>
          <w:color w:val="auto"/>
        </w:rPr>
        <w:instrText xml:space="preserve"> SEQ S \* ARABIC </w:instrText>
      </w:r>
      <w:r w:rsidR="00C70646">
        <w:rPr>
          <w:i w:val="0"/>
          <w:color w:val="auto"/>
        </w:rPr>
        <w:fldChar w:fldCharType="separate"/>
      </w:r>
      <w:r w:rsidR="00580F1B">
        <w:rPr>
          <w:i w:val="0"/>
          <w:noProof/>
          <w:color w:val="auto"/>
        </w:rPr>
        <w:t>5</w:t>
      </w:r>
      <w:r w:rsidR="00C70646">
        <w:rPr>
          <w:i w:val="0"/>
          <w:color w:val="auto"/>
        </w:rPr>
        <w:fldChar w:fldCharType="end"/>
      </w:r>
      <w:r w:rsidRPr="000A4C9C">
        <w:rPr>
          <w:i w:val="0"/>
          <w:color w:val="auto"/>
        </w:rPr>
        <w:t>: Real case sample, which showed an interference for Δ</w:t>
      </w:r>
      <w:r w:rsidRPr="000A4C9C">
        <w:rPr>
          <w:i w:val="0"/>
          <w:color w:val="auto"/>
          <w:vertAlign w:val="superscript"/>
        </w:rPr>
        <w:t>9</w:t>
      </w:r>
      <w:r w:rsidRPr="000A4C9C">
        <w:rPr>
          <w:i w:val="0"/>
          <w:color w:val="auto"/>
        </w:rPr>
        <w:t xml:space="preserve">-THC-COOH at </w:t>
      </w:r>
      <w:proofErr w:type="spellStart"/>
      <w:proofErr w:type="gramStart"/>
      <w:r w:rsidRPr="000A4C9C">
        <w:rPr>
          <w:color w:val="auto"/>
        </w:rPr>
        <w:t>R</w:t>
      </w:r>
      <w:r w:rsidRPr="000A4C9C">
        <w:rPr>
          <w:color w:val="auto"/>
          <w:vertAlign w:val="subscript"/>
        </w:rPr>
        <w:t>t</w:t>
      </w:r>
      <w:proofErr w:type="spellEnd"/>
      <w:proofErr w:type="gramEnd"/>
      <w:r w:rsidRPr="000A4C9C">
        <w:rPr>
          <w:i w:val="0"/>
          <w:color w:val="auto"/>
        </w:rPr>
        <w:t> = 9.99 min, presumably Δ</w:t>
      </w:r>
      <w:r w:rsidRPr="000A4C9C">
        <w:rPr>
          <w:i w:val="0"/>
          <w:color w:val="auto"/>
          <w:vertAlign w:val="superscript"/>
        </w:rPr>
        <w:t>8</w:t>
      </w:r>
      <w:r w:rsidRPr="000A4C9C">
        <w:rPr>
          <w:i w:val="0"/>
          <w:color w:val="auto"/>
        </w:rPr>
        <w:t>-THC-COOH.</w:t>
      </w:r>
      <w:r w:rsidR="00AE2721">
        <w:rPr>
          <w:i w:val="0"/>
          <w:color w:val="auto"/>
        </w:rPr>
        <w:t xml:space="preserve"> The peaks are not fully resolved.</w:t>
      </w:r>
    </w:p>
    <w:p w:rsidR="000A4C9C" w:rsidRDefault="000A4C9C">
      <w:pPr>
        <w:widowControl/>
        <w:autoSpaceDE/>
        <w:autoSpaceDN/>
        <w:spacing w:after="160" w:line="259" w:lineRule="auto"/>
        <w:rPr>
          <w:iCs/>
          <w:sz w:val="18"/>
          <w:szCs w:val="18"/>
        </w:rPr>
      </w:pPr>
      <w:r>
        <w:rPr>
          <w:i/>
        </w:rPr>
        <w:br w:type="page"/>
      </w:r>
    </w:p>
    <w:p w:rsidR="002B29F2" w:rsidRDefault="002B29F2" w:rsidP="002B29F2">
      <w:pPr>
        <w:pStyle w:val="Beschriftung"/>
        <w:keepNext/>
      </w:pPr>
      <w:r>
        <w:rPr>
          <w:noProof/>
          <w:lang w:val="de-LI" w:eastAsia="de-LI"/>
        </w:rPr>
        <w:drawing>
          <wp:inline distT="0" distB="0" distL="0" distR="0" wp14:anchorId="2492638B" wp14:editId="1F019873">
            <wp:extent cx="9422295" cy="4740341"/>
            <wp:effectExtent l="0" t="0" r="7620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33110" cy="4745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9F2" w:rsidRPr="002B29F2" w:rsidRDefault="002B29F2" w:rsidP="00580F1B">
      <w:pPr>
        <w:pStyle w:val="Beschriftung"/>
        <w:jc w:val="both"/>
        <w:rPr>
          <w:i w:val="0"/>
          <w:color w:val="auto"/>
        </w:rPr>
      </w:pPr>
      <w:r w:rsidRPr="002B29F2">
        <w:rPr>
          <w:i w:val="0"/>
          <w:color w:val="auto"/>
        </w:rPr>
        <w:t>S</w:t>
      </w:r>
      <w:r w:rsidR="00C70646">
        <w:rPr>
          <w:i w:val="0"/>
          <w:color w:val="auto"/>
        </w:rPr>
        <w:fldChar w:fldCharType="begin"/>
      </w:r>
      <w:r w:rsidR="00C70646">
        <w:rPr>
          <w:i w:val="0"/>
          <w:color w:val="auto"/>
        </w:rPr>
        <w:instrText xml:space="preserve"> SEQ S \* ARABIC </w:instrText>
      </w:r>
      <w:r w:rsidR="00C70646">
        <w:rPr>
          <w:i w:val="0"/>
          <w:color w:val="auto"/>
        </w:rPr>
        <w:fldChar w:fldCharType="separate"/>
      </w:r>
      <w:r w:rsidR="00580F1B">
        <w:rPr>
          <w:i w:val="0"/>
          <w:noProof/>
          <w:color w:val="auto"/>
        </w:rPr>
        <w:t>6</w:t>
      </w:r>
      <w:r w:rsidR="00C70646">
        <w:rPr>
          <w:i w:val="0"/>
          <w:color w:val="auto"/>
        </w:rPr>
        <w:fldChar w:fldCharType="end"/>
      </w:r>
      <w:r w:rsidRPr="002B29F2">
        <w:rPr>
          <w:i w:val="0"/>
          <w:color w:val="auto"/>
        </w:rPr>
        <w:t>: A real case sample with similar amounts of Δ</w:t>
      </w:r>
      <w:r w:rsidRPr="002B29F2">
        <w:rPr>
          <w:i w:val="0"/>
          <w:color w:val="auto"/>
          <w:vertAlign w:val="superscript"/>
        </w:rPr>
        <w:t>8</w:t>
      </w:r>
      <w:r w:rsidRPr="002B29F2">
        <w:rPr>
          <w:i w:val="0"/>
          <w:color w:val="auto"/>
        </w:rPr>
        <w:t>-THC and Δ</w:t>
      </w:r>
      <w:r w:rsidRPr="002B29F2">
        <w:rPr>
          <w:i w:val="0"/>
          <w:color w:val="auto"/>
          <w:vertAlign w:val="superscript"/>
        </w:rPr>
        <w:t>9</w:t>
      </w:r>
      <w:r w:rsidRPr="002B29F2">
        <w:rPr>
          <w:i w:val="0"/>
          <w:color w:val="auto"/>
        </w:rPr>
        <w:t>-THC</w:t>
      </w:r>
      <w:r w:rsidR="00374EEF">
        <w:rPr>
          <w:i w:val="0"/>
          <w:color w:val="auto"/>
        </w:rPr>
        <w:t>. The peaks are not fully resolved.</w:t>
      </w:r>
    </w:p>
    <w:p w:rsidR="002B29F2" w:rsidRDefault="002B29F2">
      <w:pPr>
        <w:widowControl/>
        <w:autoSpaceDE/>
        <w:autoSpaceDN/>
        <w:spacing w:after="160" w:line="259" w:lineRule="auto"/>
        <w:rPr>
          <w:i/>
          <w:iCs/>
          <w:color w:val="44546A" w:themeColor="text2"/>
          <w:sz w:val="18"/>
          <w:szCs w:val="18"/>
        </w:rPr>
      </w:pPr>
      <w:r>
        <w:br w:type="page"/>
      </w:r>
    </w:p>
    <w:p w:rsidR="002B29F2" w:rsidRDefault="002B29F2" w:rsidP="002B29F2">
      <w:pPr>
        <w:pStyle w:val="Beschriftung"/>
        <w:keepNext/>
      </w:pPr>
      <w:r>
        <w:rPr>
          <w:noProof/>
          <w:lang w:val="de-LI" w:eastAsia="de-LI"/>
        </w:rPr>
        <w:drawing>
          <wp:inline distT="0" distB="0" distL="0" distR="0" wp14:anchorId="590C39B6" wp14:editId="450EF314">
            <wp:extent cx="9406393" cy="4732340"/>
            <wp:effectExtent l="0" t="0" r="444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14867" cy="4736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D2E" w:rsidRDefault="002B29F2" w:rsidP="00580F1B">
      <w:pPr>
        <w:pStyle w:val="Beschriftung"/>
        <w:jc w:val="both"/>
        <w:rPr>
          <w:i w:val="0"/>
          <w:color w:val="auto"/>
        </w:rPr>
      </w:pPr>
      <w:r w:rsidRPr="002B29F2">
        <w:rPr>
          <w:i w:val="0"/>
          <w:color w:val="auto"/>
        </w:rPr>
        <w:t>S</w:t>
      </w:r>
      <w:r w:rsidR="00C70646">
        <w:rPr>
          <w:i w:val="0"/>
          <w:color w:val="auto"/>
        </w:rPr>
        <w:fldChar w:fldCharType="begin"/>
      </w:r>
      <w:r w:rsidR="00C70646">
        <w:rPr>
          <w:i w:val="0"/>
          <w:color w:val="auto"/>
        </w:rPr>
        <w:instrText xml:space="preserve"> SEQ S \* ARABIC </w:instrText>
      </w:r>
      <w:r w:rsidR="00C70646">
        <w:rPr>
          <w:i w:val="0"/>
          <w:color w:val="auto"/>
        </w:rPr>
        <w:fldChar w:fldCharType="separate"/>
      </w:r>
      <w:r w:rsidR="00580F1B">
        <w:rPr>
          <w:i w:val="0"/>
          <w:noProof/>
          <w:color w:val="auto"/>
        </w:rPr>
        <w:t>7</w:t>
      </w:r>
      <w:r w:rsidR="00C70646">
        <w:rPr>
          <w:i w:val="0"/>
          <w:color w:val="auto"/>
        </w:rPr>
        <w:fldChar w:fldCharType="end"/>
      </w:r>
      <w:r w:rsidRPr="002B29F2">
        <w:rPr>
          <w:i w:val="0"/>
          <w:color w:val="auto"/>
        </w:rPr>
        <w:t>: Another real case sample showing more Δ</w:t>
      </w:r>
      <w:r w:rsidRPr="002B29F2">
        <w:rPr>
          <w:i w:val="0"/>
          <w:color w:val="auto"/>
          <w:vertAlign w:val="superscript"/>
        </w:rPr>
        <w:t>8</w:t>
      </w:r>
      <w:r w:rsidRPr="002B29F2">
        <w:rPr>
          <w:i w:val="0"/>
          <w:color w:val="auto"/>
        </w:rPr>
        <w:t>-THC than Δ</w:t>
      </w:r>
      <w:r w:rsidRPr="002B29F2">
        <w:rPr>
          <w:i w:val="0"/>
          <w:color w:val="auto"/>
          <w:vertAlign w:val="superscript"/>
        </w:rPr>
        <w:t>9</w:t>
      </w:r>
      <w:r w:rsidRPr="002B29F2">
        <w:rPr>
          <w:i w:val="0"/>
          <w:color w:val="auto"/>
        </w:rPr>
        <w:t>-THC.</w:t>
      </w:r>
      <w:r w:rsidR="00FF663A">
        <w:rPr>
          <w:i w:val="0"/>
          <w:color w:val="auto"/>
        </w:rPr>
        <w:t xml:space="preserve"> The isomers are not fully resolved.</w:t>
      </w:r>
    </w:p>
    <w:p w:rsidR="00951D2E" w:rsidRDefault="00951D2E">
      <w:pPr>
        <w:widowControl/>
        <w:autoSpaceDE/>
        <w:autoSpaceDN/>
        <w:spacing w:after="160" w:line="259" w:lineRule="auto"/>
        <w:rPr>
          <w:iCs/>
          <w:sz w:val="18"/>
          <w:szCs w:val="18"/>
        </w:rPr>
      </w:pPr>
      <w:r>
        <w:rPr>
          <w:i/>
        </w:rPr>
        <w:br w:type="page"/>
      </w:r>
    </w:p>
    <w:p w:rsidR="00951D2E" w:rsidRDefault="00951D2E" w:rsidP="00951D2E">
      <w:pPr>
        <w:pStyle w:val="Beschriftung"/>
        <w:keepNext/>
      </w:pPr>
      <w:r>
        <w:rPr>
          <w:noProof/>
          <w:lang w:val="de-LI" w:eastAsia="de-LI"/>
        </w:rPr>
        <w:drawing>
          <wp:inline distT="0" distB="0" distL="0" distR="0" wp14:anchorId="38BC437C" wp14:editId="2975BF5E">
            <wp:extent cx="9334910" cy="4696377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53493" cy="470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C71" w:rsidRPr="00951D2E" w:rsidRDefault="00951D2E" w:rsidP="00580F1B">
      <w:pPr>
        <w:pStyle w:val="Beschriftung"/>
        <w:jc w:val="both"/>
        <w:rPr>
          <w:rFonts w:ascii="Yu Gothic UI" w:eastAsia="Yu Gothic UI" w:hAnsi="Yu Gothic UI" w:cs="MS Mincho"/>
          <w:i w:val="0"/>
          <w:color w:val="auto"/>
        </w:rPr>
      </w:pPr>
      <w:r>
        <w:rPr>
          <w:i w:val="0"/>
          <w:color w:val="auto"/>
        </w:rPr>
        <w:t>S</w:t>
      </w:r>
      <w:r w:rsidR="00C70646">
        <w:rPr>
          <w:i w:val="0"/>
          <w:color w:val="auto"/>
        </w:rPr>
        <w:fldChar w:fldCharType="begin"/>
      </w:r>
      <w:r w:rsidR="00C70646">
        <w:rPr>
          <w:i w:val="0"/>
          <w:color w:val="auto"/>
        </w:rPr>
        <w:instrText xml:space="preserve"> SEQ S \* ARABIC </w:instrText>
      </w:r>
      <w:r w:rsidR="00C70646">
        <w:rPr>
          <w:i w:val="0"/>
          <w:color w:val="auto"/>
        </w:rPr>
        <w:fldChar w:fldCharType="separate"/>
      </w:r>
      <w:r w:rsidR="00580F1B">
        <w:rPr>
          <w:i w:val="0"/>
          <w:noProof/>
          <w:color w:val="auto"/>
        </w:rPr>
        <w:t>8</w:t>
      </w:r>
      <w:r w:rsidR="00C70646">
        <w:rPr>
          <w:i w:val="0"/>
          <w:color w:val="auto"/>
        </w:rPr>
        <w:fldChar w:fldCharType="end"/>
      </w:r>
      <w:r w:rsidRPr="00951D2E">
        <w:rPr>
          <w:i w:val="0"/>
          <w:color w:val="auto"/>
        </w:rPr>
        <w:t xml:space="preserve">: A real case </w:t>
      </w:r>
      <w:r w:rsidR="00F9672E">
        <w:rPr>
          <w:i w:val="0"/>
          <w:color w:val="auto"/>
        </w:rPr>
        <w:t xml:space="preserve">sample </w:t>
      </w:r>
      <w:r w:rsidRPr="00951D2E">
        <w:rPr>
          <w:i w:val="0"/>
          <w:color w:val="auto"/>
        </w:rPr>
        <w:t xml:space="preserve">containing HHC. Differentiation between the </w:t>
      </w:r>
      <w:proofErr w:type="spellStart"/>
      <w:r>
        <w:rPr>
          <w:i w:val="0"/>
          <w:color w:val="auto"/>
        </w:rPr>
        <w:t>epimers</w:t>
      </w:r>
      <w:proofErr w:type="spellEnd"/>
      <w:r>
        <w:rPr>
          <w:i w:val="0"/>
          <w:color w:val="auto"/>
        </w:rPr>
        <w:t xml:space="preserve"> (9</w:t>
      </w:r>
      <w:r w:rsidRPr="00951D2E">
        <w:rPr>
          <w:color w:val="auto"/>
        </w:rPr>
        <w:t>R</w:t>
      </w:r>
      <w:proofErr w:type="gramStart"/>
      <w:r>
        <w:rPr>
          <w:i w:val="0"/>
          <w:color w:val="auto"/>
        </w:rPr>
        <w:t>)-</w:t>
      </w:r>
      <w:proofErr w:type="gramEnd"/>
      <w:r>
        <w:rPr>
          <w:i w:val="0"/>
          <w:color w:val="auto"/>
        </w:rPr>
        <w:t xml:space="preserve"> and (9</w:t>
      </w:r>
      <w:r w:rsidRPr="00951D2E">
        <w:rPr>
          <w:color w:val="auto"/>
        </w:rPr>
        <w:t>S</w:t>
      </w:r>
      <w:r>
        <w:rPr>
          <w:i w:val="0"/>
          <w:color w:val="auto"/>
        </w:rPr>
        <w:t>)-HHC</w:t>
      </w:r>
      <w:r w:rsidR="00A36FC8">
        <w:rPr>
          <w:i w:val="0"/>
          <w:color w:val="auto"/>
        </w:rPr>
        <w:t xml:space="preserve"> is not possible as they are </w:t>
      </w:r>
      <w:proofErr w:type="spellStart"/>
      <w:r w:rsidR="00A36FC8">
        <w:rPr>
          <w:i w:val="0"/>
          <w:color w:val="auto"/>
        </w:rPr>
        <w:t>coeluting</w:t>
      </w:r>
      <w:proofErr w:type="spellEnd"/>
      <w:r w:rsidR="00A36FC8">
        <w:rPr>
          <w:i w:val="0"/>
          <w:color w:val="auto"/>
        </w:rPr>
        <w:t>.</w:t>
      </w:r>
    </w:p>
    <w:sectPr w:rsidR="009A0C71" w:rsidRPr="00951D2E" w:rsidSect="000A4C9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15EE0"/>
    <w:multiLevelType w:val="hybridMultilevel"/>
    <w:tmpl w:val="00B43BBC"/>
    <w:lvl w:ilvl="0" w:tplc="1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5A4"/>
    <w:rsid w:val="000005B0"/>
    <w:rsid w:val="000A4C9C"/>
    <w:rsid w:val="000B60E4"/>
    <w:rsid w:val="000E1101"/>
    <w:rsid w:val="001300F6"/>
    <w:rsid w:val="002B29F2"/>
    <w:rsid w:val="00374EEF"/>
    <w:rsid w:val="00383213"/>
    <w:rsid w:val="003E6834"/>
    <w:rsid w:val="00443290"/>
    <w:rsid w:val="00580F1B"/>
    <w:rsid w:val="00737906"/>
    <w:rsid w:val="007925A4"/>
    <w:rsid w:val="0093503A"/>
    <w:rsid w:val="00951D2E"/>
    <w:rsid w:val="009631C5"/>
    <w:rsid w:val="009A0C71"/>
    <w:rsid w:val="009B0010"/>
    <w:rsid w:val="00A36FC8"/>
    <w:rsid w:val="00A46192"/>
    <w:rsid w:val="00AD269A"/>
    <w:rsid w:val="00AE2721"/>
    <w:rsid w:val="00B0309D"/>
    <w:rsid w:val="00B765DD"/>
    <w:rsid w:val="00B77587"/>
    <w:rsid w:val="00C0480A"/>
    <w:rsid w:val="00C70646"/>
    <w:rsid w:val="00C83C82"/>
    <w:rsid w:val="00CF7F90"/>
    <w:rsid w:val="00D629D4"/>
    <w:rsid w:val="00E32B5F"/>
    <w:rsid w:val="00E77B34"/>
    <w:rsid w:val="00EB2F76"/>
    <w:rsid w:val="00EC0A18"/>
    <w:rsid w:val="00ED691D"/>
    <w:rsid w:val="00EE4FCE"/>
    <w:rsid w:val="00F74F6B"/>
    <w:rsid w:val="00F9672E"/>
    <w:rsid w:val="00FA4150"/>
    <w:rsid w:val="00FD0FDE"/>
    <w:rsid w:val="00FD1819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3E3C28"/>
  <w15:chartTrackingRefBased/>
  <w15:docId w15:val="{153FC137-335D-4F57-9002-E6B38400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L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C7064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A0C71"/>
    <w:rPr>
      <w:color w:val="0563C1" w:themeColor="hyperlink"/>
      <w:u w:val="single"/>
    </w:rPr>
  </w:style>
  <w:style w:type="paragraph" w:styleId="Listenabsatz">
    <w:name w:val="List Paragraph"/>
    <w:basedOn w:val="Standard"/>
    <w:uiPriority w:val="1"/>
    <w:qFormat/>
    <w:rsid w:val="009A0C71"/>
    <w:pPr>
      <w:spacing w:before="55"/>
      <w:ind w:left="876" w:hanging="995"/>
    </w:pPr>
  </w:style>
  <w:style w:type="table" w:styleId="EinfacheTabelle4">
    <w:name w:val="Plain Table 4"/>
    <w:basedOn w:val="NormaleTabelle"/>
    <w:uiPriority w:val="44"/>
    <w:rsid w:val="00D629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1">
    <w:name w:val="Plain Table 1"/>
    <w:basedOn w:val="NormaleTabelle"/>
    <w:uiPriority w:val="41"/>
    <w:rsid w:val="00D629D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0A4C9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9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irm.unibe.ch\irm\UserHomes\willi.schirmer\Documents\Krotulski_Paper\QqTOF\Recovery\WS_Recovery\LLE-Graphic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irm.unibe.ch\irm\UserHomes\willi.schirmer\Documents\Krotulski_Paper\QqTOF\Recovery\WS_Recovery\LLE_GlassVial240319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irm.unibe.ch\irm\UserHomes\willi.schirmer\Documents\Krotulski_Paper\QqTOF\Recovery\WS_Recovery\SPE_Graphic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Recovery LLE in PP vials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noFill/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Sheet1!$C$2:$C$25</c:f>
                <c:numCache>
                  <c:formatCode>General</c:formatCode>
                  <c:ptCount val="24"/>
                  <c:pt idx="0">
                    <c:v>6.9</c:v>
                  </c:pt>
                  <c:pt idx="1">
                    <c:v>5.7</c:v>
                  </c:pt>
                  <c:pt idx="2">
                    <c:v>9.9</c:v>
                  </c:pt>
                  <c:pt idx="3">
                    <c:v>5.2</c:v>
                  </c:pt>
                  <c:pt idx="4">
                    <c:v>8.1</c:v>
                  </c:pt>
                  <c:pt idx="5">
                    <c:v>4.8</c:v>
                  </c:pt>
                  <c:pt idx="6">
                    <c:v>6.2</c:v>
                  </c:pt>
                  <c:pt idx="7">
                    <c:v>6.4</c:v>
                  </c:pt>
                  <c:pt idx="8">
                    <c:v>4.8</c:v>
                  </c:pt>
                  <c:pt idx="9">
                    <c:v>9.6</c:v>
                  </c:pt>
                  <c:pt idx="10">
                    <c:v>8.1999999999999993</c:v>
                  </c:pt>
                  <c:pt idx="11">
                    <c:v>8.1999999999999993</c:v>
                  </c:pt>
                  <c:pt idx="12">
                    <c:v>5.2</c:v>
                  </c:pt>
                  <c:pt idx="13">
                    <c:v>8.1</c:v>
                  </c:pt>
                  <c:pt idx="14">
                    <c:v>10.199999999999999</c:v>
                  </c:pt>
                  <c:pt idx="15">
                    <c:v>5.6</c:v>
                  </c:pt>
                  <c:pt idx="16">
                    <c:v>4.5999999999999996</c:v>
                  </c:pt>
                  <c:pt idx="17">
                    <c:v>4.4000000000000004</c:v>
                  </c:pt>
                  <c:pt idx="18">
                    <c:v>5.4</c:v>
                  </c:pt>
                  <c:pt idx="19">
                    <c:v>10.7</c:v>
                  </c:pt>
                  <c:pt idx="20">
                    <c:v>10</c:v>
                  </c:pt>
                  <c:pt idx="21">
                    <c:v>11.6</c:v>
                  </c:pt>
                  <c:pt idx="22">
                    <c:v>7</c:v>
                  </c:pt>
                  <c:pt idx="23">
                    <c:v>3</c:v>
                  </c:pt>
                </c:numCache>
              </c:numRef>
            </c:plus>
            <c:minus>
              <c:numRef>
                <c:f>Sheet1!$C$2:$C$25</c:f>
                <c:numCache>
                  <c:formatCode>General</c:formatCode>
                  <c:ptCount val="24"/>
                  <c:pt idx="0">
                    <c:v>6.9</c:v>
                  </c:pt>
                  <c:pt idx="1">
                    <c:v>5.7</c:v>
                  </c:pt>
                  <c:pt idx="2">
                    <c:v>9.9</c:v>
                  </c:pt>
                  <c:pt idx="3">
                    <c:v>5.2</c:v>
                  </c:pt>
                  <c:pt idx="4">
                    <c:v>8.1</c:v>
                  </c:pt>
                  <c:pt idx="5">
                    <c:v>4.8</c:v>
                  </c:pt>
                  <c:pt idx="6">
                    <c:v>6.2</c:v>
                  </c:pt>
                  <c:pt idx="7">
                    <c:v>6.4</c:v>
                  </c:pt>
                  <c:pt idx="8">
                    <c:v>4.8</c:v>
                  </c:pt>
                  <c:pt idx="9">
                    <c:v>9.6</c:v>
                  </c:pt>
                  <c:pt idx="10">
                    <c:v>8.1999999999999993</c:v>
                  </c:pt>
                  <c:pt idx="11">
                    <c:v>8.1999999999999993</c:v>
                  </c:pt>
                  <c:pt idx="12">
                    <c:v>5.2</c:v>
                  </c:pt>
                  <c:pt idx="13">
                    <c:v>8.1</c:v>
                  </c:pt>
                  <c:pt idx="14">
                    <c:v>10.199999999999999</c:v>
                  </c:pt>
                  <c:pt idx="15">
                    <c:v>5.6</c:v>
                  </c:pt>
                  <c:pt idx="16">
                    <c:v>4.5999999999999996</c:v>
                  </c:pt>
                  <c:pt idx="17">
                    <c:v>4.4000000000000004</c:v>
                  </c:pt>
                  <c:pt idx="18">
                    <c:v>5.4</c:v>
                  </c:pt>
                  <c:pt idx="19">
                    <c:v>10.7</c:v>
                  </c:pt>
                  <c:pt idx="20">
                    <c:v>10</c:v>
                  </c:pt>
                  <c:pt idx="21">
                    <c:v>11.6</c:v>
                  </c:pt>
                  <c:pt idx="22">
                    <c:v>7</c:v>
                  </c:pt>
                  <c:pt idx="23">
                    <c:v>3</c:v>
                  </c:pt>
                </c:numCache>
              </c:numRef>
            </c:minus>
            <c:spPr>
              <a:noFill/>
              <a:ln w="1587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Sheet1!$A$2:$A$25</c:f>
              <c:strCache>
                <c:ptCount val="24"/>
                <c:pt idx="0">
                  <c:v>Δ9-THCO</c:v>
                </c:pt>
                <c:pt idx="1">
                  <c:v>9β-OH-HHC</c:v>
                </c:pt>
                <c:pt idx="2">
                  <c:v>11-OH-Δ9-THC</c:v>
                </c:pt>
                <c:pt idx="3">
                  <c:v>11-OH-Δ8-THC</c:v>
                </c:pt>
                <c:pt idx="4">
                  <c:v>Δ9-THCE</c:v>
                </c:pt>
                <c:pt idx="5">
                  <c:v>11-COOH-9R-HHC</c:v>
                </c:pt>
                <c:pt idx="6">
                  <c:v>11-COOH-Δ9-THC</c:v>
                </c:pt>
                <c:pt idx="7">
                  <c:v>9α-OH-HHC</c:v>
                </c:pt>
                <c:pt idx="8">
                  <c:v>CBD</c:v>
                </c:pt>
                <c:pt idx="9">
                  <c:v>CBG</c:v>
                </c:pt>
                <c:pt idx="10">
                  <c:v>Δ9-THCB</c:v>
                </c:pt>
                <c:pt idx="11">
                  <c:v>CBN</c:v>
                </c:pt>
                <c:pt idx="12">
                  <c:v>Δ9-THC</c:v>
                </c:pt>
                <c:pt idx="13">
                  <c:v>Δ8-THC</c:v>
                </c:pt>
                <c:pt idx="14">
                  <c:v>9S-HHC</c:v>
                </c:pt>
                <c:pt idx="15">
                  <c:v>9R-HHC</c:v>
                </c:pt>
                <c:pt idx="16">
                  <c:v>Δ9-THCH</c:v>
                </c:pt>
                <c:pt idx="17">
                  <c:v>9R-HHCH</c:v>
                </c:pt>
                <c:pt idx="18">
                  <c:v>Δ9-THCP</c:v>
                </c:pt>
                <c:pt idx="19">
                  <c:v>Δ9-THC-O</c:v>
                </c:pt>
                <c:pt idx="20">
                  <c:v>9R-HHCP</c:v>
                </c:pt>
                <c:pt idx="21">
                  <c:v>9R-HHC-O</c:v>
                </c:pt>
                <c:pt idx="22">
                  <c:v>Δ9-THC-C8</c:v>
                </c:pt>
                <c:pt idx="23">
                  <c:v>Δ9-THC-OMe</c:v>
                </c:pt>
              </c:strCache>
            </c:strRef>
          </c:cat>
          <c:val>
            <c:numRef>
              <c:f>Sheet1!$B$2:$B$25</c:f>
              <c:numCache>
                <c:formatCode>General</c:formatCode>
                <c:ptCount val="24"/>
                <c:pt idx="0">
                  <c:v>107.9</c:v>
                </c:pt>
                <c:pt idx="1">
                  <c:v>97.1</c:v>
                </c:pt>
                <c:pt idx="2">
                  <c:v>103.7</c:v>
                </c:pt>
                <c:pt idx="3">
                  <c:v>94.8</c:v>
                </c:pt>
                <c:pt idx="4">
                  <c:v>100.1</c:v>
                </c:pt>
                <c:pt idx="5">
                  <c:v>88.4</c:v>
                </c:pt>
                <c:pt idx="6">
                  <c:v>99.6</c:v>
                </c:pt>
                <c:pt idx="7">
                  <c:v>100.7</c:v>
                </c:pt>
                <c:pt idx="8">
                  <c:v>100.7</c:v>
                </c:pt>
                <c:pt idx="9">
                  <c:v>99.1</c:v>
                </c:pt>
                <c:pt idx="10">
                  <c:v>102.4</c:v>
                </c:pt>
                <c:pt idx="11">
                  <c:v>106</c:v>
                </c:pt>
                <c:pt idx="12">
                  <c:v>100.3</c:v>
                </c:pt>
                <c:pt idx="13">
                  <c:v>111</c:v>
                </c:pt>
                <c:pt idx="14">
                  <c:v>101.4</c:v>
                </c:pt>
                <c:pt idx="15">
                  <c:v>102.3</c:v>
                </c:pt>
                <c:pt idx="16">
                  <c:v>105.7</c:v>
                </c:pt>
                <c:pt idx="17">
                  <c:v>118.4</c:v>
                </c:pt>
                <c:pt idx="18">
                  <c:v>96.8</c:v>
                </c:pt>
                <c:pt idx="19">
                  <c:v>92.2</c:v>
                </c:pt>
                <c:pt idx="20">
                  <c:v>87.4</c:v>
                </c:pt>
                <c:pt idx="21">
                  <c:v>94.2</c:v>
                </c:pt>
                <c:pt idx="22">
                  <c:v>90.4</c:v>
                </c:pt>
                <c:pt idx="23">
                  <c:v>91.1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23-46AC-83E9-DB95B60C2C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4"/>
        <c:axId val="349118984"/>
        <c:axId val="349119344"/>
      </c:barChart>
      <c:catAx>
        <c:axId val="349118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49119344"/>
        <c:crosses val="autoZero"/>
        <c:auto val="1"/>
        <c:lblAlgn val="ctr"/>
        <c:lblOffset val="100"/>
        <c:noMultiLvlLbl val="0"/>
      </c:catAx>
      <c:valAx>
        <c:axId val="349119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49118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Recovery LLE in glass</a:t>
            </a:r>
            <a:r>
              <a:rPr lang="en-US" baseline="0">
                <a:solidFill>
                  <a:sysClr val="windowText" lastClr="000000"/>
                </a:solidFill>
              </a:rPr>
              <a:t> vials (glass insert)</a:t>
            </a:r>
            <a:endParaRPr lang="en-US"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noFill/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Sheet1!$C$2:$C$25</c:f>
                <c:numCache>
                  <c:formatCode>General</c:formatCode>
                  <c:ptCount val="24"/>
                  <c:pt idx="0">
                    <c:v>7.2768368477925973</c:v>
                  </c:pt>
                  <c:pt idx="1">
                    <c:v>4.7985126950862487</c:v>
                  </c:pt>
                  <c:pt idx="2">
                    <c:v>10.501814197367416</c:v>
                  </c:pt>
                  <c:pt idx="3">
                    <c:v>7.6889104520175806</c:v>
                  </c:pt>
                  <c:pt idx="4">
                    <c:v>1.3315508897608466</c:v>
                  </c:pt>
                  <c:pt idx="5">
                    <c:v>6.3517655037043399</c:v>
                  </c:pt>
                  <c:pt idx="6">
                    <c:v>8.3478702234680355</c:v>
                  </c:pt>
                  <c:pt idx="7">
                    <c:v>8.741395042754208</c:v>
                  </c:pt>
                  <c:pt idx="8">
                    <c:v>10.804561725406915</c:v>
                  </c:pt>
                  <c:pt idx="9">
                    <c:v>16.290497590934645</c:v>
                  </c:pt>
                  <c:pt idx="10">
                    <c:v>15.341878344804114</c:v>
                  </c:pt>
                  <c:pt idx="11">
                    <c:v>26.520221270430039</c:v>
                  </c:pt>
                  <c:pt idx="12">
                    <c:v>16.017311060804566</c:v>
                  </c:pt>
                  <c:pt idx="13">
                    <c:v>31.826839609241254</c:v>
                  </c:pt>
                  <c:pt idx="14">
                    <c:v>30.54020219919899</c:v>
                  </c:pt>
                  <c:pt idx="15">
                    <c:v>0</c:v>
                  </c:pt>
                  <c:pt idx="16">
                    <c:v>29.866507874375831</c:v>
                  </c:pt>
                  <c:pt idx="17">
                    <c:v>0</c:v>
                  </c:pt>
                  <c:pt idx="18">
                    <c:v>0</c:v>
                  </c:pt>
                  <c:pt idx="19">
                    <c:v>0</c:v>
                  </c:pt>
                  <c:pt idx="20">
                    <c:v>0</c:v>
                  </c:pt>
                  <c:pt idx="21">
                    <c:v>0</c:v>
                  </c:pt>
                  <c:pt idx="22">
                    <c:v>0</c:v>
                  </c:pt>
                  <c:pt idx="23">
                    <c:v>0</c:v>
                  </c:pt>
                </c:numCache>
              </c:numRef>
            </c:plus>
            <c:minus>
              <c:numRef>
                <c:f>Sheet1!$C$2:$C$25</c:f>
                <c:numCache>
                  <c:formatCode>General</c:formatCode>
                  <c:ptCount val="24"/>
                  <c:pt idx="0">
                    <c:v>7.2768368477925973</c:v>
                  </c:pt>
                  <c:pt idx="1">
                    <c:v>4.7985126950862487</c:v>
                  </c:pt>
                  <c:pt idx="2">
                    <c:v>10.501814197367416</c:v>
                  </c:pt>
                  <c:pt idx="3">
                    <c:v>7.6889104520175806</c:v>
                  </c:pt>
                  <c:pt idx="4">
                    <c:v>1.3315508897608466</c:v>
                  </c:pt>
                  <c:pt idx="5">
                    <c:v>6.3517655037043399</c:v>
                  </c:pt>
                  <c:pt idx="6">
                    <c:v>8.3478702234680355</c:v>
                  </c:pt>
                  <c:pt idx="7">
                    <c:v>8.741395042754208</c:v>
                  </c:pt>
                  <c:pt idx="8">
                    <c:v>10.804561725406915</c:v>
                  </c:pt>
                  <c:pt idx="9">
                    <c:v>16.290497590934645</c:v>
                  </c:pt>
                  <c:pt idx="10">
                    <c:v>15.341878344804114</c:v>
                  </c:pt>
                  <c:pt idx="11">
                    <c:v>26.520221270430039</c:v>
                  </c:pt>
                  <c:pt idx="12">
                    <c:v>16.017311060804566</c:v>
                  </c:pt>
                  <c:pt idx="13">
                    <c:v>31.826839609241254</c:v>
                  </c:pt>
                  <c:pt idx="14">
                    <c:v>30.54020219919899</c:v>
                  </c:pt>
                  <c:pt idx="15">
                    <c:v>0</c:v>
                  </c:pt>
                  <c:pt idx="16">
                    <c:v>29.866507874375831</c:v>
                  </c:pt>
                  <c:pt idx="17">
                    <c:v>0</c:v>
                  </c:pt>
                  <c:pt idx="18">
                    <c:v>0</c:v>
                  </c:pt>
                  <c:pt idx="19">
                    <c:v>0</c:v>
                  </c:pt>
                  <c:pt idx="20">
                    <c:v>0</c:v>
                  </c:pt>
                  <c:pt idx="21">
                    <c:v>0</c:v>
                  </c:pt>
                  <c:pt idx="22">
                    <c:v>0</c:v>
                  </c:pt>
                  <c:pt idx="23">
                    <c:v>0</c:v>
                  </c:pt>
                </c:numCache>
              </c:numRef>
            </c:minus>
            <c:spPr>
              <a:noFill/>
              <a:ln w="1587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Sheet1!$A$2:$A$25</c:f>
              <c:strCache>
                <c:ptCount val="24"/>
                <c:pt idx="0">
                  <c:v>Δ9-THCO</c:v>
                </c:pt>
                <c:pt idx="1">
                  <c:v>9β-OH-HHC</c:v>
                </c:pt>
                <c:pt idx="2">
                  <c:v>11-OH-Δ9-THC</c:v>
                </c:pt>
                <c:pt idx="3">
                  <c:v>11-OH-Δ8-THC</c:v>
                </c:pt>
                <c:pt idx="4">
                  <c:v>Δ9-THCE</c:v>
                </c:pt>
                <c:pt idx="5">
                  <c:v>11-COOH-9R-HHC</c:v>
                </c:pt>
                <c:pt idx="6">
                  <c:v>11-COOH-Δ9-THC</c:v>
                </c:pt>
                <c:pt idx="7">
                  <c:v>9α-OH-HHC</c:v>
                </c:pt>
                <c:pt idx="8">
                  <c:v>CBD</c:v>
                </c:pt>
                <c:pt idx="9">
                  <c:v>CBG</c:v>
                </c:pt>
                <c:pt idx="10">
                  <c:v>Δ9-THCB</c:v>
                </c:pt>
                <c:pt idx="11">
                  <c:v>CBN</c:v>
                </c:pt>
                <c:pt idx="12">
                  <c:v>Δ9-THC</c:v>
                </c:pt>
                <c:pt idx="13">
                  <c:v>Δ8-THC</c:v>
                </c:pt>
                <c:pt idx="14">
                  <c:v>9S-HHC</c:v>
                </c:pt>
                <c:pt idx="15">
                  <c:v>9R-HHC</c:v>
                </c:pt>
                <c:pt idx="16">
                  <c:v>Δ9-THCH</c:v>
                </c:pt>
                <c:pt idx="17">
                  <c:v>9R-HHCH</c:v>
                </c:pt>
                <c:pt idx="18">
                  <c:v>Δ9-THCP</c:v>
                </c:pt>
                <c:pt idx="19">
                  <c:v>Δ9-THC-O</c:v>
                </c:pt>
                <c:pt idx="20">
                  <c:v>9R-HHCP</c:v>
                </c:pt>
                <c:pt idx="21">
                  <c:v>9R-HHC-O</c:v>
                </c:pt>
                <c:pt idx="22">
                  <c:v>Δ9-THC-C8</c:v>
                </c:pt>
                <c:pt idx="23">
                  <c:v>Δ9-THC-OMe</c:v>
                </c:pt>
              </c:strCache>
            </c:strRef>
          </c:cat>
          <c:val>
            <c:numRef>
              <c:f>Sheet1!$B$2:$B$25</c:f>
              <c:numCache>
                <c:formatCode>0.0</c:formatCode>
                <c:ptCount val="24"/>
                <c:pt idx="0">
                  <c:v>79.429949660235209</c:v>
                </c:pt>
                <c:pt idx="1">
                  <c:v>54.955473090060849</c:v>
                </c:pt>
                <c:pt idx="2">
                  <c:v>96.104387082474332</c:v>
                </c:pt>
                <c:pt idx="3">
                  <c:v>60.515354118166478</c:v>
                </c:pt>
                <c:pt idx="4">
                  <c:v>90.98771843341062</c:v>
                </c:pt>
                <c:pt idx="5">
                  <c:v>62.114540516489321</c:v>
                </c:pt>
                <c:pt idx="6">
                  <c:v>98.937591238759452</c:v>
                </c:pt>
                <c:pt idx="7">
                  <c:v>96.228077544182824</c:v>
                </c:pt>
                <c:pt idx="8">
                  <c:v>64.930083178325987</c:v>
                </c:pt>
                <c:pt idx="9">
                  <c:v>93.622057784433835</c:v>
                </c:pt>
                <c:pt idx="10">
                  <c:v>103.21238056057926</c:v>
                </c:pt>
                <c:pt idx="11">
                  <c:v>110.56477300135403</c:v>
                </c:pt>
                <c:pt idx="12">
                  <c:v>74.036659364494639</c:v>
                </c:pt>
                <c:pt idx="13">
                  <c:v>95.276885637060232</c:v>
                </c:pt>
                <c:pt idx="14">
                  <c:v>112.62021848761258</c:v>
                </c:pt>
                <c:pt idx="15">
                  <c:v>0</c:v>
                </c:pt>
                <c:pt idx="16">
                  <c:v>101.29895846493781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8C-4624-B704-DB6A61AAF1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9118984"/>
        <c:axId val="349119344"/>
      </c:barChart>
      <c:catAx>
        <c:axId val="349118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49119344"/>
        <c:crossesAt val="0"/>
        <c:auto val="1"/>
        <c:lblAlgn val="ctr"/>
        <c:lblOffset val="100"/>
        <c:noMultiLvlLbl val="0"/>
      </c:catAx>
      <c:valAx>
        <c:axId val="349119344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4911898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Recovery SPE in PP</a:t>
            </a:r>
            <a:r>
              <a:rPr lang="en-US" baseline="0">
                <a:solidFill>
                  <a:sysClr val="windowText" lastClr="000000"/>
                </a:solidFill>
              </a:rPr>
              <a:t> vials</a:t>
            </a:r>
            <a:endParaRPr lang="en-US">
              <a:solidFill>
                <a:sysClr val="windowText" lastClr="00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noFill/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Sheet1!$C$2:$C$25</c:f>
                <c:numCache>
                  <c:formatCode>General</c:formatCode>
                  <c:ptCount val="24"/>
                  <c:pt idx="0">
                    <c:v>6.2</c:v>
                  </c:pt>
                  <c:pt idx="1">
                    <c:v>2.4</c:v>
                  </c:pt>
                  <c:pt idx="2">
                    <c:v>2</c:v>
                  </c:pt>
                  <c:pt idx="3">
                    <c:v>12.1</c:v>
                  </c:pt>
                  <c:pt idx="4">
                    <c:v>7.3</c:v>
                  </c:pt>
                  <c:pt idx="5">
                    <c:v>1.1000000000000001</c:v>
                  </c:pt>
                  <c:pt idx="6">
                    <c:v>4.4000000000000004</c:v>
                  </c:pt>
                  <c:pt idx="7">
                    <c:v>4.4000000000000004</c:v>
                  </c:pt>
                  <c:pt idx="8">
                    <c:v>5.8</c:v>
                  </c:pt>
                  <c:pt idx="9">
                    <c:v>6.8</c:v>
                  </c:pt>
                  <c:pt idx="10">
                    <c:v>3.6</c:v>
                  </c:pt>
                  <c:pt idx="11">
                    <c:v>2.2000000000000002</c:v>
                  </c:pt>
                  <c:pt idx="12">
                    <c:v>5.7</c:v>
                  </c:pt>
                  <c:pt idx="13">
                    <c:v>2.4</c:v>
                  </c:pt>
                  <c:pt idx="14">
                    <c:v>2.2999999999999998</c:v>
                  </c:pt>
                  <c:pt idx="15">
                    <c:v>2.7</c:v>
                  </c:pt>
                  <c:pt idx="16">
                    <c:v>3.4</c:v>
                  </c:pt>
                  <c:pt idx="17">
                    <c:v>1.8</c:v>
                  </c:pt>
                  <c:pt idx="18">
                    <c:v>4.5999999999999996</c:v>
                  </c:pt>
                  <c:pt idx="19">
                    <c:v>2.5</c:v>
                  </c:pt>
                  <c:pt idx="20">
                    <c:v>3</c:v>
                  </c:pt>
                  <c:pt idx="21">
                    <c:v>1.7</c:v>
                  </c:pt>
                  <c:pt idx="22">
                    <c:v>4</c:v>
                  </c:pt>
                  <c:pt idx="23">
                    <c:v>2.8</c:v>
                  </c:pt>
                </c:numCache>
              </c:numRef>
            </c:plus>
            <c:minus>
              <c:numRef>
                <c:f>Sheet1!$C$2:$C$25</c:f>
                <c:numCache>
                  <c:formatCode>General</c:formatCode>
                  <c:ptCount val="24"/>
                  <c:pt idx="0">
                    <c:v>6.2</c:v>
                  </c:pt>
                  <c:pt idx="1">
                    <c:v>2.4</c:v>
                  </c:pt>
                  <c:pt idx="2">
                    <c:v>2</c:v>
                  </c:pt>
                  <c:pt idx="3">
                    <c:v>12.1</c:v>
                  </c:pt>
                  <c:pt idx="4">
                    <c:v>7.3</c:v>
                  </c:pt>
                  <c:pt idx="5">
                    <c:v>1.1000000000000001</c:v>
                  </c:pt>
                  <c:pt idx="6">
                    <c:v>4.4000000000000004</c:v>
                  </c:pt>
                  <c:pt idx="7">
                    <c:v>4.4000000000000004</c:v>
                  </c:pt>
                  <c:pt idx="8">
                    <c:v>5.8</c:v>
                  </c:pt>
                  <c:pt idx="9">
                    <c:v>6.8</c:v>
                  </c:pt>
                  <c:pt idx="10">
                    <c:v>3.6</c:v>
                  </c:pt>
                  <c:pt idx="11">
                    <c:v>2.2000000000000002</c:v>
                  </c:pt>
                  <c:pt idx="12">
                    <c:v>5.7</c:v>
                  </c:pt>
                  <c:pt idx="13">
                    <c:v>2.4</c:v>
                  </c:pt>
                  <c:pt idx="14">
                    <c:v>2.2999999999999998</c:v>
                  </c:pt>
                  <c:pt idx="15">
                    <c:v>2.7</c:v>
                  </c:pt>
                  <c:pt idx="16">
                    <c:v>3.4</c:v>
                  </c:pt>
                  <c:pt idx="17">
                    <c:v>1.8</c:v>
                  </c:pt>
                  <c:pt idx="18">
                    <c:v>4.5999999999999996</c:v>
                  </c:pt>
                  <c:pt idx="19">
                    <c:v>2.5</c:v>
                  </c:pt>
                  <c:pt idx="20">
                    <c:v>3</c:v>
                  </c:pt>
                  <c:pt idx="21">
                    <c:v>1.7</c:v>
                  </c:pt>
                  <c:pt idx="22">
                    <c:v>4</c:v>
                  </c:pt>
                  <c:pt idx="23">
                    <c:v>2.8</c:v>
                  </c:pt>
                </c:numCache>
              </c:numRef>
            </c:minus>
            <c:spPr>
              <a:noFill/>
              <a:ln w="1587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Sheet1!$A$2:$A$25</c:f>
              <c:strCache>
                <c:ptCount val="24"/>
                <c:pt idx="0">
                  <c:v>Δ9-THCO</c:v>
                </c:pt>
                <c:pt idx="1">
                  <c:v>9β-OH-HHC</c:v>
                </c:pt>
                <c:pt idx="2">
                  <c:v>11-OH-Δ9-THC</c:v>
                </c:pt>
                <c:pt idx="3">
                  <c:v>11-OH-Δ8-THC</c:v>
                </c:pt>
                <c:pt idx="4">
                  <c:v>Δ9-THCE</c:v>
                </c:pt>
                <c:pt idx="5">
                  <c:v>11-COOH-9R-HHC</c:v>
                </c:pt>
                <c:pt idx="6">
                  <c:v>11-COOH-Δ9-THC</c:v>
                </c:pt>
                <c:pt idx="7">
                  <c:v>9α-OH-HHC</c:v>
                </c:pt>
                <c:pt idx="8">
                  <c:v>CBD</c:v>
                </c:pt>
                <c:pt idx="9">
                  <c:v>CBG</c:v>
                </c:pt>
                <c:pt idx="10">
                  <c:v>Δ9-THCB</c:v>
                </c:pt>
                <c:pt idx="11">
                  <c:v>CBN</c:v>
                </c:pt>
                <c:pt idx="12">
                  <c:v>Δ9-THC</c:v>
                </c:pt>
                <c:pt idx="13">
                  <c:v>Δ8-THC</c:v>
                </c:pt>
                <c:pt idx="14">
                  <c:v>9S-HHC</c:v>
                </c:pt>
                <c:pt idx="15">
                  <c:v>9R-HHC</c:v>
                </c:pt>
                <c:pt idx="16">
                  <c:v>Δ9-THCH</c:v>
                </c:pt>
                <c:pt idx="17">
                  <c:v>9R-HHCH</c:v>
                </c:pt>
                <c:pt idx="18">
                  <c:v>Δ9-THCP</c:v>
                </c:pt>
                <c:pt idx="19">
                  <c:v>Δ9-THC-O</c:v>
                </c:pt>
                <c:pt idx="20">
                  <c:v>9R-HHCP</c:v>
                </c:pt>
                <c:pt idx="21">
                  <c:v>9R-HHC-O</c:v>
                </c:pt>
                <c:pt idx="22">
                  <c:v>Δ9-THC-C8</c:v>
                </c:pt>
                <c:pt idx="23">
                  <c:v>Δ9-THC-OMe</c:v>
                </c:pt>
              </c:strCache>
            </c:strRef>
          </c:cat>
          <c:val>
            <c:numRef>
              <c:f>Sheet1!$B$2:$B$25</c:f>
              <c:numCache>
                <c:formatCode>General</c:formatCode>
                <c:ptCount val="24"/>
                <c:pt idx="0">
                  <c:v>68.8</c:v>
                </c:pt>
                <c:pt idx="1">
                  <c:v>81.599999999999994</c:v>
                </c:pt>
                <c:pt idx="2">
                  <c:v>75</c:v>
                </c:pt>
                <c:pt idx="3">
                  <c:v>85.9</c:v>
                </c:pt>
                <c:pt idx="4">
                  <c:v>75.099999999999994</c:v>
                </c:pt>
                <c:pt idx="5">
                  <c:v>90.3</c:v>
                </c:pt>
                <c:pt idx="6">
                  <c:v>64.3</c:v>
                </c:pt>
                <c:pt idx="7">
                  <c:v>65.8</c:v>
                </c:pt>
                <c:pt idx="8">
                  <c:v>80.8</c:v>
                </c:pt>
                <c:pt idx="9">
                  <c:v>62</c:v>
                </c:pt>
                <c:pt idx="10">
                  <c:v>63.2</c:v>
                </c:pt>
                <c:pt idx="11">
                  <c:v>62.7</c:v>
                </c:pt>
                <c:pt idx="12">
                  <c:v>68.2</c:v>
                </c:pt>
                <c:pt idx="13">
                  <c:v>61.3</c:v>
                </c:pt>
                <c:pt idx="14">
                  <c:v>52.8</c:v>
                </c:pt>
                <c:pt idx="15">
                  <c:v>68.5</c:v>
                </c:pt>
                <c:pt idx="16">
                  <c:v>72.2</c:v>
                </c:pt>
                <c:pt idx="17">
                  <c:v>86.3</c:v>
                </c:pt>
                <c:pt idx="18">
                  <c:v>44.9</c:v>
                </c:pt>
                <c:pt idx="19">
                  <c:v>57.1</c:v>
                </c:pt>
                <c:pt idx="20">
                  <c:v>44.3</c:v>
                </c:pt>
                <c:pt idx="21">
                  <c:v>57.6</c:v>
                </c:pt>
                <c:pt idx="22">
                  <c:v>31.1</c:v>
                </c:pt>
                <c:pt idx="23">
                  <c:v>27.8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10-47FC-B27D-D5393A05EB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9118984"/>
        <c:axId val="349119344"/>
      </c:barChart>
      <c:catAx>
        <c:axId val="349118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49119344"/>
        <c:crosses val="autoZero"/>
        <c:auto val="1"/>
        <c:lblAlgn val="ctr"/>
        <c:lblOffset val="100"/>
        <c:noMultiLvlLbl val="0"/>
      </c:catAx>
      <c:valAx>
        <c:axId val="349119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49118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F5F16-51F5-4A13-852D-4142EBAAA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492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Institut für Rechtsmedizin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Schirmer, Willi (IRM)</dc:creator>
  <cp:keywords/>
  <dc:description/>
  <cp:lastModifiedBy>Schirmer, Willi (IRM)</cp:lastModifiedBy>
  <cp:revision>35</cp:revision>
  <dcterms:created xsi:type="dcterms:W3CDTF">2025-04-07T13:14:00Z</dcterms:created>
  <dcterms:modified xsi:type="dcterms:W3CDTF">2025-07-22T11:31:00Z</dcterms:modified>
</cp:coreProperties>
</file>