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C78" w:rsidRPr="004B72CC" w:rsidRDefault="007D1C78" w:rsidP="007D1C78">
      <w:pPr>
        <w:pStyle w:val="Sinespaciado"/>
        <w:spacing w:line="480" w:lineRule="auto"/>
        <w:jc w:val="both"/>
        <w:rPr>
          <w:rFonts w:ascii="Arial" w:hAnsi="Arial" w:cs="Arial"/>
          <w:b/>
          <w:lang w:val="en-US"/>
        </w:rPr>
      </w:pPr>
      <w:r w:rsidRPr="004B72CC">
        <w:rPr>
          <w:rFonts w:ascii="Arial" w:hAnsi="Arial" w:cs="Arial"/>
          <w:b/>
          <w:lang w:val="en-US"/>
        </w:rPr>
        <w:t>Supplemental material</w:t>
      </w:r>
    </w:p>
    <w:p w:rsidR="007D1C78" w:rsidRPr="00845B78" w:rsidRDefault="007D1C78" w:rsidP="007D1C78">
      <w:pPr>
        <w:pStyle w:val="Sinespaciado"/>
        <w:spacing w:line="480" w:lineRule="auto"/>
        <w:jc w:val="both"/>
        <w:rPr>
          <w:rFonts w:ascii="Arial" w:hAnsi="Arial" w:cs="Arial"/>
          <w:lang w:val="en-US"/>
        </w:rPr>
      </w:pPr>
    </w:p>
    <w:p w:rsidR="007D1C78" w:rsidRPr="00845B78" w:rsidRDefault="007D1C78" w:rsidP="007D1C78">
      <w:pPr>
        <w:pStyle w:val="tablelegend"/>
        <w:spacing w:after="0" w:line="480" w:lineRule="auto"/>
        <w:jc w:val="both"/>
        <w:rPr>
          <w:rStyle w:val="Ninguno"/>
          <w:rFonts w:ascii="Arial" w:hAnsi="Arial" w:cs="Arial"/>
          <w:sz w:val="22"/>
        </w:rPr>
      </w:pPr>
      <w:proofErr w:type="gramStart"/>
      <w:r w:rsidRPr="00845B78">
        <w:rPr>
          <w:rStyle w:val="Ninguno"/>
          <w:rFonts w:ascii="Arial" w:hAnsi="Arial" w:cs="Arial"/>
          <w:b/>
          <w:bCs/>
          <w:sz w:val="22"/>
        </w:rPr>
        <w:t>Table 1.</w:t>
      </w:r>
      <w:proofErr w:type="gramEnd"/>
      <w:r w:rsidRPr="00845B78">
        <w:rPr>
          <w:rStyle w:val="Ninguno"/>
          <w:rFonts w:ascii="Arial" w:hAnsi="Arial" w:cs="Arial"/>
          <w:sz w:val="22"/>
        </w:rPr>
        <w:t xml:space="preserve"> Gibbs free energy (ΔG), the dissociation constant (</w:t>
      </w:r>
      <w:proofErr w:type="spellStart"/>
      <w:proofErr w:type="gramStart"/>
      <w:r w:rsidRPr="00845B78">
        <w:rPr>
          <w:rStyle w:val="Ninguno"/>
          <w:rFonts w:ascii="Arial" w:hAnsi="Arial" w:cs="Arial"/>
          <w:sz w:val="22"/>
        </w:rPr>
        <w:t>K</w:t>
      </w:r>
      <w:r w:rsidRPr="00845B78">
        <w:rPr>
          <w:rStyle w:val="Ninguno"/>
          <w:rFonts w:ascii="Arial" w:hAnsi="Arial" w:cs="Arial"/>
          <w:sz w:val="22"/>
          <w:vertAlign w:val="subscript"/>
        </w:rPr>
        <w:t>d</w:t>
      </w:r>
      <w:proofErr w:type="spellEnd"/>
      <w:proofErr w:type="gramEnd"/>
      <w:r w:rsidRPr="00845B78">
        <w:rPr>
          <w:rStyle w:val="Ninguno"/>
          <w:rFonts w:ascii="Arial" w:hAnsi="Arial" w:cs="Arial"/>
          <w:sz w:val="22"/>
        </w:rPr>
        <w:t>), and –log</w:t>
      </w:r>
      <w:r w:rsidRPr="00845B78">
        <w:rPr>
          <w:rStyle w:val="Ninguno"/>
          <w:rFonts w:ascii="Arial" w:hAnsi="Arial" w:cs="Arial"/>
          <w:sz w:val="22"/>
          <w:vertAlign w:val="subscript"/>
        </w:rPr>
        <w:t>10</w:t>
      </w:r>
      <w:r w:rsidRPr="00845B78">
        <w:rPr>
          <w:rStyle w:val="Ninguno"/>
          <w:rFonts w:ascii="Arial" w:hAnsi="Arial" w:cs="Arial"/>
          <w:sz w:val="22"/>
        </w:rPr>
        <w:t xml:space="preserve"> dissociation constant (</w:t>
      </w:r>
      <w:proofErr w:type="spellStart"/>
      <w:r w:rsidRPr="00845B78">
        <w:rPr>
          <w:rStyle w:val="Ninguno"/>
          <w:rFonts w:ascii="Arial" w:hAnsi="Arial" w:cs="Arial"/>
          <w:sz w:val="22"/>
        </w:rPr>
        <w:t>pK</w:t>
      </w:r>
      <w:r w:rsidRPr="00845B78">
        <w:rPr>
          <w:rStyle w:val="Ninguno"/>
          <w:rFonts w:ascii="Arial" w:hAnsi="Arial" w:cs="Arial"/>
          <w:i/>
          <w:iCs/>
          <w:sz w:val="22"/>
          <w:vertAlign w:val="subscript"/>
        </w:rPr>
        <w:t>d</w:t>
      </w:r>
      <w:proofErr w:type="spellEnd"/>
      <w:r w:rsidRPr="00845B78">
        <w:rPr>
          <w:rStyle w:val="Ninguno"/>
          <w:rFonts w:ascii="Arial" w:hAnsi="Arial" w:cs="Arial"/>
          <w:sz w:val="22"/>
        </w:rPr>
        <w:t xml:space="preserve">) for the interaction of the test and references molecules with the human CB1r. </w:t>
      </w:r>
    </w:p>
    <w:p w:rsidR="007D1C78" w:rsidRPr="00845B78" w:rsidRDefault="007D1C78" w:rsidP="007D1C78">
      <w:pPr>
        <w:spacing w:after="0" w:line="480" w:lineRule="auto"/>
        <w:rPr>
          <w:rFonts w:ascii="Arial" w:hAnsi="Arial" w:cs="Arial"/>
          <w:lang w:val="en-US" w:eastAsia="es-ES"/>
        </w:rPr>
      </w:pPr>
    </w:p>
    <w:p w:rsidR="007D1C78" w:rsidRPr="00845B78" w:rsidRDefault="007D1C78" w:rsidP="007D1C78">
      <w:pPr>
        <w:spacing w:after="0" w:line="480" w:lineRule="auto"/>
        <w:jc w:val="both"/>
        <w:rPr>
          <w:rFonts w:ascii="Arial" w:hAnsi="Arial" w:cs="Arial"/>
          <w:lang w:val="en-US" w:eastAsia="es-ES"/>
        </w:rPr>
      </w:pPr>
      <w:proofErr w:type="gramStart"/>
      <w:r w:rsidRPr="00845B78">
        <w:rPr>
          <w:rFonts w:ascii="Arial" w:hAnsi="Arial" w:cs="Arial"/>
          <w:b/>
          <w:lang w:val="en-US" w:eastAsia="es-ES"/>
        </w:rPr>
        <w:t>Table 2</w:t>
      </w:r>
      <w:r w:rsidRPr="00845B78">
        <w:rPr>
          <w:rFonts w:ascii="Arial" w:hAnsi="Arial" w:cs="Arial"/>
          <w:lang w:val="en-US" w:eastAsia="es-ES"/>
        </w:rPr>
        <w:t>.</w:t>
      </w:r>
      <w:proofErr w:type="gramEnd"/>
      <w:r w:rsidRPr="00845B78">
        <w:rPr>
          <w:rFonts w:ascii="Arial" w:hAnsi="Arial" w:cs="Arial"/>
          <w:lang w:val="en-US" w:eastAsia="es-ES"/>
        </w:rPr>
        <w:t xml:space="preserve"> Amino acid residues involved in the interaction between human CB1r and the ligands: BAR-1 and reference molecules.  </w:t>
      </w:r>
    </w:p>
    <w:p w:rsidR="007D1C78" w:rsidRPr="00845B78" w:rsidRDefault="007D1C78" w:rsidP="007D1C78">
      <w:pPr>
        <w:spacing w:after="0" w:line="480" w:lineRule="auto"/>
        <w:rPr>
          <w:rFonts w:ascii="Arial" w:hAnsi="Arial" w:cs="Arial"/>
          <w:lang w:val="en-US" w:eastAsia="es-ES"/>
        </w:rPr>
      </w:pPr>
    </w:p>
    <w:p w:rsidR="007D1C78" w:rsidRPr="00845B78" w:rsidRDefault="007D1C78" w:rsidP="007D1C78">
      <w:pPr>
        <w:spacing w:after="0" w:line="480" w:lineRule="auto"/>
        <w:jc w:val="both"/>
        <w:rPr>
          <w:rFonts w:ascii="Arial" w:hAnsi="Arial" w:cs="Arial"/>
          <w:lang w:val="en-US" w:eastAsia="es-ES"/>
        </w:rPr>
      </w:pPr>
      <w:proofErr w:type="gramStart"/>
      <w:r w:rsidRPr="00845B78">
        <w:rPr>
          <w:rFonts w:ascii="Arial" w:hAnsi="Arial" w:cs="Arial"/>
          <w:b/>
          <w:lang w:val="en-US" w:eastAsia="es-ES"/>
        </w:rPr>
        <w:t>Table 3</w:t>
      </w:r>
      <w:r w:rsidRPr="00845B78">
        <w:rPr>
          <w:rFonts w:ascii="Arial" w:hAnsi="Arial" w:cs="Arial"/>
          <w:lang w:val="en-US" w:eastAsia="es-ES"/>
        </w:rPr>
        <w:t>.</w:t>
      </w:r>
      <w:proofErr w:type="gramEnd"/>
      <w:r w:rsidRPr="00845B78">
        <w:rPr>
          <w:rFonts w:ascii="Arial" w:hAnsi="Arial" w:cs="Arial"/>
          <w:lang w:val="en-US" w:eastAsia="es-ES"/>
        </w:rPr>
        <w:t xml:space="preserve"> Amino acid residues, type of interactions and binding distances in the approach of BAR-1 and references molecules to the human CB1r.</w:t>
      </w:r>
    </w:p>
    <w:p w:rsidR="007D1C78" w:rsidRPr="00845B78" w:rsidRDefault="007D1C78" w:rsidP="007D1C78">
      <w:pPr>
        <w:spacing w:after="0" w:line="480" w:lineRule="auto"/>
        <w:rPr>
          <w:rFonts w:ascii="Arial" w:hAnsi="Arial" w:cs="Arial"/>
          <w:b/>
        </w:rPr>
      </w:pPr>
    </w:p>
    <w:p w:rsidR="007D1C78" w:rsidRPr="00845B78" w:rsidRDefault="00787726" w:rsidP="007D1C78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</w:rPr>
        <w:t>Figure A</w:t>
      </w:r>
      <w:r w:rsidR="007D1C78" w:rsidRPr="00845B78">
        <w:rPr>
          <w:rFonts w:ascii="Arial" w:hAnsi="Arial" w:cs="Arial"/>
        </w:rPr>
        <w:t xml:space="preserve">. </w:t>
      </w:r>
      <w:r w:rsidR="007D1C78" w:rsidRPr="00845B78">
        <w:rPr>
          <w:rFonts w:ascii="Arial" w:hAnsi="Arial" w:cs="Arial"/>
          <w:lang w:val="en-US"/>
        </w:rPr>
        <w:t xml:space="preserve">Binding mode and main amino acid residues in the active site of the human CB1r interacting with the reference drugs and tested molecule (observed by docking simulation): </w:t>
      </w:r>
      <w:r w:rsidR="007D1C78" w:rsidRPr="00845B78">
        <w:rPr>
          <w:rFonts w:ascii="Arial" w:hAnsi="Arial" w:cs="Arial"/>
          <w:b/>
          <w:lang w:val="en-US"/>
        </w:rPr>
        <w:t>A</w:t>
      </w:r>
      <w:r w:rsidR="007D1C78" w:rsidRPr="00845B78">
        <w:rPr>
          <w:rFonts w:ascii="Arial" w:hAnsi="Arial" w:cs="Arial"/>
          <w:lang w:val="en-US"/>
        </w:rPr>
        <w:t xml:space="preserve">) binding site of BAR-1; </w:t>
      </w:r>
      <w:r w:rsidR="007D1C78" w:rsidRPr="00845B78">
        <w:rPr>
          <w:rFonts w:ascii="Arial" w:hAnsi="Arial" w:cs="Arial"/>
          <w:b/>
          <w:lang w:val="en-US"/>
        </w:rPr>
        <w:t>A’</w:t>
      </w:r>
      <w:r w:rsidR="007D1C78" w:rsidRPr="00845B78">
        <w:rPr>
          <w:rFonts w:ascii="Arial" w:hAnsi="Arial" w:cs="Arial"/>
          <w:lang w:val="en-US"/>
        </w:rPr>
        <w:t xml:space="preserve">) amino acid residues interacting with BAR-1; </w:t>
      </w:r>
      <w:r w:rsidR="007D1C78" w:rsidRPr="00845B78">
        <w:rPr>
          <w:rFonts w:ascii="Arial" w:hAnsi="Arial" w:cs="Arial"/>
          <w:b/>
          <w:lang w:val="en-US"/>
        </w:rPr>
        <w:t>B</w:t>
      </w:r>
      <w:r w:rsidR="007D1C78" w:rsidRPr="00845B78">
        <w:rPr>
          <w:rFonts w:ascii="Arial" w:hAnsi="Arial" w:cs="Arial"/>
          <w:lang w:val="en-US"/>
        </w:rPr>
        <w:t xml:space="preserve">) binding site AM6538; </w:t>
      </w:r>
      <w:r w:rsidR="007D1C78" w:rsidRPr="00845B78">
        <w:rPr>
          <w:rFonts w:ascii="Arial" w:hAnsi="Arial" w:cs="Arial"/>
          <w:b/>
          <w:lang w:val="en-US"/>
        </w:rPr>
        <w:t>B’</w:t>
      </w:r>
      <w:r w:rsidR="007D1C78" w:rsidRPr="00845B78">
        <w:rPr>
          <w:rFonts w:ascii="Arial" w:hAnsi="Arial" w:cs="Arial"/>
          <w:lang w:val="en-US"/>
        </w:rPr>
        <w:t>) amino acid interacting AM6538;</w:t>
      </w:r>
      <w:r w:rsidR="007D1C78" w:rsidRPr="00845B78">
        <w:rPr>
          <w:rFonts w:ascii="Arial" w:hAnsi="Arial" w:cs="Arial"/>
          <w:b/>
          <w:lang w:val="en-US"/>
        </w:rPr>
        <w:t xml:space="preserve"> C</w:t>
      </w:r>
      <w:r w:rsidR="007D1C78" w:rsidRPr="00845B78">
        <w:rPr>
          <w:rFonts w:ascii="Arial" w:hAnsi="Arial" w:cs="Arial"/>
          <w:lang w:val="en-US"/>
        </w:rPr>
        <w:t xml:space="preserve">) binding site </w:t>
      </w:r>
      <w:proofErr w:type="spellStart"/>
      <w:r w:rsidR="007D1C78" w:rsidRPr="00845B78">
        <w:rPr>
          <w:rFonts w:ascii="Arial" w:hAnsi="Arial" w:cs="Arial"/>
          <w:lang w:val="en-US"/>
        </w:rPr>
        <w:t>otenabant</w:t>
      </w:r>
      <w:proofErr w:type="spellEnd"/>
      <w:r w:rsidR="007D1C78" w:rsidRPr="00845B78">
        <w:rPr>
          <w:rFonts w:ascii="Arial" w:hAnsi="Arial" w:cs="Arial"/>
          <w:lang w:val="en-US"/>
        </w:rPr>
        <w:t xml:space="preserve">; </w:t>
      </w:r>
      <w:r w:rsidR="007D1C78" w:rsidRPr="00845B78">
        <w:rPr>
          <w:rFonts w:ascii="Arial" w:hAnsi="Arial" w:cs="Arial"/>
          <w:b/>
          <w:lang w:val="en-US"/>
        </w:rPr>
        <w:t>C’</w:t>
      </w:r>
      <w:r w:rsidR="007D1C78" w:rsidRPr="00845B78">
        <w:rPr>
          <w:rFonts w:ascii="Arial" w:hAnsi="Arial" w:cs="Arial"/>
          <w:lang w:val="en-US"/>
        </w:rPr>
        <w:t xml:space="preserve">) amino acid interacting </w:t>
      </w:r>
      <w:proofErr w:type="spellStart"/>
      <w:r w:rsidR="007D1C78" w:rsidRPr="00845B78">
        <w:rPr>
          <w:rFonts w:ascii="Arial" w:hAnsi="Arial" w:cs="Arial"/>
          <w:lang w:val="en-US"/>
        </w:rPr>
        <w:t>otenabant</w:t>
      </w:r>
      <w:proofErr w:type="spellEnd"/>
      <w:r w:rsidR="007D1C78" w:rsidRPr="00845B78">
        <w:rPr>
          <w:rFonts w:ascii="Arial" w:hAnsi="Arial" w:cs="Arial"/>
          <w:lang w:val="en-US"/>
        </w:rPr>
        <w:t xml:space="preserve">; </w:t>
      </w:r>
      <w:r w:rsidR="007D1C78" w:rsidRPr="00845B78">
        <w:rPr>
          <w:rFonts w:ascii="Arial" w:hAnsi="Arial" w:cs="Arial"/>
          <w:b/>
          <w:lang w:val="en-US"/>
        </w:rPr>
        <w:t>D</w:t>
      </w:r>
      <w:r w:rsidR="007D1C78" w:rsidRPr="00845B78">
        <w:rPr>
          <w:rFonts w:ascii="Arial" w:hAnsi="Arial" w:cs="Arial"/>
          <w:lang w:val="en-US"/>
        </w:rPr>
        <w:t xml:space="preserve">) binding site </w:t>
      </w:r>
      <w:proofErr w:type="spellStart"/>
      <w:r w:rsidR="007D1C78" w:rsidRPr="00845B78">
        <w:rPr>
          <w:rFonts w:ascii="Arial" w:hAnsi="Arial" w:cs="Arial"/>
          <w:lang w:val="en-US"/>
        </w:rPr>
        <w:t>rimonabant</w:t>
      </w:r>
      <w:proofErr w:type="spellEnd"/>
      <w:r w:rsidR="007D1C78" w:rsidRPr="00845B78">
        <w:rPr>
          <w:rFonts w:ascii="Arial" w:hAnsi="Arial" w:cs="Arial"/>
          <w:lang w:val="en-US"/>
        </w:rPr>
        <w:t xml:space="preserve">; </w:t>
      </w:r>
      <w:r w:rsidR="007D1C78" w:rsidRPr="00845B78">
        <w:rPr>
          <w:rFonts w:ascii="Arial" w:hAnsi="Arial" w:cs="Arial"/>
          <w:b/>
          <w:lang w:val="en-US"/>
        </w:rPr>
        <w:t>D’</w:t>
      </w:r>
      <w:r w:rsidR="007D1C78" w:rsidRPr="00845B78">
        <w:rPr>
          <w:rFonts w:ascii="Arial" w:hAnsi="Arial" w:cs="Arial"/>
          <w:lang w:val="en-US"/>
        </w:rPr>
        <w:t xml:space="preserve">) amino acid interacting </w:t>
      </w:r>
      <w:proofErr w:type="spellStart"/>
      <w:r w:rsidR="007D1C78" w:rsidRPr="00845B78">
        <w:rPr>
          <w:rFonts w:ascii="Arial" w:hAnsi="Arial" w:cs="Arial"/>
          <w:lang w:val="en-US"/>
        </w:rPr>
        <w:t>rimonabant</w:t>
      </w:r>
      <w:proofErr w:type="spellEnd"/>
      <w:r w:rsidR="007D1C78" w:rsidRPr="00845B78">
        <w:rPr>
          <w:rFonts w:ascii="Arial" w:hAnsi="Arial" w:cs="Arial"/>
          <w:lang w:val="en-US"/>
        </w:rPr>
        <w:t>.</w:t>
      </w:r>
    </w:p>
    <w:p w:rsidR="007D1C78" w:rsidRPr="00845B78" w:rsidRDefault="007D1C78" w:rsidP="007D1C78">
      <w:pPr>
        <w:spacing w:after="0" w:line="480" w:lineRule="auto"/>
        <w:rPr>
          <w:rFonts w:ascii="Arial" w:hAnsi="Arial" w:cs="Arial"/>
          <w:b/>
        </w:rPr>
      </w:pPr>
      <w:bookmarkStart w:id="0" w:name="_GoBack"/>
      <w:bookmarkEnd w:id="0"/>
    </w:p>
    <w:p w:rsidR="00990EFA" w:rsidRDefault="00787726" w:rsidP="007D1C78">
      <w:pPr>
        <w:pStyle w:val="figlegend"/>
        <w:spacing w:line="480" w:lineRule="auto"/>
        <w:jc w:val="both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lang w:val="en-GB"/>
        </w:rPr>
        <w:t>Figure B</w:t>
      </w:r>
      <w:r w:rsidR="007D1C78" w:rsidRPr="00845B78">
        <w:rPr>
          <w:rFonts w:ascii="Arial" w:hAnsi="Arial" w:cs="Arial"/>
          <w:lang w:val="en-GB"/>
        </w:rPr>
        <w:t xml:space="preserve">. </w:t>
      </w:r>
      <w:r w:rsidR="007D1C78" w:rsidRPr="00845B78">
        <w:rPr>
          <w:rFonts w:ascii="Arial" w:hAnsi="Arial" w:cs="Arial"/>
          <w:sz w:val="22"/>
          <w:lang w:val="en-US"/>
        </w:rPr>
        <w:t xml:space="preserve">Binding mode of the ligand in the active site of the human CB1r established by molecular docking: </w:t>
      </w:r>
      <w:r w:rsidR="007D1C78" w:rsidRPr="00845B78">
        <w:rPr>
          <w:rFonts w:ascii="Arial" w:hAnsi="Arial" w:cs="Arial"/>
          <w:b/>
          <w:sz w:val="22"/>
          <w:lang w:val="en-US"/>
        </w:rPr>
        <w:t>A</w:t>
      </w:r>
      <w:r w:rsidR="007D1C78" w:rsidRPr="00845B78">
        <w:rPr>
          <w:rFonts w:ascii="Arial" w:hAnsi="Arial" w:cs="Arial"/>
          <w:sz w:val="22"/>
          <w:lang w:val="en-US"/>
        </w:rPr>
        <w:t xml:space="preserve">) the binding mode of BAR-1 was similar to that of AM6538 (yellow); </w:t>
      </w:r>
      <w:r w:rsidR="007D1C78" w:rsidRPr="00845B78">
        <w:rPr>
          <w:rFonts w:ascii="Arial" w:hAnsi="Arial" w:cs="Arial"/>
          <w:b/>
          <w:sz w:val="22"/>
          <w:lang w:val="en-US"/>
        </w:rPr>
        <w:t>B</w:t>
      </w:r>
      <w:r w:rsidR="007D1C78" w:rsidRPr="00845B78">
        <w:rPr>
          <w:rFonts w:ascii="Arial" w:hAnsi="Arial" w:cs="Arial"/>
          <w:sz w:val="22"/>
          <w:lang w:val="en-US"/>
        </w:rPr>
        <w:t>) a similar binding mode was found for BAR-1 and AM6538 (fuchsia);</w:t>
      </w:r>
      <w:r w:rsidR="007D1C78" w:rsidRPr="00845B78">
        <w:rPr>
          <w:rFonts w:ascii="Arial" w:hAnsi="Arial" w:cs="Arial"/>
          <w:b/>
          <w:sz w:val="22"/>
          <w:lang w:val="en-US"/>
        </w:rPr>
        <w:t xml:space="preserve"> C</w:t>
      </w:r>
      <w:r w:rsidR="007D1C78" w:rsidRPr="00845B78">
        <w:rPr>
          <w:rFonts w:ascii="Arial" w:hAnsi="Arial" w:cs="Arial"/>
          <w:sz w:val="22"/>
          <w:lang w:val="en-US"/>
        </w:rPr>
        <w:t xml:space="preserve">) a similar binding mode was observed for BAR-1 and </w:t>
      </w:r>
      <w:proofErr w:type="spellStart"/>
      <w:r w:rsidR="007D1C78" w:rsidRPr="00845B78">
        <w:rPr>
          <w:rFonts w:ascii="Arial" w:hAnsi="Arial" w:cs="Arial"/>
          <w:sz w:val="22"/>
          <w:lang w:val="en-US"/>
        </w:rPr>
        <w:t>Otenabant</w:t>
      </w:r>
      <w:proofErr w:type="spellEnd"/>
      <w:r w:rsidR="007D1C78" w:rsidRPr="00845B78">
        <w:rPr>
          <w:rFonts w:ascii="Arial" w:hAnsi="Arial" w:cs="Arial"/>
          <w:sz w:val="22"/>
          <w:lang w:val="en-US"/>
        </w:rPr>
        <w:t xml:space="preserve"> (ochre); </w:t>
      </w:r>
      <w:r w:rsidR="007D1C78" w:rsidRPr="00845B78">
        <w:rPr>
          <w:rFonts w:ascii="Arial" w:hAnsi="Arial" w:cs="Arial"/>
          <w:b/>
          <w:sz w:val="22"/>
          <w:lang w:val="en-US"/>
        </w:rPr>
        <w:t>D</w:t>
      </w:r>
      <w:r w:rsidR="007D1C78" w:rsidRPr="00845B78">
        <w:rPr>
          <w:rFonts w:ascii="Arial" w:hAnsi="Arial" w:cs="Arial"/>
          <w:sz w:val="22"/>
          <w:lang w:val="en-US"/>
        </w:rPr>
        <w:t xml:space="preserve">) reproduction of the binding mode of AM6538 obtained by molecular docking (yellow) and by crystal structure (fuchsia; PDB code 5TGZ); </w:t>
      </w:r>
      <w:r w:rsidR="007D1C78" w:rsidRPr="00845B78">
        <w:rPr>
          <w:rFonts w:ascii="Arial" w:hAnsi="Arial" w:cs="Arial"/>
          <w:b/>
          <w:sz w:val="22"/>
          <w:lang w:val="en-US"/>
        </w:rPr>
        <w:t>D’</w:t>
      </w:r>
      <w:r w:rsidR="007D1C78" w:rsidRPr="00845B78">
        <w:rPr>
          <w:rFonts w:ascii="Arial" w:hAnsi="Arial" w:cs="Arial"/>
          <w:sz w:val="22"/>
          <w:lang w:val="en-US"/>
        </w:rPr>
        <w:t>) amino acid residues interaction of AM6538 obtained by molecular docking (yellow) and by crystal structure (fuchsia; PDB code 5TGZ).</w:t>
      </w:r>
    </w:p>
    <w:p w:rsidR="007D1C78" w:rsidRPr="007D1C78" w:rsidRDefault="007D1C78" w:rsidP="007D1C78">
      <w:pPr>
        <w:rPr>
          <w:lang w:val="en-US" w:eastAsia="es-ES"/>
        </w:rPr>
      </w:pPr>
    </w:p>
    <w:sectPr w:rsidR="007D1C78" w:rsidRPr="007D1C78" w:rsidSect="003B0D2C">
      <w:footerReference w:type="default" r:id="rId5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117836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3B0D2C" w:rsidRPr="003B0D2C" w:rsidRDefault="00787726">
        <w:pPr>
          <w:pStyle w:val="Piedepgina"/>
          <w:jc w:val="center"/>
          <w:rPr>
            <w:rFonts w:ascii="Arial" w:hAnsi="Arial" w:cs="Arial"/>
          </w:rPr>
        </w:pPr>
        <w:r w:rsidRPr="003B0D2C">
          <w:rPr>
            <w:rFonts w:ascii="Arial" w:hAnsi="Arial" w:cs="Arial"/>
          </w:rPr>
          <w:fldChar w:fldCharType="begin"/>
        </w:r>
        <w:r w:rsidRPr="003B0D2C">
          <w:rPr>
            <w:rFonts w:ascii="Arial" w:hAnsi="Arial" w:cs="Arial"/>
          </w:rPr>
          <w:instrText>PAGE   \* MERGEFORMAT</w:instrText>
        </w:r>
        <w:r w:rsidRPr="003B0D2C">
          <w:rPr>
            <w:rFonts w:ascii="Arial" w:hAnsi="Arial" w:cs="Arial"/>
          </w:rPr>
          <w:fldChar w:fldCharType="separate"/>
        </w:r>
        <w:r w:rsidRPr="00787726">
          <w:rPr>
            <w:rFonts w:ascii="Arial" w:hAnsi="Arial" w:cs="Arial"/>
            <w:noProof/>
            <w:lang w:val="es-ES"/>
          </w:rPr>
          <w:t>1</w:t>
        </w:r>
        <w:r w:rsidRPr="003B0D2C">
          <w:rPr>
            <w:rFonts w:ascii="Arial" w:hAnsi="Arial" w:cs="Arial"/>
          </w:rPr>
          <w:fldChar w:fldCharType="end"/>
        </w:r>
      </w:p>
    </w:sdtContent>
  </w:sdt>
  <w:p w:rsidR="00F441DF" w:rsidRDefault="00787726">
    <w:pPr>
      <w:pStyle w:val="Piedep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78"/>
    <w:rsid w:val="00787726"/>
    <w:rsid w:val="007D1C78"/>
    <w:rsid w:val="0099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C78"/>
    <w:rPr>
      <w:rFonts w:ascii="Calibri" w:eastAsia="Times New Roman" w:hAnsi="Calibri" w:cs="Times New Roman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qFormat/>
    <w:rsid w:val="007D1C78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paragraph" w:styleId="Piedepgina">
    <w:name w:val="footer"/>
    <w:basedOn w:val="Normal"/>
    <w:link w:val="PiedepginaCar"/>
    <w:uiPriority w:val="99"/>
    <w:rsid w:val="007D1C78"/>
    <w:pPr>
      <w:tabs>
        <w:tab w:val="center" w:pos="4419"/>
        <w:tab w:val="right" w:pos="8838"/>
      </w:tabs>
      <w:spacing w:after="0" w:line="240" w:lineRule="auto"/>
    </w:pPr>
    <w:rPr>
      <w:rFonts w:eastAsia="Calibri"/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D1C78"/>
    <w:rPr>
      <w:rFonts w:ascii="Calibri" w:eastAsia="Calibri" w:hAnsi="Calibri" w:cs="Times New Roman"/>
      <w:lang w:val="x-none"/>
    </w:rPr>
  </w:style>
  <w:style w:type="character" w:customStyle="1" w:styleId="Ninguno">
    <w:name w:val="Ninguno"/>
    <w:rsid w:val="007D1C78"/>
    <w:rPr>
      <w:lang w:val="en-US"/>
    </w:rPr>
  </w:style>
  <w:style w:type="paragraph" w:customStyle="1" w:styleId="tablelegend">
    <w:name w:val="tablelegend"/>
    <w:basedOn w:val="Normal"/>
    <w:next w:val="Normal"/>
    <w:rsid w:val="007D1C78"/>
    <w:pPr>
      <w:spacing w:before="120"/>
    </w:pPr>
    <w:rPr>
      <w:rFonts w:eastAsia="MS Mincho"/>
      <w:sz w:val="20"/>
      <w:lang w:val="es-ES" w:eastAsia="es-ES"/>
    </w:rPr>
  </w:style>
  <w:style w:type="paragraph" w:customStyle="1" w:styleId="figlegend">
    <w:name w:val="figlegend"/>
    <w:basedOn w:val="Normal"/>
    <w:next w:val="Normal"/>
    <w:rsid w:val="007D1C78"/>
    <w:pPr>
      <w:spacing w:before="120"/>
    </w:pPr>
    <w:rPr>
      <w:rFonts w:eastAsia="MS Mincho"/>
      <w:sz w:val="20"/>
      <w:lang w:val="es-ES"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7D1C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C78"/>
    <w:rPr>
      <w:rFonts w:ascii="Calibri" w:eastAsia="Times New Roman" w:hAnsi="Calibri" w:cs="Times New Roman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qFormat/>
    <w:rsid w:val="007D1C78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paragraph" w:styleId="Piedepgina">
    <w:name w:val="footer"/>
    <w:basedOn w:val="Normal"/>
    <w:link w:val="PiedepginaCar"/>
    <w:uiPriority w:val="99"/>
    <w:rsid w:val="007D1C78"/>
    <w:pPr>
      <w:tabs>
        <w:tab w:val="center" w:pos="4419"/>
        <w:tab w:val="right" w:pos="8838"/>
      </w:tabs>
      <w:spacing w:after="0" w:line="240" w:lineRule="auto"/>
    </w:pPr>
    <w:rPr>
      <w:rFonts w:eastAsia="Calibri"/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D1C78"/>
    <w:rPr>
      <w:rFonts w:ascii="Calibri" w:eastAsia="Calibri" w:hAnsi="Calibri" w:cs="Times New Roman"/>
      <w:lang w:val="x-none"/>
    </w:rPr>
  </w:style>
  <w:style w:type="character" w:customStyle="1" w:styleId="Ninguno">
    <w:name w:val="Ninguno"/>
    <w:rsid w:val="007D1C78"/>
    <w:rPr>
      <w:lang w:val="en-US"/>
    </w:rPr>
  </w:style>
  <w:style w:type="paragraph" w:customStyle="1" w:styleId="tablelegend">
    <w:name w:val="tablelegend"/>
    <w:basedOn w:val="Normal"/>
    <w:next w:val="Normal"/>
    <w:rsid w:val="007D1C78"/>
    <w:pPr>
      <w:spacing w:before="120"/>
    </w:pPr>
    <w:rPr>
      <w:rFonts w:eastAsia="MS Mincho"/>
      <w:sz w:val="20"/>
      <w:lang w:val="es-ES" w:eastAsia="es-ES"/>
    </w:rPr>
  </w:style>
  <w:style w:type="paragraph" w:customStyle="1" w:styleId="figlegend">
    <w:name w:val="figlegend"/>
    <w:basedOn w:val="Normal"/>
    <w:next w:val="Normal"/>
    <w:rsid w:val="007D1C78"/>
    <w:pPr>
      <w:spacing w:before="120"/>
    </w:pPr>
    <w:rPr>
      <w:rFonts w:eastAsia="MS Mincho"/>
      <w:sz w:val="20"/>
      <w:lang w:val="es-ES"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7D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Alonso</dc:creator>
  <cp:lastModifiedBy>Alonso</cp:lastModifiedBy>
  <cp:revision>2</cp:revision>
  <dcterms:created xsi:type="dcterms:W3CDTF">2020-01-08T01:27:00Z</dcterms:created>
  <dcterms:modified xsi:type="dcterms:W3CDTF">2020-01-08T01:28:00Z</dcterms:modified>
</cp:coreProperties>
</file>