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EBA9B" w14:textId="3ED48162" w:rsidR="00412DC4" w:rsidRDefault="00412DC4" w:rsidP="00412DC4">
      <w:pPr>
        <w:rPr>
          <w:rFonts w:ascii="Calibri" w:hAnsi="Calibri" w:cs="Calibri"/>
        </w:rPr>
      </w:pPr>
      <w:r w:rsidRPr="00B61A14">
        <w:rPr>
          <w:rFonts w:ascii="Calibri" w:hAnsi="Calibri" w:cs="Calibri"/>
          <w:i/>
          <w:iCs/>
        </w:rPr>
        <w:t xml:space="preserve">Sensitivity analysis </w:t>
      </w:r>
      <w:r>
        <w:rPr>
          <w:rFonts w:ascii="Calibri" w:hAnsi="Calibri" w:cs="Calibri"/>
          <w:i/>
          <w:iCs/>
        </w:rPr>
        <w:br/>
      </w:r>
      <w:r>
        <w:rPr>
          <w:rFonts w:ascii="Calibri" w:hAnsi="Calibri" w:cs="Calibri"/>
        </w:rPr>
        <w:t xml:space="preserve">The main analysis was performed without the inclusion of studies rated as poor methodological quality to determine their impact on the pooled effect sizes. Significance was determined by confidence intervals that did not include zero. </w:t>
      </w:r>
      <w:r>
        <w:rPr>
          <w:rFonts w:ascii="Calibri" w:hAnsi="Calibri" w:cs="Calibri"/>
        </w:rPr>
        <w:br/>
      </w:r>
      <w:r>
        <w:rPr>
          <w:rFonts w:ascii="Calibri" w:hAnsi="Calibri" w:cs="Calibri"/>
        </w:rPr>
        <w:br/>
      </w:r>
      <w:r w:rsidRPr="00412DC4">
        <w:rPr>
          <w:rFonts w:ascii="Calibri" w:hAnsi="Calibri" w:cs="Calibri"/>
        </w:rPr>
        <w:t xml:space="preserve">Tobacco </w:t>
      </w:r>
      <w:r w:rsidR="0032347E">
        <w:rPr>
          <w:rFonts w:ascii="Calibri" w:hAnsi="Calibri" w:cs="Calibri"/>
        </w:rPr>
        <w:t>use</w:t>
      </w:r>
      <w:r w:rsidRPr="00412DC4">
        <w:rPr>
          <w:rFonts w:ascii="Calibri" w:hAnsi="Calibri" w:cs="Calibri"/>
        </w:rPr>
        <w:br/>
        <w:t xml:space="preserve">A significant positive correlation coefficient remained, which increased marginally. The degree of heterogeneity reduced (r = .11, 95% CI .06, .17, I² = 70.4%). </w:t>
      </w:r>
      <w:r w:rsidRPr="00412DC4">
        <w:rPr>
          <w:rFonts w:ascii="Calibri" w:hAnsi="Calibri" w:cs="Calibri"/>
        </w:rPr>
        <w:br/>
      </w:r>
      <w:r w:rsidRPr="00412DC4">
        <w:rPr>
          <w:rFonts w:ascii="Calibri" w:hAnsi="Calibri" w:cs="Calibri"/>
        </w:rPr>
        <w:br/>
        <w:t xml:space="preserve">Alcohol </w:t>
      </w:r>
      <w:r w:rsidR="0032347E">
        <w:rPr>
          <w:rFonts w:ascii="Calibri" w:hAnsi="Calibri" w:cs="Calibri"/>
        </w:rPr>
        <w:t>use</w:t>
      </w:r>
      <w:r w:rsidRPr="00412DC4">
        <w:rPr>
          <w:rFonts w:ascii="Calibri" w:hAnsi="Calibri" w:cs="Calibri"/>
        </w:rPr>
        <w:br/>
        <w:t>A positive, slightly larger correlation coefficient was observed that remained statistically significant, and the degree of heterogeneity remained high (</w:t>
      </w:r>
      <w:r w:rsidRPr="00412DC4">
        <w:rPr>
          <w:rFonts w:ascii="Calibri" w:hAnsi="Calibri" w:cs="Calibri"/>
          <w:i/>
          <w:iCs/>
        </w:rPr>
        <w:t>r</w:t>
      </w:r>
      <w:r w:rsidRPr="00412DC4">
        <w:rPr>
          <w:rFonts w:ascii="Calibri" w:hAnsi="Calibri" w:cs="Calibri"/>
        </w:rPr>
        <w:t xml:space="preserve"> = .13, </w:t>
      </w:r>
      <w:r w:rsidRPr="00412DC4">
        <w:rPr>
          <w:rFonts w:ascii="Calibri" w:hAnsi="Calibri" w:cs="Calibri"/>
          <w:i/>
          <w:iCs/>
        </w:rPr>
        <w:t>95% CI</w:t>
      </w:r>
      <w:r w:rsidRPr="00412DC4">
        <w:rPr>
          <w:rFonts w:ascii="Calibri" w:hAnsi="Calibri" w:cs="Calibri"/>
        </w:rPr>
        <w:t xml:space="preserve"> = .08, .17, </w:t>
      </w:r>
      <w:r w:rsidRPr="00412DC4">
        <w:rPr>
          <w:rFonts w:ascii="Calibri" w:hAnsi="Calibri" w:cs="Calibri"/>
          <w:i/>
          <w:iCs/>
        </w:rPr>
        <w:t>I²</w:t>
      </w:r>
      <w:r w:rsidRPr="00412DC4">
        <w:rPr>
          <w:rFonts w:ascii="Calibri" w:hAnsi="Calibri" w:cs="Calibri"/>
        </w:rPr>
        <w:t xml:space="preserve"> = 87.2%). </w:t>
      </w:r>
      <w:r>
        <w:rPr>
          <w:rFonts w:ascii="Calibri" w:hAnsi="Calibri" w:cs="Calibri"/>
        </w:rPr>
        <w:br/>
      </w:r>
      <w:r>
        <w:rPr>
          <w:rFonts w:ascii="Calibri" w:hAnsi="Calibri" w:cs="Calibri"/>
        </w:rPr>
        <w:br/>
      </w:r>
      <w:r w:rsidRPr="00412DC4">
        <w:rPr>
          <w:rFonts w:ascii="Calibri" w:hAnsi="Calibri" w:cs="Calibri"/>
        </w:rPr>
        <w:t xml:space="preserve">Cannabis </w:t>
      </w:r>
      <w:r w:rsidR="0032347E">
        <w:rPr>
          <w:rFonts w:ascii="Calibri" w:hAnsi="Calibri" w:cs="Calibri"/>
        </w:rPr>
        <w:t>use</w:t>
      </w:r>
      <w:r w:rsidRPr="00412DC4">
        <w:rPr>
          <w:rFonts w:ascii="Calibri" w:hAnsi="Calibri" w:cs="Calibri"/>
        </w:rPr>
        <w:br/>
        <w:t>A comparable positive correlation coefficient was observed which remained significant, however the degree of heterogeneity reduced (</w:t>
      </w:r>
      <w:r w:rsidRPr="00412DC4">
        <w:rPr>
          <w:rFonts w:ascii="Calibri" w:hAnsi="Calibri" w:cs="Calibri"/>
          <w:i/>
          <w:iCs/>
        </w:rPr>
        <w:t>r</w:t>
      </w:r>
      <w:r w:rsidRPr="00412DC4">
        <w:rPr>
          <w:rFonts w:ascii="Calibri" w:hAnsi="Calibri" w:cs="Calibri"/>
        </w:rPr>
        <w:t xml:space="preserve"> = .09, </w:t>
      </w:r>
      <w:r w:rsidRPr="00412DC4">
        <w:rPr>
          <w:rFonts w:ascii="Calibri" w:hAnsi="Calibri" w:cs="Calibri"/>
          <w:i/>
          <w:iCs/>
        </w:rPr>
        <w:t>95% CI</w:t>
      </w:r>
      <w:r w:rsidRPr="00412DC4">
        <w:rPr>
          <w:rFonts w:ascii="Calibri" w:hAnsi="Calibri" w:cs="Calibri"/>
        </w:rPr>
        <w:t xml:space="preserve"> = .04, .14, </w:t>
      </w:r>
      <w:r w:rsidRPr="00412DC4">
        <w:rPr>
          <w:rFonts w:ascii="Calibri" w:hAnsi="Calibri" w:cs="Calibri"/>
          <w:i/>
          <w:iCs/>
        </w:rPr>
        <w:t>I²</w:t>
      </w:r>
      <w:r w:rsidRPr="00412DC4">
        <w:rPr>
          <w:rFonts w:ascii="Calibri" w:hAnsi="Calibri" w:cs="Calibri"/>
        </w:rPr>
        <w:t xml:space="preserve"> = 53.4%). </w:t>
      </w:r>
      <w:r w:rsidRPr="00412DC4">
        <w:rPr>
          <w:rFonts w:ascii="Calibri" w:hAnsi="Calibri" w:cs="Calibri"/>
        </w:rPr>
        <w:br/>
      </w:r>
      <w:r w:rsidRPr="00412DC4">
        <w:rPr>
          <w:rFonts w:ascii="Calibri" w:hAnsi="Calibri" w:cs="Calibri"/>
        </w:rPr>
        <w:br/>
        <w:t xml:space="preserve">Illicit substance </w:t>
      </w:r>
      <w:r w:rsidR="0032347E">
        <w:rPr>
          <w:rFonts w:ascii="Calibri" w:hAnsi="Calibri" w:cs="Calibri"/>
        </w:rPr>
        <w:t>use</w:t>
      </w:r>
      <w:r w:rsidRPr="00412DC4">
        <w:rPr>
          <w:rFonts w:ascii="Calibri" w:hAnsi="Calibri" w:cs="Calibri"/>
        </w:rPr>
        <w:br/>
        <w:t>A significant, positive association remained but the coefficient reduced slightly, however heterogeneity reduced markedly (</w:t>
      </w:r>
      <w:r w:rsidRPr="00412DC4">
        <w:rPr>
          <w:rFonts w:ascii="Calibri" w:hAnsi="Calibri" w:cs="Calibri"/>
          <w:i/>
          <w:iCs/>
        </w:rPr>
        <w:t>r</w:t>
      </w:r>
      <w:r w:rsidRPr="00412DC4">
        <w:rPr>
          <w:rFonts w:ascii="Calibri" w:hAnsi="Calibri" w:cs="Calibri"/>
        </w:rPr>
        <w:t xml:space="preserve"> = .17, </w:t>
      </w:r>
      <w:r w:rsidRPr="00412DC4">
        <w:rPr>
          <w:rFonts w:ascii="Calibri" w:hAnsi="Calibri" w:cs="Calibri"/>
          <w:i/>
          <w:iCs/>
        </w:rPr>
        <w:t>95% CI</w:t>
      </w:r>
      <w:r w:rsidRPr="00412DC4">
        <w:rPr>
          <w:rFonts w:ascii="Calibri" w:hAnsi="Calibri" w:cs="Calibri"/>
        </w:rPr>
        <w:t xml:space="preserve"> = .12, .21, </w:t>
      </w:r>
      <w:r w:rsidRPr="00412DC4">
        <w:rPr>
          <w:rFonts w:ascii="Calibri" w:hAnsi="Calibri" w:cs="Calibri"/>
          <w:i/>
          <w:iCs/>
        </w:rPr>
        <w:t>I²</w:t>
      </w:r>
      <w:r w:rsidRPr="00412DC4">
        <w:rPr>
          <w:rFonts w:ascii="Calibri" w:hAnsi="Calibri" w:cs="Calibri"/>
        </w:rPr>
        <w:t xml:space="preserve"> = 46%). </w:t>
      </w:r>
    </w:p>
    <w:p w14:paraId="0CFEC456" w14:textId="7DD0D8FF" w:rsidR="00412DC4" w:rsidRPr="00412DC4" w:rsidRDefault="00412DC4" w:rsidP="00412DC4">
      <w:pPr>
        <w:rPr>
          <w:rFonts w:ascii="Calibri" w:hAnsi="Calibri" w:cs="Calibri"/>
        </w:rPr>
      </w:pPr>
      <w:r>
        <w:rPr>
          <w:rFonts w:ascii="Calibri" w:hAnsi="Calibri" w:cs="Calibri"/>
        </w:rPr>
        <w:br/>
      </w:r>
      <w:r w:rsidRPr="00412DC4">
        <w:rPr>
          <w:rFonts w:ascii="Calibri" w:hAnsi="Calibri" w:cs="Calibri"/>
        </w:rPr>
        <w:t>Binge drinking</w:t>
      </w:r>
      <w:r w:rsidRPr="00412DC4">
        <w:rPr>
          <w:rFonts w:ascii="Calibri" w:hAnsi="Calibri" w:cs="Calibri"/>
        </w:rPr>
        <w:br/>
        <w:t xml:space="preserve">A significant, positive association remained, and the correlation coefficient was unchanged, but heterogeneity decreased (r = .09, 95% CI = .06, .11, I² = 21.5%). </w:t>
      </w:r>
      <w:r>
        <w:rPr>
          <w:rFonts w:ascii="Calibri" w:hAnsi="Calibri" w:cs="Calibri"/>
        </w:rPr>
        <w:br/>
      </w:r>
      <w:r>
        <w:rPr>
          <w:rFonts w:ascii="Calibri" w:hAnsi="Calibri" w:cs="Calibri"/>
        </w:rPr>
        <w:br/>
      </w:r>
      <w:r w:rsidRPr="00412DC4">
        <w:rPr>
          <w:rFonts w:ascii="Calibri" w:hAnsi="Calibri" w:cs="Calibri"/>
        </w:rPr>
        <w:t>At-risk/hazardous alcohol use</w:t>
      </w:r>
      <w:r w:rsidRPr="00412DC4">
        <w:rPr>
          <w:rFonts w:ascii="Calibri" w:hAnsi="Calibri" w:cs="Calibri"/>
        </w:rPr>
        <w:br/>
        <w:t>A significant positive correlation remained, and the coefficient was largely unchanged. Likewise, heterogeneity was still considerable (r = .25, 95% CI = .15, .34, I² = 96.4%).</w:t>
      </w:r>
      <w:r>
        <w:rPr>
          <w:rFonts w:ascii="Calibri" w:hAnsi="Calibri" w:cs="Calibri"/>
        </w:rPr>
        <w:br/>
      </w:r>
      <w:r>
        <w:rPr>
          <w:rFonts w:ascii="Calibri" w:hAnsi="Calibri" w:cs="Calibri"/>
        </w:rPr>
        <w:br/>
      </w:r>
      <w:r w:rsidRPr="00412DC4">
        <w:rPr>
          <w:rFonts w:ascii="Calibri" w:hAnsi="Calibri" w:cs="Calibri"/>
        </w:rPr>
        <w:t>Alcohol use problems/consequences</w:t>
      </w:r>
      <w:r w:rsidRPr="00412DC4">
        <w:rPr>
          <w:rFonts w:ascii="Calibri" w:hAnsi="Calibri" w:cs="Calibri"/>
        </w:rPr>
        <w:br/>
        <w:t xml:space="preserve">A significant, positive correlation remained, with a slightly reduced coefficient. However, the degree of heterogeneity reduced substantially </w:t>
      </w:r>
      <w:r w:rsidRPr="00412DC4">
        <w:rPr>
          <w:rFonts w:ascii="Calibri" w:hAnsi="Calibri" w:cs="Calibri"/>
          <w:i/>
          <w:iCs/>
        </w:rPr>
        <w:t>(r</w:t>
      </w:r>
      <w:r w:rsidRPr="00412DC4">
        <w:rPr>
          <w:rFonts w:ascii="Calibri" w:hAnsi="Calibri" w:cs="Calibri"/>
        </w:rPr>
        <w:t xml:space="preserve"> = .18, </w:t>
      </w:r>
      <w:r w:rsidRPr="00412DC4">
        <w:rPr>
          <w:rFonts w:ascii="Calibri" w:hAnsi="Calibri" w:cs="Calibri"/>
          <w:i/>
          <w:iCs/>
        </w:rPr>
        <w:t>95% CI</w:t>
      </w:r>
      <w:r w:rsidRPr="00412DC4">
        <w:rPr>
          <w:rFonts w:ascii="Calibri" w:hAnsi="Calibri" w:cs="Calibri"/>
        </w:rPr>
        <w:t xml:space="preserve"> =.14, .22</w:t>
      </w:r>
      <w:r w:rsidRPr="00412DC4">
        <w:rPr>
          <w:rFonts w:ascii="Calibri" w:hAnsi="Calibri" w:cs="Calibri"/>
          <w:i/>
          <w:iCs/>
        </w:rPr>
        <w:t>, I²</w:t>
      </w:r>
      <w:r w:rsidRPr="00412DC4">
        <w:rPr>
          <w:rFonts w:ascii="Calibri" w:hAnsi="Calibri" w:cs="Calibri"/>
        </w:rPr>
        <w:t xml:space="preserve"> = 54.1%). </w:t>
      </w:r>
      <w:r>
        <w:rPr>
          <w:rFonts w:ascii="Calibri" w:hAnsi="Calibri" w:cs="Calibri"/>
        </w:rPr>
        <w:br/>
      </w:r>
      <w:r>
        <w:rPr>
          <w:rFonts w:ascii="Calibri" w:hAnsi="Calibri" w:cs="Calibri"/>
        </w:rPr>
        <w:br/>
      </w:r>
      <w:r w:rsidRPr="00412DC4">
        <w:rPr>
          <w:rFonts w:ascii="Calibri" w:hAnsi="Calibri" w:cs="Calibri"/>
        </w:rPr>
        <w:t>Substance use problems/consequences</w:t>
      </w:r>
      <w:r w:rsidRPr="00412DC4">
        <w:rPr>
          <w:rFonts w:ascii="Calibri" w:hAnsi="Calibri" w:cs="Calibri"/>
        </w:rPr>
        <w:br/>
        <w:t>Sensitivity analysis was not possible for this outcome as all the included studies were rated as fair.</w:t>
      </w:r>
      <w:r>
        <w:rPr>
          <w:rFonts w:ascii="Calibri" w:hAnsi="Calibri" w:cs="Calibri"/>
        </w:rPr>
        <w:br/>
      </w:r>
      <w:r>
        <w:rPr>
          <w:rFonts w:ascii="Calibri" w:hAnsi="Calibri" w:cs="Calibri"/>
        </w:rPr>
        <w:br/>
      </w:r>
      <w:r w:rsidRPr="00412DC4">
        <w:rPr>
          <w:rFonts w:ascii="Calibri" w:hAnsi="Calibri" w:cs="Calibri"/>
        </w:rPr>
        <w:t>Alcohol use disorder</w:t>
      </w:r>
      <w:r w:rsidRPr="00412DC4">
        <w:rPr>
          <w:rFonts w:ascii="Calibri" w:hAnsi="Calibri" w:cs="Calibri"/>
        </w:rPr>
        <w:br/>
        <w:t xml:space="preserve"> A significant positive correlation remained, and the coefficient was unchanged. Likewise, heterogeneity remained high (</w:t>
      </w:r>
      <w:r w:rsidRPr="00412DC4">
        <w:rPr>
          <w:rFonts w:ascii="Calibri" w:hAnsi="Calibri" w:cs="Calibri"/>
          <w:i/>
          <w:iCs/>
        </w:rPr>
        <w:t>r</w:t>
      </w:r>
      <w:r w:rsidRPr="00412DC4">
        <w:rPr>
          <w:rFonts w:ascii="Calibri" w:hAnsi="Calibri" w:cs="Calibri"/>
        </w:rPr>
        <w:t xml:space="preserve"> = .19, </w:t>
      </w:r>
      <w:r w:rsidRPr="00412DC4">
        <w:rPr>
          <w:rFonts w:ascii="Calibri" w:hAnsi="Calibri" w:cs="Calibri"/>
          <w:i/>
          <w:iCs/>
        </w:rPr>
        <w:t>95% CI</w:t>
      </w:r>
      <w:r w:rsidRPr="00412DC4">
        <w:rPr>
          <w:rFonts w:ascii="Calibri" w:hAnsi="Calibri" w:cs="Calibri"/>
        </w:rPr>
        <w:t xml:space="preserve"> = .11, .26, </w:t>
      </w:r>
      <w:r w:rsidRPr="00412DC4">
        <w:rPr>
          <w:rFonts w:ascii="Calibri" w:hAnsi="Calibri" w:cs="Calibri"/>
          <w:i/>
          <w:iCs/>
        </w:rPr>
        <w:t>I²</w:t>
      </w:r>
      <w:r w:rsidRPr="00412DC4">
        <w:rPr>
          <w:rFonts w:ascii="Calibri" w:hAnsi="Calibri" w:cs="Calibri"/>
        </w:rPr>
        <w:t xml:space="preserve"> = 94.9%). </w:t>
      </w:r>
      <w:r>
        <w:rPr>
          <w:rFonts w:ascii="Calibri" w:hAnsi="Calibri" w:cs="Calibri"/>
        </w:rPr>
        <w:br/>
      </w:r>
      <w:r>
        <w:rPr>
          <w:rFonts w:ascii="Calibri" w:hAnsi="Calibri" w:cs="Calibri"/>
        </w:rPr>
        <w:br/>
      </w:r>
      <w:r w:rsidRPr="00412DC4">
        <w:rPr>
          <w:rFonts w:ascii="Calibri" w:hAnsi="Calibri" w:cs="Calibri"/>
        </w:rPr>
        <w:t>Substance use disorder</w:t>
      </w:r>
      <w:r w:rsidRPr="00412DC4">
        <w:rPr>
          <w:rFonts w:ascii="Calibri" w:hAnsi="Calibri" w:cs="Calibri"/>
        </w:rPr>
        <w:br/>
        <w:t>A significant positive association remained, and the correlation coefficient was unchanged (</w:t>
      </w:r>
      <w:r w:rsidRPr="00412DC4">
        <w:rPr>
          <w:rFonts w:ascii="Calibri" w:hAnsi="Calibri" w:cs="Calibri"/>
          <w:i/>
          <w:iCs/>
        </w:rPr>
        <w:t>r</w:t>
      </w:r>
      <w:r w:rsidRPr="00412DC4">
        <w:rPr>
          <w:rFonts w:ascii="Calibri" w:hAnsi="Calibri" w:cs="Calibri"/>
        </w:rPr>
        <w:t xml:space="preserve"> = .25, </w:t>
      </w:r>
      <w:r w:rsidRPr="00412DC4">
        <w:rPr>
          <w:rFonts w:ascii="Calibri" w:hAnsi="Calibri" w:cs="Calibri"/>
          <w:i/>
          <w:iCs/>
        </w:rPr>
        <w:t>95% CI</w:t>
      </w:r>
      <w:r w:rsidRPr="00412DC4">
        <w:rPr>
          <w:rFonts w:ascii="Calibri" w:hAnsi="Calibri" w:cs="Calibri"/>
        </w:rPr>
        <w:t xml:space="preserve"> = .12, .39, </w:t>
      </w:r>
      <w:r w:rsidRPr="00412DC4">
        <w:rPr>
          <w:rFonts w:ascii="Calibri" w:hAnsi="Calibri" w:cs="Calibri"/>
          <w:i/>
          <w:iCs/>
        </w:rPr>
        <w:t>p</w:t>
      </w:r>
      <w:r w:rsidRPr="00412DC4">
        <w:rPr>
          <w:rFonts w:ascii="Calibri" w:hAnsi="Calibri" w:cs="Calibri"/>
        </w:rPr>
        <w:t xml:space="preserve"> &lt;.001). Moreover, the degree of heterogeneity also remained comparable (</w:t>
      </w:r>
      <w:r w:rsidRPr="00412DC4">
        <w:rPr>
          <w:rFonts w:ascii="Calibri" w:hAnsi="Calibri" w:cs="Calibri"/>
          <w:i/>
          <w:iCs/>
        </w:rPr>
        <w:t>Q</w:t>
      </w:r>
      <w:r w:rsidRPr="00412DC4">
        <w:rPr>
          <w:rFonts w:ascii="Calibri" w:hAnsi="Calibri" w:cs="Calibri"/>
        </w:rPr>
        <w:t xml:space="preserve"> = 215.04, </w:t>
      </w:r>
      <w:r w:rsidRPr="00412DC4">
        <w:rPr>
          <w:rFonts w:ascii="Calibri" w:hAnsi="Calibri" w:cs="Calibri"/>
          <w:i/>
          <w:iCs/>
        </w:rPr>
        <w:t>p</w:t>
      </w:r>
      <w:r w:rsidRPr="00412DC4">
        <w:rPr>
          <w:rFonts w:ascii="Calibri" w:hAnsi="Calibri" w:cs="Calibri"/>
        </w:rPr>
        <w:t xml:space="preserve"> &lt;.001, </w:t>
      </w:r>
      <w:r w:rsidRPr="00412DC4">
        <w:rPr>
          <w:rFonts w:ascii="Calibri" w:hAnsi="Calibri" w:cs="Calibri"/>
          <w:i/>
          <w:iCs/>
        </w:rPr>
        <w:t>I²</w:t>
      </w:r>
      <w:r w:rsidRPr="00412DC4">
        <w:rPr>
          <w:rFonts w:ascii="Calibri" w:hAnsi="Calibri" w:cs="Calibri"/>
        </w:rPr>
        <w:t xml:space="preserve"> = 98.1%). </w:t>
      </w:r>
    </w:p>
    <w:p w14:paraId="24BED968" w14:textId="77777777" w:rsidR="00412DC4" w:rsidRPr="00412DC4" w:rsidRDefault="00412DC4" w:rsidP="00412DC4">
      <w:pPr>
        <w:rPr>
          <w:rFonts w:ascii="Calibri" w:hAnsi="Calibri" w:cs="Calibri"/>
        </w:rPr>
      </w:pPr>
      <w:r w:rsidRPr="00412DC4">
        <w:rPr>
          <w:rFonts w:ascii="Calibri" w:hAnsi="Calibri" w:cs="Calibri"/>
        </w:rPr>
        <w:br/>
        <w:t>Composite substance use</w:t>
      </w:r>
      <w:r w:rsidRPr="00412DC4">
        <w:rPr>
          <w:rFonts w:ascii="Calibri" w:hAnsi="Calibri" w:cs="Calibri"/>
        </w:rPr>
        <w:br/>
        <w:t xml:space="preserve">A significant positive association remained, and the correlation coefficient increased marginally, and </w:t>
      </w:r>
      <w:r w:rsidRPr="00412DC4">
        <w:rPr>
          <w:rFonts w:ascii="Calibri" w:hAnsi="Calibri" w:cs="Calibri"/>
        </w:rPr>
        <w:lastRenderedPageBreak/>
        <w:t>heterogeneity remained high (</w:t>
      </w:r>
      <w:r w:rsidRPr="00412DC4">
        <w:rPr>
          <w:rFonts w:ascii="Calibri" w:hAnsi="Calibri" w:cs="Calibri"/>
          <w:i/>
          <w:iCs/>
        </w:rPr>
        <w:t>r</w:t>
      </w:r>
      <w:r w:rsidRPr="00412DC4">
        <w:rPr>
          <w:rFonts w:ascii="Calibri" w:hAnsi="Calibri" w:cs="Calibri"/>
        </w:rPr>
        <w:t xml:space="preserve"> = .20, </w:t>
      </w:r>
      <w:r w:rsidRPr="00412DC4">
        <w:rPr>
          <w:rFonts w:ascii="Calibri" w:hAnsi="Calibri" w:cs="Calibri"/>
          <w:i/>
          <w:iCs/>
        </w:rPr>
        <w:t>95% CI</w:t>
      </w:r>
      <w:r w:rsidRPr="00412DC4">
        <w:rPr>
          <w:rFonts w:ascii="Calibri" w:hAnsi="Calibri" w:cs="Calibri"/>
        </w:rPr>
        <w:t xml:space="preserve"> = .12, .28, </w:t>
      </w:r>
      <w:r w:rsidRPr="00412DC4">
        <w:rPr>
          <w:rFonts w:ascii="Calibri" w:hAnsi="Calibri" w:cs="Calibri"/>
          <w:i/>
          <w:iCs/>
        </w:rPr>
        <w:t>I²</w:t>
      </w:r>
      <w:r w:rsidRPr="00412DC4">
        <w:rPr>
          <w:rFonts w:ascii="Calibri" w:hAnsi="Calibri" w:cs="Calibri"/>
        </w:rPr>
        <w:t xml:space="preserve"> = 86.3%). </w:t>
      </w:r>
      <w:r>
        <w:rPr>
          <w:rFonts w:ascii="Calibri" w:hAnsi="Calibri" w:cs="Calibri"/>
        </w:rPr>
        <w:br/>
      </w:r>
      <w:r>
        <w:rPr>
          <w:rFonts w:ascii="Calibri" w:hAnsi="Calibri" w:cs="Calibri"/>
        </w:rPr>
        <w:br/>
      </w:r>
      <w:r w:rsidRPr="00412DC4">
        <w:rPr>
          <w:rFonts w:ascii="Calibri" w:hAnsi="Calibri" w:cs="Calibri"/>
        </w:rPr>
        <w:t>Smoking status</w:t>
      </w:r>
      <w:r w:rsidRPr="00412DC4">
        <w:rPr>
          <w:rFonts w:ascii="Calibri" w:hAnsi="Calibri" w:cs="Calibri"/>
        </w:rPr>
        <w:br/>
        <w:t>A significant positive association remained; however, the coefficient had reduced. Likewise, the degree of heterogeneity dropped into the low to moderate range (r =.09, 95% CI = .03, .16, I² = 49.1%).</w:t>
      </w:r>
      <w:r>
        <w:rPr>
          <w:rFonts w:ascii="Calibri" w:hAnsi="Calibri" w:cs="Calibri"/>
        </w:rPr>
        <w:t xml:space="preserve"> </w:t>
      </w:r>
      <w:r>
        <w:rPr>
          <w:rFonts w:ascii="Calibri" w:hAnsi="Calibri" w:cs="Calibri"/>
        </w:rPr>
        <w:br/>
      </w:r>
      <w:r>
        <w:rPr>
          <w:rFonts w:ascii="Calibri" w:hAnsi="Calibri" w:cs="Calibri"/>
        </w:rPr>
        <w:br/>
      </w:r>
      <w:r w:rsidRPr="00412DC4">
        <w:rPr>
          <w:rFonts w:ascii="Calibri" w:hAnsi="Calibri" w:cs="Calibri"/>
        </w:rPr>
        <w:t>Presence – absence of alcohol use</w:t>
      </w:r>
      <w:r w:rsidRPr="00412DC4">
        <w:rPr>
          <w:rFonts w:ascii="Calibri" w:hAnsi="Calibri" w:cs="Calibri"/>
        </w:rPr>
        <w:br/>
        <w:t>A comparable, significant positive correlation remained. The degree of heterogeneity was largely unchanged (r = .17, 95% CI = .07, .27, I² = 74.1%).</w:t>
      </w:r>
      <w:r>
        <w:rPr>
          <w:rFonts w:ascii="Calibri" w:hAnsi="Calibri" w:cs="Calibri"/>
        </w:rPr>
        <w:t xml:space="preserve"> </w:t>
      </w:r>
      <w:r>
        <w:rPr>
          <w:rFonts w:ascii="Calibri" w:hAnsi="Calibri" w:cs="Calibri"/>
        </w:rPr>
        <w:br/>
      </w:r>
      <w:r w:rsidRPr="00412DC4">
        <w:rPr>
          <w:rFonts w:ascii="Calibri" w:hAnsi="Calibri" w:cs="Calibri"/>
        </w:rPr>
        <w:br/>
        <w:t>Presence – absence of tobacco use</w:t>
      </w:r>
      <w:r w:rsidRPr="00412DC4">
        <w:rPr>
          <w:rFonts w:ascii="Calibri" w:hAnsi="Calibri" w:cs="Calibri"/>
        </w:rPr>
        <w:br/>
        <w:t>A comparable positive correlation coefficient was identified; however, the association was no longer significant.  The degree of heterogeneity continued to be considerable (</w:t>
      </w:r>
      <w:r w:rsidRPr="00412DC4">
        <w:rPr>
          <w:rFonts w:ascii="Calibri" w:hAnsi="Calibri" w:cs="Calibri"/>
          <w:i/>
          <w:iCs/>
        </w:rPr>
        <w:t>r</w:t>
      </w:r>
      <w:r w:rsidRPr="00412DC4">
        <w:rPr>
          <w:rFonts w:ascii="Calibri" w:hAnsi="Calibri" w:cs="Calibri"/>
        </w:rPr>
        <w:t xml:space="preserve"> = .20, </w:t>
      </w:r>
      <w:r w:rsidRPr="00412DC4">
        <w:rPr>
          <w:rFonts w:ascii="Calibri" w:hAnsi="Calibri" w:cs="Calibri"/>
          <w:i/>
          <w:iCs/>
        </w:rPr>
        <w:t>95% CI</w:t>
      </w:r>
      <w:r w:rsidRPr="00412DC4">
        <w:rPr>
          <w:rFonts w:ascii="Calibri" w:hAnsi="Calibri" w:cs="Calibri"/>
        </w:rPr>
        <w:t xml:space="preserve"> = -.14, .55, </w:t>
      </w:r>
      <w:r w:rsidRPr="00412DC4">
        <w:rPr>
          <w:rFonts w:ascii="Calibri" w:hAnsi="Calibri" w:cs="Calibri"/>
          <w:i/>
          <w:iCs/>
        </w:rPr>
        <w:t>I²</w:t>
      </w:r>
      <w:r w:rsidRPr="00412DC4">
        <w:rPr>
          <w:rFonts w:ascii="Calibri" w:hAnsi="Calibri" w:cs="Calibri"/>
        </w:rPr>
        <w:t xml:space="preserve"> = 98.3%). </w:t>
      </w:r>
      <w:r w:rsidRPr="00615849">
        <w:rPr>
          <w:rFonts w:ascii="Calibri" w:hAnsi="Calibri" w:cs="Calibri"/>
          <w:color w:val="215E99" w:themeColor="text2" w:themeTint="BF"/>
        </w:rPr>
        <w:br/>
      </w:r>
      <w:r>
        <w:rPr>
          <w:rFonts w:ascii="Calibri" w:hAnsi="Calibri" w:cs="Calibri"/>
        </w:rPr>
        <w:br/>
      </w:r>
      <w:r w:rsidRPr="00412DC4">
        <w:rPr>
          <w:rFonts w:ascii="Calibri" w:hAnsi="Calibri" w:cs="Calibri"/>
        </w:rPr>
        <w:t xml:space="preserve">Presence – absence of cannabis use </w:t>
      </w:r>
      <w:r w:rsidRPr="00412DC4">
        <w:rPr>
          <w:rFonts w:ascii="Calibri" w:hAnsi="Calibri" w:cs="Calibri"/>
        </w:rPr>
        <w:br/>
        <w:t>A significant, positive correlation remained but reduced in magnitude. The degree of heterogeneity also decreased (</w:t>
      </w:r>
      <w:r w:rsidRPr="00412DC4">
        <w:rPr>
          <w:rFonts w:ascii="Calibri" w:hAnsi="Calibri" w:cs="Calibri"/>
          <w:i/>
          <w:iCs/>
        </w:rPr>
        <w:t>r</w:t>
      </w:r>
      <w:r w:rsidRPr="00412DC4">
        <w:rPr>
          <w:rFonts w:ascii="Calibri" w:hAnsi="Calibri" w:cs="Calibri"/>
        </w:rPr>
        <w:t xml:space="preserve"> = .09, </w:t>
      </w:r>
      <w:r w:rsidRPr="00412DC4">
        <w:rPr>
          <w:rFonts w:ascii="Calibri" w:hAnsi="Calibri" w:cs="Calibri"/>
          <w:i/>
          <w:iCs/>
        </w:rPr>
        <w:t>95% CI</w:t>
      </w:r>
      <w:r w:rsidRPr="00412DC4">
        <w:rPr>
          <w:rFonts w:ascii="Calibri" w:hAnsi="Calibri" w:cs="Calibri"/>
        </w:rPr>
        <w:t xml:space="preserve"> = .02, .15, </w:t>
      </w:r>
      <w:r w:rsidRPr="00412DC4">
        <w:rPr>
          <w:rFonts w:ascii="Calibri" w:hAnsi="Calibri" w:cs="Calibri"/>
          <w:i/>
          <w:iCs/>
        </w:rPr>
        <w:t>I²</w:t>
      </w:r>
      <w:r w:rsidRPr="00412DC4">
        <w:rPr>
          <w:rFonts w:ascii="Calibri" w:hAnsi="Calibri" w:cs="Calibri"/>
        </w:rPr>
        <w:t xml:space="preserve"> = 22.8%). </w:t>
      </w:r>
      <w:r w:rsidRPr="00412DC4">
        <w:rPr>
          <w:rFonts w:ascii="Calibri" w:hAnsi="Calibri" w:cs="Calibri"/>
        </w:rPr>
        <w:br/>
      </w:r>
      <w:r w:rsidRPr="00412DC4">
        <w:rPr>
          <w:rFonts w:ascii="Calibri" w:hAnsi="Calibri" w:cs="Calibri"/>
        </w:rPr>
        <w:br/>
        <w:t>Cannabis use problems/consequences</w:t>
      </w:r>
      <w:r w:rsidRPr="00412DC4">
        <w:rPr>
          <w:rFonts w:ascii="Calibri" w:hAnsi="Calibri" w:cs="Calibri"/>
        </w:rPr>
        <w:br/>
        <w:t>Sensitivity analysis was not possible for this outcome as all the included studies were rated as fair.</w:t>
      </w:r>
      <w:r w:rsidRPr="00412DC4" w:rsidDel="00710AC2">
        <w:rPr>
          <w:rFonts w:ascii="Calibri" w:hAnsi="Calibri" w:cs="Calibri"/>
        </w:rPr>
        <w:t xml:space="preserve"> </w:t>
      </w:r>
      <w:r w:rsidRPr="00412DC4">
        <w:rPr>
          <w:rFonts w:ascii="Calibri" w:hAnsi="Calibri" w:cs="Calibri"/>
        </w:rPr>
        <w:br/>
      </w:r>
    </w:p>
    <w:p w14:paraId="48A72D2B" w14:textId="77777777" w:rsidR="00412DC4" w:rsidRPr="00412DC4" w:rsidRDefault="00412DC4" w:rsidP="00412DC4">
      <w:pPr>
        <w:rPr>
          <w:rFonts w:ascii="Calibri" w:hAnsi="Calibri" w:cs="Calibri"/>
        </w:rPr>
      </w:pPr>
      <w:r w:rsidRPr="00412DC4">
        <w:rPr>
          <w:rFonts w:ascii="Calibri" w:hAnsi="Calibri" w:cs="Calibri"/>
        </w:rPr>
        <w:t>At-risk/hazardous cannabis use</w:t>
      </w:r>
      <w:r w:rsidRPr="00412DC4">
        <w:rPr>
          <w:rFonts w:ascii="Calibri" w:hAnsi="Calibri" w:cs="Calibri"/>
        </w:rPr>
        <w:br/>
        <w:t>Sensitivity analysis was not possible for this outcome as all the included studies were rated as fair.</w:t>
      </w:r>
    </w:p>
    <w:p w14:paraId="507CA1E9" w14:textId="77777777" w:rsidR="00412DC4" w:rsidRDefault="00412DC4" w:rsidP="00412DC4">
      <w:pPr>
        <w:rPr>
          <w:rFonts w:ascii="Calibri" w:hAnsi="Calibri" w:cs="Calibri"/>
        </w:rPr>
      </w:pPr>
    </w:p>
    <w:p w14:paraId="1ADFA10B" w14:textId="3D7C4878" w:rsidR="007079F7" w:rsidRPr="00F65290" w:rsidRDefault="007079F7" w:rsidP="00412DC4">
      <w:pPr>
        <w:rPr>
          <w:rFonts w:ascii="Calibri" w:hAnsi="Calibri" w:cs="Calibri"/>
          <w:color w:val="000000" w:themeColor="text1"/>
        </w:rPr>
      </w:pPr>
      <w:r w:rsidRPr="00F65290">
        <w:rPr>
          <w:rFonts w:ascii="Calibri" w:hAnsi="Calibri" w:cs="Calibri"/>
          <w:color w:val="000000" w:themeColor="text1"/>
        </w:rPr>
        <w:t xml:space="preserve">Publication bias </w:t>
      </w:r>
      <w:r w:rsidRPr="00F65290">
        <w:rPr>
          <w:rFonts w:ascii="Calibri" w:hAnsi="Calibri" w:cs="Calibri"/>
          <w:color w:val="000000" w:themeColor="text1"/>
        </w:rPr>
        <w:br/>
      </w:r>
      <w:r w:rsidR="00325F23" w:rsidRPr="00F65290">
        <w:rPr>
          <w:rFonts w:ascii="Calibri" w:hAnsi="Calibri" w:cs="Calibri"/>
          <w:color w:val="000000" w:themeColor="text1"/>
        </w:rPr>
        <w:t xml:space="preserve"> </w:t>
      </w:r>
      <w:r w:rsidR="00F65290">
        <w:rPr>
          <w:rFonts w:ascii="Calibri" w:hAnsi="Calibri" w:cs="Calibri"/>
          <w:color w:val="000000" w:themeColor="text1"/>
        </w:rPr>
        <w:t>I</w:t>
      </w:r>
      <w:r w:rsidR="00325F23" w:rsidRPr="00F65290">
        <w:rPr>
          <w:rFonts w:ascii="Calibri" w:hAnsi="Calibri" w:cs="Calibri"/>
          <w:color w:val="000000" w:themeColor="text1"/>
        </w:rPr>
        <w:t xml:space="preserve">n correspondence with the sensitivity analyses, a </w:t>
      </w:r>
      <w:r w:rsidR="00F65290">
        <w:rPr>
          <w:rFonts w:ascii="Calibri" w:hAnsi="Calibri" w:cs="Calibri"/>
          <w:color w:val="000000" w:themeColor="text1"/>
        </w:rPr>
        <w:t>reassessment</w:t>
      </w:r>
      <w:r w:rsidR="00325F23" w:rsidRPr="00F65290">
        <w:rPr>
          <w:rFonts w:ascii="Calibri" w:hAnsi="Calibri" w:cs="Calibri"/>
          <w:color w:val="000000" w:themeColor="text1"/>
        </w:rPr>
        <w:t xml:space="preserve"> of publication bias on fair and good rated studies only was performed on outcomes where minor or major plot asymmetry was detected. In the binge drinking outcome, the Eggers test remained non-significant (p = 0.24), but the funnel plot </w:t>
      </w:r>
      <w:r w:rsidR="00F65290">
        <w:rPr>
          <w:rFonts w:ascii="Calibri" w:hAnsi="Calibri" w:cs="Calibri"/>
          <w:color w:val="000000" w:themeColor="text1"/>
        </w:rPr>
        <w:t>became</w:t>
      </w:r>
      <w:r w:rsidR="00325F23" w:rsidRPr="00F65290">
        <w:rPr>
          <w:rFonts w:ascii="Calibri" w:hAnsi="Calibri" w:cs="Calibri"/>
          <w:color w:val="000000" w:themeColor="text1"/>
        </w:rPr>
        <w:t xml:space="preserve"> more asymmetric. Moreover, the </w:t>
      </w:r>
      <w:proofErr w:type="spellStart"/>
      <w:r w:rsidR="00325F23" w:rsidRPr="00F65290">
        <w:rPr>
          <w:rFonts w:ascii="Calibri" w:hAnsi="Calibri" w:cs="Calibri"/>
          <w:color w:val="000000" w:themeColor="text1"/>
        </w:rPr>
        <w:t>doiplot</w:t>
      </w:r>
      <w:proofErr w:type="spellEnd"/>
      <w:r w:rsidR="00325F23" w:rsidRPr="00F65290">
        <w:rPr>
          <w:rFonts w:ascii="Calibri" w:hAnsi="Calibri" w:cs="Calibri"/>
          <w:color w:val="000000" w:themeColor="text1"/>
        </w:rPr>
        <w:t xml:space="preserve"> and LFK index indicated major plot asymmetry (LFK = -2.33). For the composite substance use outcome, </w:t>
      </w:r>
      <w:proofErr w:type="gramStart"/>
      <w:r w:rsidR="00325F23" w:rsidRPr="00F65290">
        <w:rPr>
          <w:rFonts w:ascii="Calibri" w:hAnsi="Calibri" w:cs="Calibri"/>
          <w:color w:val="000000" w:themeColor="text1"/>
        </w:rPr>
        <w:t>Eggers</w:t>
      </w:r>
      <w:proofErr w:type="gramEnd"/>
      <w:r w:rsidR="00325F23" w:rsidRPr="00F65290">
        <w:rPr>
          <w:rFonts w:ascii="Calibri" w:hAnsi="Calibri" w:cs="Calibri"/>
          <w:color w:val="000000" w:themeColor="text1"/>
        </w:rPr>
        <w:t xml:space="preserve"> test on fair/good studies was not possible due </w:t>
      </w:r>
      <w:r w:rsidR="00F65290">
        <w:rPr>
          <w:rFonts w:ascii="Calibri" w:hAnsi="Calibri" w:cs="Calibri"/>
          <w:color w:val="000000" w:themeColor="text1"/>
        </w:rPr>
        <w:t xml:space="preserve">to </w:t>
      </w:r>
      <w:r w:rsidR="00325F23" w:rsidRPr="00F65290">
        <w:rPr>
          <w:rFonts w:ascii="Calibri" w:hAnsi="Calibri" w:cs="Calibri"/>
          <w:color w:val="000000" w:themeColor="text1"/>
        </w:rPr>
        <w:t>too few studies</w:t>
      </w:r>
      <w:r w:rsidR="00F65290">
        <w:rPr>
          <w:rFonts w:ascii="Calibri" w:hAnsi="Calibri" w:cs="Calibri"/>
          <w:color w:val="000000" w:themeColor="text1"/>
        </w:rPr>
        <w:t>,</w:t>
      </w:r>
      <w:r w:rsidR="00325F23" w:rsidRPr="00F65290">
        <w:rPr>
          <w:rFonts w:ascii="Calibri" w:hAnsi="Calibri" w:cs="Calibri"/>
          <w:color w:val="000000" w:themeColor="text1"/>
        </w:rPr>
        <w:t xml:space="preserve"> and funnel plots remained largely unchanged</w:t>
      </w:r>
      <w:r w:rsidR="00F65290">
        <w:rPr>
          <w:rFonts w:ascii="Calibri" w:hAnsi="Calibri" w:cs="Calibri"/>
          <w:color w:val="000000" w:themeColor="text1"/>
        </w:rPr>
        <w:t>,</w:t>
      </w:r>
      <w:r w:rsidR="00325F23" w:rsidRPr="00F65290">
        <w:rPr>
          <w:rFonts w:ascii="Calibri" w:hAnsi="Calibri" w:cs="Calibri"/>
          <w:color w:val="000000" w:themeColor="text1"/>
        </w:rPr>
        <w:t xml:space="preserve"> but </w:t>
      </w:r>
      <w:proofErr w:type="spellStart"/>
      <w:r w:rsidR="00325F23" w:rsidRPr="00F65290">
        <w:rPr>
          <w:rFonts w:ascii="Calibri" w:hAnsi="Calibri" w:cs="Calibri"/>
          <w:color w:val="000000" w:themeColor="text1"/>
        </w:rPr>
        <w:t>doiplots</w:t>
      </w:r>
      <w:proofErr w:type="spellEnd"/>
      <w:r w:rsidR="00325F23" w:rsidRPr="00F65290">
        <w:rPr>
          <w:rFonts w:ascii="Calibri" w:hAnsi="Calibri" w:cs="Calibri"/>
          <w:color w:val="000000" w:themeColor="text1"/>
        </w:rPr>
        <w:t xml:space="preserve"> and LFK index suggested major plot asymmetry (LFK = 2.67). In the at-risk/hazardous alcohol use outcome, the Eggers test remained significant (p = 0.01), funnel plots indicated minor asymmetry</w:t>
      </w:r>
      <w:r w:rsidR="00F65290">
        <w:rPr>
          <w:rFonts w:ascii="Calibri" w:hAnsi="Calibri" w:cs="Calibri"/>
          <w:color w:val="000000" w:themeColor="text1"/>
        </w:rPr>
        <w:t>,</w:t>
      </w:r>
      <w:r w:rsidR="00325F23" w:rsidRPr="00F65290">
        <w:rPr>
          <w:rFonts w:ascii="Calibri" w:hAnsi="Calibri" w:cs="Calibri"/>
          <w:color w:val="000000" w:themeColor="text1"/>
        </w:rPr>
        <w:t xml:space="preserve"> and </w:t>
      </w:r>
      <w:proofErr w:type="spellStart"/>
      <w:r w:rsidR="00325F23" w:rsidRPr="00F65290">
        <w:rPr>
          <w:rFonts w:ascii="Calibri" w:hAnsi="Calibri" w:cs="Calibri"/>
          <w:color w:val="000000" w:themeColor="text1"/>
        </w:rPr>
        <w:t>doiplots</w:t>
      </w:r>
      <w:proofErr w:type="spellEnd"/>
      <w:r w:rsidR="00325F23" w:rsidRPr="00F65290">
        <w:rPr>
          <w:rFonts w:ascii="Calibri" w:hAnsi="Calibri" w:cs="Calibri"/>
          <w:color w:val="000000" w:themeColor="text1"/>
        </w:rPr>
        <w:t xml:space="preserve"> and LFK index suggested major plot asymmetry (LFK = -2.83). In the alcohol use disorder and substance use disorder outcomes, </w:t>
      </w:r>
      <w:proofErr w:type="spellStart"/>
      <w:r w:rsidR="00325F23" w:rsidRPr="00F65290">
        <w:rPr>
          <w:rFonts w:ascii="Calibri" w:hAnsi="Calibri" w:cs="Calibri"/>
          <w:color w:val="000000" w:themeColor="text1"/>
        </w:rPr>
        <w:t>doiplots</w:t>
      </w:r>
      <w:proofErr w:type="spellEnd"/>
      <w:r w:rsidR="00325F23" w:rsidRPr="00F65290">
        <w:rPr>
          <w:rFonts w:ascii="Calibri" w:hAnsi="Calibri" w:cs="Calibri"/>
          <w:color w:val="000000" w:themeColor="text1"/>
        </w:rPr>
        <w:t xml:space="preserve"> and LFK index continued to indicate major plot asymmetry (LFK = 3.13, 3.03, respectively). Re-analyses of publication bias was not possible for the cannabis problems/consequences, at-risk cannabis use, substance use problems presence – absence of alcohol use</w:t>
      </w:r>
      <w:r w:rsidR="00F65290">
        <w:rPr>
          <w:rFonts w:ascii="Calibri" w:hAnsi="Calibri" w:cs="Calibri"/>
          <w:color w:val="000000" w:themeColor="text1"/>
        </w:rPr>
        <w:t>,</w:t>
      </w:r>
      <w:r w:rsidR="00325F23" w:rsidRPr="00F65290">
        <w:rPr>
          <w:rFonts w:ascii="Calibri" w:hAnsi="Calibri" w:cs="Calibri"/>
          <w:color w:val="000000" w:themeColor="text1"/>
        </w:rPr>
        <w:t xml:space="preserve"> and presence – absence of tobacco use outcomes</w:t>
      </w:r>
      <w:r w:rsidR="00F65290">
        <w:rPr>
          <w:rFonts w:ascii="Calibri" w:hAnsi="Calibri" w:cs="Calibri"/>
          <w:color w:val="000000" w:themeColor="text1"/>
        </w:rPr>
        <w:t>,</w:t>
      </w:r>
      <w:r w:rsidR="00325F23" w:rsidRPr="00F65290">
        <w:rPr>
          <w:rFonts w:ascii="Calibri" w:hAnsi="Calibri" w:cs="Calibri"/>
          <w:color w:val="000000" w:themeColor="text1"/>
        </w:rPr>
        <w:t xml:space="preserve"> as these outcomes either contained studies which were all rated as fair or good, or when </w:t>
      </w:r>
      <w:r w:rsidR="00625C01">
        <w:rPr>
          <w:rFonts w:ascii="Calibri" w:hAnsi="Calibri" w:cs="Calibri"/>
          <w:color w:val="000000" w:themeColor="text1"/>
        </w:rPr>
        <w:t>poor rated</w:t>
      </w:r>
      <w:r w:rsidR="00325F23" w:rsidRPr="00F65290">
        <w:rPr>
          <w:rFonts w:ascii="Calibri" w:hAnsi="Calibri" w:cs="Calibri"/>
          <w:color w:val="000000" w:themeColor="text1"/>
        </w:rPr>
        <w:t xml:space="preserve"> studies were removed, </w:t>
      </w:r>
      <w:proofErr w:type="spellStart"/>
      <w:r w:rsidR="00325F23" w:rsidRPr="00F65290">
        <w:rPr>
          <w:rFonts w:ascii="Calibri" w:hAnsi="Calibri" w:cs="Calibri"/>
          <w:color w:val="000000" w:themeColor="text1"/>
        </w:rPr>
        <w:t>doiplots</w:t>
      </w:r>
      <w:proofErr w:type="spellEnd"/>
      <w:r w:rsidR="00325F23" w:rsidRPr="00F65290">
        <w:rPr>
          <w:rFonts w:ascii="Calibri" w:hAnsi="Calibri" w:cs="Calibri"/>
          <w:color w:val="000000" w:themeColor="text1"/>
        </w:rPr>
        <w:t xml:space="preserve"> and the LFK index were under-powered to detect asymmetry.</w:t>
      </w:r>
    </w:p>
    <w:p w14:paraId="021A3361" w14:textId="77777777" w:rsidR="005F2014" w:rsidRPr="00F65290" w:rsidRDefault="005F2014">
      <w:pPr>
        <w:rPr>
          <w:color w:val="000000" w:themeColor="text1"/>
        </w:rPr>
      </w:pPr>
    </w:p>
    <w:sectPr w:rsidR="005F2014" w:rsidRPr="00F652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C4"/>
    <w:rsid w:val="002E439C"/>
    <w:rsid w:val="0032347E"/>
    <w:rsid w:val="00325F23"/>
    <w:rsid w:val="00412DC4"/>
    <w:rsid w:val="00513D3E"/>
    <w:rsid w:val="005F2014"/>
    <w:rsid w:val="00625C01"/>
    <w:rsid w:val="007079F7"/>
    <w:rsid w:val="00BB7A56"/>
    <w:rsid w:val="00DF4F69"/>
    <w:rsid w:val="00F50FE7"/>
    <w:rsid w:val="00F56D69"/>
    <w:rsid w:val="00F65290"/>
    <w:rsid w:val="00F91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C4324"/>
  <w15:chartTrackingRefBased/>
  <w15:docId w15:val="{B5C82D3B-8F5C-4D8D-85B6-B8DB82BD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DC4"/>
  </w:style>
  <w:style w:type="paragraph" w:styleId="Heading1">
    <w:name w:val="heading 1"/>
    <w:basedOn w:val="Normal"/>
    <w:next w:val="Normal"/>
    <w:link w:val="Heading1Char"/>
    <w:uiPriority w:val="9"/>
    <w:qFormat/>
    <w:rsid w:val="00412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DC4"/>
    <w:rPr>
      <w:rFonts w:eastAsiaTheme="majorEastAsia" w:cstheme="majorBidi"/>
      <w:color w:val="272727" w:themeColor="text1" w:themeTint="D8"/>
    </w:rPr>
  </w:style>
  <w:style w:type="paragraph" w:styleId="Title">
    <w:name w:val="Title"/>
    <w:basedOn w:val="Normal"/>
    <w:next w:val="Normal"/>
    <w:link w:val="TitleChar"/>
    <w:uiPriority w:val="10"/>
    <w:qFormat/>
    <w:rsid w:val="00412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DC4"/>
    <w:pPr>
      <w:spacing w:before="160"/>
      <w:jc w:val="center"/>
    </w:pPr>
    <w:rPr>
      <w:i/>
      <w:iCs/>
      <w:color w:val="404040" w:themeColor="text1" w:themeTint="BF"/>
    </w:rPr>
  </w:style>
  <w:style w:type="character" w:customStyle="1" w:styleId="QuoteChar">
    <w:name w:val="Quote Char"/>
    <w:basedOn w:val="DefaultParagraphFont"/>
    <w:link w:val="Quote"/>
    <w:uiPriority w:val="29"/>
    <w:rsid w:val="00412DC4"/>
    <w:rPr>
      <w:i/>
      <w:iCs/>
      <w:color w:val="404040" w:themeColor="text1" w:themeTint="BF"/>
    </w:rPr>
  </w:style>
  <w:style w:type="paragraph" w:styleId="ListParagraph">
    <w:name w:val="List Paragraph"/>
    <w:basedOn w:val="Normal"/>
    <w:uiPriority w:val="34"/>
    <w:qFormat/>
    <w:rsid w:val="00412DC4"/>
    <w:pPr>
      <w:ind w:left="720"/>
      <w:contextualSpacing/>
    </w:pPr>
  </w:style>
  <w:style w:type="character" w:styleId="IntenseEmphasis">
    <w:name w:val="Intense Emphasis"/>
    <w:basedOn w:val="DefaultParagraphFont"/>
    <w:uiPriority w:val="21"/>
    <w:qFormat/>
    <w:rsid w:val="00412DC4"/>
    <w:rPr>
      <w:i/>
      <w:iCs/>
      <w:color w:val="0F4761" w:themeColor="accent1" w:themeShade="BF"/>
    </w:rPr>
  </w:style>
  <w:style w:type="paragraph" w:styleId="IntenseQuote">
    <w:name w:val="Intense Quote"/>
    <w:basedOn w:val="Normal"/>
    <w:next w:val="Normal"/>
    <w:link w:val="IntenseQuoteChar"/>
    <w:uiPriority w:val="30"/>
    <w:qFormat/>
    <w:rsid w:val="00412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DC4"/>
    <w:rPr>
      <w:i/>
      <w:iCs/>
      <w:color w:val="0F4761" w:themeColor="accent1" w:themeShade="BF"/>
    </w:rPr>
  </w:style>
  <w:style w:type="character" w:styleId="IntenseReference">
    <w:name w:val="Intense Reference"/>
    <w:basedOn w:val="DefaultParagraphFont"/>
    <w:uiPriority w:val="32"/>
    <w:qFormat/>
    <w:rsid w:val="00412DC4"/>
    <w:rPr>
      <w:b/>
      <w:bCs/>
      <w:smallCaps/>
      <w:color w:val="0F4761" w:themeColor="accent1" w:themeShade="BF"/>
      <w:spacing w:val="5"/>
    </w:rPr>
  </w:style>
  <w:style w:type="character" w:styleId="CommentReference">
    <w:name w:val="annotation reference"/>
    <w:basedOn w:val="DefaultParagraphFont"/>
    <w:uiPriority w:val="99"/>
    <w:semiHidden/>
    <w:unhideWhenUsed/>
    <w:rsid w:val="00412DC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746</Words>
  <Characters>4213</Characters>
  <Application>Microsoft Office Word</Application>
  <DocSecurity>0</DocSecurity>
  <Lines>91</Lines>
  <Paragraphs>5</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Evie Gates</dc:creator>
  <cp:keywords/>
  <dc:description/>
  <cp:lastModifiedBy>Evie Gates</cp:lastModifiedBy>
  <cp:revision>7</cp:revision>
  <dcterms:created xsi:type="dcterms:W3CDTF">2024-10-15T13:00:00Z</dcterms:created>
  <dcterms:modified xsi:type="dcterms:W3CDTF">2025-05-22T13:06:00Z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23c05718-1ed5-4d5d-91d8-fc188a83951d</vt:lpwstr>
  </property>
</Properties>
</file>