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83A3" w14:textId="6EE9B2F8" w:rsidR="008C2CA7" w:rsidRPr="00AB5003" w:rsidRDefault="00EE4697" w:rsidP="00BD113D">
      <w:pPr>
        <w:pStyle w:val="Lgende"/>
        <w:rPr>
          <w:rFonts w:ascii="Garamond" w:hAnsi="Garamond"/>
        </w:rPr>
      </w:pPr>
      <w:r w:rsidRPr="00AB5003">
        <w:rPr>
          <w:rFonts w:ascii="Garamond" w:hAnsi="Garamond"/>
        </w:rPr>
        <w:t xml:space="preserve">Supplementary Table </w:t>
      </w:r>
      <w:r w:rsidR="00F1363F" w:rsidRPr="00AB5003">
        <w:rPr>
          <w:rFonts w:ascii="Garamond" w:hAnsi="Garamond"/>
        </w:rPr>
        <w:fldChar w:fldCharType="begin"/>
      </w:r>
      <w:r w:rsidR="00F1363F" w:rsidRPr="00AB5003">
        <w:rPr>
          <w:rFonts w:ascii="Garamond" w:hAnsi="Garamond"/>
        </w:rPr>
        <w:instrText xml:space="preserve"> SEQ Supplementary_Table \* ARABIC </w:instrText>
      </w:r>
      <w:r w:rsidR="00F1363F" w:rsidRPr="00AB5003">
        <w:rPr>
          <w:rFonts w:ascii="Garamond" w:hAnsi="Garamond"/>
        </w:rPr>
        <w:fldChar w:fldCharType="separate"/>
      </w:r>
      <w:r w:rsidR="00F1363F" w:rsidRPr="00AB5003">
        <w:rPr>
          <w:rFonts w:ascii="Garamond" w:hAnsi="Garamond"/>
          <w:noProof/>
        </w:rPr>
        <w:t>1</w:t>
      </w:r>
      <w:r w:rsidR="00F1363F" w:rsidRPr="00AB5003">
        <w:rPr>
          <w:rFonts w:ascii="Garamond" w:hAnsi="Garamond"/>
          <w:noProof/>
        </w:rPr>
        <w:fldChar w:fldCharType="end"/>
      </w:r>
      <w:r w:rsidR="00B44E94">
        <w:rPr>
          <w:rFonts w:ascii="Garamond" w:hAnsi="Garamond"/>
        </w:rPr>
        <w:t xml:space="preserve"> </w:t>
      </w:r>
      <w:r w:rsidR="008C2CA7" w:rsidRPr="00AB5003">
        <w:rPr>
          <w:rFonts w:ascii="Garamond" w:hAnsi="Garamond"/>
          <w:b w:val="0"/>
          <w:bCs w:val="0"/>
        </w:rPr>
        <w:t xml:space="preserve">Characteristic of studies assessing Mpox </w:t>
      </w:r>
      <w:r w:rsidR="0035549E" w:rsidRPr="00AB5003">
        <w:rPr>
          <w:rFonts w:ascii="Garamond" w:hAnsi="Garamond"/>
          <w:b w:val="0"/>
          <w:bCs w:val="0"/>
        </w:rPr>
        <w:t xml:space="preserve">severity and mortality </w:t>
      </w:r>
      <w:r w:rsidR="008C2CA7" w:rsidRPr="00AB5003">
        <w:rPr>
          <w:rFonts w:ascii="Garamond" w:hAnsi="Garamond"/>
          <w:b w:val="0"/>
          <w:bCs w:val="0"/>
        </w:rPr>
        <w:t>in DRC, 1970-2024</w:t>
      </w:r>
    </w:p>
    <w:tbl>
      <w:tblPr>
        <w:tblStyle w:val="TableauGrille6Couleur-Accentuation3"/>
        <w:tblW w:w="13588" w:type="dxa"/>
        <w:tblInd w:w="-289" w:type="dxa"/>
        <w:tblLook w:val="04A0" w:firstRow="1" w:lastRow="0" w:firstColumn="1" w:lastColumn="0" w:noHBand="0" w:noVBand="1"/>
      </w:tblPr>
      <w:tblGrid>
        <w:gridCol w:w="1702"/>
        <w:gridCol w:w="1003"/>
        <w:gridCol w:w="1263"/>
        <w:gridCol w:w="1278"/>
        <w:gridCol w:w="1133"/>
        <w:gridCol w:w="1170"/>
        <w:gridCol w:w="1029"/>
        <w:gridCol w:w="1231"/>
        <w:gridCol w:w="3752"/>
        <w:gridCol w:w="27"/>
      </w:tblGrid>
      <w:tr w:rsidR="00A7429A" w:rsidRPr="00057DEF" w14:paraId="7C95E29C" w14:textId="77777777" w:rsidTr="00762823">
        <w:trPr>
          <w:gridAfter w:val="1"/>
          <w:cnfStyle w:val="100000000000" w:firstRow="1" w:lastRow="0" w:firstColumn="0" w:lastColumn="0" w:oddVBand="0" w:evenVBand="0" w:oddHBand="0" w:evenHBand="0" w:firstRowFirstColumn="0" w:firstRowLastColumn="0" w:lastRowFirstColumn="0" w:lastRowLastColumn="0"/>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tcBorders>
              <w:top w:val="single" w:sz="12" w:space="0" w:color="auto"/>
              <w:bottom w:val="single" w:sz="12" w:space="0" w:color="auto"/>
            </w:tcBorders>
            <w:noWrap/>
            <w:hideMark/>
          </w:tcPr>
          <w:p w14:paraId="05A6ECFD" w14:textId="77777777" w:rsidR="00A7429A" w:rsidRPr="0059525F" w:rsidRDefault="00A7429A" w:rsidP="00881EEB">
            <w:pPr>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Author</w:t>
            </w:r>
          </w:p>
        </w:tc>
        <w:tc>
          <w:tcPr>
            <w:tcW w:w="1003" w:type="dxa"/>
            <w:tcBorders>
              <w:top w:val="single" w:sz="12" w:space="0" w:color="auto"/>
              <w:bottom w:val="single" w:sz="12" w:space="0" w:color="auto"/>
            </w:tcBorders>
            <w:noWrap/>
            <w:hideMark/>
          </w:tcPr>
          <w:p w14:paraId="6FDE50EB"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Study</w:t>
            </w:r>
          </w:p>
          <w:p w14:paraId="3ED32B40"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Year</w:t>
            </w:r>
            <w:r w:rsidRPr="0059525F">
              <w:rPr>
                <w:rFonts w:ascii="Garamond" w:eastAsia="Times New Roman" w:hAnsi="Garamond"/>
                <w:i/>
                <w:iCs/>
                <w:color w:val="auto"/>
                <w:kern w:val="0"/>
                <w:sz w:val="20"/>
                <w:szCs w:val="20"/>
                <w:vertAlign w:val="superscript"/>
                <w:lang w:eastAsia="fr-FR"/>
                <w14:ligatures w14:val="none"/>
              </w:rPr>
              <w:t>1</w:t>
            </w:r>
          </w:p>
        </w:tc>
        <w:tc>
          <w:tcPr>
            <w:tcW w:w="1263" w:type="dxa"/>
            <w:tcBorders>
              <w:top w:val="single" w:sz="12" w:space="0" w:color="auto"/>
              <w:bottom w:val="single" w:sz="12" w:space="0" w:color="auto"/>
            </w:tcBorders>
            <w:noWrap/>
            <w:hideMark/>
          </w:tcPr>
          <w:p w14:paraId="462F1509"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Region</w:t>
            </w:r>
          </w:p>
        </w:tc>
        <w:tc>
          <w:tcPr>
            <w:tcW w:w="1278" w:type="dxa"/>
            <w:tcBorders>
              <w:top w:val="single" w:sz="12" w:space="0" w:color="auto"/>
              <w:bottom w:val="single" w:sz="12" w:space="0" w:color="auto"/>
            </w:tcBorders>
            <w:noWrap/>
            <w:hideMark/>
          </w:tcPr>
          <w:p w14:paraId="1746CB7F"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Setting</w:t>
            </w:r>
          </w:p>
        </w:tc>
        <w:tc>
          <w:tcPr>
            <w:tcW w:w="1133" w:type="dxa"/>
            <w:tcBorders>
              <w:top w:val="single" w:sz="12" w:space="0" w:color="auto"/>
              <w:bottom w:val="single" w:sz="12" w:space="0" w:color="auto"/>
            </w:tcBorders>
            <w:noWrap/>
            <w:hideMark/>
          </w:tcPr>
          <w:p w14:paraId="11F976B8"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Study population</w:t>
            </w:r>
          </w:p>
        </w:tc>
        <w:tc>
          <w:tcPr>
            <w:tcW w:w="1170" w:type="dxa"/>
            <w:tcBorders>
              <w:top w:val="single" w:sz="12" w:space="0" w:color="auto"/>
              <w:bottom w:val="single" w:sz="12" w:space="0" w:color="auto"/>
            </w:tcBorders>
          </w:tcPr>
          <w:p w14:paraId="481138D4"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Sampling</w:t>
            </w:r>
          </w:p>
        </w:tc>
        <w:tc>
          <w:tcPr>
            <w:tcW w:w="1029" w:type="dxa"/>
            <w:tcBorders>
              <w:top w:val="single" w:sz="12" w:space="0" w:color="auto"/>
              <w:bottom w:val="single" w:sz="12" w:space="0" w:color="auto"/>
            </w:tcBorders>
          </w:tcPr>
          <w:p w14:paraId="57BDFE1F" w14:textId="77777777"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Risk of bias</w:t>
            </w:r>
          </w:p>
        </w:tc>
        <w:tc>
          <w:tcPr>
            <w:tcW w:w="1231" w:type="dxa"/>
            <w:tcBorders>
              <w:top w:val="single" w:sz="12" w:space="0" w:color="auto"/>
              <w:bottom w:val="single" w:sz="12" w:space="0" w:color="auto"/>
            </w:tcBorders>
          </w:tcPr>
          <w:p w14:paraId="70E782CA" w14:textId="0B3693C4" w:rsidR="00A7429A" w:rsidRPr="0059525F" w:rsidRDefault="00A7429A" w:rsidP="00881EEB">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Outcome of interest</w:t>
            </w:r>
          </w:p>
        </w:tc>
        <w:tc>
          <w:tcPr>
            <w:tcW w:w="3752" w:type="dxa"/>
            <w:tcBorders>
              <w:top w:val="single" w:sz="12" w:space="0" w:color="auto"/>
              <w:bottom w:val="single" w:sz="12" w:space="0" w:color="auto"/>
            </w:tcBorders>
          </w:tcPr>
          <w:p w14:paraId="6C1BABAC" w14:textId="77777777" w:rsidR="00A7429A" w:rsidRPr="0059525F" w:rsidRDefault="00A7429A" w:rsidP="008D3341">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59525F">
              <w:rPr>
                <w:rFonts w:ascii="Garamond" w:eastAsia="Times New Roman" w:hAnsi="Garamond"/>
                <w:color w:val="auto"/>
                <w:kern w:val="0"/>
                <w:sz w:val="20"/>
                <w:szCs w:val="20"/>
                <w:lang w:eastAsia="fr-FR"/>
                <w14:ligatures w14:val="none"/>
              </w:rPr>
              <w:t>Summary of findings</w:t>
            </w:r>
          </w:p>
        </w:tc>
      </w:tr>
      <w:tr w:rsidR="00A7429A" w:rsidRPr="00057DEF" w14:paraId="34057E98" w14:textId="77777777" w:rsidTr="00762823">
        <w:trPr>
          <w:gridAfter w:val="1"/>
          <w:cnfStyle w:val="000000100000" w:firstRow="0" w:lastRow="0" w:firstColumn="0" w:lastColumn="0" w:oddVBand="0" w:evenVBand="0" w:oddHBand="1" w:evenHBand="0" w:firstRowFirstColumn="0" w:firstRowLastColumn="0" w:lastRowFirstColumn="0" w:lastRowLastColumn="0"/>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tcBorders>
              <w:top w:val="single" w:sz="12" w:space="0" w:color="auto"/>
            </w:tcBorders>
            <w:noWrap/>
          </w:tcPr>
          <w:p w14:paraId="75688AD4" w14:textId="70D28798" w:rsidR="00A7429A" w:rsidRPr="00057DEF" w:rsidRDefault="00A7429A" w:rsidP="00E03784">
            <w:pPr>
              <w:rPr>
                <w:rFonts w:ascii="Garamond" w:eastAsia="Times New Roman" w:hAnsi="Garamond"/>
                <w:b w:val="0"/>
                <w:bCs w:val="0"/>
                <w:color w:val="auto"/>
                <w:kern w:val="0"/>
                <w:sz w:val="20"/>
                <w:szCs w:val="20"/>
                <w:lang w:eastAsia="fr-FR"/>
                <w14:ligatures w14:val="none"/>
              </w:rPr>
            </w:pPr>
            <w:r w:rsidRPr="00057DEF">
              <w:rPr>
                <w:rFonts w:ascii="Garamond" w:eastAsia="Times New Roman" w:hAnsi="Garamond"/>
                <w:b w:val="0"/>
                <w:bCs w:val="0"/>
                <w:color w:val="auto"/>
                <w:kern w:val="0"/>
                <w:sz w:val="20"/>
                <w:szCs w:val="20"/>
                <w:lang w:eastAsia="fr-FR"/>
                <w14:ligatures w14:val="none"/>
              </w:rPr>
              <w:t xml:space="preserve">Durski </w:t>
            </w:r>
            <w:r w:rsidRPr="00057DEF">
              <w:rPr>
                <w:rFonts w:ascii="Garamond" w:eastAsia="Times New Roman" w:hAnsi="Garamond"/>
                <w:b w:val="0"/>
                <w:bCs w:val="0"/>
                <w:i/>
                <w:iCs/>
                <w:color w:val="auto"/>
                <w:kern w:val="0"/>
                <w:sz w:val="20"/>
                <w:szCs w:val="20"/>
                <w:lang w:eastAsia="fr-FR"/>
                <w14:ligatures w14:val="none"/>
              </w:rPr>
              <w:t xml:space="preserve">et al. </w:t>
            </w:r>
            <w:r w:rsidRPr="00057DEF">
              <w:rPr>
                <w:rFonts w:ascii="Garamond" w:eastAsia="Times New Roman" w:hAnsi="Garamond"/>
                <w:kern w:val="0"/>
                <w:sz w:val="20"/>
                <w:szCs w:val="20"/>
                <w:lang w:eastAsia="fr-FR"/>
                <w14:ligatures w14:val="none"/>
              </w:rPr>
              <w:fldChar w:fldCharType="begin"/>
            </w:r>
            <w:r w:rsidRPr="00057DEF">
              <w:rPr>
                <w:rFonts w:ascii="Garamond" w:eastAsia="Times New Roman" w:hAnsi="Garamond"/>
                <w:b w:val="0"/>
                <w:bCs w:val="0"/>
                <w:color w:val="auto"/>
                <w:kern w:val="0"/>
                <w:sz w:val="20"/>
                <w:szCs w:val="20"/>
                <w:lang w:eastAsia="fr-FR"/>
                <w14:ligatures w14:val="none"/>
              </w:rPr>
              <w:instrText xml:space="preserve"> ADDIN ZOTERO_ITEM CSL_CITATION {"citationID":"TIJgvZ1t","properties":{"formattedCitation":"[1]","plainCitation":"[1]","noteIndex":0},"citationItems":[{"id":4429,"uris":["http://zotero.org/users/1791235/items/QHHJTEKB","http://zotero.org/users/1791235/items/G53CMPEJ"],"itemData":{"id":4429,"type":"article-journal","abstract":"What is already known about this topic? Human monkeypox is a viral zoonosis that occurs in West Africa and Central Africa. Most cases are reported from Democratic Republic of the Congo. The disease causes significant morbidity and mortality, and no specific treatment exists. What is added by this report? Nigeria is currently experiencing the largest documented outbreak of human monkeypox in West Africa. During the past decade, more human monkeypox cases have been reported in countries that have not reported disease in several decades.","container-title":"MMWR. Morbidity and Mortality Weekly Report","DOI":"10.15585/mmwr.mm6710a5","ISSN":"0149-21951545-861X","issue":"10","journalAbbreviation":"MMWR Morb Mortal Wkly Rep","language":"en","page":"306-310","source":"Zotero","title":"Emergence of Monkeypox — West and Central Africa, 1970–2017","volume":"16","author":[{"family":"Durski","given":"Kara N"},{"family":"McCollum","given":"Andrea M"},{"family":"Nakazawa","given":"Yoshinori"},{"family":"Petersen","given":"Brett W"},{"family":"Reynolds","given":"Mary G"},{"family":"Briand","given":"Sylvie"},{"family":"Djingarey","given":"Mamoudou Harouna"},{"family":"Olson","given":"Victoria"},{"family":"Damon","given":"Inger K"},{"family":"Khalakdina","given":"Asheena"}],"issued":{"date-parts":[["2018"]]}}}],"schema":"https://github.com/citation-style-language/schema/raw/master/csl-citation.json"} </w:instrText>
            </w:r>
            <w:r w:rsidRPr="00057DEF">
              <w:rPr>
                <w:rFonts w:ascii="Garamond" w:eastAsia="Times New Roman" w:hAnsi="Garamond"/>
                <w:kern w:val="0"/>
                <w:sz w:val="20"/>
                <w:szCs w:val="20"/>
                <w:lang w:eastAsia="fr-FR"/>
                <w14:ligatures w14:val="none"/>
              </w:rPr>
              <w:fldChar w:fldCharType="separate"/>
            </w:r>
            <w:r w:rsidRPr="00057DEF">
              <w:rPr>
                <w:rFonts w:ascii="Garamond" w:hAnsi="Garamond"/>
                <w:b w:val="0"/>
                <w:bCs w:val="0"/>
                <w:color w:val="auto"/>
                <w:sz w:val="20"/>
                <w:szCs w:val="20"/>
              </w:rPr>
              <w:t>[1]</w:t>
            </w:r>
            <w:r w:rsidRPr="00057DEF">
              <w:rPr>
                <w:rFonts w:ascii="Garamond" w:eastAsia="Times New Roman" w:hAnsi="Garamond"/>
                <w:kern w:val="0"/>
                <w:sz w:val="20"/>
                <w:szCs w:val="20"/>
                <w:lang w:eastAsia="fr-FR"/>
                <w14:ligatures w14:val="none"/>
              </w:rPr>
              <w:fldChar w:fldCharType="end"/>
            </w:r>
          </w:p>
        </w:tc>
        <w:tc>
          <w:tcPr>
            <w:tcW w:w="1003" w:type="dxa"/>
            <w:tcBorders>
              <w:top w:val="single" w:sz="12" w:space="0" w:color="auto"/>
            </w:tcBorders>
            <w:noWrap/>
          </w:tcPr>
          <w:p w14:paraId="46A2E1F9" w14:textId="11E103F8"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2017</w:t>
            </w:r>
          </w:p>
        </w:tc>
        <w:tc>
          <w:tcPr>
            <w:tcW w:w="1263" w:type="dxa"/>
            <w:tcBorders>
              <w:top w:val="single" w:sz="12" w:space="0" w:color="auto"/>
            </w:tcBorders>
            <w:noWrap/>
          </w:tcPr>
          <w:p w14:paraId="71C3EA24" w14:textId="237253B2"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Multicentric</w:t>
            </w:r>
          </w:p>
        </w:tc>
        <w:tc>
          <w:tcPr>
            <w:tcW w:w="1278" w:type="dxa"/>
            <w:tcBorders>
              <w:top w:val="single" w:sz="12" w:space="0" w:color="auto"/>
            </w:tcBorders>
            <w:noWrap/>
          </w:tcPr>
          <w:p w14:paraId="03FA5B5F" w14:textId="15D0BD6C"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Calibri" w:hAnsi="Garamond"/>
                <w:color w:val="auto"/>
                <w:sz w:val="20"/>
                <w:szCs w:val="20"/>
              </w:rPr>
              <w:t xml:space="preserve">Community </w:t>
            </w:r>
          </w:p>
        </w:tc>
        <w:tc>
          <w:tcPr>
            <w:tcW w:w="1133" w:type="dxa"/>
            <w:tcBorders>
              <w:top w:val="single" w:sz="12" w:space="0" w:color="auto"/>
            </w:tcBorders>
            <w:noWrap/>
          </w:tcPr>
          <w:p w14:paraId="368FFB64" w14:textId="79CB224F"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Calibri" w:hAnsi="Garamond"/>
                <w:color w:val="auto"/>
                <w:sz w:val="20"/>
                <w:szCs w:val="20"/>
              </w:rPr>
              <w:t>General population</w:t>
            </w:r>
          </w:p>
        </w:tc>
        <w:tc>
          <w:tcPr>
            <w:tcW w:w="1170" w:type="dxa"/>
            <w:tcBorders>
              <w:top w:val="single" w:sz="12" w:space="0" w:color="auto"/>
            </w:tcBorders>
          </w:tcPr>
          <w:p w14:paraId="7EB3AFC3" w14:textId="3D196D3B"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Calibri" w:hAnsi="Garamond"/>
                <w:color w:val="auto"/>
                <w:sz w:val="20"/>
                <w:szCs w:val="20"/>
              </w:rPr>
              <w:t>Non-probabilistic</w:t>
            </w:r>
          </w:p>
        </w:tc>
        <w:tc>
          <w:tcPr>
            <w:tcW w:w="1029" w:type="dxa"/>
            <w:tcBorders>
              <w:top w:val="single" w:sz="12" w:space="0" w:color="auto"/>
            </w:tcBorders>
          </w:tcPr>
          <w:p w14:paraId="4E6AD4CF" w14:textId="4DBF06B4"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Moderate</w:t>
            </w:r>
          </w:p>
        </w:tc>
        <w:tc>
          <w:tcPr>
            <w:tcW w:w="1231" w:type="dxa"/>
            <w:tcBorders>
              <w:top w:val="single" w:sz="12" w:space="0" w:color="auto"/>
            </w:tcBorders>
          </w:tcPr>
          <w:p w14:paraId="7372E489" w14:textId="25A7A064" w:rsidR="00A7429A" w:rsidRPr="00057DEF" w:rsidRDefault="00A7429A" w:rsidP="00E0378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Case fatality rate</w:t>
            </w:r>
          </w:p>
        </w:tc>
        <w:tc>
          <w:tcPr>
            <w:tcW w:w="3752" w:type="dxa"/>
            <w:tcBorders>
              <w:top w:val="single" w:sz="12" w:space="0" w:color="auto"/>
            </w:tcBorders>
          </w:tcPr>
          <w:p w14:paraId="009D77B1" w14:textId="59A067AB" w:rsidR="00A7429A" w:rsidRPr="00057DEF" w:rsidRDefault="00A7429A" w:rsidP="00FE0F6F">
            <w:pPr>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Since 2016, cases have been confirmed in Central African Republic (19 cases), Democratic Republic of the Congo (&gt;1,000 reported per year), Liberia (two), Nigeria (&gt;80), Republic of the Congo (88), and Sierra Leone (one). The reemergence of monkeypox is a global health security concern.</w:t>
            </w:r>
          </w:p>
        </w:tc>
      </w:tr>
      <w:tr w:rsidR="00A7429A" w:rsidRPr="00057DEF" w14:paraId="79EEC34A" w14:textId="77777777" w:rsidTr="00762823">
        <w:trPr>
          <w:gridAfter w:val="1"/>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noWrap/>
          </w:tcPr>
          <w:p w14:paraId="5E8B46E1" w14:textId="54B9EE4E" w:rsidR="00A7429A" w:rsidRPr="00057DEF" w:rsidRDefault="00A7429A" w:rsidP="00D65FF2">
            <w:pPr>
              <w:spacing w:line="276" w:lineRule="auto"/>
              <w:rPr>
                <w:rFonts w:ascii="Garamond" w:eastAsia="Times New Roman" w:hAnsi="Garamond"/>
                <w:b w:val="0"/>
                <w:bCs w:val="0"/>
                <w:color w:val="auto"/>
                <w:kern w:val="0"/>
                <w:sz w:val="20"/>
                <w:szCs w:val="20"/>
                <w:lang w:eastAsia="fr-FR"/>
                <w14:ligatures w14:val="none"/>
              </w:rPr>
            </w:pPr>
            <w:r w:rsidRPr="00057DEF">
              <w:rPr>
                <w:rFonts w:ascii="Garamond" w:eastAsia="Times New Roman" w:hAnsi="Garamond"/>
                <w:b w:val="0"/>
                <w:bCs w:val="0"/>
                <w:color w:val="auto"/>
                <w:kern w:val="0"/>
                <w:sz w:val="20"/>
                <w:szCs w:val="20"/>
                <w:lang w:eastAsia="fr-FR"/>
                <w14:ligatures w14:val="none"/>
              </w:rPr>
              <w:t xml:space="preserve">Berthet </w:t>
            </w:r>
            <w:r w:rsidRPr="00057DEF">
              <w:rPr>
                <w:rFonts w:ascii="Garamond" w:eastAsia="Times New Roman" w:hAnsi="Garamond"/>
                <w:b w:val="0"/>
                <w:bCs w:val="0"/>
                <w:i/>
                <w:iCs/>
                <w:color w:val="auto"/>
                <w:kern w:val="0"/>
                <w:sz w:val="20"/>
                <w:szCs w:val="20"/>
                <w:lang w:eastAsia="fr-FR"/>
                <w14:ligatures w14:val="none"/>
              </w:rPr>
              <w:t>et al.</w:t>
            </w:r>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kern w:val="0"/>
                <w:sz w:val="20"/>
                <w:szCs w:val="20"/>
                <w:lang w:eastAsia="fr-FR"/>
                <w14:ligatures w14:val="none"/>
              </w:rPr>
              <w:fldChar w:fldCharType="begin"/>
            </w:r>
            <w:r w:rsidR="00D65FF2">
              <w:rPr>
                <w:rFonts w:ascii="Garamond" w:eastAsia="Times New Roman" w:hAnsi="Garamond"/>
                <w:b w:val="0"/>
                <w:bCs w:val="0"/>
                <w:color w:val="auto"/>
                <w:kern w:val="0"/>
                <w:sz w:val="20"/>
                <w:szCs w:val="20"/>
                <w:lang w:eastAsia="fr-FR"/>
                <w14:ligatures w14:val="none"/>
              </w:rPr>
              <w:instrText xml:space="preserve"> ADDIN ZOTERO_ITEM CSL_CITATION {"citationID":"CIEM7nju","properties":{"formattedCitation":"[2]","plainCitation":"[2]","noteIndex":0},"citationItems":[{"id":4433,"uris":["http://zotero.org/users/1791235/items/MWY7ZPWH"],"itemData":{"id":4433,"type":"article-journal","container-title":"The Lancet","DOI":"10.1016/S0140-6736(11)61142-2","ISSN":"0140-6736, 1474-547X","issue":"9799","journalAbbreviation":"The Lancet","language":"English","note":"publisher: Elsevier\nPMID: 21982097","page":"1354","source":"www.thelancet.com","title":"Maculopapular lesions in the Central African Republic","volume":"378","author":[{"family":"Berthet","given":"Nicolas"},{"family":"Nakouné","given":"Emmanuel"},{"family":"Whist","given":"Eline"},{"family":"Selekon","given":"Benjamin"},{"family":"Burguière","given":"Ana-Maria"},{"family":"Manuguerra","given":"Jean-Claude"},{"family":"Gessain","given":"Antoine"},{"family":"Kazanji","given":"Mirdad"}],"issued":{"date-parts":[["2011"]]}}}],"schema":"https://github.com/citation-style-language/schema/raw/master/csl-citation.json"} </w:instrText>
            </w:r>
            <w:r w:rsidRPr="00057DEF">
              <w:rPr>
                <w:rFonts w:ascii="Garamond" w:eastAsia="Times New Roman" w:hAnsi="Garamond"/>
                <w:kern w:val="0"/>
                <w:sz w:val="20"/>
                <w:szCs w:val="20"/>
                <w:lang w:eastAsia="fr-FR"/>
                <w14:ligatures w14:val="none"/>
              </w:rPr>
              <w:fldChar w:fldCharType="separate"/>
            </w:r>
            <w:r w:rsidR="00D65FF2" w:rsidRPr="00D65FF2">
              <w:rPr>
                <w:rFonts w:ascii="Garamond" w:hAnsi="Garamond"/>
                <w:sz w:val="20"/>
              </w:rPr>
              <w:t>[2]</w:t>
            </w:r>
            <w:r w:rsidRPr="00057DEF">
              <w:rPr>
                <w:rFonts w:ascii="Garamond" w:eastAsia="Times New Roman" w:hAnsi="Garamond"/>
                <w:kern w:val="0"/>
                <w:sz w:val="20"/>
                <w:szCs w:val="20"/>
                <w:lang w:eastAsia="fr-FR"/>
                <w14:ligatures w14:val="none"/>
              </w:rPr>
              <w:fldChar w:fldCharType="end"/>
            </w:r>
          </w:p>
        </w:tc>
        <w:tc>
          <w:tcPr>
            <w:tcW w:w="1003" w:type="dxa"/>
            <w:noWrap/>
          </w:tcPr>
          <w:p w14:paraId="202B0239" w14:textId="37E45343"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2010</w:t>
            </w:r>
          </w:p>
        </w:tc>
        <w:tc>
          <w:tcPr>
            <w:tcW w:w="1263" w:type="dxa"/>
            <w:noWrap/>
          </w:tcPr>
          <w:p w14:paraId="2D00F5DD" w14:textId="5DB3A98B"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NR</w:t>
            </w:r>
          </w:p>
        </w:tc>
        <w:tc>
          <w:tcPr>
            <w:tcW w:w="1278" w:type="dxa"/>
            <w:noWrap/>
          </w:tcPr>
          <w:p w14:paraId="18E4D8C2" w14:textId="7E7FCCB3"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Community</w:t>
            </w:r>
          </w:p>
        </w:tc>
        <w:tc>
          <w:tcPr>
            <w:tcW w:w="1133" w:type="dxa"/>
            <w:noWrap/>
          </w:tcPr>
          <w:p w14:paraId="1E5C4A2B" w14:textId="1BF016F0"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General population</w:t>
            </w:r>
          </w:p>
        </w:tc>
        <w:tc>
          <w:tcPr>
            <w:tcW w:w="1170" w:type="dxa"/>
          </w:tcPr>
          <w:p w14:paraId="79DFC1A0" w14:textId="20456D56"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Non-probabilistic</w:t>
            </w:r>
          </w:p>
        </w:tc>
        <w:tc>
          <w:tcPr>
            <w:tcW w:w="1029" w:type="dxa"/>
          </w:tcPr>
          <w:p w14:paraId="1814226B" w14:textId="6D7EAEAE"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Low</w:t>
            </w:r>
          </w:p>
        </w:tc>
        <w:tc>
          <w:tcPr>
            <w:tcW w:w="1231" w:type="dxa"/>
          </w:tcPr>
          <w:p w14:paraId="39AD6AB6" w14:textId="26FEE6EC" w:rsidR="00A7429A" w:rsidRPr="00057DEF" w:rsidRDefault="00A7429A" w:rsidP="00DD6155">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Severity and case fatality rates</w:t>
            </w:r>
          </w:p>
        </w:tc>
        <w:tc>
          <w:tcPr>
            <w:tcW w:w="3752" w:type="dxa"/>
          </w:tcPr>
          <w:p w14:paraId="2AE6F917" w14:textId="3719849D" w:rsidR="00A7429A" w:rsidRPr="00057DEF" w:rsidRDefault="00A7429A" w:rsidP="00FE0F6F">
            <w:pPr>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In June 2010, two teenage boys in the Central African Republic developed pustular skin lesions after eating a wild rodent, later confirmed as monkeypox virus (identical to the DRC strain from a 2001 outbreak). Both recovered after isolation and treatment, highlighting monkeypox’s zoonotic risk in forested regions.</w:t>
            </w:r>
          </w:p>
        </w:tc>
      </w:tr>
      <w:tr w:rsidR="00A7429A" w:rsidRPr="00057DEF" w14:paraId="02F1DCA0" w14:textId="77777777" w:rsidTr="00762823">
        <w:trPr>
          <w:gridAfter w:val="1"/>
          <w:cnfStyle w:val="000000100000" w:firstRow="0" w:lastRow="0" w:firstColumn="0" w:lastColumn="0" w:oddVBand="0" w:evenVBand="0" w:oddHBand="1" w:evenHBand="0" w:firstRowFirstColumn="0" w:firstRowLastColumn="0" w:lastRowFirstColumn="0" w:lastRowLastColumn="0"/>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noWrap/>
          </w:tcPr>
          <w:p w14:paraId="57C6F4B7" w14:textId="593C51B6" w:rsidR="00A7429A" w:rsidRPr="00057DEF" w:rsidRDefault="00A7429A" w:rsidP="00D65FF2">
            <w:pPr>
              <w:spacing w:line="276" w:lineRule="auto"/>
              <w:rPr>
                <w:rFonts w:ascii="Garamond" w:eastAsia="Times New Roman" w:hAnsi="Garamond"/>
                <w:b w:val="0"/>
                <w:bCs w:val="0"/>
                <w:color w:val="auto"/>
                <w:kern w:val="0"/>
                <w:sz w:val="20"/>
                <w:szCs w:val="20"/>
                <w:lang w:eastAsia="fr-FR"/>
                <w14:ligatures w14:val="none"/>
              </w:rPr>
            </w:pPr>
            <w:proofErr w:type="spellStart"/>
            <w:r w:rsidRPr="00057DEF">
              <w:rPr>
                <w:rFonts w:ascii="Garamond" w:eastAsia="Times New Roman" w:hAnsi="Garamond"/>
                <w:b w:val="0"/>
                <w:bCs w:val="0"/>
                <w:color w:val="auto"/>
                <w:kern w:val="0"/>
                <w:sz w:val="20"/>
                <w:szCs w:val="20"/>
                <w:lang w:eastAsia="fr-FR"/>
                <w14:ligatures w14:val="none"/>
              </w:rPr>
              <w:t>Kalthan</w:t>
            </w:r>
            <w:proofErr w:type="spellEnd"/>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b w:val="0"/>
                <w:bCs w:val="0"/>
                <w:i/>
                <w:iCs/>
                <w:color w:val="auto"/>
                <w:kern w:val="0"/>
                <w:sz w:val="20"/>
                <w:szCs w:val="20"/>
                <w:lang w:eastAsia="fr-FR"/>
                <w14:ligatures w14:val="none"/>
              </w:rPr>
              <w:t xml:space="preserve">et al. </w:t>
            </w:r>
            <w:r w:rsidRPr="00057DEF">
              <w:rPr>
                <w:rFonts w:ascii="Garamond" w:eastAsia="Times New Roman" w:hAnsi="Garamond"/>
                <w:i/>
                <w:iCs/>
                <w:kern w:val="0"/>
                <w:sz w:val="20"/>
                <w:szCs w:val="20"/>
                <w:lang w:eastAsia="fr-FR"/>
                <w14:ligatures w14:val="none"/>
              </w:rPr>
              <w:fldChar w:fldCharType="begin"/>
            </w:r>
            <w:r w:rsidR="00D65FF2">
              <w:rPr>
                <w:rFonts w:ascii="Garamond" w:eastAsia="Times New Roman" w:hAnsi="Garamond"/>
                <w:b w:val="0"/>
                <w:bCs w:val="0"/>
                <w:i/>
                <w:iCs/>
                <w:color w:val="auto"/>
                <w:kern w:val="0"/>
                <w:sz w:val="20"/>
                <w:szCs w:val="20"/>
                <w:lang w:eastAsia="fr-FR"/>
                <w14:ligatures w14:val="none"/>
              </w:rPr>
              <w:instrText xml:space="preserve"> ADDIN ZOTERO_ITEM CSL_CITATION {"citationID":"H13J7qA2","properties":{"formattedCitation":"[3]","plainCitation":"[3]","noteIndex":0},"citationItems":[{"id":4436,"uris":["http://zotero.org/users/1791235/items/4ZPHHLT3"],"itemData":{"id":4436,"type":"article-journal","abstract":"Background\nMonkeypox is a zoonosis caused by an Orthopoxvirus of the Poxviridae family. Human infections are often severe and are a public health problem.\nPatients and method\nWe conducted a monkeypox outbreak investigation of suspected case patients in five villages of the Alindao-Mingala Health District following blood sample confirmation of the virus by the Institut Pasteur in Bangui. We aimed to determine disease characteristics, to describe the context and the risk factors, and to measure the incidence and case fatality. Patients were reported in the villages of Rehou 4, 5, Dalakere 1, Kongbo, and Pavika from August to October 2016. Data was collected on individual records when interviewing patients or parents.\nResults\nA total of 26 patients were identified. The</w:instrText>
            </w:r>
            <w:r w:rsidR="00D65FF2">
              <w:rPr>
                <w:rFonts w:ascii="Times New Roman" w:eastAsia="Times New Roman" w:hAnsi="Times New Roman" w:cs="Times New Roman"/>
                <w:b w:val="0"/>
                <w:bCs w:val="0"/>
                <w:i/>
                <w:iCs/>
                <w:color w:val="auto"/>
                <w:kern w:val="0"/>
                <w:sz w:val="20"/>
                <w:szCs w:val="20"/>
                <w:lang w:eastAsia="fr-FR"/>
                <w14:ligatures w14:val="none"/>
              </w:rPr>
              <w:instrText>˂</w:instrText>
            </w:r>
            <w:r w:rsidR="00D65FF2">
              <w:rPr>
                <w:rFonts w:ascii="Garamond" w:eastAsia="Times New Roman" w:hAnsi="Garamond"/>
                <w:b w:val="0"/>
                <w:bCs w:val="0"/>
                <w:i/>
                <w:iCs/>
                <w:color w:val="auto"/>
                <w:kern w:val="0"/>
                <w:sz w:val="20"/>
                <w:szCs w:val="20"/>
                <w:lang w:eastAsia="fr-FR"/>
                <w14:ligatures w14:val="none"/>
              </w:rPr>
              <w:instrText>10 years and 21</w:instrText>
            </w:r>
            <w:r w:rsidR="00D65FF2">
              <w:rPr>
                <w:rFonts w:ascii="Garamond" w:eastAsia="Times New Roman" w:hAnsi="Garamond" w:cs="Garamond"/>
                <w:b w:val="0"/>
                <w:bCs w:val="0"/>
                <w:i/>
                <w:iCs/>
                <w:color w:val="auto"/>
                <w:kern w:val="0"/>
                <w:sz w:val="20"/>
                <w:szCs w:val="20"/>
                <w:lang w:eastAsia="fr-FR"/>
                <w14:ligatures w14:val="none"/>
              </w:rPr>
              <w:instrText>–</w:instrText>
            </w:r>
            <w:r w:rsidR="00D65FF2">
              <w:rPr>
                <w:rFonts w:ascii="Garamond" w:eastAsia="Times New Roman" w:hAnsi="Garamond"/>
                <w:b w:val="0"/>
                <w:bCs w:val="0"/>
                <w:i/>
                <w:iCs/>
                <w:color w:val="auto"/>
                <w:kern w:val="0"/>
                <w:sz w:val="20"/>
                <w:szCs w:val="20"/>
                <w:lang w:eastAsia="fr-FR"/>
                <w14:ligatures w14:val="none"/>
              </w:rPr>
              <w:instrText xml:space="preserve">30 years age groups were the most affected. The overall attack rate was 5 per 1000 inhabitants and the case fatality was 7.7%. Young age and the absence of smallpox vaccination were associated with severe presentations in 87.5% of cases.\nConclusion\nThe annual number of monkeypox outbreaks increases in the Central African Republic with severe presentations and a high case fatality especially in children. Reinforcing the surveillance and characterization of circulating strains will provide information on the need for vaccine production.\nRésumé\nContexte\nLe monkeypox est une zoonose due à un Orthopoxvirus de la famille des Poxviridae. L’infection humaine est souvent grave et constitue un problème de santé publique.\nPatients et méthodes\nUne investigation d’épidémie de monkeypox a été réalisée dans le district sanitaire d’Alindao-Mingala, République centre Africaine, autour des cas suspects de cinq villages suite à la confirmation du virus par l’institut Pasteur de Bangui sur prélèvements sanguins. L’objectif était de déterminer les caractéristiques de la maladie, décrire le contexte et les facteurs favorisants et déterminer l’incidence et la létalité. Les cas ont été recensés dans les villages de Rehou 4, 5, Dalakere 1, Kongbo et Pavika d’août à octobre 2016. Les données ont été collectées sur une fiche individuelle par interview des patients et parents.\nRésultats\nAu total, 26 patients ont été recensés. Les tranches d’âge de moins de 10 ans et de 21–30 ans étaient les plus touchées. Le taux d’attaque global était de 5 pour 1000 habitants et la létalité de 7,7 %. Le jeune âge et l’absence de vaccination contre la variole étaient associés aux formes graves de la maladie dans 87,5 % des cas.\nConclusion\nLe nombre annuel de flambée épidémique de monkeypox augmente en République centrafricaine avec des formes graves et une forte létalité en particulier chez les enfants. Le renforcement de la surveillance et la caractérisation des souches circulantes pourront donner des informations sur la nécessité d’une production de vaccin.","container-title":"Médecine et Maladies Infectieuses","DOI":"10.1016/j.medmal.2018.02.010","ISSN":"0399-077X","issue":"4","journalAbbreviation":"Médecine et Maladies Infectieuses","page":"263-268","source":"ScienceDirect","title":"Investigation of an outbreak of monkeypox in an area occupied by armed groups, Central African Republic","volume":"48","author":[{"family":"Kalthan","given":"E."},{"family":"Tenguere","given":"J."},{"family":"Ndjapou","given":"S. G."},{"family":"Koyazengbe","given":"T. A."},{"family":"Mbomba","given":"J."},{"family":"Marada","given":"R. M."},{"family":"Rombebe","given":"P."},{"family":"Yangueme","given":"P."},{"family":"Babamingui","given":"M."},{"family":"Sambella","given":"A."},{"family":"Nakoune","given":"E. R."}],"issued":{"date-parts":[["2018"]]}}}],"schema":"https://github.com/citation-style-language/schema/raw/master/csl-citation.json"} </w:instrText>
            </w:r>
            <w:r w:rsidRPr="00057DEF">
              <w:rPr>
                <w:rFonts w:ascii="Garamond" w:eastAsia="Times New Roman" w:hAnsi="Garamond"/>
                <w:i/>
                <w:iCs/>
                <w:kern w:val="0"/>
                <w:sz w:val="20"/>
                <w:szCs w:val="20"/>
                <w:lang w:eastAsia="fr-FR"/>
                <w14:ligatures w14:val="none"/>
              </w:rPr>
              <w:fldChar w:fldCharType="separate"/>
            </w:r>
            <w:r w:rsidR="00D65FF2" w:rsidRPr="00D65FF2">
              <w:rPr>
                <w:rFonts w:ascii="Garamond" w:hAnsi="Garamond"/>
                <w:sz w:val="20"/>
              </w:rPr>
              <w:t>[3]</w:t>
            </w:r>
            <w:r w:rsidRPr="00057DEF">
              <w:rPr>
                <w:rFonts w:ascii="Garamond" w:eastAsia="Times New Roman" w:hAnsi="Garamond"/>
                <w:i/>
                <w:iCs/>
                <w:kern w:val="0"/>
                <w:sz w:val="20"/>
                <w:szCs w:val="20"/>
                <w:lang w:eastAsia="fr-FR"/>
                <w14:ligatures w14:val="none"/>
              </w:rPr>
              <w:fldChar w:fldCharType="end"/>
            </w:r>
          </w:p>
        </w:tc>
        <w:tc>
          <w:tcPr>
            <w:tcW w:w="1003" w:type="dxa"/>
            <w:noWrap/>
          </w:tcPr>
          <w:p w14:paraId="06A6F843" w14:textId="71B7D6F0"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2016</w:t>
            </w:r>
          </w:p>
        </w:tc>
        <w:tc>
          <w:tcPr>
            <w:tcW w:w="1263" w:type="dxa"/>
            <w:noWrap/>
          </w:tcPr>
          <w:p w14:paraId="4E8EC568" w14:textId="390975A1"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Region 4</w:t>
            </w:r>
          </w:p>
        </w:tc>
        <w:tc>
          <w:tcPr>
            <w:tcW w:w="1278" w:type="dxa"/>
            <w:noWrap/>
          </w:tcPr>
          <w:p w14:paraId="563800EB" w14:textId="0E8F125C"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Calibri" w:hAnsi="Garamond"/>
                <w:color w:val="auto"/>
                <w:sz w:val="20"/>
                <w:szCs w:val="20"/>
              </w:rPr>
              <w:t>Community</w:t>
            </w:r>
          </w:p>
        </w:tc>
        <w:tc>
          <w:tcPr>
            <w:tcW w:w="1133" w:type="dxa"/>
            <w:noWrap/>
          </w:tcPr>
          <w:p w14:paraId="3D8824EB" w14:textId="21BFFC56"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Calibri" w:hAnsi="Garamond"/>
                <w:color w:val="auto"/>
                <w:sz w:val="20"/>
                <w:szCs w:val="20"/>
              </w:rPr>
              <w:t>General population</w:t>
            </w:r>
          </w:p>
        </w:tc>
        <w:tc>
          <w:tcPr>
            <w:tcW w:w="1170" w:type="dxa"/>
          </w:tcPr>
          <w:p w14:paraId="49FFB784" w14:textId="22802F32"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Non-probabilistic</w:t>
            </w:r>
          </w:p>
        </w:tc>
        <w:tc>
          <w:tcPr>
            <w:tcW w:w="1029" w:type="dxa"/>
          </w:tcPr>
          <w:p w14:paraId="723026FB" w14:textId="2ADAE181"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Low</w:t>
            </w:r>
          </w:p>
        </w:tc>
        <w:tc>
          <w:tcPr>
            <w:tcW w:w="1231" w:type="dxa"/>
          </w:tcPr>
          <w:p w14:paraId="533C2C03" w14:textId="1F23657C" w:rsidR="00A7429A" w:rsidRPr="00057DEF" w:rsidRDefault="00A7429A" w:rsidP="00953329">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Severity, case fatality, and vaccine uptake rates</w:t>
            </w:r>
          </w:p>
        </w:tc>
        <w:tc>
          <w:tcPr>
            <w:tcW w:w="3752" w:type="dxa"/>
          </w:tcPr>
          <w:p w14:paraId="1E10BB65" w14:textId="63ACBFAF" w:rsidR="00A7429A" w:rsidRPr="00057DEF" w:rsidRDefault="00A7429A" w:rsidP="00FE0F6F">
            <w:pPr>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A study identified 26 monkeypox cases, with the highest attack rates in children (&lt;10 years) and young adults (21–30 years). The overall attack rate was 5 per 1,000 inhabitants, severe disease occurred predominantly (87.5% of cases) in unvaccinated younger individuals.</w:t>
            </w:r>
          </w:p>
        </w:tc>
      </w:tr>
      <w:tr w:rsidR="00A7429A" w:rsidRPr="00057DEF" w14:paraId="02BF0E75" w14:textId="77777777" w:rsidTr="00762823">
        <w:trPr>
          <w:gridAfter w:val="1"/>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noWrap/>
          </w:tcPr>
          <w:p w14:paraId="13A98BD1" w14:textId="3BC3DAAE" w:rsidR="00A7429A" w:rsidRPr="00057DEF" w:rsidRDefault="00A7429A" w:rsidP="00D65FF2">
            <w:pPr>
              <w:spacing w:line="276" w:lineRule="auto"/>
              <w:rPr>
                <w:rFonts w:ascii="Garamond" w:eastAsia="Times New Roman" w:hAnsi="Garamond"/>
                <w:b w:val="0"/>
                <w:bCs w:val="0"/>
                <w:color w:val="auto"/>
                <w:kern w:val="0"/>
                <w:sz w:val="20"/>
                <w:szCs w:val="20"/>
                <w:lang w:eastAsia="fr-FR"/>
                <w14:ligatures w14:val="none"/>
              </w:rPr>
            </w:pPr>
            <w:proofErr w:type="spellStart"/>
            <w:r w:rsidRPr="00057DEF">
              <w:rPr>
                <w:rFonts w:ascii="Garamond" w:eastAsia="Times New Roman" w:hAnsi="Garamond"/>
                <w:b w:val="0"/>
                <w:bCs w:val="0"/>
                <w:color w:val="auto"/>
                <w:kern w:val="0"/>
                <w:sz w:val="20"/>
                <w:szCs w:val="20"/>
                <w:lang w:eastAsia="fr-FR"/>
                <w14:ligatures w14:val="none"/>
              </w:rPr>
              <w:t>Kalthan</w:t>
            </w:r>
            <w:proofErr w:type="spellEnd"/>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b w:val="0"/>
                <w:bCs w:val="0"/>
                <w:i/>
                <w:iCs/>
                <w:color w:val="auto"/>
                <w:kern w:val="0"/>
                <w:sz w:val="20"/>
                <w:szCs w:val="20"/>
                <w:lang w:eastAsia="fr-FR"/>
                <w14:ligatures w14:val="none"/>
              </w:rPr>
              <w:t>et al.</w:t>
            </w:r>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kern w:val="0"/>
                <w:sz w:val="20"/>
                <w:szCs w:val="20"/>
                <w:lang w:eastAsia="fr-FR"/>
                <w14:ligatures w14:val="none"/>
              </w:rPr>
              <w:fldChar w:fldCharType="begin"/>
            </w:r>
            <w:r w:rsidR="00D65FF2">
              <w:rPr>
                <w:rFonts w:ascii="Garamond" w:eastAsia="Times New Roman" w:hAnsi="Garamond"/>
                <w:b w:val="0"/>
                <w:bCs w:val="0"/>
                <w:color w:val="auto"/>
                <w:kern w:val="0"/>
                <w:sz w:val="20"/>
                <w:szCs w:val="20"/>
                <w:lang w:eastAsia="fr-FR"/>
                <w14:ligatures w14:val="none"/>
              </w:rPr>
              <w:instrText xml:space="preserve"> ADDIN ZOTERO_ITEM CSL_CITATION {"citationID":"LO0Sd2oW","properties":{"formattedCitation":"[4]","plainCitation":"[4]","noteIndex":0},"citationItems":[{"id":3514,"uris":["http://zotero.org/users/1791235/items/SNFPH456"],"itemData":{"id":3514,"type":"article-journal","abstract":"Une épidémie de maladie à virus monkeypox ou « variole du singe » a sévi fin 2015 dans le district de Bangassou. Une enquête a été réalisée dont l’objectif était de décrire l’épidémie selon les temps, les lieux et les personnes, et de déterminer son incidence et sa létalité. La collecte des données a été faite par interview. L’entretien a été réalisé avec les malades ou les parents des enfants malades. Des prélèvements ont été faits pour confirmation au laboratoire de l’Institut Pasteur de Bangui. Nos données ont été analysées avec Epi info7. Au total, 12 malades ont été enregistrés, dont 9 cas secondaires. Les tranches d’âge de 31 à 40 ans et de moins de 10 ans étaient les plus atteintes. La maladie a touché davantage les adultes. La moyenne d’âge était de 25 ans, allant de 15 mois à 41 ans. Le taux d’attaque et la létalité étaient respectivement de 0,2 pour 1 000 habitants et de 25 %. Plus de la moitié de la létalité frappait les enfants de moins de 10 ans. La fièvre et l’éruption cutanée étaient les symptômes dominants. Les adénopathies cervicales étaient présentes chez plus de la moitié des patients. Dix malades sur 12 ont dû être hospitalisés. La durée moyenne d’hospitalisation était de 13 jours. La maladie à virus monkeypox reste, comme la variole, une maladie grave, parfois mortelle. Une identification précise des souches virales s’avère indispensable. Lors d’une épidémie, une bonne communication et l’isolement des malades permettent de diminuer la transmission. D’autres mesures visant à limiter le contact avec la faune forestière pouvant être un réservoir de virus sont à encourager.","container-title":"Bulletin de la Société de pathologie exotique","DOI":"10.1007/s13149-016-0516-z","ISSN":"1961-9049","issue":"5","journalAbbreviation":"Bull. Soc. Pathol. Exot.","language":"fr","page":"358-63","source":"Springer Link","title":"Epidémie de 12 cas de maladie à virus monkeypox dans le district de Bangassou en République Centrafricaine en décembre 2015","volume":"109","author":[{"family":"Kalthan","given":"E."},{"family":"Dondo-Fongbia","given":"J. P."},{"family":"Yambele","given":"S."},{"family":"Dieu-Creer","given":"L. R."},{"family":"Zepio","given":"R."},{"family":"Pamatika","given":"C. M."}],"issued":{"date-parts":[["2016"]]}}}],"schema":"https://github.com/citation-style-language/schema/raw/master/csl-citation.json"} </w:instrText>
            </w:r>
            <w:r w:rsidRPr="00057DEF">
              <w:rPr>
                <w:rFonts w:ascii="Garamond" w:eastAsia="Times New Roman" w:hAnsi="Garamond"/>
                <w:kern w:val="0"/>
                <w:sz w:val="20"/>
                <w:szCs w:val="20"/>
                <w:lang w:eastAsia="fr-FR"/>
                <w14:ligatures w14:val="none"/>
              </w:rPr>
              <w:fldChar w:fldCharType="separate"/>
            </w:r>
            <w:r w:rsidR="00D65FF2" w:rsidRPr="00D65FF2">
              <w:rPr>
                <w:rFonts w:ascii="Garamond" w:hAnsi="Garamond"/>
                <w:sz w:val="20"/>
              </w:rPr>
              <w:t>[4]</w:t>
            </w:r>
            <w:r w:rsidRPr="00057DEF">
              <w:rPr>
                <w:rFonts w:ascii="Garamond" w:eastAsia="Times New Roman" w:hAnsi="Garamond"/>
                <w:kern w:val="0"/>
                <w:sz w:val="20"/>
                <w:szCs w:val="20"/>
                <w:lang w:eastAsia="fr-FR"/>
                <w14:ligatures w14:val="none"/>
              </w:rPr>
              <w:fldChar w:fldCharType="end"/>
            </w:r>
          </w:p>
        </w:tc>
        <w:tc>
          <w:tcPr>
            <w:tcW w:w="1003" w:type="dxa"/>
            <w:noWrap/>
          </w:tcPr>
          <w:p w14:paraId="6A65926A" w14:textId="6977D698"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2015</w:t>
            </w:r>
          </w:p>
        </w:tc>
        <w:tc>
          <w:tcPr>
            <w:tcW w:w="1263" w:type="dxa"/>
            <w:noWrap/>
          </w:tcPr>
          <w:p w14:paraId="55AED3E8" w14:textId="01274909"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Region 6</w:t>
            </w:r>
          </w:p>
        </w:tc>
        <w:tc>
          <w:tcPr>
            <w:tcW w:w="1278" w:type="dxa"/>
            <w:noWrap/>
          </w:tcPr>
          <w:p w14:paraId="2F045E99" w14:textId="3B2EEFC2"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Community</w:t>
            </w:r>
          </w:p>
        </w:tc>
        <w:tc>
          <w:tcPr>
            <w:tcW w:w="1133" w:type="dxa"/>
            <w:noWrap/>
          </w:tcPr>
          <w:p w14:paraId="55ADDBF6" w14:textId="645A2F70"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 xml:space="preserve">General population </w:t>
            </w:r>
          </w:p>
        </w:tc>
        <w:tc>
          <w:tcPr>
            <w:tcW w:w="1170" w:type="dxa"/>
          </w:tcPr>
          <w:p w14:paraId="652A5225" w14:textId="2A9F586C"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Non-probabilistic</w:t>
            </w:r>
          </w:p>
        </w:tc>
        <w:tc>
          <w:tcPr>
            <w:tcW w:w="1029" w:type="dxa"/>
          </w:tcPr>
          <w:p w14:paraId="239E3F78" w14:textId="0228A668"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Low</w:t>
            </w:r>
          </w:p>
        </w:tc>
        <w:tc>
          <w:tcPr>
            <w:tcW w:w="1231" w:type="dxa"/>
          </w:tcPr>
          <w:p w14:paraId="047A7374" w14:textId="29F7C9AA" w:rsidR="00A7429A" w:rsidRPr="00057DEF" w:rsidRDefault="00A7429A" w:rsidP="00953329">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Severity and case fatality rates</w:t>
            </w:r>
          </w:p>
        </w:tc>
        <w:tc>
          <w:tcPr>
            <w:tcW w:w="3752" w:type="dxa"/>
          </w:tcPr>
          <w:p w14:paraId="3E34982F" w14:textId="4625E603" w:rsidR="00A7429A" w:rsidRPr="00057DEF" w:rsidRDefault="00A7429A" w:rsidP="00FE0F6F">
            <w:pPr>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A 2015–2016 monkeypox outbreak in Bangassou, Central African Republic, affected 12 patients (mostly adults aged 31–40 and children under 10), with a 25% fatality rate (67% in children). The disease, marked by fever, rash, and lymphadenopathy (54.5%), had an attack rate of 0.2/1,000 inhabitants, highlighting the need for isolation, community education, and animal reservoir surveillance to curb transmission.</w:t>
            </w:r>
          </w:p>
        </w:tc>
      </w:tr>
      <w:tr w:rsidR="00A7429A" w:rsidRPr="00057DEF" w14:paraId="496884BB" w14:textId="77777777" w:rsidTr="00762823">
        <w:trPr>
          <w:gridAfter w:val="1"/>
          <w:cnfStyle w:val="000000100000" w:firstRow="0" w:lastRow="0" w:firstColumn="0" w:lastColumn="0" w:oddVBand="0" w:evenVBand="0" w:oddHBand="1" w:evenHBand="0" w:firstRowFirstColumn="0" w:firstRowLastColumn="0" w:lastRowFirstColumn="0" w:lastRowLastColumn="0"/>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noWrap/>
          </w:tcPr>
          <w:p w14:paraId="769A47A3" w14:textId="6ABBEBCB" w:rsidR="00A7429A" w:rsidRPr="00057DEF" w:rsidRDefault="00A7429A" w:rsidP="00D65FF2">
            <w:pPr>
              <w:spacing w:line="276" w:lineRule="auto"/>
              <w:rPr>
                <w:rFonts w:ascii="Garamond" w:eastAsia="Times New Roman" w:hAnsi="Garamond"/>
                <w:b w:val="0"/>
                <w:bCs w:val="0"/>
                <w:color w:val="auto"/>
                <w:kern w:val="0"/>
                <w:sz w:val="20"/>
                <w:szCs w:val="20"/>
                <w:lang w:eastAsia="fr-FR"/>
                <w14:ligatures w14:val="none"/>
              </w:rPr>
            </w:pPr>
            <w:proofErr w:type="spellStart"/>
            <w:r w:rsidRPr="00057DEF">
              <w:rPr>
                <w:rFonts w:ascii="Garamond" w:eastAsia="Times New Roman" w:hAnsi="Garamond"/>
                <w:b w:val="0"/>
                <w:bCs w:val="0"/>
                <w:color w:val="auto"/>
                <w:kern w:val="0"/>
                <w:sz w:val="20"/>
                <w:szCs w:val="20"/>
                <w:lang w:eastAsia="fr-FR"/>
                <w14:ligatures w14:val="none"/>
              </w:rPr>
              <w:t>Nakoune</w:t>
            </w:r>
            <w:proofErr w:type="spellEnd"/>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b w:val="0"/>
                <w:bCs w:val="0"/>
                <w:i/>
                <w:iCs/>
                <w:color w:val="auto"/>
                <w:kern w:val="0"/>
                <w:sz w:val="20"/>
                <w:szCs w:val="20"/>
                <w:lang w:eastAsia="fr-FR"/>
                <w14:ligatures w14:val="none"/>
              </w:rPr>
              <w:t>et al.</w:t>
            </w:r>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kern w:val="0"/>
                <w:sz w:val="20"/>
                <w:szCs w:val="20"/>
                <w:lang w:eastAsia="fr-FR"/>
                <w14:ligatures w14:val="none"/>
              </w:rPr>
              <w:fldChar w:fldCharType="begin"/>
            </w:r>
            <w:r w:rsidR="00D65FF2">
              <w:rPr>
                <w:rFonts w:ascii="Garamond" w:eastAsia="Times New Roman" w:hAnsi="Garamond"/>
                <w:b w:val="0"/>
                <w:bCs w:val="0"/>
                <w:color w:val="auto"/>
                <w:kern w:val="0"/>
                <w:sz w:val="20"/>
                <w:szCs w:val="20"/>
                <w:lang w:eastAsia="fr-FR"/>
                <w14:ligatures w14:val="none"/>
              </w:rPr>
              <w:instrText xml:space="preserve"> ADDIN ZOTERO_ITEM CSL_CITATION {"citationID":"wvUQXwOe","properties":{"formattedCitation":"[5]","plainCitation":"[5]","noteIndex":0},"citationItems":[{"id":3697,"uris":["http://zotero.org/users/1791235/items/LJMRJHPG"],"itemData":{"id":3697,"type":"article-journal","abstract":"Abstract\n            An outbreak of familial monkeypox occurred in the Central African Republic in 2015/2016 by 3 transmission modes: familial, health care–related, and transport-related. Ten people (3 children and 7 adults) were infected. Most presented with cutaneous lesions and fever, and 2 children died. The viral strain responsible was a Zaire genotype strain.","container-title":"Open Forum Infectious Diseases","DOI":"10.1093/ofid/ofx168","ISSN":"2328-8957","issue":"4","language":"en","license":"http://creativecommons.org/licenses/by-nc-nd/4.0","page":"ofx168","source":"DOI.org (Crossref)","title":"A Nosocomial Outbreak of Human Monkeypox in the Central African Republic","volume":"4","author":[{"family":"Nakoune","given":"Emmanuel"},{"family":"Lampaert","given":"Emmanuel"},{"family":"Ndjapou","given":"Séverin Gervais"},{"family":"Janssens","given":"Carole"},{"family":"Zuniga","given":"Isabel"},{"family":"Van Herp","given":"Michel"},{"family":"Fongbia","given":"Jean Paul"},{"family":"Koyazegbe","given":"Thomas Daquin"},{"family":"Selekon","given":"Benjamin"},{"family":"Komoyo","given":"Giscard Francis"},{"family":"Garba-Ouangole","given":"Sandra Miriella"},{"family":"Manengu","given":"Casimir"},{"family":"Manuguerra","given":"Jean-Claude"},{"family":"Kazanji","given":"Mirdad"},{"family":"Gessain","given":"Antoine"},{"family":"Berthet","given":"Nicolas"}],"issued":{"date-parts":[["2017"]]}}}],"schema":"https://github.com/citation-style-language/schema/raw/master/csl-citation.json"} </w:instrText>
            </w:r>
            <w:r w:rsidRPr="00057DEF">
              <w:rPr>
                <w:rFonts w:ascii="Garamond" w:eastAsia="Times New Roman" w:hAnsi="Garamond"/>
                <w:kern w:val="0"/>
                <w:sz w:val="20"/>
                <w:szCs w:val="20"/>
                <w:lang w:eastAsia="fr-FR"/>
                <w14:ligatures w14:val="none"/>
              </w:rPr>
              <w:fldChar w:fldCharType="separate"/>
            </w:r>
            <w:r w:rsidR="00D65FF2" w:rsidRPr="00D65FF2">
              <w:rPr>
                <w:rFonts w:ascii="Garamond" w:hAnsi="Garamond"/>
                <w:sz w:val="20"/>
              </w:rPr>
              <w:t>[5]</w:t>
            </w:r>
            <w:r w:rsidRPr="00057DEF">
              <w:rPr>
                <w:rFonts w:ascii="Garamond" w:eastAsia="Times New Roman" w:hAnsi="Garamond"/>
                <w:kern w:val="0"/>
                <w:sz w:val="20"/>
                <w:szCs w:val="20"/>
                <w:lang w:eastAsia="fr-FR"/>
                <w14:ligatures w14:val="none"/>
              </w:rPr>
              <w:fldChar w:fldCharType="end"/>
            </w:r>
          </w:p>
        </w:tc>
        <w:tc>
          <w:tcPr>
            <w:tcW w:w="1003" w:type="dxa"/>
            <w:noWrap/>
          </w:tcPr>
          <w:p w14:paraId="17BB2DB5" w14:textId="0FEF0C93"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2016</w:t>
            </w:r>
          </w:p>
        </w:tc>
        <w:tc>
          <w:tcPr>
            <w:tcW w:w="1263" w:type="dxa"/>
            <w:noWrap/>
          </w:tcPr>
          <w:p w14:paraId="02D53C1E" w14:textId="0ECBBA3E"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Region 6</w:t>
            </w:r>
          </w:p>
        </w:tc>
        <w:tc>
          <w:tcPr>
            <w:tcW w:w="1278" w:type="dxa"/>
            <w:noWrap/>
          </w:tcPr>
          <w:p w14:paraId="497009B0" w14:textId="6DD5CE55"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Community</w:t>
            </w:r>
          </w:p>
        </w:tc>
        <w:tc>
          <w:tcPr>
            <w:tcW w:w="1133" w:type="dxa"/>
            <w:noWrap/>
          </w:tcPr>
          <w:p w14:paraId="6A308705" w14:textId="7B396810"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General population and healthcare workers</w:t>
            </w:r>
          </w:p>
        </w:tc>
        <w:tc>
          <w:tcPr>
            <w:tcW w:w="1170" w:type="dxa"/>
          </w:tcPr>
          <w:p w14:paraId="62ADFA63" w14:textId="3E0FF71C"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Non-probabilistic</w:t>
            </w:r>
          </w:p>
        </w:tc>
        <w:tc>
          <w:tcPr>
            <w:tcW w:w="1029" w:type="dxa"/>
          </w:tcPr>
          <w:p w14:paraId="476BA03A" w14:textId="00A9AA27"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Moderate</w:t>
            </w:r>
          </w:p>
        </w:tc>
        <w:tc>
          <w:tcPr>
            <w:tcW w:w="1231" w:type="dxa"/>
          </w:tcPr>
          <w:p w14:paraId="24FC0268" w14:textId="7D752672" w:rsidR="00A7429A" w:rsidRPr="00057DEF" w:rsidRDefault="00A7429A" w:rsidP="00D038E1">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Severity and case fatality rates</w:t>
            </w:r>
          </w:p>
        </w:tc>
        <w:tc>
          <w:tcPr>
            <w:tcW w:w="3752" w:type="dxa"/>
          </w:tcPr>
          <w:p w14:paraId="2428B9B1" w14:textId="4C85C16E" w:rsidR="00A7429A" w:rsidRPr="00057DEF" w:rsidRDefault="00A7429A" w:rsidP="00FE0F6F">
            <w:pPr>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A 2015/2016 familial monkeypox outbreak in Central African Republic infected 10 individuals through household, healthcare, and transport-related transmission. The Zaire genotype strain caused characteristic fever and skin lesions, with two fatal pediatric cases highlighting the disease's severity in children.</w:t>
            </w:r>
          </w:p>
        </w:tc>
      </w:tr>
      <w:tr w:rsidR="00A7429A" w:rsidRPr="00057DEF" w14:paraId="6931FEC1" w14:textId="77777777" w:rsidTr="00762823">
        <w:trPr>
          <w:gridAfter w:val="1"/>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noWrap/>
          </w:tcPr>
          <w:p w14:paraId="49B8D412" w14:textId="4D27860A" w:rsidR="00A7429A" w:rsidRPr="00057DEF" w:rsidRDefault="00A7429A" w:rsidP="00D65FF2">
            <w:pPr>
              <w:spacing w:line="276" w:lineRule="auto"/>
              <w:rPr>
                <w:rFonts w:ascii="Garamond" w:eastAsia="Times New Roman" w:hAnsi="Garamond"/>
                <w:b w:val="0"/>
                <w:bCs w:val="0"/>
                <w:color w:val="auto"/>
                <w:kern w:val="0"/>
                <w:sz w:val="20"/>
                <w:szCs w:val="20"/>
                <w:lang w:eastAsia="fr-FR"/>
                <w14:ligatures w14:val="none"/>
              </w:rPr>
            </w:pPr>
            <w:proofErr w:type="spellStart"/>
            <w:r w:rsidRPr="00057DEF">
              <w:rPr>
                <w:rFonts w:ascii="Garamond" w:eastAsia="Times New Roman" w:hAnsi="Garamond"/>
                <w:b w:val="0"/>
                <w:bCs w:val="0"/>
                <w:color w:val="auto"/>
                <w:kern w:val="0"/>
                <w:sz w:val="20"/>
                <w:szCs w:val="20"/>
                <w:lang w:eastAsia="fr-FR"/>
                <w14:ligatures w14:val="none"/>
              </w:rPr>
              <w:t>Besombes</w:t>
            </w:r>
            <w:proofErr w:type="spellEnd"/>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b w:val="0"/>
                <w:bCs w:val="0"/>
                <w:i/>
                <w:iCs/>
                <w:color w:val="auto"/>
                <w:kern w:val="0"/>
                <w:sz w:val="20"/>
                <w:szCs w:val="20"/>
                <w:lang w:eastAsia="fr-FR"/>
                <w14:ligatures w14:val="none"/>
              </w:rPr>
              <w:t xml:space="preserve">et al. </w:t>
            </w:r>
            <w:r w:rsidRPr="00057DEF">
              <w:rPr>
                <w:rFonts w:ascii="Garamond" w:eastAsia="Times New Roman" w:hAnsi="Garamond"/>
                <w:i/>
                <w:iCs/>
                <w:kern w:val="0"/>
                <w:sz w:val="20"/>
                <w:szCs w:val="20"/>
                <w:lang w:eastAsia="fr-FR"/>
                <w14:ligatures w14:val="none"/>
              </w:rPr>
              <w:fldChar w:fldCharType="begin"/>
            </w:r>
            <w:r w:rsidR="00D65FF2">
              <w:rPr>
                <w:rFonts w:ascii="Garamond" w:eastAsia="Times New Roman" w:hAnsi="Garamond"/>
                <w:b w:val="0"/>
                <w:bCs w:val="0"/>
                <w:i/>
                <w:iCs/>
                <w:color w:val="auto"/>
                <w:kern w:val="0"/>
                <w:sz w:val="20"/>
                <w:szCs w:val="20"/>
                <w:lang w:eastAsia="fr-FR"/>
                <w14:ligatures w14:val="none"/>
              </w:rPr>
              <w:instrText xml:space="preserve"> ADDIN ZOTERO_ITEM CSL_CITATION {"citationID":"9XFiJvkT","properties":{"formattedCitation":"[6]","plainCitation":"[6]","noteIndex":0},"citationItems":[{"id":4442,"uris":["http://zotero.org/users/1791235/items/9558YNSP"],"itemData":{"id":4442,"type":"article-journal","container-title":"Emerging Infectious Diseases","DOI":"10.3201/eid2508.190112","ISSN":"1080-6040, 1080-6059","issue":"8","journalAbbreviation":"Emerg. Infect. Dis.","page":"1602-1604","source":"DOI.org (Crossref)","title":"Intrafamily Transmission of Monkeypox Virus, Central African Republic, 2018","volume":"25","author":[{"family":"Besombes","given":"Camille"},{"family":"Gonofio","given":"Ella"},{"family":"Konamna","given":"Xavier"},{"family":"Selekon","given":"Benjamin"},{"family":"Gessain","given":"Antoine"},{"family":"Berthet","given":"Nicolas"},{"family":"Manuguerra","given":"Jean-Claude"},{"family":"Fontanet","given":"Arnaud"},{"family":"Nakouné","given":"Emmanuel"}],"issued":{"date-parts":[["2019"]]}}}],"schema":"https://github.com/citation-style-language/schema/raw/master/csl-citation.json"} </w:instrText>
            </w:r>
            <w:r w:rsidRPr="00057DEF">
              <w:rPr>
                <w:rFonts w:ascii="Garamond" w:eastAsia="Times New Roman" w:hAnsi="Garamond"/>
                <w:i/>
                <w:iCs/>
                <w:kern w:val="0"/>
                <w:sz w:val="20"/>
                <w:szCs w:val="20"/>
                <w:lang w:eastAsia="fr-FR"/>
                <w14:ligatures w14:val="none"/>
              </w:rPr>
              <w:fldChar w:fldCharType="separate"/>
            </w:r>
            <w:r w:rsidR="00D65FF2" w:rsidRPr="00D65FF2">
              <w:rPr>
                <w:rFonts w:ascii="Garamond" w:hAnsi="Garamond"/>
                <w:sz w:val="20"/>
              </w:rPr>
              <w:t>[6]</w:t>
            </w:r>
            <w:r w:rsidRPr="00057DEF">
              <w:rPr>
                <w:rFonts w:ascii="Garamond" w:eastAsia="Times New Roman" w:hAnsi="Garamond"/>
                <w:i/>
                <w:iCs/>
                <w:kern w:val="0"/>
                <w:sz w:val="20"/>
                <w:szCs w:val="20"/>
                <w:lang w:eastAsia="fr-FR"/>
                <w14:ligatures w14:val="none"/>
              </w:rPr>
              <w:fldChar w:fldCharType="end"/>
            </w:r>
          </w:p>
        </w:tc>
        <w:tc>
          <w:tcPr>
            <w:tcW w:w="1003" w:type="dxa"/>
            <w:noWrap/>
          </w:tcPr>
          <w:p w14:paraId="52ACA415" w14:textId="045D38BF" w:rsidR="00A7429A" w:rsidRPr="00057DEF" w:rsidRDefault="00A7429A" w:rsidP="00D038E1">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2018</w:t>
            </w:r>
          </w:p>
        </w:tc>
        <w:tc>
          <w:tcPr>
            <w:tcW w:w="1263" w:type="dxa"/>
            <w:noWrap/>
          </w:tcPr>
          <w:p w14:paraId="441FA8E6" w14:textId="71F80FCF" w:rsidR="00A7429A" w:rsidRPr="00057DEF" w:rsidRDefault="00A7429A" w:rsidP="00D038E1">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Region 1</w:t>
            </w:r>
          </w:p>
        </w:tc>
        <w:tc>
          <w:tcPr>
            <w:tcW w:w="1278" w:type="dxa"/>
            <w:noWrap/>
          </w:tcPr>
          <w:p w14:paraId="0D9F4F48" w14:textId="19287811" w:rsidR="00A7429A" w:rsidRPr="00057DEF" w:rsidRDefault="00A7429A" w:rsidP="001C1DF0">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Community</w:t>
            </w:r>
          </w:p>
        </w:tc>
        <w:tc>
          <w:tcPr>
            <w:tcW w:w="1133" w:type="dxa"/>
            <w:noWrap/>
          </w:tcPr>
          <w:p w14:paraId="33B13AD3" w14:textId="4951EC23" w:rsidR="00A7429A" w:rsidRPr="00057DEF" w:rsidRDefault="00A7429A" w:rsidP="001C1DF0">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auto"/>
                <w:kern w:val="0"/>
                <w:sz w:val="20"/>
                <w:szCs w:val="20"/>
                <w:lang w:eastAsia="fr-FR"/>
                <w14:ligatures w14:val="none"/>
              </w:rPr>
            </w:pPr>
            <w:r w:rsidRPr="00057DEF">
              <w:rPr>
                <w:rFonts w:ascii="Garamond" w:eastAsia="Times New Roman" w:hAnsi="Garamond"/>
                <w:color w:val="auto"/>
                <w:kern w:val="0"/>
                <w:sz w:val="20"/>
                <w:szCs w:val="20"/>
                <w:lang w:eastAsia="fr-FR"/>
                <w14:ligatures w14:val="none"/>
              </w:rPr>
              <w:t>General population and healthcare workers</w:t>
            </w:r>
          </w:p>
        </w:tc>
        <w:tc>
          <w:tcPr>
            <w:tcW w:w="1170" w:type="dxa"/>
          </w:tcPr>
          <w:p w14:paraId="45219733" w14:textId="0587B8C7" w:rsidR="00A7429A" w:rsidRPr="00057DEF" w:rsidRDefault="00A7429A" w:rsidP="00D038E1">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Non-probabilistic</w:t>
            </w:r>
          </w:p>
        </w:tc>
        <w:tc>
          <w:tcPr>
            <w:tcW w:w="1029" w:type="dxa"/>
          </w:tcPr>
          <w:p w14:paraId="34B25A57" w14:textId="3806C3EE" w:rsidR="00A7429A" w:rsidRPr="00057DEF" w:rsidRDefault="00A7429A" w:rsidP="00D038E1">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Moderate</w:t>
            </w:r>
          </w:p>
        </w:tc>
        <w:tc>
          <w:tcPr>
            <w:tcW w:w="1231" w:type="dxa"/>
          </w:tcPr>
          <w:p w14:paraId="4116F846" w14:textId="654DB5F7" w:rsidR="00A7429A" w:rsidRPr="00057DEF" w:rsidRDefault="00A7429A" w:rsidP="001C1DF0">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Severity, case fatality, and vaccine uptake rates</w:t>
            </w:r>
          </w:p>
        </w:tc>
        <w:tc>
          <w:tcPr>
            <w:tcW w:w="3752" w:type="dxa"/>
          </w:tcPr>
          <w:p w14:paraId="68CF064F" w14:textId="5AA8C2CC" w:rsidR="00A7429A" w:rsidRPr="00057DEF" w:rsidRDefault="00A7429A" w:rsidP="00FE0F6F">
            <w:pPr>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 xml:space="preserve">In September 2018, a monkeypox outbreak involving an Aka Pygmy family in Central African Republic began when a 25-year-old woman developed symptoms after butchering wild animals, leading to three waves of intrafamilial transmission that ultimately infected five family members. While PCR confirmed six cases (including three children), serologic evidence suggested prior </w:t>
            </w:r>
            <w:proofErr w:type="spellStart"/>
            <w:r w:rsidRPr="00057DEF">
              <w:rPr>
                <w:rFonts w:ascii="Garamond" w:eastAsia="Calibri" w:hAnsi="Garamond"/>
                <w:color w:val="auto"/>
                <w:sz w:val="16"/>
                <w:szCs w:val="16"/>
              </w:rPr>
              <w:t>Orthopoxvirus</w:t>
            </w:r>
            <w:proofErr w:type="spellEnd"/>
            <w:r w:rsidRPr="00057DEF">
              <w:rPr>
                <w:rFonts w:ascii="Garamond" w:eastAsia="Calibri" w:hAnsi="Garamond"/>
                <w:color w:val="auto"/>
                <w:sz w:val="16"/>
                <w:szCs w:val="16"/>
              </w:rPr>
              <w:t xml:space="preserve"> exposure may have limited </w:t>
            </w:r>
            <w:r w:rsidRPr="00057DEF">
              <w:rPr>
                <w:rFonts w:ascii="Garamond" w:eastAsia="Calibri" w:hAnsi="Garamond"/>
                <w:color w:val="auto"/>
                <w:sz w:val="16"/>
                <w:szCs w:val="16"/>
              </w:rPr>
              <w:lastRenderedPageBreak/>
              <w:t>secondary spread, highlighting the role of zoonotic exposure and the waning protection from historic smallpox vaccination campaigns.</w:t>
            </w:r>
          </w:p>
        </w:tc>
      </w:tr>
      <w:tr w:rsidR="00A7429A" w:rsidRPr="00057DEF" w14:paraId="333D315E" w14:textId="77777777" w:rsidTr="00762823">
        <w:trPr>
          <w:gridAfter w:val="1"/>
          <w:cnfStyle w:val="000000100000" w:firstRow="0" w:lastRow="0" w:firstColumn="0" w:lastColumn="0" w:oddVBand="0" w:evenVBand="0" w:oddHBand="1" w:evenHBand="0" w:firstRowFirstColumn="0" w:firstRowLastColumn="0" w:lastRowFirstColumn="0" w:lastRowLastColumn="0"/>
          <w:wAfter w:w="27" w:type="dxa"/>
          <w:trHeight w:val="290"/>
        </w:trPr>
        <w:tc>
          <w:tcPr>
            <w:cnfStyle w:val="001000000000" w:firstRow="0" w:lastRow="0" w:firstColumn="1" w:lastColumn="0" w:oddVBand="0" w:evenVBand="0" w:oddHBand="0" w:evenHBand="0" w:firstRowFirstColumn="0" w:firstRowLastColumn="0" w:lastRowFirstColumn="0" w:lastRowLastColumn="0"/>
            <w:tcW w:w="1702" w:type="dxa"/>
            <w:tcBorders>
              <w:bottom w:val="single" w:sz="12" w:space="0" w:color="auto"/>
            </w:tcBorders>
            <w:noWrap/>
          </w:tcPr>
          <w:p w14:paraId="52735C19" w14:textId="12377F35" w:rsidR="00A7429A" w:rsidRPr="00057DEF" w:rsidRDefault="00A7429A" w:rsidP="00D65FF2">
            <w:pPr>
              <w:spacing w:line="276" w:lineRule="auto"/>
              <w:rPr>
                <w:rFonts w:ascii="Garamond" w:eastAsia="Times New Roman" w:hAnsi="Garamond"/>
                <w:b w:val="0"/>
                <w:bCs w:val="0"/>
                <w:color w:val="auto"/>
                <w:kern w:val="0"/>
                <w:sz w:val="20"/>
                <w:szCs w:val="20"/>
                <w:lang w:eastAsia="fr-FR"/>
                <w14:ligatures w14:val="none"/>
              </w:rPr>
            </w:pPr>
            <w:proofErr w:type="spellStart"/>
            <w:r w:rsidRPr="00057DEF">
              <w:rPr>
                <w:rFonts w:ascii="Garamond" w:eastAsia="Times New Roman" w:hAnsi="Garamond"/>
                <w:b w:val="0"/>
                <w:bCs w:val="0"/>
                <w:color w:val="auto"/>
                <w:kern w:val="0"/>
                <w:sz w:val="20"/>
                <w:szCs w:val="20"/>
                <w:lang w:eastAsia="fr-FR"/>
                <w14:ligatures w14:val="none"/>
              </w:rPr>
              <w:lastRenderedPageBreak/>
              <w:t>Besombes</w:t>
            </w:r>
            <w:proofErr w:type="spellEnd"/>
            <w:r w:rsidRPr="00057DEF">
              <w:rPr>
                <w:rFonts w:ascii="Garamond" w:eastAsia="Times New Roman" w:hAnsi="Garamond"/>
                <w:b w:val="0"/>
                <w:bCs w:val="0"/>
                <w:color w:val="auto"/>
                <w:kern w:val="0"/>
                <w:sz w:val="20"/>
                <w:szCs w:val="20"/>
                <w:lang w:eastAsia="fr-FR"/>
                <w14:ligatures w14:val="none"/>
              </w:rPr>
              <w:t xml:space="preserve"> </w:t>
            </w:r>
            <w:r w:rsidRPr="00057DEF">
              <w:rPr>
                <w:rFonts w:ascii="Garamond" w:eastAsia="Times New Roman" w:hAnsi="Garamond"/>
                <w:b w:val="0"/>
                <w:bCs w:val="0"/>
                <w:i/>
                <w:iCs/>
                <w:color w:val="auto"/>
                <w:kern w:val="0"/>
                <w:sz w:val="20"/>
                <w:szCs w:val="20"/>
                <w:lang w:eastAsia="fr-FR"/>
                <w14:ligatures w14:val="none"/>
              </w:rPr>
              <w:t xml:space="preserve">et al. </w:t>
            </w:r>
            <w:r w:rsidRPr="00057DEF">
              <w:rPr>
                <w:rFonts w:ascii="Garamond" w:eastAsia="Times New Roman" w:hAnsi="Garamond"/>
                <w:kern w:val="0"/>
                <w:sz w:val="20"/>
                <w:szCs w:val="20"/>
                <w:lang w:eastAsia="fr-FR"/>
                <w14:ligatures w14:val="none"/>
              </w:rPr>
              <w:fldChar w:fldCharType="begin"/>
            </w:r>
            <w:r w:rsidR="00D65FF2">
              <w:rPr>
                <w:rFonts w:ascii="Garamond" w:eastAsia="Times New Roman" w:hAnsi="Garamond"/>
                <w:b w:val="0"/>
                <w:bCs w:val="0"/>
                <w:color w:val="auto"/>
                <w:kern w:val="0"/>
                <w:sz w:val="20"/>
                <w:szCs w:val="20"/>
                <w:lang w:eastAsia="fr-FR"/>
                <w14:ligatures w14:val="none"/>
              </w:rPr>
              <w:instrText xml:space="preserve"> ADDIN ZOTERO_ITEM CSL_CITATION {"citationID":"KyWVnMi4","properties":{"formattedCitation":"[7]","plainCitation":"[7]","noteIndex":0},"citationItems":[{"id":4449,"uris":["http://zotero.org/users/1791235/items/YMPMF22V"],"itemData":{"id":4449,"type":"article-journal","abstract":"Human monkeypox virus is spreading globally, and more information is required about its epidemiological and clinical disease characteristics in endemic countries. We report the investigation of an outbreak in November 2021 in Central African Republic (CAR). The primary case, a hunter, fell ill after contact with a non-human primate at the frontier between forest and savannah. The ensuing investigation in a small nearby town concerned two families and four waves of inter-human transmission, with 14 confirmed cases, 11 suspected cases and 17 non-infected contacts, and a secondary attack rate of 59.5% (25/42). Complications were observed in 12 of the 19 (63.2%) confirmed and suspected cases with available clinical follow-up data: eight cases of bronchopneumonia, two of severe dehydration, one corneal ulcer, one abscess, two cutaneous superinfections, and six cutaneous sequelae (cheloid scars, or depigmentation). There was one death, giving a case fatality ratio of 1/25 (4.0%) for confirmed and suspected cases. This outbreak, with the largest number of confirmed cases ever described in CAR, confirms the potential severity of the disease associated with clade I monkeypox viruses, and highlights the need for rapid control over virus circulation to prevent the further national and international spread of infection.","container-title":"One Health","DOI":"10.1016/j.onehlt.2023.100523","ISSN":"2352-7714","journalAbbreviation":"One Health","page":"100523","source":"ScienceDirect","title":"Investigation of a mpox outbreak in Central African Republic, 2021-2022","volume":"16","author":[{"family":"Besombes","given":"C."},{"family":"Mbrenga","given":"F."},{"family":"Malaka","given":"C."},{"family":"Gonofio","given":"E."},{"family":"Schaeffer","given":"L."},{"family":"Konamna","given":"X."},{"family":"Selekon","given":"B."},{"family":"Namsenei-Dankpea","given":"J."},{"family":"Gildas Lemon","given":"C."},{"family":"Landier","given":"J."},{"family":"Platen","given":"C.","non-dropping-particle":"von"},{"family":"Gessain","given":"A."},{"family":"Manuguerra","given":"J. C."},{"family":"Fontanet","given":"A."},{"family":"Nakouné","given":"E."}],"issued":{"date-parts":[["2023"]]}}}],"schema":"https://github.com/citation-style-language/schema/raw/master/csl-citation.json"} </w:instrText>
            </w:r>
            <w:r w:rsidRPr="00057DEF">
              <w:rPr>
                <w:rFonts w:ascii="Garamond" w:eastAsia="Times New Roman" w:hAnsi="Garamond"/>
                <w:kern w:val="0"/>
                <w:sz w:val="20"/>
                <w:szCs w:val="20"/>
                <w:lang w:eastAsia="fr-FR"/>
                <w14:ligatures w14:val="none"/>
              </w:rPr>
              <w:fldChar w:fldCharType="separate"/>
            </w:r>
            <w:r w:rsidR="00D65FF2" w:rsidRPr="00D65FF2">
              <w:rPr>
                <w:rFonts w:ascii="Garamond" w:hAnsi="Garamond"/>
                <w:sz w:val="20"/>
              </w:rPr>
              <w:t>[7]</w:t>
            </w:r>
            <w:r w:rsidRPr="00057DEF">
              <w:rPr>
                <w:rFonts w:ascii="Garamond" w:eastAsia="Times New Roman" w:hAnsi="Garamond"/>
                <w:kern w:val="0"/>
                <w:sz w:val="20"/>
                <w:szCs w:val="20"/>
                <w:lang w:eastAsia="fr-FR"/>
                <w14:ligatures w14:val="none"/>
              </w:rPr>
              <w:fldChar w:fldCharType="end"/>
            </w:r>
          </w:p>
        </w:tc>
        <w:tc>
          <w:tcPr>
            <w:tcW w:w="1003" w:type="dxa"/>
            <w:tcBorders>
              <w:bottom w:val="single" w:sz="12" w:space="0" w:color="auto"/>
            </w:tcBorders>
            <w:noWrap/>
          </w:tcPr>
          <w:p w14:paraId="2EA10479" w14:textId="65C128EE"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2022</w:t>
            </w:r>
          </w:p>
        </w:tc>
        <w:tc>
          <w:tcPr>
            <w:tcW w:w="1263" w:type="dxa"/>
            <w:tcBorders>
              <w:bottom w:val="single" w:sz="12" w:space="0" w:color="auto"/>
            </w:tcBorders>
            <w:noWrap/>
          </w:tcPr>
          <w:p w14:paraId="7235642E" w14:textId="502AAB57"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Region 2</w:t>
            </w:r>
          </w:p>
        </w:tc>
        <w:tc>
          <w:tcPr>
            <w:tcW w:w="1278" w:type="dxa"/>
            <w:tcBorders>
              <w:bottom w:val="single" w:sz="12" w:space="0" w:color="auto"/>
            </w:tcBorders>
            <w:noWrap/>
          </w:tcPr>
          <w:p w14:paraId="05512AD5" w14:textId="22EDD4E3"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Community</w:t>
            </w:r>
          </w:p>
        </w:tc>
        <w:tc>
          <w:tcPr>
            <w:tcW w:w="1133" w:type="dxa"/>
            <w:tcBorders>
              <w:bottom w:val="single" w:sz="12" w:space="0" w:color="auto"/>
            </w:tcBorders>
            <w:noWrap/>
          </w:tcPr>
          <w:p w14:paraId="15E4D312" w14:textId="190CCB27"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Times New Roman" w:hAnsi="Garamond"/>
                <w:color w:val="auto"/>
                <w:kern w:val="0"/>
                <w:sz w:val="20"/>
                <w:szCs w:val="20"/>
                <w:lang w:eastAsia="fr-FR"/>
                <w14:ligatures w14:val="none"/>
              </w:rPr>
              <w:t>General population</w:t>
            </w:r>
          </w:p>
        </w:tc>
        <w:tc>
          <w:tcPr>
            <w:tcW w:w="1170" w:type="dxa"/>
            <w:tcBorders>
              <w:bottom w:val="single" w:sz="12" w:space="0" w:color="auto"/>
            </w:tcBorders>
          </w:tcPr>
          <w:p w14:paraId="4853ABF1" w14:textId="1D576E01"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Non-probabilistic</w:t>
            </w:r>
          </w:p>
        </w:tc>
        <w:tc>
          <w:tcPr>
            <w:tcW w:w="1029" w:type="dxa"/>
            <w:tcBorders>
              <w:bottom w:val="single" w:sz="12" w:space="0" w:color="auto"/>
            </w:tcBorders>
          </w:tcPr>
          <w:p w14:paraId="4CF81291" w14:textId="091955EC"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Low</w:t>
            </w:r>
          </w:p>
        </w:tc>
        <w:tc>
          <w:tcPr>
            <w:tcW w:w="1231" w:type="dxa"/>
            <w:tcBorders>
              <w:bottom w:val="single" w:sz="12" w:space="0" w:color="auto"/>
            </w:tcBorders>
          </w:tcPr>
          <w:p w14:paraId="3E849A7E" w14:textId="5725E28B" w:rsidR="00A7429A" w:rsidRPr="00057DEF" w:rsidRDefault="00A7429A" w:rsidP="00C26C57">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rPr>
            </w:pPr>
            <w:r w:rsidRPr="00057DEF">
              <w:rPr>
                <w:rFonts w:ascii="Garamond" w:eastAsia="Calibri" w:hAnsi="Garamond"/>
                <w:color w:val="auto"/>
                <w:sz w:val="20"/>
                <w:szCs w:val="20"/>
              </w:rPr>
              <w:t>Severity and case fatality rates</w:t>
            </w:r>
          </w:p>
        </w:tc>
        <w:tc>
          <w:tcPr>
            <w:tcW w:w="3752" w:type="dxa"/>
            <w:tcBorders>
              <w:bottom w:val="single" w:sz="12" w:space="0" w:color="auto"/>
            </w:tcBorders>
          </w:tcPr>
          <w:p w14:paraId="7B136CAD" w14:textId="5FBB3897" w:rsidR="00A7429A" w:rsidRPr="00057DEF" w:rsidRDefault="00A7429A" w:rsidP="004979D6">
            <w:pPr>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16"/>
                <w:szCs w:val="16"/>
              </w:rPr>
            </w:pPr>
            <w:r w:rsidRPr="00057DEF">
              <w:rPr>
                <w:rFonts w:ascii="Garamond" w:eastAsia="Calibri" w:hAnsi="Garamond"/>
                <w:color w:val="auto"/>
                <w:sz w:val="16"/>
                <w:szCs w:val="16"/>
              </w:rPr>
              <w:t>A November 2021 monkeypox outbreak in Central African Republic originated from a hunter's contact with a primate, sparking four transmission waves across two families with a 59.5% secondary attack rate (14 confirmed cases). The clade I virus caused severe complications (63.2% of cases) including bronchopneumonia and skin sequelae, with 4% mortality, demonstrating both the high transmissibility and clinical severity of endemic strains that risk international spread</w:t>
            </w:r>
          </w:p>
        </w:tc>
      </w:tr>
      <w:tr w:rsidR="00A7429A" w:rsidRPr="00057DEF" w14:paraId="33715042" w14:textId="77777777" w:rsidTr="00762823">
        <w:trPr>
          <w:trHeight w:val="290"/>
        </w:trPr>
        <w:tc>
          <w:tcPr>
            <w:cnfStyle w:val="001000000000" w:firstRow="0" w:lastRow="0" w:firstColumn="1" w:lastColumn="0" w:oddVBand="0" w:evenVBand="0" w:oddHBand="0" w:evenHBand="0" w:firstRowFirstColumn="0" w:firstRowLastColumn="0" w:lastRowFirstColumn="0" w:lastRowLastColumn="0"/>
            <w:tcW w:w="13588" w:type="dxa"/>
            <w:gridSpan w:val="10"/>
            <w:tcBorders>
              <w:top w:val="single" w:sz="12" w:space="0" w:color="auto"/>
              <w:bottom w:val="nil"/>
            </w:tcBorders>
            <w:noWrap/>
          </w:tcPr>
          <w:p w14:paraId="25F7EDFA" w14:textId="3E98AEC4" w:rsidR="00A7429A" w:rsidRPr="00057DEF" w:rsidRDefault="00A7429A" w:rsidP="004979D6">
            <w:pPr>
              <w:spacing w:line="276" w:lineRule="auto"/>
              <w:jc w:val="both"/>
              <w:rPr>
                <w:rFonts w:ascii="Garamond" w:eastAsia="Calibri" w:hAnsi="Garamond"/>
                <w:sz w:val="16"/>
                <w:szCs w:val="16"/>
              </w:rPr>
            </w:pPr>
            <w:r w:rsidRPr="00057DEF">
              <w:rPr>
                <w:rFonts w:ascii="Garamond" w:eastAsia="Calibri" w:hAnsi="Garamond"/>
                <w:b w:val="0"/>
                <w:bCs w:val="0"/>
                <w:color w:val="auto"/>
                <w:sz w:val="18"/>
                <w:szCs w:val="18"/>
                <w:vertAlign w:val="superscript"/>
              </w:rPr>
              <w:t xml:space="preserve">1 </w:t>
            </w:r>
            <w:r w:rsidRPr="00057DEF">
              <w:rPr>
                <w:rFonts w:ascii="Garamond" w:eastAsia="Calibri" w:hAnsi="Garamond"/>
                <w:b w:val="0"/>
                <w:bCs w:val="0"/>
                <w:color w:val="auto"/>
                <w:sz w:val="18"/>
                <w:szCs w:val="18"/>
              </w:rPr>
              <w:t>Date of study completion; CFR: Case fatality rate; NR: Not reported</w:t>
            </w:r>
          </w:p>
        </w:tc>
      </w:tr>
    </w:tbl>
    <w:p w14:paraId="7ADDD84F" w14:textId="77777777" w:rsidR="0004303F" w:rsidRPr="00AB5003" w:rsidRDefault="0004303F" w:rsidP="00481B10">
      <w:pPr>
        <w:ind w:firstLine="720"/>
        <w:rPr>
          <w:rFonts w:ascii="Garamond" w:hAnsi="Garamond"/>
        </w:rPr>
      </w:pPr>
    </w:p>
    <w:p w14:paraId="03CEA54A" w14:textId="77777777" w:rsidR="000E1202" w:rsidRPr="00AB5003" w:rsidRDefault="000E1202" w:rsidP="00481B10">
      <w:pPr>
        <w:ind w:firstLine="720"/>
        <w:rPr>
          <w:rFonts w:ascii="Garamond" w:hAnsi="Garamond"/>
        </w:rPr>
      </w:pPr>
    </w:p>
    <w:p w14:paraId="7B15C91E" w14:textId="6847ABD9" w:rsidR="00D607BA" w:rsidRPr="00AB5003" w:rsidRDefault="00F1363F" w:rsidP="00A13739">
      <w:pPr>
        <w:pStyle w:val="Lgende"/>
        <w:rPr>
          <w:rFonts w:ascii="Garamond" w:hAnsi="Garamond"/>
        </w:rPr>
      </w:pPr>
      <w:r w:rsidRPr="00AB5003">
        <w:rPr>
          <w:rFonts w:ascii="Garamond" w:hAnsi="Garamond"/>
        </w:rPr>
        <w:t xml:space="preserve">Supplementary Table </w:t>
      </w:r>
      <w:r w:rsidRPr="00AB5003">
        <w:rPr>
          <w:rFonts w:ascii="Garamond" w:hAnsi="Garamond"/>
        </w:rPr>
        <w:fldChar w:fldCharType="begin"/>
      </w:r>
      <w:r w:rsidRPr="00AB5003">
        <w:rPr>
          <w:rFonts w:ascii="Garamond" w:hAnsi="Garamond"/>
        </w:rPr>
        <w:instrText xml:space="preserve"> SEQ Supplementary_Table \* ARABIC </w:instrText>
      </w:r>
      <w:r w:rsidRPr="00AB5003">
        <w:rPr>
          <w:rFonts w:ascii="Garamond" w:hAnsi="Garamond"/>
        </w:rPr>
        <w:fldChar w:fldCharType="separate"/>
      </w:r>
      <w:r w:rsidRPr="00AB5003">
        <w:rPr>
          <w:rFonts w:ascii="Garamond" w:hAnsi="Garamond"/>
          <w:noProof/>
        </w:rPr>
        <w:t>2</w:t>
      </w:r>
      <w:r w:rsidRPr="00AB5003">
        <w:rPr>
          <w:rFonts w:ascii="Garamond" w:hAnsi="Garamond"/>
          <w:noProof/>
        </w:rPr>
        <w:fldChar w:fldCharType="end"/>
      </w:r>
      <w:r w:rsidRPr="00AB5003">
        <w:rPr>
          <w:rFonts w:ascii="Garamond" w:hAnsi="Garamond"/>
        </w:rPr>
        <w:t xml:space="preserve"> </w:t>
      </w:r>
      <w:r w:rsidRPr="00AB5003">
        <w:rPr>
          <w:rFonts w:ascii="Garamond" w:hAnsi="Garamond"/>
          <w:b w:val="0"/>
          <w:bCs w:val="0"/>
        </w:rPr>
        <w:t>Searching Strategies for online database</w:t>
      </w:r>
      <w:r w:rsidR="00AB74FB" w:rsidRPr="00AB5003">
        <w:rPr>
          <w:rFonts w:ascii="Garamond" w:hAnsi="Garamond"/>
          <w:b w:val="0"/>
          <w:bCs w:val="0"/>
        </w:rPr>
        <w:t xml:space="preserve">s </w:t>
      </w:r>
    </w:p>
    <w:tbl>
      <w:tblPr>
        <w:tblStyle w:val="Grilledutableau"/>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45"/>
        <w:gridCol w:w="5846"/>
        <w:gridCol w:w="5515"/>
      </w:tblGrid>
      <w:tr w:rsidR="00973F15" w:rsidRPr="00AB5003" w14:paraId="0DEA2FC5" w14:textId="770DEBBA" w:rsidTr="0015014C">
        <w:trPr>
          <w:trHeight w:val="47"/>
        </w:trPr>
        <w:tc>
          <w:tcPr>
            <w:tcW w:w="1645" w:type="dxa"/>
            <w:tcBorders>
              <w:top w:val="single" w:sz="12" w:space="0" w:color="auto"/>
              <w:bottom w:val="single" w:sz="12" w:space="0" w:color="auto"/>
            </w:tcBorders>
          </w:tcPr>
          <w:p w14:paraId="1E1A03CF" w14:textId="77777777" w:rsidR="00973F15" w:rsidRPr="00AB5003" w:rsidRDefault="00973F15" w:rsidP="001D2C96">
            <w:pPr>
              <w:widowControl w:val="0"/>
              <w:jc w:val="both"/>
              <w:rPr>
                <w:rFonts w:ascii="Garamond" w:hAnsi="Garamond" w:cs="Segoe UI"/>
                <w:sz w:val="20"/>
                <w:szCs w:val="20"/>
                <w:lang w:val="en-AU"/>
              </w:rPr>
            </w:pPr>
            <w:r w:rsidRPr="00AB5003">
              <w:rPr>
                <w:rFonts w:ascii="Garamond" w:hAnsi="Garamond" w:cs="Segoe UI"/>
                <w:sz w:val="20"/>
                <w:szCs w:val="20"/>
                <w:lang w:val="en-AU"/>
              </w:rPr>
              <w:t>Database</w:t>
            </w:r>
          </w:p>
        </w:tc>
        <w:tc>
          <w:tcPr>
            <w:tcW w:w="5846" w:type="dxa"/>
            <w:tcBorders>
              <w:top w:val="single" w:sz="12" w:space="0" w:color="auto"/>
              <w:bottom w:val="single" w:sz="12" w:space="0" w:color="auto"/>
            </w:tcBorders>
          </w:tcPr>
          <w:p w14:paraId="6710E33B" w14:textId="77777777" w:rsidR="00973F15" w:rsidRPr="00AB5003" w:rsidRDefault="00973F15" w:rsidP="001D2C96">
            <w:pPr>
              <w:widowControl w:val="0"/>
              <w:jc w:val="both"/>
              <w:rPr>
                <w:rFonts w:ascii="Garamond" w:hAnsi="Garamond" w:cs="Segoe UI"/>
                <w:sz w:val="20"/>
                <w:szCs w:val="20"/>
                <w:lang w:val="en-AU"/>
              </w:rPr>
            </w:pPr>
            <w:r w:rsidRPr="00AB5003">
              <w:rPr>
                <w:rFonts w:ascii="Garamond" w:hAnsi="Garamond" w:cs="Segoe UI"/>
                <w:sz w:val="20"/>
                <w:szCs w:val="20"/>
                <w:lang w:val="en-AU"/>
              </w:rPr>
              <w:t>Search Term</w:t>
            </w:r>
          </w:p>
        </w:tc>
        <w:tc>
          <w:tcPr>
            <w:tcW w:w="5515" w:type="dxa"/>
            <w:tcBorders>
              <w:top w:val="single" w:sz="12" w:space="0" w:color="auto"/>
              <w:bottom w:val="single" w:sz="12" w:space="0" w:color="auto"/>
            </w:tcBorders>
          </w:tcPr>
          <w:p w14:paraId="6C1923A5" w14:textId="6481075B" w:rsidR="00973F15" w:rsidRPr="00AB5003" w:rsidRDefault="00973F15" w:rsidP="001D2C96">
            <w:pPr>
              <w:widowControl w:val="0"/>
              <w:jc w:val="both"/>
              <w:rPr>
                <w:rFonts w:ascii="Garamond" w:hAnsi="Garamond"/>
                <w:sz w:val="20"/>
                <w:szCs w:val="20"/>
                <w:lang w:val="en-AU"/>
              </w:rPr>
            </w:pPr>
            <w:r w:rsidRPr="00AB5003">
              <w:rPr>
                <w:rFonts w:ascii="Garamond" w:hAnsi="Garamond"/>
                <w:sz w:val="20"/>
                <w:szCs w:val="20"/>
                <w:lang w:val="en-AU"/>
              </w:rPr>
              <w:t>Results</w:t>
            </w:r>
          </w:p>
        </w:tc>
      </w:tr>
      <w:tr w:rsidR="00973F15" w:rsidRPr="00AB5003" w14:paraId="4EB80951" w14:textId="1B79727F" w:rsidTr="0015014C">
        <w:tc>
          <w:tcPr>
            <w:tcW w:w="1645" w:type="dxa"/>
            <w:tcBorders>
              <w:top w:val="single" w:sz="12" w:space="0" w:color="auto"/>
              <w:bottom w:val="single" w:sz="4" w:space="0" w:color="auto"/>
            </w:tcBorders>
          </w:tcPr>
          <w:p w14:paraId="6C374A2B" w14:textId="77777777" w:rsidR="00973F15" w:rsidRPr="00AB5003" w:rsidRDefault="00973F15" w:rsidP="001D2C96">
            <w:pPr>
              <w:widowControl w:val="0"/>
              <w:jc w:val="both"/>
              <w:rPr>
                <w:rFonts w:ascii="Garamond" w:hAnsi="Garamond" w:cs="Segoe UI"/>
                <w:sz w:val="20"/>
                <w:szCs w:val="20"/>
                <w:lang w:val="en-AU"/>
              </w:rPr>
            </w:pPr>
            <w:r w:rsidRPr="00AB5003">
              <w:rPr>
                <w:rFonts w:ascii="Garamond" w:hAnsi="Garamond" w:cs="Segoe UI"/>
                <w:sz w:val="20"/>
                <w:szCs w:val="20"/>
                <w:lang w:val="en-AU"/>
              </w:rPr>
              <w:t>PubMed</w:t>
            </w:r>
          </w:p>
        </w:tc>
        <w:tc>
          <w:tcPr>
            <w:tcW w:w="5846" w:type="dxa"/>
            <w:tcBorders>
              <w:top w:val="single" w:sz="12" w:space="0" w:color="auto"/>
              <w:bottom w:val="single" w:sz="4" w:space="0" w:color="auto"/>
            </w:tcBorders>
          </w:tcPr>
          <w:p w14:paraId="5B7CACC6" w14:textId="77777777" w:rsidR="00973F15" w:rsidRPr="00AB5003" w:rsidRDefault="00973F15" w:rsidP="005B03C1">
            <w:pPr>
              <w:widowControl w:val="0"/>
              <w:jc w:val="both"/>
              <w:rPr>
                <w:rFonts w:ascii="Garamond" w:hAnsi="Garamond"/>
                <w:sz w:val="20"/>
                <w:szCs w:val="20"/>
              </w:rPr>
            </w:pPr>
            <w:r w:rsidRPr="00AB5003">
              <w:rPr>
                <w:rFonts w:ascii="Garamond" w:hAnsi="Garamond"/>
                <w:sz w:val="20"/>
                <w:szCs w:val="20"/>
              </w:rPr>
              <w:t>(</w:t>
            </w:r>
          </w:p>
          <w:p w14:paraId="58FD006B" w14:textId="77777777" w:rsidR="00973F15" w:rsidRPr="00AB5003" w:rsidRDefault="00973F15" w:rsidP="005B03C1">
            <w:pPr>
              <w:widowControl w:val="0"/>
              <w:jc w:val="both"/>
              <w:rPr>
                <w:rFonts w:ascii="Garamond" w:hAnsi="Garamond"/>
                <w:sz w:val="20"/>
                <w:szCs w:val="20"/>
              </w:rPr>
            </w:pPr>
            <w:r w:rsidRPr="00AB5003">
              <w:rPr>
                <w:rFonts w:ascii="Garamond" w:hAnsi="Garamond"/>
                <w:sz w:val="20"/>
                <w:szCs w:val="20"/>
              </w:rPr>
              <w:t xml:space="preserve">  ("Monkeypox"[Mesh] OR "monkeypox"[</w:t>
            </w:r>
            <w:proofErr w:type="spellStart"/>
            <w:r w:rsidRPr="00AB5003">
              <w:rPr>
                <w:rFonts w:ascii="Garamond" w:hAnsi="Garamond"/>
                <w:sz w:val="20"/>
                <w:szCs w:val="20"/>
              </w:rPr>
              <w:t>tiab</w:t>
            </w:r>
            <w:proofErr w:type="spellEnd"/>
            <w:r w:rsidRPr="00AB5003">
              <w:rPr>
                <w:rFonts w:ascii="Garamond" w:hAnsi="Garamond"/>
                <w:sz w:val="20"/>
                <w:szCs w:val="20"/>
              </w:rPr>
              <w:t>] OR "monkeypox virus"[</w:t>
            </w:r>
            <w:proofErr w:type="spellStart"/>
            <w:r w:rsidRPr="00AB5003">
              <w:rPr>
                <w:rFonts w:ascii="Garamond" w:hAnsi="Garamond"/>
                <w:sz w:val="20"/>
                <w:szCs w:val="20"/>
              </w:rPr>
              <w:t>tiab</w:t>
            </w:r>
            <w:proofErr w:type="spellEnd"/>
            <w:r w:rsidRPr="00AB5003">
              <w:rPr>
                <w:rFonts w:ascii="Garamond" w:hAnsi="Garamond"/>
                <w:sz w:val="20"/>
                <w:szCs w:val="20"/>
              </w:rPr>
              <w:t>] OR "human monkeypox"[</w:t>
            </w:r>
            <w:proofErr w:type="spellStart"/>
            <w:r w:rsidRPr="00AB5003">
              <w:rPr>
                <w:rFonts w:ascii="Garamond" w:hAnsi="Garamond"/>
                <w:sz w:val="20"/>
                <w:szCs w:val="20"/>
              </w:rPr>
              <w:t>tiab</w:t>
            </w:r>
            <w:proofErr w:type="spellEnd"/>
            <w:r w:rsidRPr="00AB5003">
              <w:rPr>
                <w:rFonts w:ascii="Garamond" w:hAnsi="Garamond"/>
                <w:sz w:val="20"/>
                <w:szCs w:val="20"/>
              </w:rPr>
              <w:t>] OR "Mpox"[</w:t>
            </w:r>
            <w:proofErr w:type="spellStart"/>
            <w:r w:rsidRPr="00AB5003">
              <w:rPr>
                <w:rFonts w:ascii="Garamond" w:hAnsi="Garamond"/>
                <w:sz w:val="20"/>
                <w:szCs w:val="20"/>
              </w:rPr>
              <w:t>tiab</w:t>
            </w:r>
            <w:proofErr w:type="spellEnd"/>
            <w:r w:rsidRPr="00AB5003">
              <w:rPr>
                <w:rFonts w:ascii="Garamond" w:hAnsi="Garamond"/>
                <w:sz w:val="20"/>
                <w:szCs w:val="20"/>
              </w:rPr>
              <w:t>] OR "mpox"[</w:t>
            </w:r>
            <w:proofErr w:type="spellStart"/>
            <w:r w:rsidRPr="00AB5003">
              <w:rPr>
                <w:rFonts w:ascii="Garamond" w:hAnsi="Garamond"/>
                <w:sz w:val="20"/>
                <w:szCs w:val="20"/>
              </w:rPr>
              <w:t>tiab</w:t>
            </w:r>
            <w:proofErr w:type="spellEnd"/>
            <w:r w:rsidRPr="00AB5003">
              <w:rPr>
                <w:rFonts w:ascii="Garamond" w:hAnsi="Garamond"/>
                <w:sz w:val="20"/>
                <w:szCs w:val="20"/>
              </w:rPr>
              <w:t>] OR "MPX"[</w:t>
            </w:r>
            <w:proofErr w:type="spellStart"/>
            <w:r w:rsidRPr="00AB5003">
              <w:rPr>
                <w:rFonts w:ascii="Garamond" w:hAnsi="Garamond"/>
                <w:sz w:val="20"/>
                <w:szCs w:val="20"/>
              </w:rPr>
              <w:t>tiab</w:t>
            </w:r>
            <w:proofErr w:type="spellEnd"/>
            <w:r w:rsidRPr="00AB5003">
              <w:rPr>
                <w:rFonts w:ascii="Garamond" w:hAnsi="Garamond"/>
                <w:sz w:val="20"/>
                <w:szCs w:val="20"/>
              </w:rPr>
              <w:t xml:space="preserve">])  </w:t>
            </w:r>
          </w:p>
          <w:p w14:paraId="7D05F690" w14:textId="77777777" w:rsidR="00973F15" w:rsidRPr="00AB5003" w:rsidRDefault="00973F15" w:rsidP="005B03C1">
            <w:pPr>
              <w:widowControl w:val="0"/>
              <w:jc w:val="both"/>
              <w:rPr>
                <w:rFonts w:ascii="Garamond" w:hAnsi="Garamond"/>
                <w:sz w:val="20"/>
                <w:szCs w:val="20"/>
              </w:rPr>
            </w:pPr>
            <w:r w:rsidRPr="00AB5003">
              <w:rPr>
                <w:rFonts w:ascii="Garamond" w:hAnsi="Garamond"/>
                <w:sz w:val="20"/>
                <w:szCs w:val="20"/>
              </w:rPr>
              <w:t xml:space="preserve">  AND  </w:t>
            </w:r>
          </w:p>
          <w:p w14:paraId="68D0EF84" w14:textId="78411667" w:rsidR="00973F15" w:rsidRPr="00AB5003" w:rsidRDefault="00973F15" w:rsidP="005B03C1">
            <w:pPr>
              <w:widowControl w:val="0"/>
              <w:jc w:val="both"/>
              <w:rPr>
                <w:rFonts w:ascii="Garamond" w:hAnsi="Garamond"/>
                <w:sz w:val="20"/>
                <w:szCs w:val="20"/>
              </w:rPr>
            </w:pPr>
            <w:r w:rsidRPr="00AB5003">
              <w:rPr>
                <w:rFonts w:ascii="Garamond" w:hAnsi="Garamond"/>
                <w:sz w:val="20"/>
                <w:szCs w:val="20"/>
              </w:rPr>
              <w:t xml:space="preserve">  ("Epidemiology"[Mesh] OR "epidemiological"[</w:t>
            </w:r>
            <w:proofErr w:type="spellStart"/>
            <w:r w:rsidRPr="00AB5003">
              <w:rPr>
                <w:rFonts w:ascii="Garamond" w:hAnsi="Garamond"/>
                <w:sz w:val="20"/>
                <w:szCs w:val="20"/>
              </w:rPr>
              <w:t>tiab</w:t>
            </w:r>
            <w:proofErr w:type="spellEnd"/>
            <w:r w:rsidRPr="00AB5003">
              <w:rPr>
                <w:rFonts w:ascii="Garamond" w:hAnsi="Garamond"/>
                <w:sz w:val="20"/>
                <w:szCs w:val="20"/>
              </w:rPr>
              <w:t>] OR "Disease Outbreaks"[Mesh] OR "Public Health Surveillance"[Mesh] OR "surveillance"[</w:t>
            </w:r>
            <w:proofErr w:type="spellStart"/>
            <w:r w:rsidRPr="00AB5003">
              <w:rPr>
                <w:rFonts w:ascii="Garamond" w:hAnsi="Garamond"/>
                <w:sz w:val="20"/>
                <w:szCs w:val="20"/>
              </w:rPr>
              <w:t>tiab</w:t>
            </w:r>
            <w:proofErr w:type="spellEnd"/>
            <w:r w:rsidRPr="00AB5003">
              <w:rPr>
                <w:rFonts w:ascii="Garamond" w:hAnsi="Garamond"/>
                <w:sz w:val="20"/>
                <w:szCs w:val="20"/>
              </w:rPr>
              <w:t>] OR "Clinical Characteristics"[</w:t>
            </w:r>
            <w:proofErr w:type="spellStart"/>
            <w:r w:rsidRPr="00AB5003">
              <w:rPr>
                <w:rFonts w:ascii="Garamond" w:hAnsi="Garamond"/>
                <w:sz w:val="20"/>
                <w:szCs w:val="20"/>
              </w:rPr>
              <w:t>tiab</w:t>
            </w:r>
            <w:proofErr w:type="spellEnd"/>
            <w:r w:rsidRPr="00AB5003">
              <w:rPr>
                <w:rFonts w:ascii="Garamond" w:hAnsi="Garamond"/>
                <w:sz w:val="20"/>
                <w:szCs w:val="20"/>
              </w:rPr>
              <w:t>] OR "Severity of Illness Index"[Mesh] OR "severe"[</w:t>
            </w:r>
            <w:proofErr w:type="spellStart"/>
            <w:r w:rsidRPr="00AB5003">
              <w:rPr>
                <w:rFonts w:ascii="Garamond" w:hAnsi="Garamond"/>
                <w:sz w:val="20"/>
                <w:szCs w:val="20"/>
              </w:rPr>
              <w:t>tiab</w:t>
            </w:r>
            <w:proofErr w:type="spellEnd"/>
            <w:r w:rsidRPr="00AB5003">
              <w:rPr>
                <w:rFonts w:ascii="Garamond" w:hAnsi="Garamond"/>
                <w:sz w:val="20"/>
                <w:szCs w:val="20"/>
              </w:rPr>
              <w:t>] OR "Mortality"[Mesh] OR "death"[</w:t>
            </w:r>
            <w:proofErr w:type="spellStart"/>
            <w:r w:rsidRPr="00AB5003">
              <w:rPr>
                <w:rFonts w:ascii="Garamond" w:hAnsi="Garamond"/>
                <w:sz w:val="20"/>
                <w:szCs w:val="20"/>
              </w:rPr>
              <w:t>tiab</w:t>
            </w:r>
            <w:proofErr w:type="spellEnd"/>
            <w:r w:rsidRPr="00AB5003">
              <w:rPr>
                <w:rFonts w:ascii="Garamond" w:hAnsi="Garamond"/>
                <w:sz w:val="20"/>
                <w:szCs w:val="20"/>
              </w:rPr>
              <w:t>] OR "Fatality"[</w:t>
            </w:r>
            <w:proofErr w:type="spellStart"/>
            <w:r w:rsidRPr="00AB5003">
              <w:rPr>
                <w:rFonts w:ascii="Garamond" w:hAnsi="Garamond"/>
                <w:sz w:val="20"/>
                <w:szCs w:val="20"/>
              </w:rPr>
              <w:t>tiab</w:t>
            </w:r>
            <w:proofErr w:type="spellEnd"/>
            <w:r w:rsidRPr="00AB5003">
              <w:rPr>
                <w:rFonts w:ascii="Garamond" w:hAnsi="Garamond"/>
                <w:sz w:val="20"/>
                <w:szCs w:val="20"/>
              </w:rPr>
              <w:t>] OR "vaccine"[</w:t>
            </w:r>
            <w:proofErr w:type="spellStart"/>
            <w:r w:rsidRPr="00AB5003">
              <w:rPr>
                <w:rFonts w:ascii="Garamond" w:hAnsi="Garamond"/>
                <w:sz w:val="20"/>
                <w:szCs w:val="20"/>
              </w:rPr>
              <w:t>tiab</w:t>
            </w:r>
            <w:proofErr w:type="spellEnd"/>
            <w:r w:rsidRPr="00AB5003">
              <w:rPr>
                <w:rFonts w:ascii="Garamond" w:hAnsi="Garamond"/>
                <w:sz w:val="20"/>
                <w:szCs w:val="20"/>
              </w:rPr>
              <w:t>] OR "vaccination"[</w:t>
            </w:r>
            <w:proofErr w:type="spellStart"/>
            <w:r w:rsidRPr="00AB5003">
              <w:rPr>
                <w:rFonts w:ascii="Garamond" w:hAnsi="Garamond"/>
                <w:sz w:val="20"/>
                <w:szCs w:val="20"/>
              </w:rPr>
              <w:t>tiab</w:t>
            </w:r>
            <w:proofErr w:type="spellEnd"/>
            <w:r w:rsidRPr="00AB5003">
              <w:rPr>
                <w:rFonts w:ascii="Garamond" w:hAnsi="Garamond"/>
                <w:sz w:val="20"/>
                <w:szCs w:val="20"/>
              </w:rPr>
              <w:t xml:space="preserve">])  </w:t>
            </w:r>
          </w:p>
          <w:p w14:paraId="328188E0" w14:textId="77777777" w:rsidR="00973F15" w:rsidRPr="00AB5003" w:rsidRDefault="00973F15" w:rsidP="005B03C1">
            <w:pPr>
              <w:widowControl w:val="0"/>
              <w:jc w:val="both"/>
              <w:rPr>
                <w:rFonts w:ascii="Garamond" w:hAnsi="Garamond"/>
                <w:sz w:val="20"/>
                <w:szCs w:val="20"/>
              </w:rPr>
            </w:pPr>
            <w:r w:rsidRPr="00AB5003">
              <w:rPr>
                <w:rFonts w:ascii="Garamond" w:hAnsi="Garamond"/>
                <w:sz w:val="20"/>
                <w:szCs w:val="20"/>
              </w:rPr>
              <w:t xml:space="preserve">  AND  </w:t>
            </w:r>
          </w:p>
          <w:p w14:paraId="2E6CBEC3" w14:textId="21EFCFB0" w:rsidR="00973F15" w:rsidRPr="00AB5003" w:rsidRDefault="00973F15" w:rsidP="005B03C1">
            <w:pPr>
              <w:widowControl w:val="0"/>
              <w:jc w:val="both"/>
              <w:rPr>
                <w:rFonts w:ascii="Garamond" w:hAnsi="Garamond"/>
                <w:sz w:val="20"/>
                <w:szCs w:val="20"/>
              </w:rPr>
            </w:pPr>
            <w:r w:rsidRPr="00AB5003">
              <w:rPr>
                <w:rFonts w:ascii="Garamond" w:hAnsi="Garamond"/>
                <w:sz w:val="20"/>
                <w:szCs w:val="20"/>
              </w:rPr>
              <w:t xml:space="preserve">  ("Central African Republic"[Mesh] OR "CAR"[</w:t>
            </w:r>
            <w:proofErr w:type="spellStart"/>
            <w:r w:rsidRPr="00AB5003">
              <w:rPr>
                <w:rFonts w:ascii="Garamond" w:hAnsi="Garamond"/>
                <w:sz w:val="20"/>
                <w:szCs w:val="20"/>
              </w:rPr>
              <w:t>tiab</w:t>
            </w:r>
            <w:proofErr w:type="spellEnd"/>
            <w:r w:rsidRPr="00AB5003">
              <w:rPr>
                <w:rFonts w:ascii="Garamond" w:hAnsi="Garamond"/>
                <w:sz w:val="20"/>
                <w:szCs w:val="20"/>
              </w:rPr>
              <w:t xml:space="preserve">])  </w:t>
            </w:r>
          </w:p>
          <w:p w14:paraId="202536E7" w14:textId="1509E360" w:rsidR="00973F15" w:rsidRPr="00AB5003" w:rsidRDefault="00973F15" w:rsidP="00D874AB">
            <w:pPr>
              <w:widowControl w:val="0"/>
              <w:jc w:val="both"/>
              <w:rPr>
                <w:rFonts w:ascii="Garamond" w:hAnsi="Garamond"/>
                <w:sz w:val="20"/>
                <w:szCs w:val="20"/>
              </w:rPr>
            </w:pPr>
            <w:r w:rsidRPr="00AB5003">
              <w:rPr>
                <w:rFonts w:ascii="Garamond" w:hAnsi="Garamond"/>
                <w:sz w:val="20"/>
                <w:szCs w:val="20"/>
              </w:rPr>
              <w:t>)</w:t>
            </w:r>
          </w:p>
        </w:tc>
        <w:tc>
          <w:tcPr>
            <w:tcW w:w="5515" w:type="dxa"/>
            <w:tcBorders>
              <w:top w:val="single" w:sz="12" w:space="0" w:color="auto"/>
              <w:bottom w:val="single" w:sz="4" w:space="0" w:color="auto"/>
            </w:tcBorders>
          </w:tcPr>
          <w:p w14:paraId="1D2A27DD" w14:textId="4A5BC9F0" w:rsidR="00973F15" w:rsidRPr="00AB5003" w:rsidRDefault="00973F15" w:rsidP="005B03C1">
            <w:pPr>
              <w:widowControl w:val="0"/>
              <w:jc w:val="both"/>
              <w:rPr>
                <w:rFonts w:ascii="Garamond" w:hAnsi="Garamond"/>
                <w:sz w:val="20"/>
                <w:szCs w:val="20"/>
              </w:rPr>
            </w:pPr>
            <w:r w:rsidRPr="00AB5003">
              <w:rPr>
                <w:rFonts w:ascii="Garamond" w:hAnsi="Garamond"/>
                <w:sz w:val="20"/>
                <w:szCs w:val="20"/>
              </w:rPr>
              <w:t>15</w:t>
            </w:r>
          </w:p>
        </w:tc>
      </w:tr>
      <w:tr w:rsidR="00973F15" w:rsidRPr="00AB5003" w14:paraId="672042E5" w14:textId="754805D3" w:rsidTr="00700DF0">
        <w:tc>
          <w:tcPr>
            <w:tcW w:w="1645" w:type="dxa"/>
            <w:tcBorders>
              <w:top w:val="single" w:sz="4" w:space="0" w:color="auto"/>
              <w:bottom w:val="single" w:sz="4" w:space="0" w:color="auto"/>
            </w:tcBorders>
          </w:tcPr>
          <w:p w14:paraId="174FAE75" w14:textId="28B95A51" w:rsidR="00973F15" w:rsidRPr="00AB5003" w:rsidRDefault="00973F15" w:rsidP="001D2C96">
            <w:pPr>
              <w:widowControl w:val="0"/>
              <w:jc w:val="both"/>
              <w:rPr>
                <w:rFonts w:ascii="Garamond" w:hAnsi="Garamond"/>
                <w:sz w:val="20"/>
                <w:szCs w:val="20"/>
                <w:lang w:val="en-AU"/>
              </w:rPr>
            </w:pPr>
            <w:r w:rsidRPr="00AB5003">
              <w:rPr>
                <w:rFonts w:ascii="Garamond" w:hAnsi="Garamond"/>
                <w:sz w:val="20"/>
                <w:szCs w:val="20"/>
                <w:lang w:val="en-AU"/>
              </w:rPr>
              <w:t>ScienceDirect</w:t>
            </w:r>
          </w:p>
        </w:tc>
        <w:tc>
          <w:tcPr>
            <w:tcW w:w="5846" w:type="dxa"/>
            <w:tcBorders>
              <w:top w:val="single" w:sz="4" w:space="0" w:color="auto"/>
              <w:bottom w:val="single" w:sz="4" w:space="0" w:color="auto"/>
            </w:tcBorders>
          </w:tcPr>
          <w:p w14:paraId="13D146B6" w14:textId="77777777" w:rsidR="00973F15" w:rsidRPr="00AB5003" w:rsidRDefault="00973F15" w:rsidP="008C5E4B">
            <w:pPr>
              <w:widowControl w:val="0"/>
              <w:rPr>
                <w:rFonts w:ascii="Garamond" w:hAnsi="Garamond"/>
                <w:sz w:val="20"/>
                <w:szCs w:val="20"/>
              </w:rPr>
            </w:pPr>
            <w:r w:rsidRPr="00AB5003">
              <w:rPr>
                <w:rFonts w:ascii="Garamond" w:hAnsi="Garamond"/>
                <w:sz w:val="20"/>
                <w:szCs w:val="20"/>
              </w:rPr>
              <w:t>(</w:t>
            </w:r>
          </w:p>
          <w:p w14:paraId="1A1C28CD" w14:textId="4C312124" w:rsidR="00973F15" w:rsidRPr="00AB5003" w:rsidRDefault="00973F15" w:rsidP="008C5E4B">
            <w:pPr>
              <w:widowControl w:val="0"/>
              <w:rPr>
                <w:rFonts w:ascii="Garamond" w:hAnsi="Garamond"/>
                <w:sz w:val="20"/>
                <w:szCs w:val="20"/>
              </w:rPr>
            </w:pPr>
            <w:r w:rsidRPr="00AB5003">
              <w:rPr>
                <w:rFonts w:ascii="Garamond" w:hAnsi="Garamond"/>
                <w:sz w:val="20"/>
                <w:szCs w:val="20"/>
              </w:rPr>
              <w:t xml:space="preserve">("monkeypox" OR "mpox" OR "MPX")  </w:t>
            </w:r>
          </w:p>
          <w:p w14:paraId="4556131E" w14:textId="77777777" w:rsidR="00973F15" w:rsidRPr="00AB5003" w:rsidRDefault="00973F15" w:rsidP="008C5E4B">
            <w:pPr>
              <w:widowControl w:val="0"/>
              <w:rPr>
                <w:rFonts w:ascii="Garamond" w:hAnsi="Garamond"/>
                <w:sz w:val="20"/>
                <w:szCs w:val="20"/>
              </w:rPr>
            </w:pPr>
            <w:r w:rsidRPr="00AB5003">
              <w:rPr>
                <w:rFonts w:ascii="Garamond" w:hAnsi="Garamond"/>
                <w:sz w:val="20"/>
                <w:szCs w:val="20"/>
              </w:rPr>
              <w:t xml:space="preserve">AND  </w:t>
            </w:r>
          </w:p>
          <w:p w14:paraId="12284D27" w14:textId="5DA9A799" w:rsidR="00973F15" w:rsidRPr="00AB5003" w:rsidRDefault="00973F15" w:rsidP="008C5E4B">
            <w:pPr>
              <w:widowControl w:val="0"/>
              <w:rPr>
                <w:rFonts w:ascii="Garamond" w:hAnsi="Garamond"/>
                <w:sz w:val="20"/>
                <w:szCs w:val="20"/>
              </w:rPr>
            </w:pPr>
            <w:r w:rsidRPr="00AB5003">
              <w:rPr>
                <w:rFonts w:ascii="Garamond" w:hAnsi="Garamond"/>
                <w:sz w:val="20"/>
                <w:szCs w:val="20"/>
              </w:rPr>
              <w:t xml:space="preserve">("epidemiology" OR "surveillance" OR "characteristic" OR "clinical characteristic" OR "severe" OR "mortality" OR "death" OR “vaccine” OR “vaccination”)  </w:t>
            </w:r>
          </w:p>
          <w:p w14:paraId="2F24902F" w14:textId="77777777" w:rsidR="00973F15" w:rsidRPr="00AB5003" w:rsidRDefault="00973F15" w:rsidP="008C5E4B">
            <w:pPr>
              <w:widowControl w:val="0"/>
              <w:rPr>
                <w:rFonts w:ascii="Garamond" w:hAnsi="Garamond"/>
                <w:sz w:val="20"/>
                <w:szCs w:val="20"/>
              </w:rPr>
            </w:pPr>
            <w:r w:rsidRPr="00AB5003">
              <w:rPr>
                <w:rFonts w:ascii="Garamond" w:hAnsi="Garamond"/>
                <w:sz w:val="20"/>
                <w:szCs w:val="20"/>
              </w:rPr>
              <w:t xml:space="preserve">AND  </w:t>
            </w:r>
          </w:p>
          <w:p w14:paraId="329AEBB1" w14:textId="2462CA64" w:rsidR="00973F15" w:rsidRPr="00AB5003" w:rsidRDefault="00973F15" w:rsidP="008C5E4B">
            <w:pPr>
              <w:widowControl w:val="0"/>
              <w:jc w:val="both"/>
              <w:rPr>
                <w:rFonts w:ascii="Garamond" w:hAnsi="Garamond"/>
                <w:sz w:val="20"/>
                <w:szCs w:val="20"/>
              </w:rPr>
            </w:pPr>
            <w:r w:rsidRPr="00AB5003">
              <w:rPr>
                <w:rFonts w:ascii="Garamond" w:hAnsi="Garamond"/>
                <w:sz w:val="20"/>
                <w:szCs w:val="20"/>
              </w:rPr>
              <w:t>("CAR" OR "Central African Republic")</w:t>
            </w:r>
          </w:p>
          <w:p w14:paraId="66E48070" w14:textId="71B11C63" w:rsidR="00973F15" w:rsidRPr="00AB5003" w:rsidRDefault="00973F15" w:rsidP="008C5E4B">
            <w:pPr>
              <w:widowControl w:val="0"/>
              <w:jc w:val="both"/>
              <w:rPr>
                <w:rFonts w:ascii="Garamond" w:hAnsi="Garamond"/>
                <w:sz w:val="20"/>
                <w:szCs w:val="20"/>
              </w:rPr>
            </w:pPr>
            <w:r w:rsidRPr="00AB5003">
              <w:rPr>
                <w:rFonts w:ascii="Garamond" w:hAnsi="Garamond"/>
                <w:sz w:val="20"/>
                <w:szCs w:val="20"/>
              </w:rPr>
              <w:lastRenderedPageBreak/>
              <w:t xml:space="preserve">)  </w:t>
            </w:r>
          </w:p>
        </w:tc>
        <w:tc>
          <w:tcPr>
            <w:tcW w:w="5515" w:type="dxa"/>
            <w:tcBorders>
              <w:top w:val="single" w:sz="4" w:space="0" w:color="auto"/>
              <w:bottom w:val="single" w:sz="4" w:space="0" w:color="auto"/>
            </w:tcBorders>
          </w:tcPr>
          <w:p w14:paraId="671466DC" w14:textId="0EFF6523" w:rsidR="00973F15" w:rsidRPr="00AB5003" w:rsidRDefault="00973F15" w:rsidP="008C5E4B">
            <w:pPr>
              <w:widowControl w:val="0"/>
              <w:rPr>
                <w:rFonts w:ascii="Garamond" w:hAnsi="Garamond"/>
                <w:sz w:val="20"/>
                <w:szCs w:val="20"/>
              </w:rPr>
            </w:pPr>
            <w:r w:rsidRPr="00AB5003">
              <w:rPr>
                <w:rFonts w:ascii="Garamond" w:hAnsi="Garamond"/>
                <w:sz w:val="20"/>
                <w:szCs w:val="20"/>
              </w:rPr>
              <w:lastRenderedPageBreak/>
              <w:t>404</w:t>
            </w:r>
          </w:p>
        </w:tc>
      </w:tr>
      <w:tr w:rsidR="00973F15" w:rsidRPr="00AB5003" w14:paraId="046120FF" w14:textId="14BB05D4" w:rsidTr="00700DF0">
        <w:tc>
          <w:tcPr>
            <w:tcW w:w="1645" w:type="dxa"/>
            <w:tcBorders>
              <w:top w:val="single" w:sz="4" w:space="0" w:color="auto"/>
              <w:bottom w:val="single" w:sz="4" w:space="0" w:color="auto"/>
            </w:tcBorders>
          </w:tcPr>
          <w:p w14:paraId="074F2F24" w14:textId="5CE2440E" w:rsidR="00973F15" w:rsidRPr="00AB5003" w:rsidRDefault="00973F15" w:rsidP="001D2C96">
            <w:pPr>
              <w:widowControl w:val="0"/>
              <w:jc w:val="both"/>
              <w:rPr>
                <w:rFonts w:ascii="Garamond" w:hAnsi="Garamond" w:cs="Segoe UI"/>
                <w:sz w:val="20"/>
                <w:szCs w:val="20"/>
                <w:lang w:val="en-AU"/>
              </w:rPr>
            </w:pPr>
            <w:r w:rsidRPr="00AB5003">
              <w:rPr>
                <w:rFonts w:ascii="Garamond" w:hAnsi="Garamond" w:cs="Segoe UI"/>
                <w:sz w:val="20"/>
                <w:szCs w:val="20"/>
                <w:lang w:val="en-AU"/>
              </w:rPr>
              <w:t>Scopus</w:t>
            </w:r>
          </w:p>
        </w:tc>
        <w:tc>
          <w:tcPr>
            <w:tcW w:w="5846" w:type="dxa"/>
            <w:tcBorders>
              <w:top w:val="single" w:sz="4" w:space="0" w:color="auto"/>
              <w:bottom w:val="single" w:sz="4" w:space="0" w:color="auto"/>
            </w:tcBorders>
          </w:tcPr>
          <w:p w14:paraId="3CB6C84F" w14:textId="77777777" w:rsidR="00973F15" w:rsidRPr="00AB5003" w:rsidRDefault="00973F15" w:rsidP="0016613E">
            <w:pPr>
              <w:widowControl w:val="0"/>
              <w:jc w:val="both"/>
              <w:rPr>
                <w:rFonts w:ascii="Garamond" w:hAnsi="Garamond"/>
                <w:sz w:val="20"/>
                <w:szCs w:val="20"/>
              </w:rPr>
            </w:pPr>
            <w:r w:rsidRPr="00AB5003">
              <w:rPr>
                <w:rFonts w:ascii="Garamond" w:hAnsi="Garamond"/>
                <w:sz w:val="20"/>
                <w:szCs w:val="20"/>
              </w:rPr>
              <w:t>(TITLE-ABS-</w:t>
            </w:r>
            <w:proofErr w:type="gramStart"/>
            <w:r w:rsidRPr="00AB5003">
              <w:rPr>
                <w:rFonts w:ascii="Garamond" w:hAnsi="Garamond"/>
                <w:sz w:val="20"/>
                <w:szCs w:val="20"/>
              </w:rPr>
              <w:t>KEY(</w:t>
            </w:r>
            <w:proofErr w:type="gramEnd"/>
          </w:p>
          <w:p w14:paraId="3588C316" w14:textId="7C50A42A" w:rsidR="00973F15" w:rsidRPr="00AB5003" w:rsidRDefault="00973F15" w:rsidP="0016613E">
            <w:pPr>
              <w:widowControl w:val="0"/>
              <w:jc w:val="both"/>
              <w:rPr>
                <w:rFonts w:ascii="Garamond" w:hAnsi="Garamond"/>
                <w:sz w:val="20"/>
                <w:szCs w:val="20"/>
              </w:rPr>
            </w:pPr>
            <w:r w:rsidRPr="00AB5003">
              <w:rPr>
                <w:rFonts w:ascii="Garamond" w:hAnsi="Garamond"/>
                <w:sz w:val="20"/>
                <w:szCs w:val="20"/>
              </w:rPr>
              <w:t xml:space="preserve">(monkeypox OR "monkeypox virus" OR "human monkeypox" OR Mpox OR mpox OR MPX)  </w:t>
            </w:r>
          </w:p>
          <w:p w14:paraId="5AB10140" w14:textId="77777777" w:rsidR="00973F15" w:rsidRPr="00AB5003" w:rsidRDefault="00973F15" w:rsidP="0016613E">
            <w:pPr>
              <w:widowControl w:val="0"/>
              <w:jc w:val="both"/>
              <w:rPr>
                <w:rFonts w:ascii="Garamond" w:hAnsi="Garamond"/>
                <w:sz w:val="20"/>
                <w:szCs w:val="20"/>
              </w:rPr>
            </w:pPr>
            <w:r w:rsidRPr="00AB5003">
              <w:rPr>
                <w:rFonts w:ascii="Garamond" w:hAnsi="Garamond"/>
                <w:sz w:val="20"/>
                <w:szCs w:val="20"/>
              </w:rPr>
              <w:t xml:space="preserve">AND  </w:t>
            </w:r>
          </w:p>
          <w:p w14:paraId="5389E16B" w14:textId="4F5D9C94" w:rsidR="00973F15" w:rsidRPr="00AB5003" w:rsidRDefault="00973F15" w:rsidP="0016613E">
            <w:pPr>
              <w:widowControl w:val="0"/>
              <w:jc w:val="both"/>
              <w:rPr>
                <w:rFonts w:ascii="Garamond" w:hAnsi="Garamond"/>
                <w:sz w:val="20"/>
                <w:szCs w:val="20"/>
              </w:rPr>
            </w:pPr>
            <w:r w:rsidRPr="00AB5003">
              <w:rPr>
                <w:rFonts w:ascii="Garamond" w:hAnsi="Garamond"/>
                <w:sz w:val="20"/>
                <w:szCs w:val="20"/>
              </w:rPr>
              <w:t xml:space="preserve">(“epidemiology” OR “surveillance” OR “characteristics” OR "clinical characteristics" OR “severe” OR “mortality” OR “death” OR “vaccine” OR “vaccination”)  </w:t>
            </w:r>
          </w:p>
          <w:p w14:paraId="6B99B8A9" w14:textId="77777777" w:rsidR="00973F15" w:rsidRPr="00AB5003" w:rsidRDefault="00973F15" w:rsidP="0016613E">
            <w:pPr>
              <w:widowControl w:val="0"/>
              <w:jc w:val="both"/>
              <w:rPr>
                <w:rFonts w:ascii="Garamond" w:hAnsi="Garamond"/>
                <w:sz w:val="20"/>
                <w:szCs w:val="20"/>
              </w:rPr>
            </w:pPr>
            <w:r w:rsidRPr="00AB5003">
              <w:rPr>
                <w:rFonts w:ascii="Garamond" w:hAnsi="Garamond"/>
                <w:sz w:val="20"/>
                <w:szCs w:val="20"/>
              </w:rPr>
              <w:t xml:space="preserve">AND  </w:t>
            </w:r>
          </w:p>
          <w:p w14:paraId="28873A55" w14:textId="77777777" w:rsidR="00973F15" w:rsidRPr="00AB5003" w:rsidRDefault="00973F15" w:rsidP="0016613E">
            <w:pPr>
              <w:widowControl w:val="0"/>
              <w:jc w:val="both"/>
              <w:rPr>
                <w:rFonts w:ascii="Garamond" w:hAnsi="Garamond"/>
                <w:sz w:val="20"/>
                <w:szCs w:val="20"/>
              </w:rPr>
            </w:pPr>
            <w:r w:rsidRPr="00AB5003">
              <w:rPr>
                <w:rFonts w:ascii="Garamond" w:hAnsi="Garamond"/>
                <w:sz w:val="20"/>
                <w:szCs w:val="20"/>
              </w:rPr>
              <w:t>(“CAR” OR “Central African Republic”)</w:t>
            </w:r>
          </w:p>
          <w:p w14:paraId="034E0FBA" w14:textId="480CA79E" w:rsidR="00973F15" w:rsidRPr="00AB5003" w:rsidRDefault="00973F15" w:rsidP="0016613E">
            <w:pPr>
              <w:widowControl w:val="0"/>
              <w:jc w:val="both"/>
              <w:rPr>
                <w:rFonts w:ascii="Garamond" w:hAnsi="Garamond"/>
                <w:sz w:val="20"/>
                <w:szCs w:val="20"/>
              </w:rPr>
            </w:pPr>
            <w:r w:rsidRPr="00AB5003">
              <w:rPr>
                <w:rFonts w:ascii="Garamond" w:hAnsi="Garamond"/>
                <w:sz w:val="20"/>
                <w:szCs w:val="20"/>
              </w:rPr>
              <w:t xml:space="preserve">) </w:t>
            </w:r>
          </w:p>
          <w:p w14:paraId="6496B315" w14:textId="51D6B91F" w:rsidR="00973F15" w:rsidRPr="00AB5003" w:rsidRDefault="00973F15" w:rsidP="00B70521">
            <w:pPr>
              <w:widowControl w:val="0"/>
              <w:jc w:val="both"/>
              <w:rPr>
                <w:rFonts w:ascii="Garamond" w:hAnsi="Garamond" w:cs="Segoe UI"/>
                <w:sz w:val="20"/>
                <w:szCs w:val="20"/>
              </w:rPr>
            </w:pPr>
          </w:p>
        </w:tc>
        <w:tc>
          <w:tcPr>
            <w:tcW w:w="5515" w:type="dxa"/>
            <w:tcBorders>
              <w:top w:val="single" w:sz="4" w:space="0" w:color="auto"/>
              <w:bottom w:val="single" w:sz="4" w:space="0" w:color="auto"/>
            </w:tcBorders>
          </w:tcPr>
          <w:p w14:paraId="65DB4BD0" w14:textId="43C29353" w:rsidR="00973F15" w:rsidRPr="00AB5003" w:rsidRDefault="005F76AE" w:rsidP="0016613E">
            <w:pPr>
              <w:widowControl w:val="0"/>
              <w:jc w:val="both"/>
              <w:rPr>
                <w:rFonts w:ascii="Garamond" w:hAnsi="Garamond"/>
                <w:sz w:val="20"/>
                <w:szCs w:val="20"/>
              </w:rPr>
            </w:pPr>
            <w:r w:rsidRPr="00AB5003">
              <w:rPr>
                <w:rFonts w:ascii="Garamond" w:hAnsi="Garamond"/>
                <w:sz w:val="20"/>
                <w:szCs w:val="20"/>
              </w:rPr>
              <w:t>25</w:t>
            </w:r>
          </w:p>
        </w:tc>
      </w:tr>
      <w:tr w:rsidR="001A3B3A" w:rsidRPr="00AB5003" w14:paraId="7827F867" w14:textId="77777777" w:rsidTr="00700DF0">
        <w:tc>
          <w:tcPr>
            <w:tcW w:w="1645" w:type="dxa"/>
            <w:tcBorders>
              <w:top w:val="single" w:sz="4" w:space="0" w:color="auto"/>
            </w:tcBorders>
          </w:tcPr>
          <w:p w14:paraId="2E4F6203" w14:textId="77777777" w:rsidR="001A3B3A" w:rsidRDefault="001A3B3A" w:rsidP="001A3B3A">
            <w:pPr>
              <w:widowControl w:val="0"/>
              <w:jc w:val="both"/>
              <w:rPr>
                <w:rFonts w:ascii="Garamond" w:hAnsi="Garamond"/>
                <w:sz w:val="20"/>
                <w:szCs w:val="20"/>
                <w:lang w:val="en-AU"/>
              </w:rPr>
            </w:pPr>
            <w:r>
              <w:rPr>
                <w:rFonts w:ascii="Garamond" w:hAnsi="Garamond"/>
                <w:sz w:val="20"/>
                <w:szCs w:val="20"/>
                <w:lang w:val="en-AU"/>
              </w:rPr>
              <w:t xml:space="preserve">Web of Science </w:t>
            </w:r>
          </w:p>
          <w:p w14:paraId="21850F3A" w14:textId="1AB521F7" w:rsidR="001A3B3A" w:rsidRPr="00AB5003" w:rsidRDefault="001A3B3A" w:rsidP="001A3B3A">
            <w:pPr>
              <w:widowControl w:val="0"/>
              <w:jc w:val="both"/>
              <w:rPr>
                <w:rFonts w:ascii="Garamond" w:hAnsi="Garamond"/>
                <w:sz w:val="20"/>
                <w:szCs w:val="20"/>
                <w:lang w:val="en-AU"/>
              </w:rPr>
            </w:pPr>
          </w:p>
        </w:tc>
        <w:tc>
          <w:tcPr>
            <w:tcW w:w="5846" w:type="dxa"/>
            <w:tcBorders>
              <w:top w:val="single" w:sz="4" w:space="0" w:color="auto"/>
            </w:tcBorders>
          </w:tcPr>
          <w:p w14:paraId="1662209B"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w:t>
            </w:r>
          </w:p>
          <w:p w14:paraId="4D89A5B0"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("monkeypox" OR "mpox" OR "MPX")  </w:t>
            </w:r>
          </w:p>
          <w:p w14:paraId="34A62070"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AND  </w:t>
            </w:r>
          </w:p>
          <w:p w14:paraId="643737CF"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("epidemiology" OR "surveillance" OR "characteristic" OR "clinical characteristic" OR "severe" OR "mortality" OR "death" OR “vaccine” OR “vaccination”)  </w:t>
            </w:r>
          </w:p>
          <w:p w14:paraId="3564F936"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AND  </w:t>
            </w:r>
          </w:p>
          <w:p w14:paraId="7DB94D80" w14:textId="77777777" w:rsidR="001A3B3A" w:rsidRPr="00AB5003" w:rsidRDefault="001A3B3A" w:rsidP="001A3B3A">
            <w:pPr>
              <w:widowControl w:val="0"/>
              <w:jc w:val="both"/>
              <w:rPr>
                <w:rFonts w:ascii="Garamond" w:hAnsi="Garamond"/>
                <w:sz w:val="20"/>
                <w:szCs w:val="20"/>
              </w:rPr>
            </w:pPr>
            <w:r w:rsidRPr="00AB5003">
              <w:rPr>
                <w:rFonts w:ascii="Garamond" w:hAnsi="Garamond"/>
                <w:sz w:val="20"/>
                <w:szCs w:val="20"/>
              </w:rPr>
              <w:t>("CAR" OR "Central African Republic")</w:t>
            </w:r>
          </w:p>
          <w:p w14:paraId="08A5D9DF" w14:textId="48DF333E"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  </w:t>
            </w:r>
          </w:p>
        </w:tc>
        <w:tc>
          <w:tcPr>
            <w:tcW w:w="5515" w:type="dxa"/>
            <w:tcBorders>
              <w:top w:val="single" w:sz="4" w:space="0" w:color="auto"/>
            </w:tcBorders>
          </w:tcPr>
          <w:p w14:paraId="5DA40385" w14:textId="124C8B48" w:rsidR="001A3B3A" w:rsidRPr="00AB5003" w:rsidRDefault="00C6535D" w:rsidP="001A3B3A">
            <w:pPr>
              <w:widowControl w:val="0"/>
              <w:jc w:val="both"/>
              <w:rPr>
                <w:rFonts w:ascii="Garamond" w:hAnsi="Garamond"/>
                <w:sz w:val="20"/>
                <w:szCs w:val="20"/>
              </w:rPr>
            </w:pPr>
            <w:r>
              <w:rPr>
                <w:rFonts w:ascii="Garamond" w:hAnsi="Garamond"/>
                <w:sz w:val="20"/>
                <w:szCs w:val="20"/>
              </w:rPr>
              <w:t>21</w:t>
            </w:r>
          </w:p>
        </w:tc>
      </w:tr>
      <w:tr w:rsidR="001A3B3A" w:rsidRPr="00AB5003" w14:paraId="0201C17D" w14:textId="77777777" w:rsidTr="00700DF0">
        <w:tc>
          <w:tcPr>
            <w:tcW w:w="1645" w:type="dxa"/>
            <w:tcBorders>
              <w:top w:val="single" w:sz="4" w:space="0" w:color="auto"/>
            </w:tcBorders>
          </w:tcPr>
          <w:p w14:paraId="180B03AF" w14:textId="0BEE6704" w:rsidR="001A3B3A" w:rsidRDefault="001A3B3A" w:rsidP="001A3B3A">
            <w:pPr>
              <w:widowControl w:val="0"/>
              <w:jc w:val="both"/>
              <w:rPr>
                <w:rFonts w:ascii="Garamond" w:hAnsi="Garamond"/>
                <w:sz w:val="20"/>
                <w:szCs w:val="20"/>
                <w:lang w:val="en-AU"/>
              </w:rPr>
            </w:pPr>
            <w:r>
              <w:rPr>
                <w:rFonts w:ascii="Garamond" w:hAnsi="Garamond"/>
                <w:sz w:val="20"/>
                <w:szCs w:val="20"/>
                <w:lang w:val="en-AU"/>
              </w:rPr>
              <w:t>Embase</w:t>
            </w:r>
          </w:p>
        </w:tc>
        <w:tc>
          <w:tcPr>
            <w:tcW w:w="5846" w:type="dxa"/>
            <w:tcBorders>
              <w:top w:val="single" w:sz="4" w:space="0" w:color="auto"/>
            </w:tcBorders>
          </w:tcPr>
          <w:p w14:paraId="2BF1001B" w14:textId="77777777" w:rsidR="00B070C2" w:rsidRPr="00AB5003" w:rsidRDefault="00B070C2" w:rsidP="00B070C2">
            <w:pPr>
              <w:widowControl w:val="0"/>
              <w:rPr>
                <w:rFonts w:ascii="Garamond" w:hAnsi="Garamond"/>
                <w:sz w:val="20"/>
                <w:szCs w:val="20"/>
              </w:rPr>
            </w:pPr>
            <w:r w:rsidRPr="00AB5003">
              <w:rPr>
                <w:rFonts w:ascii="Garamond" w:hAnsi="Garamond"/>
                <w:sz w:val="20"/>
                <w:szCs w:val="20"/>
              </w:rPr>
              <w:t>(</w:t>
            </w:r>
          </w:p>
          <w:p w14:paraId="579DE93E" w14:textId="77777777" w:rsidR="00B070C2" w:rsidRPr="00AB5003" w:rsidRDefault="00B070C2" w:rsidP="00B070C2">
            <w:pPr>
              <w:widowControl w:val="0"/>
              <w:rPr>
                <w:rFonts w:ascii="Garamond" w:hAnsi="Garamond"/>
                <w:sz w:val="20"/>
                <w:szCs w:val="20"/>
              </w:rPr>
            </w:pPr>
            <w:r w:rsidRPr="00AB5003">
              <w:rPr>
                <w:rFonts w:ascii="Garamond" w:hAnsi="Garamond"/>
                <w:sz w:val="20"/>
                <w:szCs w:val="20"/>
              </w:rPr>
              <w:t xml:space="preserve">("monkeypox" OR "mpox" OR "MPX")  </w:t>
            </w:r>
          </w:p>
          <w:p w14:paraId="6009DCC4" w14:textId="77777777" w:rsidR="00B070C2" w:rsidRPr="00AB5003" w:rsidRDefault="00B070C2" w:rsidP="00B070C2">
            <w:pPr>
              <w:widowControl w:val="0"/>
              <w:rPr>
                <w:rFonts w:ascii="Garamond" w:hAnsi="Garamond"/>
                <w:sz w:val="20"/>
                <w:szCs w:val="20"/>
              </w:rPr>
            </w:pPr>
            <w:r w:rsidRPr="00AB5003">
              <w:rPr>
                <w:rFonts w:ascii="Garamond" w:hAnsi="Garamond"/>
                <w:sz w:val="20"/>
                <w:szCs w:val="20"/>
              </w:rPr>
              <w:t xml:space="preserve">AND  </w:t>
            </w:r>
          </w:p>
          <w:p w14:paraId="756744F5" w14:textId="77777777" w:rsidR="00B070C2" w:rsidRPr="00AB5003" w:rsidRDefault="00B070C2" w:rsidP="00B070C2">
            <w:pPr>
              <w:widowControl w:val="0"/>
              <w:rPr>
                <w:rFonts w:ascii="Garamond" w:hAnsi="Garamond"/>
                <w:sz w:val="20"/>
                <w:szCs w:val="20"/>
              </w:rPr>
            </w:pPr>
            <w:r w:rsidRPr="00AB5003">
              <w:rPr>
                <w:rFonts w:ascii="Garamond" w:hAnsi="Garamond"/>
                <w:sz w:val="20"/>
                <w:szCs w:val="20"/>
              </w:rPr>
              <w:t xml:space="preserve">("epidemiology" OR "surveillance" OR "characteristic" OR "clinical characteristic" OR "severe" OR "mortality" OR "death" OR “vaccine” OR “vaccination”)  </w:t>
            </w:r>
          </w:p>
          <w:p w14:paraId="15CD7194" w14:textId="77777777" w:rsidR="00B070C2" w:rsidRPr="00AB5003" w:rsidRDefault="00B070C2" w:rsidP="00B070C2">
            <w:pPr>
              <w:widowControl w:val="0"/>
              <w:rPr>
                <w:rFonts w:ascii="Garamond" w:hAnsi="Garamond"/>
                <w:sz w:val="20"/>
                <w:szCs w:val="20"/>
              </w:rPr>
            </w:pPr>
            <w:r w:rsidRPr="00AB5003">
              <w:rPr>
                <w:rFonts w:ascii="Garamond" w:hAnsi="Garamond"/>
                <w:sz w:val="20"/>
                <w:szCs w:val="20"/>
              </w:rPr>
              <w:t xml:space="preserve">AND  </w:t>
            </w:r>
          </w:p>
          <w:p w14:paraId="058AF6F0" w14:textId="77777777" w:rsidR="00B070C2" w:rsidRPr="00AB5003" w:rsidRDefault="00B070C2" w:rsidP="00B070C2">
            <w:pPr>
              <w:widowControl w:val="0"/>
              <w:jc w:val="both"/>
              <w:rPr>
                <w:rFonts w:ascii="Garamond" w:hAnsi="Garamond"/>
                <w:sz w:val="20"/>
                <w:szCs w:val="20"/>
              </w:rPr>
            </w:pPr>
            <w:r w:rsidRPr="00AB5003">
              <w:rPr>
                <w:rFonts w:ascii="Garamond" w:hAnsi="Garamond"/>
                <w:sz w:val="20"/>
                <w:szCs w:val="20"/>
              </w:rPr>
              <w:t>("CAR" OR "Central African Republic")</w:t>
            </w:r>
          </w:p>
          <w:p w14:paraId="7998FD9A" w14:textId="3F300332" w:rsidR="001A3B3A" w:rsidRPr="00AB5003" w:rsidRDefault="00B070C2" w:rsidP="00B070C2">
            <w:pPr>
              <w:widowControl w:val="0"/>
              <w:rPr>
                <w:rFonts w:ascii="Garamond" w:hAnsi="Garamond"/>
                <w:sz w:val="20"/>
                <w:szCs w:val="20"/>
              </w:rPr>
            </w:pPr>
            <w:r w:rsidRPr="00AB5003">
              <w:rPr>
                <w:rFonts w:ascii="Garamond" w:hAnsi="Garamond"/>
                <w:sz w:val="20"/>
                <w:szCs w:val="20"/>
              </w:rPr>
              <w:t xml:space="preserve">)  </w:t>
            </w:r>
          </w:p>
        </w:tc>
        <w:tc>
          <w:tcPr>
            <w:tcW w:w="5515" w:type="dxa"/>
            <w:tcBorders>
              <w:top w:val="single" w:sz="4" w:space="0" w:color="auto"/>
            </w:tcBorders>
          </w:tcPr>
          <w:p w14:paraId="7D460383" w14:textId="443D581E" w:rsidR="001A3B3A" w:rsidRPr="00AB5003" w:rsidRDefault="00B070C2" w:rsidP="001A3B3A">
            <w:pPr>
              <w:widowControl w:val="0"/>
              <w:jc w:val="both"/>
              <w:rPr>
                <w:rFonts w:ascii="Garamond" w:hAnsi="Garamond"/>
                <w:sz w:val="20"/>
                <w:szCs w:val="20"/>
              </w:rPr>
            </w:pPr>
            <w:r>
              <w:rPr>
                <w:rFonts w:ascii="Garamond" w:hAnsi="Garamond"/>
                <w:sz w:val="20"/>
                <w:szCs w:val="20"/>
              </w:rPr>
              <w:t>127</w:t>
            </w:r>
          </w:p>
        </w:tc>
      </w:tr>
      <w:tr w:rsidR="001A3B3A" w:rsidRPr="00AB5003" w14:paraId="46B0FDB1" w14:textId="77777777" w:rsidTr="00C6535D">
        <w:tc>
          <w:tcPr>
            <w:tcW w:w="1645" w:type="dxa"/>
            <w:tcBorders>
              <w:top w:val="single" w:sz="4" w:space="0" w:color="auto"/>
              <w:bottom w:val="single" w:sz="4" w:space="0" w:color="auto"/>
            </w:tcBorders>
          </w:tcPr>
          <w:p w14:paraId="1743BBC9" w14:textId="17174933" w:rsidR="001A3B3A" w:rsidRPr="00AB5003" w:rsidRDefault="001A3B3A" w:rsidP="001A3B3A">
            <w:pPr>
              <w:widowControl w:val="0"/>
              <w:jc w:val="both"/>
              <w:rPr>
                <w:rFonts w:ascii="Garamond" w:hAnsi="Garamond"/>
                <w:sz w:val="20"/>
                <w:szCs w:val="20"/>
                <w:lang w:val="en-AU"/>
              </w:rPr>
            </w:pPr>
            <w:r w:rsidRPr="00AB5003">
              <w:rPr>
                <w:rFonts w:ascii="Garamond" w:hAnsi="Garamond"/>
                <w:sz w:val="20"/>
                <w:szCs w:val="20"/>
                <w:lang w:val="en-AU"/>
              </w:rPr>
              <w:t>Cochrane Library</w:t>
            </w:r>
          </w:p>
        </w:tc>
        <w:tc>
          <w:tcPr>
            <w:tcW w:w="5846" w:type="dxa"/>
            <w:tcBorders>
              <w:top w:val="single" w:sz="4" w:space="0" w:color="auto"/>
              <w:bottom w:val="single" w:sz="4" w:space="0" w:color="auto"/>
            </w:tcBorders>
          </w:tcPr>
          <w:p w14:paraId="7663CC72"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w:t>
            </w:r>
          </w:p>
          <w:p w14:paraId="6DA72806"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("monkeypox" OR "mpox" OR "MPX")  </w:t>
            </w:r>
          </w:p>
          <w:p w14:paraId="40B75CB3"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AND  </w:t>
            </w:r>
          </w:p>
          <w:p w14:paraId="556C15DE"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("epidemiology" OR "surveillance" OR "characteristic" OR "clinical characteristic" OR "severe" OR "mortality" OR "death" OR “vaccine” OR “vaccination”)  </w:t>
            </w:r>
          </w:p>
          <w:p w14:paraId="2E8FD37F" w14:textId="77777777" w:rsidR="001A3B3A" w:rsidRPr="00AB5003" w:rsidRDefault="001A3B3A" w:rsidP="001A3B3A">
            <w:pPr>
              <w:widowControl w:val="0"/>
              <w:rPr>
                <w:rFonts w:ascii="Garamond" w:hAnsi="Garamond"/>
                <w:sz w:val="20"/>
                <w:szCs w:val="20"/>
              </w:rPr>
            </w:pPr>
            <w:r w:rsidRPr="00AB5003">
              <w:rPr>
                <w:rFonts w:ascii="Garamond" w:hAnsi="Garamond"/>
                <w:sz w:val="20"/>
                <w:szCs w:val="20"/>
              </w:rPr>
              <w:t xml:space="preserve">AND  </w:t>
            </w:r>
          </w:p>
          <w:p w14:paraId="5EB16D8D" w14:textId="77777777" w:rsidR="001A3B3A" w:rsidRPr="00AB5003" w:rsidRDefault="001A3B3A" w:rsidP="001A3B3A">
            <w:pPr>
              <w:widowControl w:val="0"/>
              <w:jc w:val="both"/>
              <w:rPr>
                <w:rFonts w:ascii="Garamond" w:hAnsi="Garamond"/>
                <w:sz w:val="20"/>
                <w:szCs w:val="20"/>
              </w:rPr>
            </w:pPr>
            <w:r w:rsidRPr="00AB5003">
              <w:rPr>
                <w:rFonts w:ascii="Garamond" w:hAnsi="Garamond"/>
                <w:sz w:val="20"/>
                <w:szCs w:val="20"/>
              </w:rPr>
              <w:t>("CAR" OR "Central African Republic")</w:t>
            </w:r>
          </w:p>
          <w:p w14:paraId="1C87D3EE" w14:textId="57C49FD3" w:rsidR="001A3B3A" w:rsidRPr="00AB5003" w:rsidRDefault="001A3B3A" w:rsidP="001A3B3A">
            <w:pPr>
              <w:widowControl w:val="0"/>
              <w:jc w:val="both"/>
              <w:rPr>
                <w:rFonts w:ascii="Garamond" w:hAnsi="Garamond"/>
                <w:sz w:val="20"/>
                <w:szCs w:val="20"/>
              </w:rPr>
            </w:pPr>
            <w:r w:rsidRPr="00AB5003">
              <w:rPr>
                <w:rFonts w:ascii="Garamond" w:hAnsi="Garamond"/>
                <w:sz w:val="20"/>
                <w:szCs w:val="20"/>
              </w:rPr>
              <w:t xml:space="preserve">)  </w:t>
            </w:r>
          </w:p>
        </w:tc>
        <w:tc>
          <w:tcPr>
            <w:tcW w:w="5515" w:type="dxa"/>
            <w:tcBorders>
              <w:top w:val="single" w:sz="4" w:space="0" w:color="auto"/>
              <w:bottom w:val="single" w:sz="4" w:space="0" w:color="auto"/>
            </w:tcBorders>
          </w:tcPr>
          <w:p w14:paraId="21DA16FF" w14:textId="2D34472F" w:rsidR="001A3B3A" w:rsidRPr="00AB5003" w:rsidRDefault="001A3B3A" w:rsidP="001A3B3A">
            <w:pPr>
              <w:widowControl w:val="0"/>
              <w:jc w:val="both"/>
              <w:rPr>
                <w:rFonts w:ascii="Garamond" w:hAnsi="Garamond"/>
                <w:sz w:val="20"/>
                <w:szCs w:val="20"/>
              </w:rPr>
            </w:pPr>
            <w:r w:rsidRPr="00AB5003">
              <w:rPr>
                <w:rFonts w:ascii="Garamond" w:hAnsi="Garamond"/>
                <w:sz w:val="20"/>
                <w:szCs w:val="20"/>
              </w:rPr>
              <w:t>1</w:t>
            </w:r>
          </w:p>
        </w:tc>
      </w:tr>
      <w:tr w:rsidR="00C6535D" w:rsidRPr="00AB5003" w14:paraId="7C731F6A" w14:textId="77777777" w:rsidTr="00700DF0">
        <w:tc>
          <w:tcPr>
            <w:tcW w:w="1645" w:type="dxa"/>
            <w:tcBorders>
              <w:top w:val="single" w:sz="4" w:space="0" w:color="auto"/>
            </w:tcBorders>
          </w:tcPr>
          <w:p w14:paraId="697C9990" w14:textId="160C92F7" w:rsidR="00C6535D" w:rsidRPr="00AB5003" w:rsidRDefault="00C6535D" w:rsidP="001A3B3A">
            <w:pPr>
              <w:widowControl w:val="0"/>
              <w:jc w:val="both"/>
              <w:rPr>
                <w:rFonts w:ascii="Garamond" w:hAnsi="Garamond"/>
                <w:sz w:val="20"/>
                <w:szCs w:val="20"/>
                <w:lang w:val="en-AU"/>
              </w:rPr>
            </w:pPr>
            <w:r w:rsidRPr="002261E3">
              <w:rPr>
                <w:rFonts w:ascii="Garamond" w:hAnsi="Garamond"/>
                <w:sz w:val="20"/>
                <w:szCs w:val="20"/>
              </w:rPr>
              <w:t>African Journals Online</w:t>
            </w:r>
            <w:r>
              <w:rPr>
                <w:rFonts w:ascii="Garamond" w:hAnsi="Garamond"/>
                <w:b/>
                <w:bCs/>
                <w:sz w:val="20"/>
                <w:szCs w:val="20"/>
              </w:rPr>
              <w:t xml:space="preserve"> </w:t>
            </w:r>
            <w:r>
              <w:rPr>
                <w:rFonts w:ascii="Garamond" w:hAnsi="Garamond"/>
                <w:sz w:val="20"/>
                <w:szCs w:val="20"/>
                <w:lang w:val="en-AU"/>
              </w:rPr>
              <w:t>(AJOL)</w:t>
            </w:r>
          </w:p>
        </w:tc>
        <w:tc>
          <w:tcPr>
            <w:tcW w:w="5846" w:type="dxa"/>
            <w:tcBorders>
              <w:top w:val="single" w:sz="4" w:space="0" w:color="auto"/>
            </w:tcBorders>
          </w:tcPr>
          <w:p w14:paraId="6C1C26E4" w14:textId="15E71725" w:rsidR="00C6535D" w:rsidRPr="00AB5003" w:rsidRDefault="002A04EF" w:rsidP="002A04EF">
            <w:pPr>
              <w:widowControl w:val="0"/>
              <w:rPr>
                <w:rFonts w:ascii="Garamond" w:hAnsi="Garamond"/>
                <w:sz w:val="20"/>
                <w:szCs w:val="20"/>
              </w:rPr>
            </w:pPr>
            <w:r w:rsidRPr="002A04EF">
              <w:rPr>
                <w:rFonts w:ascii="Garamond" w:hAnsi="Garamond"/>
                <w:sz w:val="20"/>
                <w:szCs w:val="20"/>
              </w:rPr>
              <w:t>monkeypox OR mpox OR MPX</w:t>
            </w:r>
            <w:r w:rsidRPr="002A04EF">
              <w:rPr>
                <w:rFonts w:ascii="Garamond" w:hAnsi="Garamond"/>
                <w:sz w:val="20"/>
                <w:szCs w:val="20"/>
              </w:rPr>
              <w:br/>
              <w:t>AND</w:t>
            </w:r>
            <w:r w:rsidRPr="002A04EF">
              <w:rPr>
                <w:rFonts w:ascii="Garamond" w:hAnsi="Garamond"/>
                <w:sz w:val="20"/>
                <w:szCs w:val="20"/>
              </w:rPr>
              <w:br/>
            </w:r>
            <w:r w:rsidRPr="002A04EF">
              <w:rPr>
                <w:rFonts w:ascii="Garamond" w:hAnsi="Garamond"/>
                <w:sz w:val="20"/>
                <w:szCs w:val="20"/>
              </w:rPr>
              <w:lastRenderedPageBreak/>
              <w:t>epidemiology OR surveillance OR characteristic OR clinical characteristic OR severe OR mortality OR death OR vaccine OR vaccination</w:t>
            </w:r>
            <w:r w:rsidRPr="002A04EF">
              <w:rPr>
                <w:rFonts w:ascii="Garamond" w:hAnsi="Garamond"/>
                <w:sz w:val="20"/>
                <w:szCs w:val="20"/>
              </w:rPr>
              <w:br/>
              <w:t>AND</w:t>
            </w:r>
            <w:r w:rsidRPr="002A04EF">
              <w:rPr>
                <w:rFonts w:ascii="Garamond" w:hAnsi="Garamond"/>
                <w:sz w:val="20"/>
                <w:szCs w:val="20"/>
              </w:rPr>
              <w:br/>
              <w:t>CAR OR Central African Republic</w:t>
            </w:r>
          </w:p>
        </w:tc>
        <w:tc>
          <w:tcPr>
            <w:tcW w:w="5515" w:type="dxa"/>
            <w:tcBorders>
              <w:top w:val="single" w:sz="4" w:space="0" w:color="auto"/>
            </w:tcBorders>
          </w:tcPr>
          <w:p w14:paraId="0F0CE328" w14:textId="45681F96" w:rsidR="00C6535D" w:rsidRPr="00AB5003" w:rsidRDefault="002A04EF" w:rsidP="001A3B3A">
            <w:pPr>
              <w:widowControl w:val="0"/>
              <w:jc w:val="both"/>
              <w:rPr>
                <w:rFonts w:ascii="Garamond" w:hAnsi="Garamond"/>
                <w:sz w:val="20"/>
                <w:szCs w:val="20"/>
              </w:rPr>
            </w:pPr>
            <w:r>
              <w:rPr>
                <w:rFonts w:ascii="Garamond" w:hAnsi="Garamond"/>
                <w:sz w:val="20"/>
                <w:szCs w:val="20"/>
              </w:rPr>
              <w:lastRenderedPageBreak/>
              <w:t>2</w:t>
            </w:r>
          </w:p>
        </w:tc>
      </w:tr>
    </w:tbl>
    <w:p w14:paraId="3897D8D9" w14:textId="77777777" w:rsidR="00D607BA" w:rsidRPr="00AB5003" w:rsidRDefault="00D607BA" w:rsidP="00481B10">
      <w:pPr>
        <w:ind w:firstLine="720"/>
        <w:rPr>
          <w:rFonts w:ascii="Garamond" w:hAnsi="Garamond"/>
        </w:rPr>
      </w:pPr>
    </w:p>
    <w:p w14:paraId="079F9CED" w14:textId="6903435E" w:rsidR="00D607BA" w:rsidRPr="00AB5003" w:rsidRDefault="00D607BA" w:rsidP="00D607BA">
      <w:pPr>
        <w:rPr>
          <w:rFonts w:ascii="Garamond" w:hAnsi="Garamond"/>
          <w:b/>
          <w:bCs/>
          <w:sz w:val="28"/>
          <w:szCs w:val="28"/>
        </w:rPr>
      </w:pPr>
      <w:r w:rsidRPr="00AB5003">
        <w:rPr>
          <w:rFonts w:ascii="Garamond" w:hAnsi="Garamond"/>
          <w:b/>
          <w:bCs/>
          <w:sz w:val="28"/>
          <w:szCs w:val="28"/>
        </w:rPr>
        <w:t>References</w:t>
      </w:r>
    </w:p>
    <w:p w14:paraId="7C3707AC" w14:textId="77777777" w:rsidR="00D65FF2" w:rsidRPr="00D65FF2" w:rsidRDefault="00481B10" w:rsidP="00D65FF2">
      <w:pPr>
        <w:pStyle w:val="Bibliographie"/>
        <w:rPr>
          <w:rFonts w:ascii="Garamond" w:hAnsi="Garamond"/>
        </w:rPr>
      </w:pPr>
      <w:r w:rsidRPr="00AB5003">
        <w:rPr>
          <w:rFonts w:ascii="Garamond" w:hAnsi="Garamond"/>
        </w:rPr>
        <w:fldChar w:fldCharType="begin"/>
      </w:r>
      <w:r w:rsidR="00D65FF2">
        <w:rPr>
          <w:rFonts w:ascii="Garamond" w:hAnsi="Garamond"/>
        </w:rPr>
        <w:instrText xml:space="preserve"> ADDIN ZOTERO_BIBL {"uncited":[],"omitted":[],"custom":[]} CSL_BIBLIOGRAPHY </w:instrText>
      </w:r>
      <w:r w:rsidRPr="00AB5003">
        <w:rPr>
          <w:rFonts w:ascii="Garamond" w:hAnsi="Garamond"/>
        </w:rPr>
        <w:fldChar w:fldCharType="separate"/>
      </w:r>
      <w:r w:rsidR="00D65FF2" w:rsidRPr="00D65FF2">
        <w:rPr>
          <w:rFonts w:ascii="Garamond" w:hAnsi="Garamond"/>
        </w:rPr>
        <w:t xml:space="preserve">1. </w:t>
      </w:r>
      <w:r w:rsidR="00D65FF2" w:rsidRPr="00D65FF2">
        <w:rPr>
          <w:rFonts w:ascii="Garamond" w:hAnsi="Garamond"/>
        </w:rPr>
        <w:tab/>
        <w:t xml:space="preserve">Durski KN, McCollum AM, Nakazawa Y, Petersen BW, Reynolds MG, Briand S, et al. Emergence of Monkeypox — West and Central Africa, 1970–2017. MMWR </w:t>
      </w:r>
      <w:proofErr w:type="spellStart"/>
      <w:r w:rsidR="00D65FF2" w:rsidRPr="00D65FF2">
        <w:rPr>
          <w:rFonts w:ascii="Garamond" w:hAnsi="Garamond"/>
        </w:rPr>
        <w:t>Morb</w:t>
      </w:r>
      <w:proofErr w:type="spellEnd"/>
      <w:r w:rsidR="00D65FF2" w:rsidRPr="00D65FF2">
        <w:rPr>
          <w:rFonts w:ascii="Garamond" w:hAnsi="Garamond"/>
        </w:rPr>
        <w:t xml:space="preserve"> Mortal </w:t>
      </w:r>
      <w:proofErr w:type="spellStart"/>
      <w:r w:rsidR="00D65FF2" w:rsidRPr="00D65FF2">
        <w:rPr>
          <w:rFonts w:ascii="Garamond" w:hAnsi="Garamond"/>
        </w:rPr>
        <w:t>Wkly</w:t>
      </w:r>
      <w:proofErr w:type="spellEnd"/>
      <w:r w:rsidR="00D65FF2" w:rsidRPr="00D65FF2">
        <w:rPr>
          <w:rFonts w:ascii="Garamond" w:hAnsi="Garamond"/>
        </w:rPr>
        <w:t xml:space="preserve"> Rep. 2018;16(10):306–10. </w:t>
      </w:r>
    </w:p>
    <w:p w14:paraId="662E591A" w14:textId="77777777" w:rsidR="00D65FF2" w:rsidRPr="00D65FF2" w:rsidRDefault="00D65FF2" w:rsidP="00D65FF2">
      <w:pPr>
        <w:pStyle w:val="Bibliographie"/>
        <w:rPr>
          <w:rFonts w:ascii="Garamond" w:hAnsi="Garamond"/>
        </w:rPr>
      </w:pPr>
      <w:r w:rsidRPr="00D65FF2">
        <w:rPr>
          <w:rFonts w:ascii="Garamond" w:hAnsi="Garamond"/>
        </w:rPr>
        <w:t xml:space="preserve">2. </w:t>
      </w:r>
      <w:r w:rsidRPr="00D65FF2">
        <w:rPr>
          <w:rFonts w:ascii="Garamond" w:hAnsi="Garamond"/>
        </w:rPr>
        <w:tab/>
        <w:t xml:space="preserve">Berthet N, </w:t>
      </w:r>
      <w:proofErr w:type="spellStart"/>
      <w:r w:rsidRPr="00D65FF2">
        <w:rPr>
          <w:rFonts w:ascii="Garamond" w:hAnsi="Garamond"/>
        </w:rPr>
        <w:t>Nakouné</w:t>
      </w:r>
      <w:proofErr w:type="spellEnd"/>
      <w:r w:rsidRPr="00D65FF2">
        <w:rPr>
          <w:rFonts w:ascii="Garamond" w:hAnsi="Garamond"/>
        </w:rPr>
        <w:t xml:space="preserve"> E, Whist E, </w:t>
      </w:r>
      <w:proofErr w:type="spellStart"/>
      <w:r w:rsidRPr="00D65FF2">
        <w:rPr>
          <w:rFonts w:ascii="Garamond" w:hAnsi="Garamond"/>
        </w:rPr>
        <w:t>Selekon</w:t>
      </w:r>
      <w:proofErr w:type="spellEnd"/>
      <w:r w:rsidRPr="00D65FF2">
        <w:rPr>
          <w:rFonts w:ascii="Garamond" w:hAnsi="Garamond"/>
        </w:rPr>
        <w:t xml:space="preserve"> B, </w:t>
      </w:r>
      <w:proofErr w:type="spellStart"/>
      <w:r w:rsidRPr="00D65FF2">
        <w:rPr>
          <w:rFonts w:ascii="Garamond" w:hAnsi="Garamond"/>
        </w:rPr>
        <w:t>Burguière</w:t>
      </w:r>
      <w:proofErr w:type="spellEnd"/>
      <w:r w:rsidRPr="00D65FF2">
        <w:rPr>
          <w:rFonts w:ascii="Garamond" w:hAnsi="Garamond"/>
        </w:rPr>
        <w:t xml:space="preserve"> AM, </w:t>
      </w:r>
      <w:proofErr w:type="spellStart"/>
      <w:r w:rsidRPr="00D65FF2">
        <w:rPr>
          <w:rFonts w:ascii="Garamond" w:hAnsi="Garamond"/>
        </w:rPr>
        <w:t>Manuguerra</w:t>
      </w:r>
      <w:proofErr w:type="spellEnd"/>
      <w:r w:rsidRPr="00D65FF2">
        <w:rPr>
          <w:rFonts w:ascii="Garamond" w:hAnsi="Garamond"/>
        </w:rPr>
        <w:t xml:space="preserve"> JC, et al. Maculopapular lesions in the Central African Republic. The Lancet. 2011;378(9799):1354. </w:t>
      </w:r>
    </w:p>
    <w:p w14:paraId="1B1D31F5" w14:textId="77777777" w:rsidR="00D65FF2" w:rsidRPr="00D65FF2" w:rsidRDefault="00D65FF2" w:rsidP="00D65FF2">
      <w:pPr>
        <w:pStyle w:val="Bibliographie"/>
        <w:rPr>
          <w:rFonts w:ascii="Garamond" w:hAnsi="Garamond"/>
        </w:rPr>
      </w:pPr>
      <w:r w:rsidRPr="00D65FF2">
        <w:rPr>
          <w:rFonts w:ascii="Garamond" w:hAnsi="Garamond"/>
        </w:rPr>
        <w:t xml:space="preserve">3. </w:t>
      </w:r>
      <w:r w:rsidRPr="00D65FF2">
        <w:rPr>
          <w:rFonts w:ascii="Garamond" w:hAnsi="Garamond"/>
        </w:rPr>
        <w:tab/>
      </w:r>
      <w:proofErr w:type="spellStart"/>
      <w:r w:rsidRPr="00D65FF2">
        <w:rPr>
          <w:rFonts w:ascii="Garamond" w:hAnsi="Garamond"/>
        </w:rPr>
        <w:t>Kalthan</w:t>
      </w:r>
      <w:proofErr w:type="spellEnd"/>
      <w:r w:rsidRPr="00D65FF2">
        <w:rPr>
          <w:rFonts w:ascii="Garamond" w:hAnsi="Garamond"/>
        </w:rPr>
        <w:t xml:space="preserve"> E, </w:t>
      </w:r>
      <w:proofErr w:type="spellStart"/>
      <w:r w:rsidRPr="00D65FF2">
        <w:rPr>
          <w:rFonts w:ascii="Garamond" w:hAnsi="Garamond"/>
        </w:rPr>
        <w:t>Tenguere</w:t>
      </w:r>
      <w:proofErr w:type="spellEnd"/>
      <w:r w:rsidRPr="00D65FF2">
        <w:rPr>
          <w:rFonts w:ascii="Garamond" w:hAnsi="Garamond"/>
        </w:rPr>
        <w:t xml:space="preserve"> J, </w:t>
      </w:r>
      <w:proofErr w:type="spellStart"/>
      <w:r w:rsidRPr="00D65FF2">
        <w:rPr>
          <w:rFonts w:ascii="Garamond" w:hAnsi="Garamond"/>
        </w:rPr>
        <w:t>Ndjapou</w:t>
      </w:r>
      <w:proofErr w:type="spellEnd"/>
      <w:r w:rsidRPr="00D65FF2">
        <w:rPr>
          <w:rFonts w:ascii="Garamond" w:hAnsi="Garamond"/>
        </w:rPr>
        <w:t xml:space="preserve"> SG, </w:t>
      </w:r>
      <w:proofErr w:type="spellStart"/>
      <w:r w:rsidRPr="00D65FF2">
        <w:rPr>
          <w:rFonts w:ascii="Garamond" w:hAnsi="Garamond"/>
        </w:rPr>
        <w:t>Koyazengbe</w:t>
      </w:r>
      <w:proofErr w:type="spellEnd"/>
      <w:r w:rsidRPr="00D65FF2">
        <w:rPr>
          <w:rFonts w:ascii="Garamond" w:hAnsi="Garamond"/>
        </w:rPr>
        <w:t xml:space="preserve"> TA, </w:t>
      </w:r>
      <w:proofErr w:type="spellStart"/>
      <w:r w:rsidRPr="00D65FF2">
        <w:rPr>
          <w:rFonts w:ascii="Garamond" w:hAnsi="Garamond"/>
        </w:rPr>
        <w:t>Mbomba</w:t>
      </w:r>
      <w:proofErr w:type="spellEnd"/>
      <w:r w:rsidRPr="00D65FF2">
        <w:rPr>
          <w:rFonts w:ascii="Garamond" w:hAnsi="Garamond"/>
        </w:rPr>
        <w:t xml:space="preserve"> J, Marada RM, et al. Investigation of an outbreak of monkeypox in an area occupied by armed groups, Central African Republic. </w:t>
      </w:r>
      <w:proofErr w:type="spellStart"/>
      <w:r w:rsidRPr="00D65FF2">
        <w:rPr>
          <w:rFonts w:ascii="Garamond" w:hAnsi="Garamond"/>
        </w:rPr>
        <w:t>Médecine</w:t>
      </w:r>
      <w:proofErr w:type="spellEnd"/>
      <w:r w:rsidRPr="00D65FF2">
        <w:rPr>
          <w:rFonts w:ascii="Garamond" w:hAnsi="Garamond"/>
        </w:rPr>
        <w:t xml:space="preserve"> et Maladies </w:t>
      </w:r>
      <w:proofErr w:type="spellStart"/>
      <w:r w:rsidRPr="00D65FF2">
        <w:rPr>
          <w:rFonts w:ascii="Garamond" w:hAnsi="Garamond"/>
        </w:rPr>
        <w:t>Infectieuses</w:t>
      </w:r>
      <w:proofErr w:type="spellEnd"/>
      <w:r w:rsidRPr="00D65FF2">
        <w:rPr>
          <w:rFonts w:ascii="Garamond" w:hAnsi="Garamond"/>
        </w:rPr>
        <w:t xml:space="preserve">. 2018;48(4):263–8. </w:t>
      </w:r>
    </w:p>
    <w:p w14:paraId="4A1252FA" w14:textId="77777777" w:rsidR="00D65FF2" w:rsidRPr="00D65FF2" w:rsidRDefault="00D65FF2" w:rsidP="00D65FF2">
      <w:pPr>
        <w:pStyle w:val="Bibliographie"/>
        <w:rPr>
          <w:rFonts w:ascii="Garamond" w:hAnsi="Garamond"/>
          <w:lang w:val="fr-FR"/>
        </w:rPr>
      </w:pPr>
      <w:r w:rsidRPr="00D65FF2">
        <w:rPr>
          <w:rFonts w:ascii="Garamond" w:hAnsi="Garamond"/>
        </w:rPr>
        <w:t xml:space="preserve">4. </w:t>
      </w:r>
      <w:r w:rsidRPr="00D65FF2">
        <w:rPr>
          <w:rFonts w:ascii="Garamond" w:hAnsi="Garamond"/>
        </w:rPr>
        <w:tab/>
      </w:r>
      <w:proofErr w:type="spellStart"/>
      <w:r w:rsidRPr="00D65FF2">
        <w:rPr>
          <w:rFonts w:ascii="Garamond" w:hAnsi="Garamond"/>
        </w:rPr>
        <w:t>Kalthan</w:t>
      </w:r>
      <w:proofErr w:type="spellEnd"/>
      <w:r w:rsidRPr="00D65FF2">
        <w:rPr>
          <w:rFonts w:ascii="Garamond" w:hAnsi="Garamond"/>
        </w:rPr>
        <w:t xml:space="preserve"> E, Dondo-</w:t>
      </w:r>
      <w:proofErr w:type="spellStart"/>
      <w:r w:rsidRPr="00D65FF2">
        <w:rPr>
          <w:rFonts w:ascii="Garamond" w:hAnsi="Garamond"/>
        </w:rPr>
        <w:t>Fongbia</w:t>
      </w:r>
      <w:proofErr w:type="spellEnd"/>
      <w:r w:rsidRPr="00D65FF2">
        <w:rPr>
          <w:rFonts w:ascii="Garamond" w:hAnsi="Garamond"/>
        </w:rPr>
        <w:t xml:space="preserve"> JP, </w:t>
      </w:r>
      <w:proofErr w:type="spellStart"/>
      <w:r w:rsidRPr="00D65FF2">
        <w:rPr>
          <w:rFonts w:ascii="Garamond" w:hAnsi="Garamond"/>
        </w:rPr>
        <w:t>Yambele</w:t>
      </w:r>
      <w:proofErr w:type="spellEnd"/>
      <w:r w:rsidRPr="00D65FF2">
        <w:rPr>
          <w:rFonts w:ascii="Garamond" w:hAnsi="Garamond"/>
        </w:rPr>
        <w:t xml:space="preserve"> S, Dieu-Creer LR, </w:t>
      </w:r>
      <w:proofErr w:type="spellStart"/>
      <w:r w:rsidRPr="00D65FF2">
        <w:rPr>
          <w:rFonts w:ascii="Garamond" w:hAnsi="Garamond"/>
        </w:rPr>
        <w:t>Zepio</w:t>
      </w:r>
      <w:proofErr w:type="spellEnd"/>
      <w:r w:rsidRPr="00D65FF2">
        <w:rPr>
          <w:rFonts w:ascii="Garamond" w:hAnsi="Garamond"/>
        </w:rPr>
        <w:t xml:space="preserve"> R, </w:t>
      </w:r>
      <w:proofErr w:type="spellStart"/>
      <w:r w:rsidRPr="00D65FF2">
        <w:rPr>
          <w:rFonts w:ascii="Garamond" w:hAnsi="Garamond"/>
        </w:rPr>
        <w:t>Pamatika</w:t>
      </w:r>
      <w:proofErr w:type="spellEnd"/>
      <w:r w:rsidRPr="00D65FF2">
        <w:rPr>
          <w:rFonts w:ascii="Garamond" w:hAnsi="Garamond"/>
        </w:rPr>
        <w:t xml:space="preserve"> CM. </w:t>
      </w:r>
      <w:r w:rsidRPr="00D65FF2">
        <w:rPr>
          <w:rFonts w:ascii="Garamond" w:hAnsi="Garamond"/>
          <w:lang w:val="fr-FR"/>
        </w:rPr>
        <w:t xml:space="preserve">Epidémie de 12 cas de maladie à virus </w:t>
      </w:r>
      <w:proofErr w:type="spellStart"/>
      <w:r w:rsidRPr="00D65FF2">
        <w:rPr>
          <w:rFonts w:ascii="Garamond" w:hAnsi="Garamond"/>
          <w:lang w:val="fr-FR"/>
        </w:rPr>
        <w:t>monkeypox</w:t>
      </w:r>
      <w:proofErr w:type="spellEnd"/>
      <w:r w:rsidRPr="00D65FF2">
        <w:rPr>
          <w:rFonts w:ascii="Garamond" w:hAnsi="Garamond"/>
          <w:lang w:val="fr-FR"/>
        </w:rPr>
        <w:t xml:space="preserve"> dans le district de Bangassou en République Centrafricaine en décembre 2015. Bull Soc </w:t>
      </w:r>
      <w:proofErr w:type="spellStart"/>
      <w:r w:rsidRPr="00D65FF2">
        <w:rPr>
          <w:rFonts w:ascii="Garamond" w:hAnsi="Garamond"/>
          <w:lang w:val="fr-FR"/>
        </w:rPr>
        <w:t>Pathol</w:t>
      </w:r>
      <w:proofErr w:type="spellEnd"/>
      <w:r w:rsidRPr="00D65FF2">
        <w:rPr>
          <w:rFonts w:ascii="Garamond" w:hAnsi="Garamond"/>
          <w:lang w:val="fr-FR"/>
        </w:rPr>
        <w:t xml:space="preserve"> </w:t>
      </w:r>
      <w:proofErr w:type="spellStart"/>
      <w:r w:rsidRPr="00D65FF2">
        <w:rPr>
          <w:rFonts w:ascii="Garamond" w:hAnsi="Garamond"/>
          <w:lang w:val="fr-FR"/>
        </w:rPr>
        <w:t>Exot</w:t>
      </w:r>
      <w:proofErr w:type="spellEnd"/>
      <w:r w:rsidRPr="00D65FF2">
        <w:rPr>
          <w:rFonts w:ascii="Garamond" w:hAnsi="Garamond"/>
          <w:lang w:val="fr-FR"/>
        </w:rPr>
        <w:t xml:space="preserve">. </w:t>
      </w:r>
      <w:proofErr w:type="gramStart"/>
      <w:r w:rsidRPr="00D65FF2">
        <w:rPr>
          <w:rFonts w:ascii="Garamond" w:hAnsi="Garamond"/>
          <w:lang w:val="fr-FR"/>
        </w:rPr>
        <w:t>2016;</w:t>
      </w:r>
      <w:proofErr w:type="gramEnd"/>
      <w:r w:rsidRPr="00D65FF2">
        <w:rPr>
          <w:rFonts w:ascii="Garamond" w:hAnsi="Garamond"/>
          <w:lang w:val="fr-FR"/>
        </w:rPr>
        <w:t>109(5</w:t>
      </w:r>
      <w:proofErr w:type="gramStart"/>
      <w:r w:rsidRPr="00D65FF2">
        <w:rPr>
          <w:rFonts w:ascii="Garamond" w:hAnsi="Garamond"/>
          <w:lang w:val="fr-FR"/>
        </w:rPr>
        <w:t>):</w:t>
      </w:r>
      <w:proofErr w:type="gramEnd"/>
      <w:r w:rsidRPr="00D65FF2">
        <w:rPr>
          <w:rFonts w:ascii="Garamond" w:hAnsi="Garamond"/>
          <w:lang w:val="fr-FR"/>
        </w:rPr>
        <w:t xml:space="preserve">358–63. </w:t>
      </w:r>
    </w:p>
    <w:p w14:paraId="3C062BE5" w14:textId="77777777" w:rsidR="00D65FF2" w:rsidRPr="00D65FF2" w:rsidRDefault="00D65FF2" w:rsidP="00D65FF2">
      <w:pPr>
        <w:pStyle w:val="Bibliographie"/>
        <w:rPr>
          <w:rFonts w:ascii="Garamond" w:hAnsi="Garamond"/>
        </w:rPr>
      </w:pPr>
      <w:r w:rsidRPr="00D65FF2">
        <w:rPr>
          <w:rFonts w:ascii="Garamond" w:hAnsi="Garamond"/>
          <w:lang w:val="fr-FR"/>
        </w:rPr>
        <w:t xml:space="preserve">5. </w:t>
      </w:r>
      <w:r w:rsidRPr="00D65FF2">
        <w:rPr>
          <w:rFonts w:ascii="Garamond" w:hAnsi="Garamond"/>
          <w:lang w:val="fr-FR"/>
        </w:rPr>
        <w:tab/>
      </w:r>
      <w:proofErr w:type="spellStart"/>
      <w:r w:rsidRPr="00D65FF2">
        <w:rPr>
          <w:rFonts w:ascii="Garamond" w:hAnsi="Garamond"/>
          <w:lang w:val="fr-FR"/>
        </w:rPr>
        <w:t>Nakoune</w:t>
      </w:r>
      <w:proofErr w:type="spellEnd"/>
      <w:r w:rsidRPr="00D65FF2">
        <w:rPr>
          <w:rFonts w:ascii="Garamond" w:hAnsi="Garamond"/>
          <w:lang w:val="fr-FR"/>
        </w:rPr>
        <w:t xml:space="preserve"> E, </w:t>
      </w:r>
      <w:proofErr w:type="spellStart"/>
      <w:r w:rsidRPr="00D65FF2">
        <w:rPr>
          <w:rFonts w:ascii="Garamond" w:hAnsi="Garamond"/>
          <w:lang w:val="fr-FR"/>
        </w:rPr>
        <w:t>Lampaert</w:t>
      </w:r>
      <w:proofErr w:type="spellEnd"/>
      <w:r w:rsidRPr="00D65FF2">
        <w:rPr>
          <w:rFonts w:ascii="Garamond" w:hAnsi="Garamond"/>
          <w:lang w:val="fr-FR"/>
        </w:rPr>
        <w:t xml:space="preserve"> E, </w:t>
      </w:r>
      <w:proofErr w:type="spellStart"/>
      <w:r w:rsidRPr="00D65FF2">
        <w:rPr>
          <w:rFonts w:ascii="Garamond" w:hAnsi="Garamond"/>
          <w:lang w:val="fr-FR"/>
        </w:rPr>
        <w:t>Ndjapou</w:t>
      </w:r>
      <w:proofErr w:type="spellEnd"/>
      <w:r w:rsidRPr="00D65FF2">
        <w:rPr>
          <w:rFonts w:ascii="Garamond" w:hAnsi="Garamond"/>
          <w:lang w:val="fr-FR"/>
        </w:rPr>
        <w:t xml:space="preserve"> SG, Janssens C, </w:t>
      </w:r>
      <w:proofErr w:type="spellStart"/>
      <w:r w:rsidRPr="00D65FF2">
        <w:rPr>
          <w:rFonts w:ascii="Garamond" w:hAnsi="Garamond"/>
          <w:lang w:val="fr-FR"/>
        </w:rPr>
        <w:t>Zuniga</w:t>
      </w:r>
      <w:proofErr w:type="spellEnd"/>
      <w:r w:rsidRPr="00D65FF2">
        <w:rPr>
          <w:rFonts w:ascii="Garamond" w:hAnsi="Garamond"/>
          <w:lang w:val="fr-FR"/>
        </w:rPr>
        <w:t xml:space="preserve"> I, Van </w:t>
      </w:r>
      <w:proofErr w:type="spellStart"/>
      <w:r w:rsidRPr="00D65FF2">
        <w:rPr>
          <w:rFonts w:ascii="Garamond" w:hAnsi="Garamond"/>
          <w:lang w:val="fr-FR"/>
        </w:rPr>
        <w:t>Herp</w:t>
      </w:r>
      <w:proofErr w:type="spellEnd"/>
      <w:r w:rsidRPr="00D65FF2">
        <w:rPr>
          <w:rFonts w:ascii="Garamond" w:hAnsi="Garamond"/>
          <w:lang w:val="fr-FR"/>
        </w:rPr>
        <w:t xml:space="preserve"> M, et al. </w:t>
      </w:r>
      <w:r w:rsidRPr="00D65FF2">
        <w:rPr>
          <w:rFonts w:ascii="Garamond" w:hAnsi="Garamond"/>
        </w:rPr>
        <w:t>A Nosocomial Outbreak of Human Monkeypox in the Central African Republic. Open Forum Infectious Diseases. 2017;4(4</w:t>
      </w:r>
      <w:proofErr w:type="gramStart"/>
      <w:r w:rsidRPr="00D65FF2">
        <w:rPr>
          <w:rFonts w:ascii="Garamond" w:hAnsi="Garamond"/>
        </w:rPr>
        <w:t>):ofx</w:t>
      </w:r>
      <w:proofErr w:type="gramEnd"/>
      <w:r w:rsidRPr="00D65FF2">
        <w:rPr>
          <w:rFonts w:ascii="Garamond" w:hAnsi="Garamond"/>
        </w:rPr>
        <w:t xml:space="preserve">168. </w:t>
      </w:r>
    </w:p>
    <w:p w14:paraId="53CEB952" w14:textId="77777777" w:rsidR="00D65FF2" w:rsidRPr="00D65FF2" w:rsidRDefault="00D65FF2" w:rsidP="00D65FF2">
      <w:pPr>
        <w:pStyle w:val="Bibliographie"/>
        <w:rPr>
          <w:rFonts w:ascii="Garamond" w:hAnsi="Garamond"/>
        </w:rPr>
      </w:pPr>
      <w:r w:rsidRPr="00D65FF2">
        <w:rPr>
          <w:rFonts w:ascii="Garamond" w:hAnsi="Garamond"/>
        </w:rPr>
        <w:t xml:space="preserve">6. </w:t>
      </w:r>
      <w:r w:rsidRPr="00D65FF2">
        <w:rPr>
          <w:rFonts w:ascii="Garamond" w:hAnsi="Garamond"/>
        </w:rPr>
        <w:tab/>
      </w:r>
      <w:proofErr w:type="spellStart"/>
      <w:r w:rsidRPr="00D65FF2">
        <w:rPr>
          <w:rFonts w:ascii="Garamond" w:hAnsi="Garamond"/>
        </w:rPr>
        <w:t>Besombes</w:t>
      </w:r>
      <w:proofErr w:type="spellEnd"/>
      <w:r w:rsidRPr="00D65FF2">
        <w:rPr>
          <w:rFonts w:ascii="Garamond" w:hAnsi="Garamond"/>
        </w:rPr>
        <w:t xml:space="preserve"> C, </w:t>
      </w:r>
      <w:proofErr w:type="spellStart"/>
      <w:r w:rsidRPr="00D65FF2">
        <w:rPr>
          <w:rFonts w:ascii="Garamond" w:hAnsi="Garamond"/>
        </w:rPr>
        <w:t>Gonofio</w:t>
      </w:r>
      <w:proofErr w:type="spellEnd"/>
      <w:r w:rsidRPr="00D65FF2">
        <w:rPr>
          <w:rFonts w:ascii="Garamond" w:hAnsi="Garamond"/>
        </w:rPr>
        <w:t xml:space="preserve"> E, </w:t>
      </w:r>
      <w:proofErr w:type="spellStart"/>
      <w:r w:rsidRPr="00D65FF2">
        <w:rPr>
          <w:rFonts w:ascii="Garamond" w:hAnsi="Garamond"/>
        </w:rPr>
        <w:t>Konamna</w:t>
      </w:r>
      <w:proofErr w:type="spellEnd"/>
      <w:r w:rsidRPr="00D65FF2">
        <w:rPr>
          <w:rFonts w:ascii="Garamond" w:hAnsi="Garamond"/>
        </w:rPr>
        <w:t xml:space="preserve"> X, </w:t>
      </w:r>
      <w:proofErr w:type="spellStart"/>
      <w:r w:rsidRPr="00D65FF2">
        <w:rPr>
          <w:rFonts w:ascii="Garamond" w:hAnsi="Garamond"/>
        </w:rPr>
        <w:t>Selekon</w:t>
      </w:r>
      <w:proofErr w:type="spellEnd"/>
      <w:r w:rsidRPr="00D65FF2">
        <w:rPr>
          <w:rFonts w:ascii="Garamond" w:hAnsi="Garamond"/>
        </w:rPr>
        <w:t xml:space="preserve"> B, </w:t>
      </w:r>
      <w:proofErr w:type="spellStart"/>
      <w:r w:rsidRPr="00D65FF2">
        <w:rPr>
          <w:rFonts w:ascii="Garamond" w:hAnsi="Garamond"/>
        </w:rPr>
        <w:t>Gessain</w:t>
      </w:r>
      <w:proofErr w:type="spellEnd"/>
      <w:r w:rsidRPr="00D65FF2">
        <w:rPr>
          <w:rFonts w:ascii="Garamond" w:hAnsi="Garamond"/>
        </w:rPr>
        <w:t xml:space="preserve"> A, Berthet N, et al. Intrafamily Transmission of Monkeypox Virus, Central African Republic, 2018. Emerg Infect Dis. 2019;25(8):1602–4. </w:t>
      </w:r>
    </w:p>
    <w:p w14:paraId="3CA8636B" w14:textId="77777777" w:rsidR="00D65FF2" w:rsidRPr="00D65FF2" w:rsidRDefault="00D65FF2" w:rsidP="00D65FF2">
      <w:pPr>
        <w:pStyle w:val="Bibliographie"/>
        <w:rPr>
          <w:rFonts w:ascii="Garamond" w:hAnsi="Garamond"/>
        </w:rPr>
      </w:pPr>
      <w:r w:rsidRPr="00D65FF2">
        <w:rPr>
          <w:rFonts w:ascii="Garamond" w:hAnsi="Garamond"/>
          <w:lang w:val="de-DE"/>
        </w:rPr>
        <w:t xml:space="preserve">7. </w:t>
      </w:r>
      <w:r w:rsidRPr="00D65FF2">
        <w:rPr>
          <w:rFonts w:ascii="Garamond" w:hAnsi="Garamond"/>
          <w:lang w:val="de-DE"/>
        </w:rPr>
        <w:tab/>
      </w:r>
      <w:proofErr w:type="spellStart"/>
      <w:r w:rsidRPr="00D65FF2">
        <w:rPr>
          <w:rFonts w:ascii="Garamond" w:hAnsi="Garamond"/>
          <w:lang w:val="de-DE"/>
        </w:rPr>
        <w:t>Besombes</w:t>
      </w:r>
      <w:proofErr w:type="spellEnd"/>
      <w:r w:rsidRPr="00D65FF2">
        <w:rPr>
          <w:rFonts w:ascii="Garamond" w:hAnsi="Garamond"/>
          <w:lang w:val="de-DE"/>
        </w:rPr>
        <w:t xml:space="preserve"> C, </w:t>
      </w:r>
      <w:proofErr w:type="spellStart"/>
      <w:r w:rsidRPr="00D65FF2">
        <w:rPr>
          <w:rFonts w:ascii="Garamond" w:hAnsi="Garamond"/>
          <w:lang w:val="de-DE"/>
        </w:rPr>
        <w:t>Mbrenga</w:t>
      </w:r>
      <w:proofErr w:type="spellEnd"/>
      <w:r w:rsidRPr="00D65FF2">
        <w:rPr>
          <w:rFonts w:ascii="Garamond" w:hAnsi="Garamond"/>
          <w:lang w:val="de-DE"/>
        </w:rPr>
        <w:t xml:space="preserve"> F, Malaka C, </w:t>
      </w:r>
      <w:proofErr w:type="spellStart"/>
      <w:r w:rsidRPr="00D65FF2">
        <w:rPr>
          <w:rFonts w:ascii="Garamond" w:hAnsi="Garamond"/>
          <w:lang w:val="de-DE"/>
        </w:rPr>
        <w:t>Gonofio</w:t>
      </w:r>
      <w:proofErr w:type="spellEnd"/>
      <w:r w:rsidRPr="00D65FF2">
        <w:rPr>
          <w:rFonts w:ascii="Garamond" w:hAnsi="Garamond"/>
          <w:lang w:val="de-DE"/>
        </w:rPr>
        <w:t xml:space="preserve"> E, Schaeffer L, </w:t>
      </w:r>
      <w:proofErr w:type="spellStart"/>
      <w:r w:rsidRPr="00D65FF2">
        <w:rPr>
          <w:rFonts w:ascii="Garamond" w:hAnsi="Garamond"/>
          <w:lang w:val="de-DE"/>
        </w:rPr>
        <w:t>Konamna</w:t>
      </w:r>
      <w:proofErr w:type="spellEnd"/>
      <w:r w:rsidRPr="00D65FF2">
        <w:rPr>
          <w:rFonts w:ascii="Garamond" w:hAnsi="Garamond"/>
          <w:lang w:val="de-DE"/>
        </w:rPr>
        <w:t xml:space="preserve"> X, et al. </w:t>
      </w:r>
      <w:r w:rsidRPr="00D65FF2">
        <w:rPr>
          <w:rFonts w:ascii="Garamond" w:hAnsi="Garamond"/>
        </w:rPr>
        <w:t xml:space="preserve">Investigation of a mpox outbreak in Central African Republic, 2021-2022. One Health. </w:t>
      </w:r>
      <w:proofErr w:type="gramStart"/>
      <w:r w:rsidRPr="00D65FF2">
        <w:rPr>
          <w:rFonts w:ascii="Garamond" w:hAnsi="Garamond"/>
        </w:rPr>
        <w:t>2023;16:100523</w:t>
      </w:r>
      <w:proofErr w:type="gramEnd"/>
      <w:r w:rsidRPr="00D65FF2">
        <w:rPr>
          <w:rFonts w:ascii="Garamond" w:hAnsi="Garamond"/>
        </w:rPr>
        <w:t xml:space="preserve">. </w:t>
      </w:r>
    </w:p>
    <w:p w14:paraId="6F8FBE21" w14:textId="0C2B908B" w:rsidR="00481B10" w:rsidRPr="00AB5003" w:rsidRDefault="00481B10" w:rsidP="00481B10">
      <w:pPr>
        <w:ind w:firstLine="720"/>
        <w:rPr>
          <w:rFonts w:ascii="Garamond" w:hAnsi="Garamond"/>
        </w:rPr>
      </w:pPr>
      <w:r w:rsidRPr="00AB5003">
        <w:rPr>
          <w:rFonts w:ascii="Garamond" w:hAnsi="Garamond"/>
        </w:rPr>
        <w:fldChar w:fldCharType="end"/>
      </w:r>
    </w:p>
    <w:sectPr w:rsidR="00481B10" w:rsidRPr="00AB5003" w:rsidSect="00881EEB">
      <w:footerReference w:type="default" r:id="rId7"/>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D2BDE" w14:textId="77777777" w:rsidR="008279D3" w:rsidRDefault="008279D3" w:rsidP="00DA5875">
      <w:pPr>
        <w:spacing w:after="0" w:line="240" w:lineRule="auto"/>
      </w:pPr>
      <w:r>
        <w:separator/>
      </w:r>
    </w:p>
  </w:endnote>
  <w:endnote w:type="continuationSeparator" w:id="0">
    <w:p w14:paraId="1FEDE95B" w14:textId="77777777" w:rsidR="008279D3" w:rsidRDefault="008279D3" w:rsidP="00DA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931043"/>
      <w:docPartObj>
        <w:docPartGallery w:val="Page Numbers (Bottom of Page)"/>
        <w:docPartUnique/>
      </w:docPartObj>
    </w:sdtPr>
    <w:sdtContent>
      <w:p w14:paraId="20605D69" w14:textId="20AC78C8" w:rsidR="00DA5875" w:rsidRDefault="00DA5875">
        <w:pPr>
          <w:pStyle w:val="Pieddepage"/>
          <w:jc w:val="right"/>
        </w:pPr>
        <w:r>
          <w:fldChar w:fldCharType="begin"/>
        </w:r>
        <w:r>
          <w:instrText>PAGE   \* MERGEFORMAT</w:instrText>
        </w:r>
        <w:r>
          <w:fldChar w:fldCharType="separate"/>
        </w:r>
        <w:r>
          <w:rPr>
            <w:lang w:val="fr-FR"/>
          </w:rPr>
          <w:t>2</w:t>
        </w:r>
        <w:r>
          <w:fldChar w:fldCharType="end"/>
        </w:r>
      </w:p>
    </w:sdtContent>
  </w:sdt>
  <w:p w14:paraId="74E5F955" w14:textId="77777777" w:rsidR="00DA5875" w:rsidRDefault="00DA58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F021" w14:textId="77777777" w:rsidR="008279D3" w:rsidRDefault="008279D3" w:rsidP="00DA5875">
      <w:pPr>
        <w:spacing w:after="0" w:line="240" w:lineRule="auto"/>
      </w:pPr>
      <w:r>
        <w:separator/>
      </w:r>
    </w:p>
  </w:footnote>
  <w:footnote w:type="continuationSeparator" w:id="0">
    <w:p w14:paraId="7D7CADE3" w14:textId="77777777" w:rsidR="008279D3" w:rsidRDefault="008279D3" w:rsidP="00DA58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93"/>
    <w:rsid w:val="00006B1A"/>
    <w:rsid w:val="000342D1"/>
    <w:rsid w:val="0004303F"/>
    <w:rsid w:val="00057DEF"/>
    <w:rsid w:val="00062530"/>
    <w:rsid w:val="00076393"/>
    <w:rsid w:val="000B1E4B"/>
    <w:rsid w:val="000E1202"/>
    <w:rsid w:val="000E328F"/>
    <w:rsid w:val="0010640F"/>
    <w:rsid w:val="00106E2D"/>
    <w:rsid w:val="00107424"/>
    <w:rsid w:val="00107E7C"/>
    <w:rsid w:val="00122CDC"/>
    <w:rsid w:val="0012545B"/>
    <w:rsid w:val="00144251"/>
    <w:rsid w:val="0015014C"/>
    <w:rsid w:val="0016613E"/>
    <w:rsid w:val="00174FC3"/>
    <w:rsid w:val="00193355"/>
    <w:rsid w:val="00194F01"/>
    <w:rsid w:val="001A3B3A"/>
    <w:rsid w:val="001B62BC"/>
    <w:rsid w:val="001C1DF0"/>
    <w:rsid w:val="001D1012"/>
    <w:rsid w:val="001D2198"/>
    <w:rsid w:val="001D2C96"/>
    <w:rsid w:val="001E1654"/>
    <w:rsid w:val="0020491A"/>
    <w:rsid w:val="002448AC"/>
    <w:rsid w:val="00256426"/>
    <w:rsid w:val="00257A03"/>
    <w:rsid w:val="00260ACF"/>
    <w:rsid w:val="00264D43"/>
    <w:rsid w:val="002803B2"/>
    <w:rsid w:val="00282D31"/>
    <w:rsid w:val="00285313"/>
    <w:rsid w:val="00296152"/>
    <w:rsid w:val="002A04EF"/>
    <w:rsid w:val="002A0AF2"/>
    <w:rsid w:val="002B5846"/>
    <w:rsid w:val="002C1B82"/>
    <w:rsid w:val="002C2608"/>
    <w:rsid w:val="00302B85"/>
    <w:rsid w:val="00317062"/>
    <w:rsid w:val="0032131F"/>
    <w:rsid w:val="00331732"/>
    <w:rsid w:val="003370CF"/>
    <w:rsid w:val="003520E1"/>
    <w:rsid w:val="00354B87"/>
    <w:rsid w:val="0035549E"/>
    <w:rsid w:val="00357E56"/>
    <w:rsid w:val="00364157"/>
    <w:rsid w:val="00380C36"/>
    <w:rsid w:val="003B2918"/>
    <w:rsid w:val="003C4487"/>
    <w:rsid w:val="003C5974"/>
    <w:rsid w:val="003C5C0E"/>
    <w:rsid w:val="00405624"/>
    <w:rsid w:val="00425752"/>
    <w:rsid w:val="00430BAD"/>
    <w:rsid w:val="0044614B"/>
    <w:rsid w:val="00451B0E"/>
    <w:rsid w:val="0047574E"/>
    <w:rsid w:val="00481B10"/>
    <w:rsid w:val="004979D6"/>
    <w:rsid w:val="004A5CB1"/>
    <w:rsid w:val="004B7C63"/>
    <w:rsid w:val="004C264B"/>
    <w:rsid w:val="004D379C"/>
    <w:rsid w:val="004E2668"/>
    <w:rsid w:val="00511547"/>
    <w:rsid w:val="0051273A"/>
    <w:rsid w:val="00521935"/>
    <w:rsid w:val="00523CC9"/>
    <w:rsid w:val="00532DB8"/>
    <w:rsid w:val="005525FF"/>
    <w:rsid w:val="00553178"/>
    <w:rsid w:val="005675DF"/>
    <w:rsid w:val="00576D5D"/>
    <w:rsid w:val="00587432"/>
    <w:rsid w:val="00591A14"/>
    <w:rsid w:val="0059525F"/>
    <w:rsid w:val="005B03C1"/>
    <w:rsid w:val="005B1D29"/>
    <w:rsid w:val="005B45FF"/>
    <w:rsid w:val="005C06AE"/>
    <w:rsid w:val="005E4450"/>
    <w:rsid w:val="005F646A"/>
    <w:rsid w:val="005F76AE"/>
    <w:rsid w:val="00612CED"/>
    <w:rsid w:val="00632EDC"/>
    <w:rsid w:val="00640D2A"/>
    <w:rsid w:val="006603F3"/>
    <w:rsid w:val="00663682"/>
    <w:rsid w:val="006A0973"/>
    <w:rsid w:val="006A7706"/>
    <w:rsid w:val="006E6C50"/>
    <w:rsid w:val="006F2747"/>
    <w:rsid w:val="00700DF0"/>
    <w:rsid w:val="00725D4C"/>
    <w:rsid w:val="00734C18"/>
    <w:rsid w:val="0073538B"/>
    <w:rsid w:val="007369AB"/>
    <w:rsid w:val="00762823"/>
    <w:rsid w:val="00791AB7"/>
    <w:rsid w:val="00797BDE"/>
    <w:rsid w:val="007C76B0"/>
    <w:rsid w:val="007D0D9F"/>
    <w:rsid w:val="007D494D"/>
    <w:rsid w:val="007E00EE"/>
    <w:rsid w:val="0080254D"/>
    <w:rsid w:val="00803774"/>
    <w:rsid w:val="00811414"/>
    <w:rsid w:val="008279D3"/>
    <w:rsid w:val="0083365F"/>
    <w:rsid w:val="008468DB"/>
    <w:rsid w:val="0085342D"/>
    <w:rsid w:val="008640D9"/>
    <w:rsid w:val="00881EEB"/>
    <w:rsid w:val="00884006"/>
    <w:rsid w:val="008870B7"/>
    <w:rsid w:val="008A097F"/>
    <w:rsid w:val="008C2CA7"/>
    <w:rsid w:val="008C5E4B"/>
    <w:rsid w:val="008D3341"/>
    <w:rsid w:val="008E5D64"/>
    <w:rsid w:val="008F441B"/>
    <w:rsid w:val="008F6DC1"/>
    <w:rsid w:val="00906043"/>
    <w:rsid w:val="009146BC"/>
    <w:rsid w:val="009156CA"/>
    <w:rsid w:val="00953329"/>
    <w:rsid w:val="00970F3B"/>
    <w:rsid w:val="00973F15"/>
    <w:rsid w:val="00981B6E"/>
    <w:rsid w:val="00985214"/>
    <w:rsid w:val="009A72B4"/>
    <w:rsid w:val="009B0206"/>
    <w:rsid w:val="009B219D"/>
    <w:rsid w:val="009B618D"/>
    <w:rsid w:val="009C0B26"/>
    <w:rsid w:val="009C3071"/>
    <w:rsid w:val="009E159A"/>
    <w:rsid w:val="009E508A"/>
    <w:rsid w:val="009E651B"/>
    <w:rsid w:val="009F37B6"/>
    <w:rsid w:val="00A13739"/>
    <w:rsid w:val="00A1435E"/>
    <w:rsid w:val="00A14E77"/>
    <w:rsid w:val="00A217F9"/>
    <w:rsid w:val="00A35B93"/>
    <w:rsid w:val="00A44F86"/>
    <w:rsid w:val="00A51C00"/>
    <w:rsid w:val="00A74255"/>
    <w:rsid w:val="00A7429A"/>
    <w:rsid w:val="00A86E78"/>
    <w:rsid w:val="00AB5003"/>
    <w:rsid w:val="00AB74FB"/>
    <w:rsid w:val="00AC49A5"/>
    <w:rsid w:val="00AF419A"/>
    <w:rsid w:val="00B00FBB"/>
    <w:rsid w:val="00B0498F"/>
    <w:rsid w:val="00B05E23"/>
    <w:rsid w:val="00B070C2"/>
    <w:rsid w:val="00B10B0D"/>
    <w:rsid w:val="00B25938"/>
    <w:rsid w:val="00B321F9"/>
    <w:rsid w:val="00B359EF"/>
    <w:rsid w:val="00B44E94"/>
    <w:rsid w:val="00B54143"/>
    <w:rsid w:val="00B565D0"/>
    <w:rsid w:val="00B56CE8"/>
    <w:rsid w:val="00B7044E"/>
    <w:rsid w:val="00B70521"/>
    <w:rsid w:val="00B7229F"/>
    <w:rsid w:val="00B7791C"/>
    <w:rsid w:val="00B82AB5"/>
    <w:rsid w:val="00B84C26"/>
    <w:rsid w:val="00B8737E"/>
    <w:rsid w:val="00B93F39"/>
    <w:rsid w:val="00BB1A2B"/>
    <w:rsid w:val="00BB4A6E"/>
    <w:rsid w:val="00BB4DB6"/>
    <w:rsid w:val="00BB7126"/>
    <w:rsid w:val="00BC2E66"/>
    <w:rsid w:val="00BC6D4E"/>
    <w:rsid w:val="00BC715B"/>
    <w:rsid w:val="00BC7798"/>
    <w:rsid w:val="00BD02C0"/>
    <w:rsid w:val="00BD113D"/>
    <w:rsid w:val="00BF56B6"/>
    <w:rsid w:val="00C05D18"/>
    <w:rsid w:val="00C1048B"/>
    <w:rsid w:val="00C2042A"/>
    <w:rsid w:val="00C2259B"/>
    <w:rsid w:val="00C22A11"/>
    <w:rsid w:val="00C24DD8"/>
    <w:rsid w:val="00C24EB1"/>
    <w:rsid w:val="00C26C57"/>
    <w:rsid w:val="00C34F9D"/>
    <w:rsid w:val="00C5124F"/>
    <w:rsid w:val="00C6535D"/>
    <w:rsid w:val="00C83698"/>
    <w:rsid w:val="00C92315"/>
    <w:rsid w:val="00CC09BC"/>
    <w:rsid w:val="00CC5D94"/>
    <w:rsid w:val="00CD27EF"/>
    <w:rsid w:val="00CF2E7F"/>
    <w:rsid w:val="00CF3B6B"/>
    <w:rsid w:val="00D038E1"/>
    <w:rsid w:val="00D32C99"/>
    <w:rsid w:val="00D426BD"/>
    <w:rsid w:val="00D45E77"/>
    <w:rsid w:val="00D46444"/>
    <w:rsid w:val="00D46F93"/>
    <w:rsid w:val="00D52CBC"/>
    <w:rsid w:val="00D57C93"/>
    <w:rsid w:val="00D607BA"/>
    <w:rsid w:val="00D624D3"/>
    <w:rsid w:val="00D65FF2"/>
    <w:rsid w:val="00D874AB"/>
    <w:rsid w:val="00DA5875"/>
    <w:rsid w:val="00DD468D"/>
    <w:rsid w:val="00DD6155"/>
    <w:rsid w:val="00DD6D88"/>
    <w:rsid w:val="00E03784"/>
    <w:rsid w:val="00E100C2"/>
    <w:rsid w:val="00E14422"/>
    <w:rsid w:val="00E15321"/>
    <w:rsid w:val="00E27449"/>
    <w:rsid w:val="00E3056F"/>
    <w:rsid w:val="00E32049"/>
    <w:rsid w:val="00E42983"/>
    <w:rsid w:val="00E51B94"/>
    <w:rsid w:val="00E5542C"/>
    <w:rsid w:val="00E75C26"/>
    <w:rsid w:val="00E8404D"/>
    <w:rsid w:val="00E972C2"/>
    <w:rsid w:val="00EA34D1"/>
    <w:rsid w:val="00EB0266"/>
    <w:rsid w:val="00EC5A8C"/>
    <w:rsid w:val="00ED6A1B"/>
    <w:rsid w:val="00EE4697"/>
    <w:rsid w:val="00EE704C"/>
    <w:rsid w:val="00EF5AE4"/>
    <w:rsid w:val="00F1363F"/>
    <w:rsid w:val="00F1773F"/>
    <w:rsid w:val="00F4696F"/>
    <w:rsid w:val="00F74C6B"/>
    <w:rsid w:val="00F74D66"/>
    <w:rsid w:val="00F8193F"/>
    <w:rsid w:val="00F821A2"/>
    <w:rsid w:val="00F9020F"/>
    <w:rsid w:val="00FA4D56"/>
    <w:rsid w:val="00FC309B"/>
    <w:rsid w:val="00FE0F6F"/>
    <w:rsid w:val="00FE5C57"/>
    <w:rsid w:val="00FF2D0C"/>
    <w:rsid w:val="00FF7E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76E7C"/>
  <w15:chartTrackingRefBased/>
  <w15:docId w15:val="{3244DD6D-2DE1-4054-9C89-6EF2A51B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35B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35B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35B9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35B9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A35B93"/>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A35B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A35B93"/>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A35B93"/>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A35B93"/>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5B9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35B9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35B93"/>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A35B93"/>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A35B93"/>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A35B93"/>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A35B93"/>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A35B93"/>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A35B93"/>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A35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35B9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35B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35B93"/>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A35B93"/>
    <w:pPr>
      <w:spacing w:before="160"/>
      <w:jc w:val="center"/>
    </w:pPr>
    <w:rPr>
      <w:i/>
      <w:iCs/>
      <w:color w:val="404040" w:themeColor="text1" w:themeTint="BF"/>
    </w:rPr>
  </w:style>
  <w:style w:type="character" w:customStyle="1" w:styleId="CitationCar">
    <w:name w:val="Citation Car"/>
    <w:basedOn w:val="Policepardfaut"/>
    <w:link w:val="Citation"/>
    <w:uiPriority w:val="29"/>
    <w:rsid w:val="00A35B93"/>
    <w:rPr>
      <w:i/>
      <w:iCs/>
      <w:color w:val="404040" w:themeColor="text1" w:themeTint="BF"/>
    </w:rPr>
  </w:style>
  <w:style w:type="paragraph" w:styleId="Paragraphedeliste">
    <w:name w:val="List Paragraph"/>
    <w:basedOn w:val="Normal"/>
    <w:uiPriority w:val="34"/>
    <w:qFormat/>
    <w:rsid w:val="00A35B93"/>
    <w:pPr>
      <w:ind w:left="720"/>
      <w:contextualSpacing/>
    </w:pPr>
  </w:style>
  <w:style w:type="character" w:styleId="Accentuationintense">
    <w:name w:val="Intense Emphasis"/>
    <w:basedOn w:val="Policepardfaut"/>
    <w:uiPriority w:val="21"/>
    <w:qFormat/>
    <w:rsid w:val="00A35B93"/>
    <w:rPr>
      <w:i/>
      <w:iCs/>
      <w:color w:val="2F5496" w:themeColor="accent1" w:themeShade="BF"/>
    </w:rPr>
  </w:style>
  <w:style w:type="paragraph" w:styleId="Citationintense">
    <w:name w:val="Intense Quote"/>
    <w:basedOn w:val="Normal"/>
    <w:next w:val="Normal"/>
    <w:link w:val="CitationintenseCar"/>
    <w:uiPriority w:val="30"/>
    <w:qFormat/>
    <w:rsid w:val="00A35B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35B93"/>
    <w:rPr>
      <w:i/>
      <w:iCs/>
      <w:color w:val="2F5496" w:themeColor="accent1" w:themeShade="BF"/>
    </w:rPr>
  </w:style>
  <w:style w:type="character" w:styleId="Rfrenceintense">
    <w:name w:val="Intense Reference"/>
    <w:basedOn w:val="Policepardfaut"/>
    <w:uiPriority w:val="32"/>
    <w:qFormat/>
    <w:rsid w:val="00A35B93"/>
    <w:rPr>
      <w:b/>
      <w:bCs/>
      <w:smallCaps/>
      <w:color w:val="2F5496" w:themeColor="accent1" w:themeShade="BF"/>
      <w:spacing w:val="5"/>
    </w:rPr>
  </w:style>
  <w:style w:type="paragraph" w:styleId="Lgende">
    <w:name w:val="caption"/>
    <w:basedOn w:val="Normal"/>
    <w:next w:val="Normal"/>
    <w:uiPriority w:val="35"/>
    <w:unhideWhenUsed/>
    <w:qFormat/>
    <w:rsid w:val="007D494D"/>
    <w:pPr>
      <w:spacing w:after="200" w:line="240" w:lineRule="auto"/>
    </w:pPr>
    <w:rPr>
      <w:b/>
      <w:bCs/>
    </w:rPr>
  </w:style>
  <w:style w:type="paragraph" w:styleId="Bibliographie">
    <w:name w:val="Bibliography"/>
    <w:basedOn w:val="Normal"/>
    <w:next w:val="Normal"/>
    <w:uiPriority w:val="37"/>
    <w:unhideWhenUsed/>
    <w:rsid w:val="00481B10"/>
    <w:pPr>
      <w:tabs>
        <w:tab w:val="left" w:pos="504"/>
      </w:tabs>
      <w:spacing w:after="240" w:line="240" w:lineRule="auto"/>
      <w:ind w:left="504" w:hanging="504"/>
    </w:pPr>
  </w:style>
  <w:style w:type="paragraph" w:styleId="En-tte">
    <w:name w:val="header"/>
    <w:basedOn w:val="Normal"/>
    <w:link w:val="En-tteCar"/>
    <w:uiPriority w:val="99"/>
    <w:unhideWhenUsed/>
    <w:rsid w:val="00DA5875"/>
    <w:pPr>
      <w:tabs>
        <w:tab w:val="center" w:pos="4703"/>
        <w:tab w:val="right" w:pos="9406"/>
      </w:tabs>
      <w:spacing w:after="0" w:line="240" w:lineRule="auto"/>
    </w:pPr>
  </w:style>
  <w:style w:type="character" w:customStyle="1" w:styleId="En-tteCar">
    <w:name w:val="En-tête Car"/>
    <w:basedOn w:val="Policepardfaut"/>
    <w:link w:val="En-tte"/>
    <w:uiPriority w:val="99"/>
    <w:rsid w:val="00DA5875"/>
  </w:style>
  <w:style w:type="paragraph" w:styleId="Pieddepage">
    <w:name w:val="footer"/>
    <w:basedOn w:val="Normal"/>
    <w:link w:val="PieddepageCar"/>
    <w:uiPriority w:val="99"/>
    <w:unhideWhenUsed/>
    <w:rsid w:val="00DA5875"/>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DA5875"/>
  </w:style>
  <w:style w:type="table" w:styleId="Grilledutableau">
    <w:name w:val="Table Grid"/>
    <w:basedOn w:val="TableauNormal"/>
    <w:uiPriority w:val="39"/>
    <w:rsid w:val="001D2C96"/>
    <w:pPr>
      <w:spacing w:after="0" w:line="240" w:lineRule="auto"/>
    </w:pPr>
    <w:rPr>
      <w:rFonts w:ascii="DengXian" w:eastAsia="DengXian" w:hAnsi="DengXian" w:cs="Arial"/>
      <w:sz w:val="21"/>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6Couleur-Accentuation3">
    <w:name w:val="Grid Table 6 Colorful Accent 3"/>
    <w:basedOn w:val="TableauNormal"/>
    <w:uiPriority w:val="51"/>
    <w:rsid w:val="00AB500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78180">
      <w:bodyDiv w:val="1"/>
      <w:marLeft w:val="0"/>
      <w:marRight w:val="0"/>
      <w:marTop w:val="0"/>
      <w:marBottom w:val="0"/>
      <w:divBdr>
        <w:top w:val="none" w:sz="0" w:space="0" w:color="auto"/>
        <w:left w:val="none" w:sz="0" w:space="0" w:color="auto"/>
        <w:bottom w:val="none" w:sz="0" w:space="0" w:color="auto"/>
        <w:right w:val="none" w:sz="0" w:space="0" w:color="auto"/>
      </w:divBdr>
    </w:div>
    <w:div w:id="345207950">
      <w:bodyDiv w:val="1"/>
      <w:marLeft w:val="0"/>
      <w:marRight w:val="0"/>
      <w:marTop w:val="0"/>
      <w:marBottom w:val="0"/>
      <w:divBdr>
        <w:top w:val="none" w:sz="0" w:space="0" w:color="auto"/>
        <w:left w:val="none" w:sz="0" w:space="0" w:color="auto"/>
        <w:bottom w:val="none" w:sz="0" w:space="0" w:color="auto"/>
        <w:right w:val="none" w:sz="0" w:space="0" w:color="auto"/>
      </w:divBdr>
    </w:div>
    <w:div w:id="413868042">
      <w:bodyDiv w:val="1"/>
      <w:marLeft w:val="0"/>
      <w:marRight w:val="0"/>
      <w:marTop w:val="0"/>
      <w:marBottom w:val="0"/>
      <w:divBdr>
        <w:top w:val="none" w:sz="0" w:space="0" w:color="auto"/>
        <w:left w:val="none" w:sz="0" w:space="0" w:color="auto"/>
        <w:bottom w:val="none" w:sz="0" w:space="0" w:color="auto"/>
        <w:right w:val="none" w:sz="0" w:space="0" w:color="auto"/>
      </w:divBdr>
    </w:div>
    <w:div w:id="760835082">
      <w:bodyDiv w:val="1"/>
      <w:marLeft w:val="0"/>
      <w:marRight w:val="0"/>
      <w:marTop w:val="0"/>
      <w:marBottom w:val="0"/>
      <w:divBdr>
        <w:top w:val="none" w:sz="0" w:space="0" w:color="auto"/>
        <w:left w:val="none" w:sz="0" w:space="0" w:color="auto"/>
        <w:bottom w:val="none" w:sz="0" w:space="0" w:color="auto"/>
        <w:right w:val="none" w:sz="0" w:space="0" w:color="auto"/>
      </w:divBdr>
    </w:div>
    <w:div w:id="1093355046">
      <w:bodyDiv w:val="1"/>
      <w:marLeft w:val="0"/>
      <w:marRight w:val="0"/>
      <w:marTop w:val="0"/>
      <w:marBottom w:val="0"/>
      <w:divBdr>
        <w:top w:val="none" w:sz="0" w:space="0" w:color="auto"/>
        <w:left w:val="none" w:sz="0" w:space="0" w:color="auto"/>
        <w:bottom w:val="none" w:sz="0" w:space="0" w:color="auto"/>
        <w:right w:val="none" w:sz="0" w:space="0" w:color="auto"/>
      </w:divBdr>
    </w:div>
    <w:div w:id="168731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DC345-4892-45AA-97F0-04063B24C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4</Pages>
  <Words>3476</Words>
  <Characters>19118</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Cheuyem Zobel</dc:creator>
  <cp:keywords/>
  <dc:description/>
  <cp:lastModifiedBy>Dr. Cheuyem Zobel</cp:lastModifiedBy>
  <cp:revision>31</cp:revision>
  <dcterms:created xsi:type="dcterms:W3CDTF">2025-03-09T13:56:00Z</dcterms:created>
  <dcterms:modified xsi:type="dcterms:W3CDTF">2025-08-12T16:50:00Z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id="ukPDKFz6"/&gt;&lt;style id="http://www.zotero.org/styles/vancouver-brackets" locale="en-US" hasBibliography="1" bibliographyStyleHasBeenSet="1"/&gt;&lt;prefs&gt;&lt;pref name="fieldType" value="Field"/&gt;&lt;/prefs&gt;&lt;/d</vt:lpwstr>
  </property>
  <property fmtid="{D5CDD505-2E9C-101B-9397-08002B2CF9AE}" pid="3" name="ZOTERO_PREF_2">
    <vt:lpwstr>ata&gt;</vt:lpwstr>
  </property>
</Properties>
</file>