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23DE6" w14:textId="08CD7AE9" w:rsidR="00A16F78" w:rsidRDefault="00453C5C">
      <w:r>
        <w:rPr>
          <w:noProof/>
        </w:rPr>
        <w:drawing>
          <wp:inline distT="0" distB="0" distL="0" distR="0" wp14:anchorId="19FFD462" wp14:editId="236B8237">
            <wp:extent cx="5806917" cy="3114675"/>
            <wp:effectExtent l="0" t="0" r="381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816433" cy="3119779"/>
                    </a:xfrm>
                    <a:prstGeom prst="rect">
                      <a:avLst/>
                    </a:prstGeom>
                    <a:noFill/>
                    <a:ln>
                      <a:noFill/>
                    </a:ln>
                  </pic:spPr>
                </pic:pic>
              </a:graphicData>
            </a:graphic>
          </wp:inline>
        </w:drawing>
      </w:r>
    </w:p>
    <w:p w14:paraId="701B6130" w14:textId="6E6F4AC6" w:rsidR="00453C5C" w:rsidRDefault="00453C5C" w:rsidP="00453C5C">
      <w:pPr>
        <w:pStyle w:val="Cmsor2"/>
        <w:ind w:firstLine="0"/>
        <w:rPr>
          <w:rFonts w:eastAsiaTheme="minorHAnsi"/>
          <w:i w:val="0"/>
        </w:rPr>
      </w:pPr>
      <w:r>
        <w:rPr>
          <w:rFonts w:eastAsiaTheme="minorHAnsi"/>
          <w:i w:val="0"/>
        </w:rPr>
        <w:t xml:space="preserve">Supplementary Figure </w:t>
      </w:r>
      <w:r>
        <w:rPr>
          <w:rFonts w:eastAsiaTheme="minorHAnsi"/>
          <w:i w:val="0"/>
        </w:rPr>
        <w:fldChar w:fldCharType="begin"/>
      </w:r>
      <w:r>
        <w:rPr>
          <w:rFonts w:eastAsiaTheme="minorHAnsi"/>
          <w:i w:val="0"/>
        </w:rPr>
        <w:instrText xml:space="preserve"> SEQ Figure \* ARABIC </w:instrText>
      </w:r>
      <w:r>
        <w:rPr>
          <w:rFonts w:eastAsiaTheme="minorHAnsi"/>
          <w:i w:val="0"/>
        </w:rPr>
        <w:fldChar w:fldCharType="separate"/>
      </w:r>
      <w:r>
        <w:rPr>
          <w:rFonts w:eastAsiaTheme="minorHAnsi"/>
          <w:i w:val="0"/>
          <w:noProof/>
        </w:rPr>
        <w:t>1</w:t>
      </w:r>
      <w:r>
        <w:rPr>
          <w:rFonts w:eastAsiaTheme="minorHAnsi"/>
          <w:i w:val="0"/>
        </w:rPr>
        <w:fldChar w:fldCharType="end"/>
      </w:r>
      <w:r>
        <w:rPr>
          <w:rFonts w:eastAsiaTheme="minorHAnsi"/>
          <w:i w:val="0"/>
        </w:rPr>
        <w:t xml:space="preserve">. </w:t>
      </w:r>
      <w:r>
        <w:rPr>
          <w:rFonts w:eastAsiaTheme="minorHAnsi"/>
        </w:rPr>
        <w:t>In silico</w:t>
      </w:r>
      <w:r>
        <w:rPr>
          <w:rFonts w:eastAsiaTheme="minorHAnsi"/>
          <w:i w:val="0"/>
        </w:rPr>
        <w:t xml:space="preserve"> analysis of the expression of calmodulin genes in </w:t>
      </w:r>
      <w:r w:rsidR="00903DE2">
        <w:rPr>
          <w:rFonts w:eastAsiaTheme="minorHAnsi"/>
          <w:i w:val="0"/>
        </w:rPr>
        <w:br/>
      </w:r>
      <w:r>
        <w:rPr>
          <w:rFonts w:eastAsiaTheme="minorHAnsi"/>
          <w:i w:val="0"/>
        </w:rPr>
        <w:t>CB</w:t>
      </w:r>
      <w:r>
        <w:rPr>
          <w:rFonts w:eastAsiaTheme="minorHAnsi"/>
          <w:i w:val="0"/>
          <w:vertAlign w:val="subscript"/>
        </w:rPr>
        <w:t>1</w:t>
      </w:r>
      <w:r>
        <w:rPr>
          <w:rFonts w:eastAsiaTheme="minorHAnsi"/>
          <w:i w:val="0"/>
        </w:rPr>
        <w:t xml:space="preserve">-receptor-expressing GABAergic interneurons.  </w:t>
      </w:r>
    </w:p>
    <w:p w14:paraId="656C6413" w14:textId="64970050" w:rsidR="00453C5C" w:rsidRDefault="00453C5C" w:rsidP="00453C5C">
      <w:pPr>
        <w:pStyle w:val="Cmsor2"/>
        <w:ind w:firstLine="0"/>
        <w:rPr>
          <w:rFonts w:eastAsiaTheme="minorHAnsi"/>
          <w:b w:val="0"/>
          <w:i w:val="0"/>
          <w:sz w:val="22"/>
          <w:szCs w:val="22"/>
        </w:rPr>
      </w:pPr>
      <w:r>
        <w:rPr>
          <w:rFonts w:eastAsiaTheme="minorHAnsi"/>
          <w:b w:val="0"/>
          <w:i w:val="0"/>
          <w:sz w:val="22"/>
          <w:szCs w:val="22"/>
        </w:rPr>
        <w:t>(</w:t>
      </w:r>
      <w:proofErr w:type="spellStart"/>
      <w:proofErr w:type="gramStart"/>
      <w:r>
        <w:rPr>
          <w:rFonts w:eastAsiaTheme="minorHAnsi"/>
          <w:b w:val="0"/>
          <w:i w:val="0"/>
          <w:sz w:val="22"/>
          <w:szCs w:val="22"/>
        </w:rPr>
        <w:t>a,b</w:t>
      </w:r>
      <w:proofErr w:type="spellEnd"/>
      <w:proofErr w:type="gramEnd"/>
      <w:r>
        <w:rPr>
          <w:rFonts w:eastAsiaTheme="minorHAnsi"/>
          <w:b w:val="0"/>
          <w:i w:val="0"/>
          <w:sz w:val="22"/>
          <w:szCs w:val="22"/>
        </w:rPr>
        <w:t xml:space="preserve">) The three calmodulin calcium-binding proteins are ubiquitous and abundant in all eukaryotic cells. </w:t>
      </w:r>
      <w:r>
        <w:rPr>
          <w:rFonts w:eastAsiaTheme="minorHAnsi"/>
          <w:b w:val="0"/>
          <w:sz w:val="22"/>
          <w:szCs w:val="22"/>
        </w:rPr>
        <w:t>In silico</w:t>
      </w:r>
      <w:r>
        <w:rPr>
          <w:rFonts w:eastAsiaTheme="minorHAnsi"/>
          <w:b w:val="0"/>
          <w:i w:val="0"/>
          <w:sz w:val="22"/>
          <w:szCs w:val="22"/>
        </w:rPr>
        <w:t xml:space="preserve"> analysis of their mRNA expression levels in CB</w:t>
      </w:r>
      <w:r>
        <w:rPr>
          <w:rFonts w:eastAsiaTheme="minorHAnsi"/>
          <w:b w:val="0"/>
          <w:i w:val="0"/>
          <w:sz w:val="22"/>
          <w:szCs w:val="22"/>
          <w:vertAlign w:val="subscript"/>
        </w:rPr>
        <w:t>1</w:t>
      </w:r>
      <w:r>
        <w:rPr>
          <w:rFonts w:eastAsiaTheme="minorHAnsi"/>
          <w:b w:val="0"/>
          <w:i w:val="0"/>
          <w:sz w:val="22"/>
          <w:szCs w:val="22"/>
        </w:rPr>
        <w:t xml:space="preserve"> receptor-expressing interneurons serves as positive control. It verifies that the mRNA data obtained from the hippocampal (a) and cortical (b) single-cell </w:t>
      </w:r>
      <w:proofErr w:type="spellStart"/>
      <w:r>
        <w:rPr>
          <w:rFonts w:eastAsiaTheme="minorHAnsi"/>
          <w:b w:val="0"/>
          <w:i w:val="0"/>
          <w:sz w:val="22"/>
          <w:szCs w:val="22"/>
        </w:rPr>
        <w:t>RNAseq</w:t>
      </w:r>
      <w:proofErr w:type="spellEnd"/>
      <w:r>
        <w:rPr>
          <w:rFonts w:eastAsiaTheme="minorHAnsi"/>
          <w:b w:val="0"/>
          <w:i w:val="0"/>
          <w:sz w:val="22"/>
          <w:szCs w:val="22"/>
        </w:rPr>
        <w:t xml:space="preserve"> database (n = 61 and 84 cells, respectively, </w:t>
      </w:r>
      <w:r>
        <w:rPr>
          <w:rFonts w:eastAsiaTheme="minorHAnsi"/>
          <w:b w:val="0"/>
          <w:i w:val="0"/>
          <w:sz w:val="22"/>
          <w:szCs w:val="22"/>
        </w:rPr>
        <w:fldChar w:fldCharType="begin" w:fldLock="1"/>
      </w:r>
      <w:r>
        <w:rPr>
          <w:rFonts w:eastAsiaTheme="minorHAnsi"/>
          <w:b w:val="0"/>
          <w:i w:val="0"/>
          <w:sz w:val="22"/>
          <w:szCs w:val="22"/>
        </w:rPr>
        <w:instrText>ADDIN CSL_CITATION {"citationItems":[{"id":"ITEM-1","itemData":{"DOI":"10.1126/science.aaa1934","ISBN":"1095-9203 (Electronic)\\r0036-8075 (Linking)","ISSN":"10959203","PMID":"25700174","abstract":"The mammalian cerebral cortex supports cognitive functions such as sensorimotor integration, memory, and social behaviors. Normal brain function relies on a diverse set of differentiated cell types, including neurons, glia, and vasculature.Here,we have used large-scale single-cell RNA sequencing (RNA-seq) to classify cells in themouse somatosensory cortex and hippocampal CA1 region.We found 47 molecularly distinct subclasses, comprising all known major cell types in the cortex.We identified numerous marker genes, which allowed alignment with known cell types, morphology, and location.We found a layer I interneuron expressing Pax6 and a distinct postmitotic oligodendrocyte subclass marked by Itpr2. Across the diversity of cortical cell types, transcription factors formed a complex, layered regulatory code, suggesting amechanism for the maintenance of adult cell type identity.","author":[{"dropping-particle":"","family":"Zeisel","given":"Amit","non-dropping-particle":"","parse-names":false,"suffix":""},{"dropping-particle":"","family":"M͡oz-Manchado","given":"Ana B.","non-dropping-particle":"","parse-names":false,"suffix":""},{"dropping-particle":"","family":"Codeluppi","given":"Simone","non-dropping-particle":"","parse-names":false,"suffix":""},{"dropping-particle":"","family":"Lönnerberg","given":"Peter","non-dropping-particle":"","parse-names":false,"suffix":""},{"dropping-particle":"La","family":"Manno","given":"Gioele","non-dropping-particle":"","parse-names":false,"suffix":""},{"dropping-particle":"","family":"Juréus","given":"Anna","non-dropping-particle":"","parse-names":false,"suffix":""},{"dropping-particle":"","family":"Marques","given":"Sueli","non-dropping-particle":"","parse-names":false,"suffix":""},{"dropping-particle":"","family":"Munguba","given":"Hermany","non-dropping-particle":"","parse-names":false,"suffix":""},{"dropping-particle":"","family":"He","given":"Liqun","non-dropping-particle":"","parse-names":false,"suffix":""},{"dropping-particle":"","family":"Betsholtz","given":"Christer","non-dropping-particle":"","parse-names":false,"suffix":""},{"dropping-particle":"","family":"Rolny","given":"Charlotte","non-dropping-particle":"","parse-names":false,"suffix":""},{"dropping-particle":"","family":"Castelo-Branco","given":"Gonçalo","non-dropping-particle":"","parse-names":false,"suffix":""},{"dropping-particle":"","family":"Hjerling-Leffler","given":"Jens","non-dropping-particle":"","parse-names":false,"suffix":""},{"dropping-particle":"","family":"Linnarsson","given":"Sten","non-dropping-particle":"","parse-names":false,"suffix":""}],"container-title":"Science","id":"ITEM-1","issue":"6226","issued":{"date-parts":[["2015"]]},"note":"printed","page":"1138-1142","title":"Cell types in the mouse cortex and hippocampus revealed by single-cell RNA-seq","type":"article-journal","volume":"347"},"uris":["http://www.mendeley.com/documents/?uuid=08f93925-abee-4be0-b45c-853e883c2238"]}],"mendeley":{"formattedCitation":"(Zeisel et al. 2015)","manualFormatting":"Zeisel et al. 2015)","plainTextFormattedCitation":"(Zeisel et al. 2015)","previouslyFormattedCitation":"(Zeisel et al. 2015)"},"properties":{"noteIndex":0},"schema":"https://github.com/citation-style-language/schema/raw/master/csl-citation.json"}</w:instrText>
      </w:r>
      <w:r>
        <w:rPr>
          <w:rFonts w:eastAsiaTheme="minorHAnsi"/>
          <w:b w:val="0"/>
          <w:i w:val="0"/>
          <w:sz w:val="22"/>
          <w:szCs w:val="22"/>
        </w:rPr>
        <w:fldChar w:fldCharType="separate"/>
      </w:r>
      <w:r>
        <w:rPr>
          <w:rFonts w:eastAsiaTheme="minorHAnsi"/>
          <w:b w:val="0"/>
          <w:i w:val="0"/>
          <w:noProof/>
          <w:sz w:val="22"/>
          <w:szCs w:val="22"/>
        </w:rPr>
        <w:t>Zeisel et al. 2015)</w:t>
      </w:r>
      <w:r>
        <w:rPr>
          <w:rFonts w:eastAsiaTheme="minorHAnsi"/>
          <w:b w:val="0"/>
          <w:i w:val="0"/>
          <w:sz w:val="22"/>
          <w:szCs w:val="22"/>
        </w:rPr>
        <w:fldChar w:fldCharType="end"/>
      </w:r>
      <w:r>
        <w:rPr>
          <w:rFonts w:eastAsiaTheme="minorHAnsi"/>
          <w:b w:val="0"/>
          <w:i w:val="0"/>
          <w:sz w:val="22"/>
          <w:szCs w:val="22"/>
        </w:rPr>
        <w:t xml:space="preserve"> are amenable for gene expression analysis in individual GABAergic interneurons.</w:t>
      </w:r>
    </w:p>
    <w:p w14:paraId="0FF3FCAB" w14:textId="1E30EC69" w:rsidR="00453C5C" w:rsidRDefault="00453C5C">
      <w:r>
        <w:br w:type="page"/>
      </w:r>
    </w:p>
    <w:p w14:paraId="55EA4C23" w14:textId="472F3FE1" w:rsidR="00453C5C" w:rsidRDefault="00453C5C" w:rsidP="00453C5C">
      <w:r>
        <w:rPr>
          <w:noProof/>
        </w:rPr>
        <w:lastRenderedPageBreak/>
        <w:drawing>
          <wp:inline distT="0" distB="0" distL="0" distR="0" wp14:anchorId="59EE1DAD" wp14:editId="60604CCA">
            <wp:extent cx="5229225" cy="7857414"/>
            <wp:effectExtent l="0" t="0" r="0" b="0"/>
            <wp:docPr id="2" name="image11.jpg"/>
            <wp:cNvGraphicFramePr/>
            <a:graphic xmlns:a="http://schemas.openxmlformats.org/drawingml/2006/main">
              <a:graphicData uri="http://schemas.openxmlformats.org/drawingml/2006/picture">
                <pic:pic xmlns:pic="http://schemas.openxmlformats.org/drawingml/2006/picture">
                  <pic:nvPicPr>
                    <pic:cNvPr id="2" name="image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42053" cy="7876689"/>
                    </a:xfrm>
                    <a:prstGeom prst="rect">
                      <a:avLst/>
                    </a:prstGeom>
                    <a:ln/>
                  </pic:spPr>
                </pic:pic>
              </a:graphicData>
            </a:graphic>
          </wp:inline>
        </w:drawing>
      </w:r>
    </w:p>
    <w:p w14:paraId="1D0DAD33" w14:textId="77777777" w:rsidR="00453C5C" w:rsidRDefault="00453C5C" w:rsidP="00453C5C">
      <w:pPr>
        <w:pStyle w:val="Cmsor2"/>
        <w:ind w:firstLine="0"/>
        <w:rPr>
          <w:rFonts w:eastAsiaTheme="minorHAnsi"/>
          <w:i w:val="0"/>
        </w:rPr>
      </w:pPr>
      <w:r>
        <w:rPr>
          <w:rFonts w:eastAsiaTheme="minorHAnsi"/>
          <w:i w:val="0"/>
        </w:rPr>
        <w:lastRenderedPageBreak/>
        <w:t xml:space="preserve">Supplementary Figure 2. Correlation of </w:t>
      </w:r>
      <w:r>
        <w:rPr>
          <w:rFonts w:eastAsiaTheme="minorHAnsi"/>
        </w:rPr>
        <w:t>Necab1</w:t>
      </w:r>
      <w:r>
        <w:rPr>
          <w:rFonts w:eastAsiaTheme="minorHAnsi"/>
          <w:i w:val="0"/>
        </w:rPr>
        <w:t xml:space="preserve"> and </w:t>
      </w:r>
      <w:r>
        <w:rPr>
          <w:rFonts w:eastAsiaTheme="minorHAnsi"/>
        </w:rPr>
        <w:t>Necab2</w:t>
      </w:r>
      <w:r>
        <w:rPr>
          <w:rFonts w:eastAsiaTheme="minorHAnsi"/>
          <w:i w:val="0"/>
        </w:rPr>
        <w:t xml:space="preserve"> gene expression with distinct interneuron markers and related genes of interest.</w:t>
      </w:r>
    </w:p>
    <w:p w14:paraId="30BA2C82" w14:textId="77777777" w:rsidR="00453C5C" w:rsidRDefault="00453C5C" w:rsidP="00453C5C">
      <w:pPr>
        <w:pStyle w:val="Cmsor2"/>
        <w:ind w:firstLine="0"/>
        <w:rPr>
          <w:rFonts w:eastAsiaTheme="minorHAnsi"/>
          <w:b w:val="0"/>
          <w:i w:val="0"/>
          <w:sz w:val="22"/>
          <w:szCs w:val="22"/>
        </w:rPr>
      </w:pPr>
      <w:r>
        <w:rPr>
          <w:rFonts w:eastAsiaTheme="minorHAnsi"/>
          <w:b w:val="0"/>
          <w:i w:val="0"/>
          <w:sz w:val="22"/>
          <w:szCs w:val="22"/>
        </w:rPr>
        <w:t xml:space="preserve">(a) Spearman’s rank correlation coefficient reflects the </w:t>
      </w:r>
      <w:proofErr w:type="spellStart"/>
      <w:r>
        <w:rPr>
          <w:rFonts w:eastAsiaTheme="minorHAnsi"/>
          <w:b w:val="0"/>
          <w:i w:val="0"/>
          <w:sz w:val="22"/>
          <w:szCs w:val="22"/>
        </w:rPr>
        <w:t>coexpression</w:t>
      </w:r>
      <w:proofErr w:type="spellEnd"/>
      <w:r>
        <w:rPr>
          <w:rFonts w:eastAsiaTheme="minorHAnsi"/>
          <w:b w:val="0"/>
          <w:i w:val="0"/>
          <w:sz w:val="22"/>
          <w:szCs w:val="22"/>
        </w:rPr>
        <w:t xml:space="preserve"> relationship (red) of </w:t>
      </w:r>
      <w:r>
        <w:rPr>
          <w:rFonts w:eastAsiaTheme="minorHAnsi"/>
          <w:b w:val="0"/>
          <w:sz w:val="22"/>
          <w:szCs w:val="22"/>
        </w:rPr>
        <w:t>Necab1</w:t>
      </w:r>
      <w:r>
        <w:rPr>
          <w:rFonts w:eastAsiaTheme="minorHAnsi"/>
          <w:b w:val="0"/>
          <w:i w:val="0"/>
          <w:sz w:val="22"/>
          <w:szCs w:val="22"/>
        </w:rPr>
        <w:t xml:space="preserve"> and </w:t>
      </w:r>
      <w:r>
        <w:rPr>
          <w:rFonts w:eastAsiaTheme="minorHAnsi"/>
          <w:b w:val="0"/>
          <w:sz w:val="22"/>
          <w:szCs w:val="22"/>
        </w:rPr>
        <w:t>Necab2</w:t>
      </w:r>
      <w:r>
        <w:rPr>
          <w:rFonts w:eastAsiaTheme="minorHAnsi"/>
          <w:b w:val="0"/>
          <w:i w:val="0"/>
          <w:sz w:val="22"/>
          <w:szCs w:val="22"/>
        </w:rPr>
        <w:t xml:space="preserve"> with well-known marker genes of CB</w:t>
      </w:r>
      <w:r>
        <w:rPr>
          <w:rFonts w:eastAsiaTheme="minorHAnsi"/>
          <w:b w:val="0"/>
          <w:i w:val="0"/>
          <w:sz w:val="22"/>
          <w:szCs w:val="22"/>
          <w:vertAlign w:val="subscript"/>
        </w:rPr>
        <w:t>1</w:t>
      </w:r>
      <w:r>
        <w:rPr>
          <w:rFonts w:eastAsiaTheme="minorHAnsi"/>
          <w:b w:val="0"/>
          <w:i w:val="0"/>
          <w:sz w:val="22"/>
          <w:szCs w:val="22"/>
        </w:rPr>
        <w:t xml:space="preserve">/CCK-positive GABAergic interneurons. Note the high positive correlation coefficient value with the </w:t>
      </w:r>
      <w:r>
        <w:rPr>
          <w:rFonts w:eastAsiaTheme="minorHAnsi"/>
          <w:b w:val="0"/>
          <w:sz w:val="22"/>
          <w:szCs w:val="22"/>
        </w:rPr>
        <w:t>Cnr1</w:t>
      </w:r>
      <w:r>
        <w:rPr>
          <w:rFonts w:eastAsiaTheme="minorHAnsi"/>
          <w:b w:val="0"/>
          <w:i w:val="0"/>
          <w:sz w:val="22"/>
          <w:szCs w:val="22"/>
        </w:rPr>
        <w:t xml:space="preserve"> (CB</w:t>
      </w:r>
      <w:r>
        <w:rPr>
          <w:rFonts w:eastAsiaTheme="minorHAnsi"/>
          <w:b w:val="0"/>
          <w:i w:val="0"/>
          <w:sz w:val="22"/>
          <w:szCs w:val="22"/>
          <w:vertAlign w:val="subscript"/>
        </w:rPr>
        <w:t>1</w:t>
      </w:r>
      <w:r>
        <w:rPr>
          <w:rFonts w:eastAsiaTheme="minorHAnsi"/>
          <w:b w:val="0"/>
          <w:i w:val="0"/>
          <w:sz w:val="22"/>
          <w:szCs w:val="22"/>
        </w:rPr>
        <w:t xml:space="preserve">) and </w:t>
      </w:r>
      <w:proofErr w:type="spellStart"/>
      <w:r>
        <w:rPr>
          <w:rFonts w:eastAsiaTheme="minorHAnsi"/>
          <w:b w:val="0"/>
          <w:sz w:val="22"/>
          <w:szCs w:val="22"/>
        </w:rPr>
        <w:t>Cck</w:t>
      </w:r>
      <w:proofErr w:type="spellEnd"/>
      <w:r>
        <w:rPr>
          <w:rFonts w:eastAsiaTheme="minorHAnsi"/>
          <w:b w:val="0"/>
          <w:i w:val="0"/>
          <w:sz w:val="22"/>
          <w:szCs w:val="22"/>
        </w:rPr>
        <w:t xml:space="preserve"> (CCK) genes. Negative correlation coefficient values (blue) with established marker genes of other interneuron types such as </w:t>
      </w:r>
      <w:proofErr w:type="spellStart"/>
      <w:r>
        <w:rPr>
          <w:rFonts w:eastAsiaTheme="minorHAnsi"/>
          <w:b w:val="0"/>
          <w:sz w:val="22"/>
          <w:szCs w:val="22"/>
        </w:rPr>
        <w:t>Sst</w:t>
      </w:r>
      <w:proofErr w:type="spellEnd"/>
      <w:r>
        <w:rPr>
          <w:rFonts w:eastAsiaTheme="minorHAnsi"/>
          <w:b w:val="0"/>
          <w:i w:val="0"/>
          <w:sz w:val="22"/>
          <w:szCs w:val="22"/>
        </w:rPr>
        <w:t xml:space="preserve"> (somatostatin) and </w:t>
      </w:r>
      <w:proofErr w:type="spellStart"/>
      <w:r>
        <w:rPr>
          <w:rFonts w:eastAsiaTheme="minorHAnsi"/>
          <w:b w:val="0"/>
          <w:sz w:val="22"/>
          <w:szCs w:val="22"/>
        </w:rPr>
        <w:t>Pvalb</w:t>
      </w:r>
      <w:proofErr w:type="spellEnd"/>
      <w:r>
        <w:rPr>
          <w:rFonts w:eastAsiaTheme="minorHAnsi"/>
          <w:b w:val="0"/>
          <w:i w:val="0"/>
          <w:sz w:val="22"/>
          <w:szCs w:val="22"/>
        </w:rPr>
        <w:t xml:space="preserve"> (parvalbumin) indicate the lack of co-expression in a sample of hippocampal interneurons (n = 126 cells from Zeisel et al. 2015). (b) Spearman’s rank correlation of gene expression of </w:t>
      </w:r>
      <w:proofErr w:type="spellStart"/>
      <w:r>
        <w:rPr>
          <w:rFonts w:eastAsiaTheme="minorHAnsi"/>
          <w:b w:val="0"/>
          <w:sz w:val="22"/>
          <w:szCs w:val="22"/>
        </w:rPr>
        <w:t>Necab</w:t>
      </w:r>
      <w:r>
        <w:rPr>
          <w:rFonts w:eastAsiaTheme="minorHAnsi"/>
          <w:b w:val="0"/>
          <w:i w:val="0"/>
          <w:sz w:val="22"/>
          <w:szCs w:val="22"/>
        </w:rPr>
        <w:t>s</w:t>
      </w:r>
      <w:proofErr w:type="spellEnd"/>
      <w:r>
        <w:rPr>
          <w:rFonts w:eastAsiaTheme="minorHAnsi"/>
          <w:b w:val="0"/>
          <w:i w:val="0"/>
          <w:sz w:val="22"/>
          <w:szCs w:val="22"/>
        </w:rPr>
        <w:t xml:space="preserve"> with other genes of interest identify genes that exhibit prominent positive and negative correlations with </w:t>
      </w:r>
      <w:proofErr w:type="spellStart"/>
      <w:r>
        <w:rPr>
          <w:rFonts w:eastAsiaTheme="minorHAnsi"/>
          <w:b w:val="0"/>
          <w:sz w:val="22"/>
          <w:szCs w:val="22"/>
        </w:rPr>
        <w:t>Necab</w:t>
      </w:r>
      <w:r>
        <w:rPr>
          <w:rFonts w:eastAsiaTheme="minorHAnsi"/>
          <w:b w:val="0"/>
          <w:i w:val="0"/>
          <w:sz w:val="22"/>
          <w:szCs w:val="22"/>
        </w:rPr>
        <w:t>s</w:t>
      </w:r>
      <w:proofErr w:type="spellEnd"/>
      <w:r>
        <w:rPr>
          <w:rFonts w:eastAsiaTheme="minorHAnsi"/>
          <w:b w:val="0"/>
          <w:i w:val="0"/>
          <w:sz w:val="22"/>
          <w:szCs w:val="22"/>
        </w:rPr>
        <w:t xml:space="preserve"> and are implied in interneuron-type-specific synapse function (see Discussion for details about </w:t>
      </w:r>
      <w:r>
        <w:rPr>
          <w:rFonts w:eastAsiaTheme="minorHAnsi"/>
          <w:b w:val="0"/>
          <w:sz w:val="22"/>
          <w:szCs w:val="22"/>
        </w:rPr>
        <w:t>Syt6</w:t>
      </w:r>
      <w:r>
        <w:rPr>
          <w:rFonts w:eastAsiaTheme="minorHAnsi"/>
          <w:b w:val="0"/>
          <w:i w:val="0"/>
          <w:sz w:val="22"/>
          <w:szCs w:val="22"/>
        </w:rPr>
        <w:t xml:space="preserve"> and </w:t>
      </w:r>
      <w:r>
        <w:rPr>
          <w:rFonts w:eastAsiaTheme="minorHAnsi"/>
          <w:b w:val="0"/>
          <w:sz w:val="22"/>
          <w:szCs w:val="22"/>
        </w:rPr>
        <w:t>Cadps2</w:t>
      </w:r>
      <w:r>
        <w:rPr>
          <w:rFonts w:eastAsiaTheme="minorHAnsi"/>
          <w:b w:val="0"/>
          <w:i w:val="0"/>
          <w:sz w:val="22"/>
          <w:szCs w:val="22"/>
        </w:rPr>
        <w:t>). Correlation coefficient values that are significant at p &lt; 0.05 are highlighted with red text.</w:t>
      </w:r>
    </w:p>
    <w:p w14:paraId="7AB28702" w14:textId="714A4CCB" w:rsidR="00453C5C" w:rsidRDefault="00453C5C">
      <w:r>
        <w:br w:type="page"/>
      </w:r>
    </w:p>
    <w:p w14:paraId="4A70F238" w14:textId="4E7E052A" w:rsidR="00453C5C" w:rsidRDefault="00453C5C" w:rsidP="00903DE2">
      <w:pPr>
        <w:jc w:val="center"/>
      </w:pPr>
      <w:r>
        <w:rPr>
          <w:noProof/>
        </w:rPr>
        <w:lastRenderedPageBreak/>
        <w:drawing>
          <wp:inline distT="0" distB="0" distL="0" distR="0" wp14:anchorId="31C8FDFF" wp14:editId="445447B0">
            <wp:extent cx="7999791" cy="4187190"/>
            <wp:effectExtent l="1270" t="0" r="2540" b="254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bwMode="auto">
                    <a:xfrm rot="5400000">
                      <a:off x="0" y="0"/>
                      <a:ext cx="8007666" cy="4191312"/>
                    </a:xfrm>
                    <a:prstGeom prst="rect">
                      <a:avLst/>
                    </a:prstGeom>
                    <a:noFill/>
                    <a:ln>
                      <a:noFill/>
                    </a:ln>
                  </pic:spPr>
                </pic:pic>
              </a:graphicData>
            </a:graphic>
          </wp:inline>
        </w:drawing>
      </w:r>
    </w:p>
    <w:p w14:paraId="4CF5997C" w14:textId="77777777" w:rsidR="00453C5C" w:rsidRDefault="00453C5C" w:rsidP="00453C5C">
      <w:pPr>
        <w:pStyle w:val="Cmsor2"/>
        <w:ind w:firstLine="0"/>
        <w:rPr>
          <w:rFonts w:eastAsiaTheme="minorHAnsi"/>
          <w:i w:val="0"/>
        </w:rPr>
      </w:pPr>
      <w:r>
        <w:rPr>
          <w:rFonts w:eastAsiaTheme="minorHAnsi"/>
          <w:i w:val="0"/>
        </w:rPr>
        <w:lastRenderedPageBreak/>
        <w:t xml:space="preserve">Supplementary Figure 3. Genes showing high positive or negative correlation coefficient values with </w:t>
      </w:r>
      <w:r>
        <w:rPr>
          <w:rFonts w:eastAsiaTheme="minorHAnsi"/>
        </w:rPr>
        <w:t>Necab1</w:t>
      </w:r>
      <w:r>
        <w:rPr>
          <w:rFonts w:eastAsiaTheme="minorHAnsi"/>
          <w:i w:val="0"/>
        </w:rPr>
        <w:t xml:space="preserve"> and </w:t>
      </w:r>
      <w:r>
        <w:rPr>
          <w:rFonts w:eastAsiaTheme="minorHAnsi"/>
        </w:rPr>
        <w:t>Necab2</w:t>
      </w:r>
      <w:r>
        <w:rPr>
          <w:rFonts w:eastAsiaTheme="minorHAnsi"/>
          <w:i w:val="0"/>
        </w:rPr>
        <w:t xml:space="preserve"> in hippocampal interneurons.</w:t>
      </w:r>
    </w:p>
    <w:p w14:paraId="050E0769" w14:textId="078C3732" w:rsidR="00453C5C" w:rsidRDefault="00453C5C" w:rsidP="00453C5C">
      <w:pPr>
        <w:pStyle w:val="Cmsor2"/>
        <w:ind w:firstLine="0"/>
        <w:rPr>
          <w:rFonts w:eastAsiaTheme="minorHAnsi"/>
          <w:b w:val="0"/>
          <w:i w:val="0"/>
          <w:sz w:val="22"/>
          <w:szCs w:val="22"/>
        </w:rPr>
      </w:pPr>
      <w:r>
        <w:rPr>
          <w:rFonts w:eastAsiaTheme="minorHAnsi"/>
          <w:b w:val="0"/>
          <w:i w:val="0"/>
          <w:sz w:val="22"/>
          <w:szCs w:val="22"/>
        </w:rPr>
        <w:t xml:space="preserve">A selected set of genes are presented that show substantially high positive or negative Spearman’s rank correlation coefficient values with the mRNA levels of </w:t>
      </w:r>
      <w:proofErr w:type="spellStart"/>
      <w:r>
        <w:rPr>
          <w:rFonts w:eastAsiaTheme="minorHAnsi"/>
          <w:b w:val="0"/>
          <w:sz w:val="22"/>
          <w:szCs w:val="22"/>
        </w:rPr>
        <w:t>Necab</w:t>
      </w:r>
      <w:r>
        <w:rPr>
          <w:rFonts w:eastAsiaTheme="minorHAnsi"/>
          <w:b w:val="0"/>
          <w:i w:val="0"/>
          <w:sz w:val="22"/>
          <w:szCs w:val="22"/>
        </w:rPr>
        <w:t>s</w:t>
      </w:r>
      <w:proofErr w:type="spellEnd"/>
      <w:r>
        <w:rPr>
          <w:rFonts w:eastAsiaTheme="minorHAnsi"/>
          <w:b w:val="0"/>
          <w:i w:val="0"/>
          <w:sz w:val="22"/>
          <w:szCs w:val="22"/>
        </w:rPr>
        <w:t xml:space="preserve"> in hippocampal interneurons (n = 126 from </w:t>
      </w:r>
      <w:r>
        <w:rPr>
          <w:rFonts w:eastAsiaTheme="minorHAnsi"/>
          <w:b w:val="0"/>
          <w:i w:val="0"/>
          <w:sz w:val="22"/>
          <w:szCs w:val="22"/>
        </w:rPr>
        <w:fldChar w:fldCharType="begin" w:fldLock="1"/>
      </w:r>
      <w:r>
        <w:rPr>
          <w:rFonts w:eastAsiaTheme="minorHAnsi"/>
          <w:b w:val="0"/>
          <w:i w:val="0"/>
          <w:sz w:val="22"/>
          <w:szCs w:val="22"/>
        </w:rPr>
        <w:instrText>ADDIN CSL_CITATION {"citationItems":[{"id":"ITEM-1","itemData":{"DOI":"10.1126/science.aaa1934","ISBN":"1095-9203 (Electronic)\\r0036-8075 (Linking)","ISSN":"10959203","PMID":"25700174","abstract":"The mammalian cerebral cortex supports cognitive functions such as sensorimotor integration, memory, and social behaviors. Normal brain function relies on a diverse set of differentiated cell types, including neurons, glia, and vasculature.Here,we have used large-scale single-cell RNA sequencing (RNA-seq) to classify cells in themouse somatosensory cortex and hippocampal CA1 region.We found 47 molecularly distinct subclasses, comprising all known major cell types in the cortex.We identified numerous marker genes, which allowed alignment with known cell types, morphology, and location.We found a layer I interneuron expressing Pax6 and a distinct postmitotic oligodendrocyte subclass marked by Itpr2. Across the diversity of cortical cell types, transcription factors formed a complex, layered regulatory code, suggesting amechanism for the maintenance of adult cell type identity.","author":[{"dropping-particle":"","family":"Zeisel","given":"Amit","non-dropping-particle":"","parse-names":false,"suffix":""},{"dropping-particle":"","family":"M͡oz-Manchado","given":"Ana B.","non-dropping-particle":"","parse-names":false,"suffix":""},{"dropping-particle":"","family":"Codeluppi","given":"Simone","non-dropping-particle":"","parse-names":false,"suffix":""},{"dropping-particle":"","family":"Lönnerberg","given":"Peter","non-dropping-particle":"","parse-names":false,"suffix":""},{"dropping-particle":"La","family":"Manno","given":"Gioele","non-dropping-particle":"","parse-names":false,"suffix":""},{"dropping-particle":"","family":"Juréus","given":"Anna","non-dropping-particle":"","parse-names":false,"suffix":""},{"dropping-particle":"","family":"Marques","given":"Sueli","non-dropping-particle":"","parse-names":false,"suffix":""},{"dropping-particle":"","family":"Munguba","given":"Hermany","non-dropping-particle":"","parse-names":false,"suffix":""},{"dropping-particle":"","family":"He","given":"Liqun","non-dropping-particle":"","parse-names":false,"suffix":""},{"dropping-particle":"","family":"Betsholtz","given":"Christer","non-dropping-particle":"","parse-names":false,"suffix":""},{"dropping-particle":"","family":"Rolny","given":"Charlotte","non-dropping-particle":"","parse-names":false,"suffix":""},{"dropping-particle":"","family":"Castelo-Branco","given":"Gonçalo","non-dropping-particle":"","parse-names":false,"suffix":""},{"dropping-particle":"","family":"Hjerling-Leffler","given":"Jens","non-dropping-particle":"","parse-names":false,"suffix":""},{"dropping-particle":"","family":"Linnarsson","given":"Sten","non-dropping-particle":"","parse-names":false,"suffix":""}],"container-title":"Science","id":"ITEM-1","issue":"6226","issued":{"date-parts":[["2015"]]},"note":"printed","page":"1138-1142","title":"Cell types in the mouse cortex and hippocampus revealed by single-cell RNA-seq","type":"article-journal","volume":"347"},"uris":["http://www.mendeley.com/documents/?uuid=08f93925-abee-4be0-b45c-853e883c2238"]}],"mendeley":{"formattedCitation":"(Zeisel et al. 2015)","manualFormatting":"Zeisel et al. 2015)","plainTextFormattedCitation":"(Zeisel et al. 2015)","previouslyFormattedCitation":"(Zeisel et al. 2015)"},"properties":{"noteIndex":0},"schema":"https://github.com/citation-style-language/schema/raw/master/csl-citation.json"}</w:instrText>
      </w:r>
      <w:r>
        <w:rPr>
          <w:rFonts w:eastAsiaTheme="minorHAnsi"/>
          <w:b w:val="0"/>
          <w:i w:val="0"/>
          <w:sz w:val="22"/>
          <w:szCs w:val="22"/>
        </w:rPr>
        <w:fldChar w:fldCharType="separate"/>
      </w:r>
      <w:r>
        <w:rPr>
          <w:rFonts w:eastAsiaTheme="minorHAnsi"/>
          <w:b w:val="0"/>
          <w:i w:val="0"/>
          <w:noProof/>
          <w:sz w:val="22"/>
          <w:szCs w:val="22"/>
        </w:rPr>
        <w:t>Zeisel et al. 2015)</w:t>
      </w:r>
      <w:r>
        <w:rPr>
          <w:rFonts w:eastAsiaTheme="minorHAnsi"/>
          <w:b w:val="0"/>
          <w:i w:val="0"/>
          <w:sz w:val="22"/>
          <w:szCs w:val="22"/>
        </w:rPr>
        <w:fldChar w:fldCharType="end"/>
      </w:r>
      <w:r>
        <w:rPr>
          <w:rFonts w:eastAsiaTheme="minorHAnsi"/>
          <w:b w:val="0"/>
          <w:i w:val="0"/>
          <w:sz w:val="22"/>
          <w:szCs w:val="22"/>
        </w:rPr>
        <w:t>. Several of these genes have already been shown to be functionally important in CB</w:t>
      </w:r>
      <w:r>
        <w:rPr>
          <w:rFonts w:eastAsiaTheme="minorHAnsi"/>
          <w:b w:val="0"/>
          <w:i w:val="0"/>
          <w:sz w:val="22"/>
          <w:szCs w:val="22"/>
          <w:vertAlign w:val="subscript"/>
        </w:rPr>
        <w:t>1</w:t>
      </w:r>
      <w:r>
        <w:rPr>
          <w:rFonts w:eastAsiaTheme="minorHAnsi"/>
          <w:b w:val="0"/>
          <w:i w:val="0"/>
          <w:sz w:val="22"/>
          <w:szCs w:val="22"/>
        </w:rPr>
        <w:t xml:space="preserve">/CCK-positive GABAergic interneurons (such as </w:t>
      </w:r>
      <w:r>
        <w:rPr>
          <w:rFonts w:eastAsiaTheme="minorHAnsi"/>
          <w:b w:val="0"/>
          <w:sz w:val="22"/>
          <w:szCs w:val="22"/>
        </w:rPr>
        <w:t>Neto1</w:t>
      </w:r>
      <w:r>
        <w:rPr>
          <w:rFonts w:eastAsiaTheme="minorHAnsi"/>
          <w:b w:val="0"/>
          <w:i w:val="0"/>
          <w:sz w:val="22"/>
          <w:szCs w:val="22"/>
        </w:rPr>
        <w:t xml:space="preserve">, </w:t>
      </w:r>
      <w:r>
        <w:rPr>
          <w:rFonts w:eastAsiaTheme="minorHAnsi"/>
          <w:b w:val="0"/>
          <w:i w:val="0"/>
          <w:sz w:val="22"/>
          <w:szCs w:val="22"/>
        </w:rPr>
        <w:fldChar w:fldCharType="begin" w:fldLock="1"/>
      </w:r>
      <w:r>
        <w:rPr>
          <w:rFonts w:eastAsiaTheme="minorHAnsi"/>
          <w:b w:val="0"/>
          <w:i w:val="0"/>
          <w:sz w:val="22"/>
          <w:szCs w:val="22"/>
        </w:rPr>
        <w:instrText>ADDIN CSL_CITATION {"citationItems":[{"id":"ITEM-1","itemData":{"DOI":"10.1152/physrev.00007.2017","ISBN":"3014024775","ISSN":"15221210","PMID":"28954853","abstract":"In the hippocampus GABAergic local circuit inhibitory interneurons represent only ~10–15% of the total neuronal population; however, their remarkable anatomical and physiological diversity allows them to regulate virtually all aspects of cellular and circuit function. Here we provide an overview of the current state of the field of interneuron research, focusing largely on the hippocampus. We discuss recent advances related to the various cell types, including their development and maturation, expression of subtype-specific voltage-and ligand-gated channels, and their roles in network oscillations. We also discuss recent technological advances and approaches that have permitted high-resolution, subtype-specific examination of their roles in numerous neural circuit disorders and the emerging therapeutic strategies to ameliorate such pathophysiological conditions. The ultimate goal of this review is not only to provide a touchstone for the current state of the field, but to help pave the way for future research by highlighting where gaps in our knowledge exist and how a complete appreciation of their roles will aid in future therapeutic strategies.","author":[{"dropping-particle":"","family":"Pelkey","given":"Kenneth A.","non-dropping-particle":"","parse-names":false,"suffix":""},{"dropping-particle":"","family":"Chittajallu","given":"Ramesh","non-dropping-particle":"","parse-names":false,"suffix":""},{"dropping-particle":"","family":"Craig","given":"Michael T.","non-dropping-particle":"","parse-names":false,"suffix":""},{"dropping-particle":"","family":"Tricoire","given":"Ludovic","non-dropping-particle":"","parse-names":false,"suffix":""},{"dropping-particle":"","family":"Wester","given":"Jason C.","non-dropping-particle":"","parse-names":false,"suffix":""},{"dropping-particle":"","family":"McBain","given":"Chris J.","non-dropping-particle":"","parse-names":false,"suffix":""}],"container-title":"Physiological Reviews","id":"ITEM-1","issue":"4","issued":{"date-parts":[["2017"]]},"page":"1619-1747","title":"Hippocampal gabaergic inhibitory interneurons","type":"article-journal","volume":"97"},"uris":["http://www.mendeley.com/documents/?uuid=6e187471-ea72-4f48-9abb-f336a0f5aeed"]}],"mendeley":{"formattedCitation":"(Pelkey et al. 2017)","manualFormatting":"Pelkey et al. 2017)","plainTextFormattedCitation":"(Pelkey et al. 2017)","previouslyFormattedCitation":"(Pelkey et al. 2017)"},"properties":{"noteIndex":0},"schema":"https://github.com/citation-style-language/schema/raw/master/csl-citation.json"}</w:instrText>
      </w:r>
      <w:r>
        <w:rPr>
          <w:rFonts w:eastAsiaTheme="minorHAnsi"/>
          <w:b w:val="0"/>
          <w:i w:val="0"/>
          <w:sz w:val="22"/>
          <w:szCs w:val="22"/>
        </w:rPr>
        <w:fldChar w:fldCharType="separate"/>
      </w:r>
      <w:r>
        <w:rPr>
          <w:rFonts w:eastAsiaTheme="minorHAnsi"/>
          <w:b w:val="0"/>
          <w:i w:val="0"/>
          <w:noProof/>
          <w:sz w:val="22"/>
          <w:szCs w:val="22"/>
        </w:rPr>
        <w:t>Pelkey et al. 2017)</w:t>
      </w:r>
      <w:r>
        <w:rPr>
          <w:rFonts w:eastAsiaTheme="minorHAnsi"/>
          <w:b w:val="0"/>
          <w:i w:val="0"/>
          <w:sz w:val="22"/>
          <w:szCs w:val="22"/>
        </w:rPr>
        <w:fldChar w:fldCharType="end"/>
      </w:r>
      <w:r>
        <w:rPr>
          <w:rFonts w:eastAsiaTheme="minorHAnsi"/>
          <w:b w:val="0"/>
          <w:i w:val="0"/>
          <w:sz w:val="22"/>
          <w:szCs w:val="22"/>
        </w:rPr>
        <w:t xml:space="preserve">, but the physiological role of most of these genes in hippocampal interneurons remains unknown. Values that are significant at </w:t>
      </w:r>
      <w:r w:rsidR="007C1F6B">
        <w:rPr>
          <w:rFonts w:eastAsiaTheme="minorHAnsi"/>
          <w:b w:val="0"/>
          <w:i w:val="0"/>
          <w:sz w:val="22"/>
          <w:szCs w:val="22"/>
        </w:rPr>
        <w:br/>
      </w:r>
      <w:r>
        <w:rPr>
          <w:rFonts w:eastAsiaTheme="minorHAnsi"/>
          <w:b w:val="0"/>
          <w:i w:val="0"/>
          <w:sz w:val="22"/>
          <w:szCs w:val="22"/>
        </w:rPr>
        <w:t>p &lt; 0.05 are highlighted with red text.</w:t>
      </w:r>
    </w:p>
    <w:p w14:paraId="5398EF5A" w14:textId="063F0710" w:rsidR="00453C5C" w:rsidRDefault="00453C5C">
      <w:r>
        <w:br w:type="page"/>
      </w:r>
    </w:p>
    <w:p w14:paraId="42DB49AF" w14:textId="14DC42F5" w:rsidR="00453C5C" w:rsidRDefault="00453C5C" w:rsidP="007C1F6B">
      <w:pPr>
        <w:jc w:val="center"/>
      </w:pPr>
      <w:r>
        <w:rPr>
          <w:noProof/>
        </w:rPr>
        <w:lastRenderedPageBreak/>
        <w:drawing>
          <wp:inline distT="0" distB="0" distL="0" distR="0" wp14:anchorId="7D4E63A0" wp14:editId="1AC299E8">
            <wp:extent cx="5781675" cy="3856229"/>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03079" cy="3870505"/>
                    </a:xfrm>
                    <a:prstGeom prst="rect">
                      <a:avLst/>
                    </a:prstGeom>
                  </pic:spPr>
                </pic:pic>
              </a:graphicData>
            </a:graphic>
          </wp:inline>
        </w:drawing>
      </w:r>
    </w:p>
    <w:p w14:paraId="15ADA710" w14:textId="77777777" w:rsidR="00453C5C" w:rsidRDefault="00453C5C" w:rsidP="00453C5C">
      <w:pPr>
        <w:pStyle w:val="Cmsor2"/>
        <w:ind w:firstLine="0"/>
        <w:rPr>
          <w:rFonts w:eastAsiaTheme="minorHAnsi"/>
          <w:i w:val="0"/>
        </w:rPr>
      </w:pPr>
      <w:r>
        <w:rPr>
          <w:rFonts w:eastAsiaTheme="minorHAnsi"/>
          <w:i w:val="0"/>
        </w:rPr>
        <w:t>Supplementary Figure 4. NECAB1 and NECAB2 colocalizes with GAD67 in hippocampal interneurons.</w:t>
      </w:r>
    </w:p>
    <w:p w14:paraId="41EEDE10" w14:textId="77777777" w:rsidR="00453C5C" w:rsidRPr="00453C5C" w:rsidRDefault="00453C5C" w:rsidP="00453C5C">
      <w:pPr>
        <w:spacing w:line="480" w:lineRule="auto"/>
        <w:rPr>
          <w:rFonts w:ascii="Times New Roman" w:hAnsi="Times New Roman" w:cs="Times New Roman"/>
        </w:rPr>
      </w:pPr>
      <w:r w:rsidRPr="00453C5C">
        <w:rPr>
          <w:rFonts w:ascii="Times New Roman" w:hAnsi="Times New Roman" w:cs="Times New Roman"/>
        </w:rPr>
        <w:t>(a</w:t>
      </w:r>
      <w:r w:rsidRPr="00453C5C">
        <w:rPr>
          <w:rFonts w:ascii="Times New Roman" w:hAnsi="Times New Roman" w:cs="Times New Roman"/>
          <w:vertAlign w:val="subscript"/>
        </w:rPr>
        <w:t>1</w:t>
      </w:r>
      <w:r w:rsidRPr="00453C5C">
        <w:rPr>
          <w:rFonts w:ascii="Times New Roman" w:hAnsi="Times New Roman" w:cs="Times New Roman"/>
        </w:rPr>
        <w:t>-b</w:t>
      </w:r>
      <w:r w:rsidRPr="00453C5C">
        <w:rPr>
          <w:rFonts w:ascii="Times New Roman" w:hAnsi="Times New Roman" w:cs="Times New Roman"/>
          <w:vertAlign w:val="subscript"/>
        </w:rPr>
        <w:t>3</w:t>
      </w:r>
      <w:r w:rsidRPr="00453C5C">
        <w:rPr>
          <w:rFonts w:ascii="Times New Roman" w:hAnsi="Times New Roman" w:cs="Times New Roman"/>
        </w:rPr>
        <w:t>) Representative confocal images of double immunostaining of either NECAB1 (cyan) or NECAB2 (green) and GAD67 (red) obtained in CA1 stratum radiatum. Cell nuclei are stained with DAPI (white).</w:t>
      </w:r>
    </w:p>
    <w:p w14:paraId="61015E69" w14:textId="03C9F012" w:rsidR="00453C5C" w:rsidRDefault="00453C5C">
      <w:r>
        <w:br w:type="page"/>
      </w:r>
    </w:p>
    <w:p w14:paraId="750B975C" w14:textId="2AD3A54D" w:rsidR="00453C5C" w:rsidRDefault="00453C5C" w:rsidP="007C1F6B">
      <w:pPr>
        <w:jc w:val="center"/>
      </w:pPr>
      <w:r>
        <w:rPr>
          <w:noProof/>
        </w:rPr>
        <w:lastRenderedPageBreak/>
        <w:drawing>
          <wp:inline distT="0" distB="0" distL="0" distR="0" wp14:anchorId="4B61716B" wp14:editId="33AF40DC">
            <wp:extent cx="5799034" cy="31432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9054" cy="3148681"/>
                    </a:xfrm>
                    <a:prstGeom prst="rect">
                      <a:avLst/>
                    </a:prstGeom>
                  </pic:spPr>
                </pic:pic>
              </a:graphicData>
            </a:graphic>
          </wp:inline>
        </w:drawing>
      </w:r>
    </w:p>
    <w:p w14:paraId="5BB5D77B" w14:textId="77777777" w:rsidR="00453C5C" w:rsidRDefault="00453C5C" w:rsidP="00453C5C">
      <w:pPr>
        <w:pStyle w:val="Cmsor2"/>
        <w:ind w:firstLine="0"/>
        <w:rPr>
          <w:rFonts w:eastAsiaTheme="minorHAnsi"/>
          <w:i w:val="0"/>
        </w:rPr>
      </w:pPr>
      <w:r>
        <w:rPr>
          <w:rFonts w:eastAsiaTheme="minorHAnsi"/>
          <w:i w:val="0"/>
        </w:rPr>
        <w:t xml:space="preserve">Supplementary Figure 5. </w:t>
      </w:r>
      <w:r>
        <w:rPr>
          <w:rFonts w:eastAsiaTheme="minorHAnsi"/>
          <w:i w:val="0"/>
          <w:iCs/>
        </w:rPr>
        <w:t>Prominent difference</w:t>
      </w:r>
      <w:r>
        <w:rPr>
          <w:rFonts w:eastAsiaTheme="minorHAnsi"/>
        </w:rPr>
        <w:t xml:space="preserve"> </w:t>
      </w:r>
      <w:r>
        <w:rPr>
          <w:rFonts w:eastAsiaTheme="minorHAnsi"/>
          <w:i w:val="0"/>
          <w:iCs/>
        </w:rPr>
        <w:t xml:space="preserve">in </w:t>
      </w:r>
      <w:r>
        <w:rPr>
          <w:rFonts w:eastAsiaTheme="minorHAnsi"/>
        </w:rPr>
        <w:t>Cnr1</w:t>
      </w:r>
      <w:r>
        <w:rPr>
          <w:rFonts w:eastAsiaTheme="minorHAnsi"/>
          <w:i w:val="0"/>
          <w:iCs/>
        </w:rPr>
        <w:t xml:space="preserve"> mRNA levels between CB</w:t>
      </w:r>
      <w:r>
        <w:rPr>
          <w:rFonts w:eastAsiaTheme="minorHAnsi"/>
          <w:i w:val="0"/>
          <w:iCs/>
          <w:vertAlign w:val="subscript"/>
        </w:rPr>
        <w:t>1</w:t>
      </w:r>
      <w:r>
        <w:rPr>
          <w:rFonts w:eastAsiaTheme="minorHAnsi"/>
          <w:i w:val="0"/>
          <w:iCs/>
        </w:rPr>
        <w:t>/CCK-positive interneurons and pyramidal cells.</w:t>
      </w:r>
    </w:p>
    <w:p w14:paraId="6A1882D7" w14:textId="77777777" w:rsidR="00453C5C" w:rsidRDefault="00453C5C" w:rsidP="00453C5C">
      <w:pPr>
        <w:pStyle w:val="Cmsor2"/>
        <w:ind w:firstLine="0"/>
        <w:rPr>
          <w:rFonts w:eastAsiaTheme="minorHAnsi"/>
          <w:b w:val="0"/>
          <w:i w:val="0"/>
          <w:sz w:val="22"/>
          <w:szCs w:val="22"/>
        </w:rPr>
      </w:pPr>
      <w:r>
        <w:rPr>
          <w:rFonts w:eastAsiaTheme="minorHAnsi"/>
          <w:b w:val="0"/>
          <w:i w:val="0"/>
          <w:sz w:val="22"/>
          <w:szCs w:val="22"/>
        </w:rPr>
        <w:t>(</w:t>
      </w:r>
      <w:proofErr w:type="spellStart"/>
      <w:proofErr w:type="gramStart"/>
      <w:r>
        <w:rPr>
          <w:rFonts w:eastAsiaTheme="minorHAnsi"/>
          <w:b w:val="0"/>
          <w:i w:val="0"/>
          <w:sz w:val="22"/>
          <w:szCs w:val="22"/>
        </w:rPr>
        <w:t>a,b</w:t>
      </w:r>
      <w:proofErr w:type="spellEnd"/>
      <w:proofErr w:type="gramEnd"/>
      <w:r>
        <w:rPr>
          <w:rFonts w:eastAsiaTheme="minorHAnsi"/>
          <w:b w:val="0"/>
          <w:i w:val="0"/>
          <w:sz w:val="22"/>
          <w:szCs w:val="22"/>
        </w:rPr>
        <w:t xml:space="preserve">) </w:t>
      </w:r>
      <w:r>
        <w:rPr>
          <w:rFonts w:eastAsiaTheme="minorHAnsi"/>
          <w:b w:val="0"/>
          <w:iCs/>
          <w:sz w:val="22"/>
          <w:szCs w:val="22"/>
        </w:rPr>
        <w:t>In silico</w:t>
      </w:r>
      <w:r>
        <w:rPr>
          <w:rFonts w:eastAsiaTheme="minorHAnsi"/>
          <w:b w:val="0"/>
          <w:i w:val="0"/>
          <w:sz w:val="22"/>
          <w:szCs w:val="22"/>
        </w:rPr>
        <w:t xml:space="preserve"> analysis of </w:t>
      </w:r>
      <w:r>
        <w:rPr>
          <w:rFonts w:eastAsiaTheme="minorHAnsi"/>
          <w:b w:val="0"/>
          <w:iCs/>
          <w:sz w:val="22"/>
          <w:szCs w:val="22"/>
        </w:rPr>
        <w:t>Cnr1</w:t>
      </w:r>
      <w:r>
        <w:rPr>
          <w:rFonts w:eastAsiaTheme="minorHAnsi"/>
          <w:b w:val="0"/>
          <w:i w:val="0"/>
          <w:sz w:val="22"/>
          <w:szCs w:val="22"/>
        </w:rPr>
        <w:t xml:space="preserve"> mRNA expression profiles was performed on data derived from the single-cell </w:t>
      </w:r>
      <w:proofErr w:type="spellStart"/>
      <w:r>
        <w:rPr>
          <w:rFonts w:eastAsiaTheme="minorHAnsi"/>
          <w:b w:val="0"/>
          <w:i w:val="0"/>
          <w:sz w:val="22"/>
          <w:szCs w:val="22"/>
        </w:rPr>
        <w:t>RNAseq</w:t>
      </w:r>
      <w:proofErr w:type="spellEnd"/>
      <w:r>
        <w:rPr>
          <w:rFonts w:eastAsiaTheme="minorHAnsi"/>
          <w:b w:val="0"/>
          <w:i w:val="0"/>
          <w:sz w:val="22"/>
          <w:szCs w:val="22"/>
        </w:rPr>
        <w:t xml:space="preserve"> database of Zeisel et al. 2015. The samples were obtained from the mouse hippocampus (a) and somatosensory cortex (b). Cells in the database were selected based on their level 2 annotations into cell types (see Material and Methods). Number of interneurons in the CA1 subfield of the hippocampus: n = 21; in the somatosensory cortex: n = 21; number of principal cells in the CA1 subfield of the hippocampus: n = 827; in the somatosensory cortex: n = 285. Number of pyramidal cells with no detectable </w:t>
      </w:r>
      <w:r>
        <w:rPr>
          <w:rFonts w:eastAsiaTheme="minorHAnsi"/>
          <w:b w:val="0"/>
          <w:iCs/>
          <w:sz w:val="22"/>
          <w:szCs w:val="22"/>
        </w:rPr>
        <w:t>Cnr1</w:t>
      </w:r>
      <w:r>
        <w:rPr>
          <w:rFonts w:eastAsiaTheme="minorHAnsi"/>
          <w:b w:val="0"/>
          <w:i w:val="0"/>
          <w:sz w:val="22"/>
          <w:szCs w:val="22"/>
        </w:rPr>
        <w:t xml:space="preserve"> mRNA are n = 155 in the hippocampus and n = 133 in the somatosensory cortex. Data points for these cells are not shown but were considered in descriptive statistics. The y axes use logarithmic scale.</w:t>
      </w:r>
    </w:p>
    <w:p w14:paraId="14795544" w14:textId="672AC2E3" w:rsidR="00453C5C" w:rsidRDefault="00453C5C">
      <w:r>
        <w:br w:type="page"/>
      </w:r>
    </w:p>
    <w:p w14:paraId="6E836E41" w14:textId="5A2976FB" w:rsidR="00453C5C" w:rsidRDefault="00453C5C" w:rsidP="007C1F6B">
      <w:pPr>
        <w:jc w:val="center"/>
      </w:pPr>
      <w:r>
        <w:rPr>
          <w:noProof/>
        </w:rPr>
        <w:lastRenderedPageBreak/>
        <w:drawing>
          <wp:inline distT="0" distB="0" distL="0" distR="0" wp14:anchorId="494DAB2E" wp14:editId="43ACE066">
            <wp:extent cx="5937250" cy="2934970"/>
            <wp:effectExtent l="0" t="0" r="635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37250" cy="2934970"/>
                    </a:xfrm>
                    <a:prstGeom prst="rect">
                      <a:avLst/>
                    </a:prstGeom>
                    <a:noFill/>
                    <a:ln>
                      <a:noFill/>
                    </a:ln>
                  </pic:spPr>
                </pic:pic>
              </a:graphicData>
            </a:graphic>
          </wp:inline>
        </w:drawing>
      </w:r>
    </w:p>
    <w:p w14:paraId="037C1AA9" w14:textId="77777777" w:rsidR="00453C5C" w:rsidRPr="00453C5C" w:rsidRDefault="00453C5C" w:rsidP="00453C5C">
      <w:pPr>
        <w:spacing w:after="200" w:line="480" w:lineRule="auto"/>
        <w:jc w:val="both"/>
        <w:rPr>
          <w:rFonts w:ascii="Times New Roman" w:eastAsia="Calibri" w:hAnsi="Times New Roman" w:cs="Times New Roman"/>
          <w:b/>
          <w:sz w:val="24"/>
          <w:szCs w:val="24"/>
        </w:rPr>
      </w:pPr>
      <w:r w:rsidRPr="00453C5C">
        <w:rPr>
          <w:rFonts w:ascii="Times New Roman" w:eastAsia="Calibri" w:hAnsi="Times New Roman" w:cs="Times New Roman"/>
          <w:b/>
          <w:sz w:val="24"/>
          <w:szCs w:val="24"/>
        </w:rPr>
        <w:t>Supplementary Figure 6. NECAB1 and NECAB2 calcium-binding proteins are present in CB</w:t>
      </w:r>
      <w:r w:rsidRPr="00453C5C">
        <w:rPr>
          <w:rFonts w:ascii="Times New Roman" w:eastAsia="Calibri" w:hAnsi="Times New Roman" w:cs="Times New Roman"/>
          <w:b/>
          <w:sz w:val="24"/>
          <w:szCs w:val="24"/>
          <w:vertAlign w:val="subscript"/>
        </w:rPr>
        <w:t>1</w:t>
      </w:r>
      <w:r w:rsidRPr="00453C5C">
        <w:rPr>
          <w:rFonts w:ascii="Times New Roman" w:eastAsia="Calibri" w:hAnsi="Times New Roman" w:cs="Times New Roman"/>
          <w:b/>
          <w:sz w:val="24"/>
          <w:szCs w:val="24"/>
        </w:rPr>
        <w:t>/CCK-positive GABAergic interneurons in the hippocampus.</w:t>
      </w:r>
    </w:p>
    <w:p w14:paraId="4B1771E7" w14:textId="77777777" w:rsidR="00453C5C" w:rsidRPr="00453C5C" w:rsidRDefault="00453C5C" w:rsidP="00453C5C">
      <w:pPr>
        <w:spacing w:after="0" w:line="480" w:lineRule="auto"/>
        <w:jc w:val="both"/>
        <w:rPr>
          <w:rFonts w:ascii="Times New Roman" w:eastAsia="Calibri" w:hAnsi="Times New Roman" w:cs="Times New Roman"/>
        </w:rPr>
      </w:pPr>
      <w:r w:rsidRPr="00453C5C">
        <w:rPr>
          <w:rFonts w:ascii="Times New Roman" w:eastAsia="Calibri" w:hAnsi="Times New Roman" w:cs="Times New Roman"/>
        </w:rPr>
        <w:t>(a</w:t>
      </w:r>
      <w:r w:rsidRPr="00453C5C">
        <w:rPr>
          <w:rFonts w:ascii="Times New Roman" w:eastAsia="Calibri" w:hAnsi="Times New Roman" w:cs="Times New Roman"/>
          <w:vertAlign w:val="subscript"/>
        </w:rPr>
        <w:t>1</w:t>
      </w:r>
      <w:r w:rsidRPr="00453C5C">
        <w:rPr>
          <w:rFonts w:ascii="Times New Roman" w:eastAsia="Calibri" w:hAnsi="Times New Roman" w:cs="Times New Roman"/>
        </w:rPr>
        <w:t>-b</w:t>
      </w:r>
      <w:r w:rsidRPr="00453C5C">
        <w:rPr>
          <w:rFonts w:ascii="Times New Roman" w:eastAsia="Calibri" w:hAnsi="Times New Roman" w:cs="Times New Roman"/>
          <w:vertAlign w:val="subscript"/>
        </w:rPr>
        <w:t>4</w:t>
      </w:r>
      <w:r w:rsidRPr="00453C5C">
        <w:rPr>
          <w:rFonts w:ascii="Times New Roman" w:eastAsia="Calibri" w:hAnsi="Times New Roman" w:cs="Times New Roman"/>
        </w:rPr>
        <w:t>) Representative confocal microscopy images of triple immunostaining of CB</w:t>
      </w:r>
      <w:r w:rsidRPr="00453C5C">
        <w:rPr>
          <w:rFonts w:ascii="Times New Roman" w:eastAsia="Calibri" w:hAnsi="Times New Roman" w:cs="Times New Roman"/>
          <w:vertAlign w:val="subscript"/>
        </w:rPr>
        <w:t>1</w:t>
      </w:r>
      <w:r w:rsidRPr="00453C5C">
        <w:rPr>
          <w:rFonts w:ascii="Times New Roman" w:eastAsia="Calibri" w:hAnsi="Times New Roman" w:cs="Times New Roman"/>
        </w:rPr>
        <w:t xml:space="preserve"> receptors (yellow) and CCK (red) and either NECAB1 (cyan) or NECAB2 (green). Cell nuclei are stained with DAPI (white). The majority of CB</w:t>
      </w:r>
      <w:r w:rsidRPr="00453C5C">
        <w:rPr>
          <w:rFonts w:ascii="Times New Roman" w:eastAsia="Calibri" w:hAnsi="Times New Roman" w:cs="Times New Roman"/>
          <w:vertAlign w:val="subscript"/>
        </w:rPr>
        <w:t>1</w:t>
      </w:r>
      <w:r w:rsidRPr="00453C5C">
        <w:rPr>
          <w:rFonts w:ascii="Times New Roman" w:eastAsia="Calibri" w:hAnsi="Times New Roman" w:cs="Times New Roman"/>
        </w:rPr>
        <w:t xml:space="preserve"> and CCK proteins are transported to the axon terminals. However, some interneuron cell bodies have high enough CB</w:t>
      </w:r>
      <w:r w:rsidRPr="00453C5C">
        <w:rPr>
          <w:rFonts w:ascii="Times New Roman" w:eastAsia="Calibri" w:hAnsi="Times New Roman" w:cs="Times New Roman"/>
          <w:vertAlign w:val="subscript"/>
        </w:rPr>
        <w:t>1</w:t>
      </w:r>
      <w:r w:rsidRPr="00453C5C">
        <w:rPr>
          <w:rFonts w:ascii="Times New Roman" w:eastAsia="Calibri" w:hAnsi="Times New Roman" w:cs="Times New Roman"/>
        </w:rPr>
        <w:t xml:space="preserve"> and CCK levels and are visible by using immunostaining and confocal microscopy. Importantly, </w:t>
      </w:r>
      <w:proofErr w:type="gramStart"/>
      <w:r w:rsidRPr="00453C5C">
        <w:rPr>
          <w:rFonts w:ascii="Times New Roman" w:eastAsia="Calibri" w:hAnsi="Times New Roman" w:cs="Times New Roman"/>
        </w:rPr>
        <w:t>all of</w:t>
      </w:r>
      <w:proofErr w:type="gramEnd"/>
      <w:r w:rsidRPr="00453C5C">
        <w:rPr>
          <w:rFonts w:ascii="Times New Roman" w:eastAsia="Calibri" w:hAnsi="Times New Roman" w:cs="Times New Roman"/>
        </w:rPr>
        <w:t xml:space="preserve"> these cell bodies were also </w:t>
      </w:r>
      <w:proofErr w:type="spellStart"/>
      <w:r w:rsidRPr="00453C5C">
        <w:rPr>
          <w:rFonts w:ascii="Times New Roman" w:eastAsia="Calibri" w:hAnsi="Times New Roman" w:cs="Times New Roman"/>
        </w:rPr>
        <w:t>immunopositive</w:t>
      </w:r>
      <w:proofErr w:type="spellEnd"/>
      <w:r w:rsidRPr="00453C5C">
        <w:rPr>
          <w:rFonts w:ascii="Times New Roman" w:eastAsia="Calibri" w:hAnsi="Times New Roman" w:cs="Times New Roman"/>
        </w:rPr>
        <w:t xml:space="preserve"> for NECAB1 (a</w:t>
      </w:r>
      <w:r w:rsidRPr="00453C5C">
        <w:rPr>
          <w:rFonts w:ascii="Times New Roman" w:eastAsia="Calibri" w:hAnsi="Times New Roman" w:cs="Times New Roman"/>
          <w:vertAlign w:val="subscript"/>
        </w:rPr>
        <w:t>1</w:t>
      </w:r>
      <w:r w:rsidRPr="00453C5C">
        <w:rPr>
          <w:rFonts w:ascii="Times New Roman" w:eastAsia="Calibri" w:hAnsi="Times New Roman" w:cs="Times New Roman"/>
        </w:rPr>
        <w:t>-a</w:t>
      </w:r>
      <w:r w:rsidRPr="00453C5C">
        <w:rPr>
          <w:rFonts w:ascii="Times New Roman" w:eastAsia="Calibri" w:hAnsi="Times New Roman" w:cs="Times New Roman"/>
          <w:vertAlign w:val="subscript"/>
        </w:rPr>
        <w:t>4</w:t>
      </w:r>
      <w:r w:rsidRPr="00453C5C">
        <w:rPr>
          <w:rFonts w:ascii="Times New Roman" w:eastAsia="Calibri" w:hAnsi="Times New Roman" w:cs="Times New Roman"/>
        </w:rPr>
        <w:t>; n = 32 cells) and NECAB2 (b</w:t>
      </w:r>
      <w:r w:rsidRPr="00453C5C">
        <w:rPr>
          <w:rFonts w:ascii="Times New Roman" w:eastAsia="Calibri" w:hAnsi="Times New Roman" w:cs="Times New Roman"/>
          <w:vertAlign w:val="subscript"/>
        </w:rPr>
        <w:t>1</w:t>
      </w:r>
      <w:r w:rsidRPr="00453C5C">
        <w:rPr>
          <w:rFonts w:ascii="Times New Roman" w:eastAsia="Calibri" w:hAnsi="Times New Roman" w:cs="Times New Roman"/>
        </w:rPr>
        <w:t>-b</w:t>
      </w:r>
      <w:r w:rsidRPr="00453C5C">
        <w:rPr>
          <w:rFonts w:ascii="Times New Roman" w:eastAsia="Calibri" w:hAnsi="Times New Roman" w:cs="Times New Roman"/>
          <w:vertAlign w:val="subscript"/>
        </w:rPr>
        <w:t>4</w:t>
      </w:r>
      <w:r w:rsidRPr="00453C5C">
        <w:rPr>
          <w:rFonts w:ascii="Times New Roman" w:eastAsia="Calibri" w:hAnsi="Times New Roman" w:cs="Times New Roman"/>
        </w:rPr>
        <w:t>; n = 30 cells).</w:t>
      </w:r>
    </w:p>
    <w:p w14:paraId="03C6516E" w14:textId="114060FC" w:rsidR="00453C5C" w:rsidRDefault="00453C5C">
      <w:r>
        <w:br w:type="page"/>
      </w:r>
    </w:p>
    <w:p w14:paraId="6DD56269" w14:textId="335824B7" w:rsidR="00453C5C" w:rsidRDefault="00453C5C" w:rsidP="007C1F6B">
      <w:pPr>
        <w:jc w:val="center"/>
      </w:pPr>
      <w:r>
        <w:rPr>
          <w:noProof/>
        </w:rPr>
        <w:lastRenderedPageBreak/>
        <w:drawing>
          <wp:inline distT="0" distB="0" distL="0" distR="0" wp14:anchorId="4D665D06" wp14:editId="66C06E21">
            <wp:extent cx="5773322" cy="380047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80715" cy="3805341"/>
                    </a:xfrm>
                    <a:prstGeom prst="rect">
                      <a:avLst/>
                    </a:prstGeom>
                  </pic:spPr>
                </pic:pic>
              </a:graphicData>
            </a:graphic>
          </wp:inline>
        </w:drawing>
      </w:r>
    </w:p>
    <w:p w14:paraId="53A378F7" w14:textId="77777777" w:rsidR="00453C5C" w:rsidRPr="00453C5C" w:rsidRDefault="00453C5C" w:rsidP="00453C5C">
      <w:pPr>
        <w:spacing w:after="200" w:line="480" w:lineRule="auto"/>
        <w:jc w:val="both"/>
        <w:rPr>
          <w:rFonts w:ascii="Times New Roman" w:eastAsia="Calibri" w:hAnsi="Times New Roman" w:cs="Times New Roman"/>
          <w:b/>
          <w:sz w:val="24"/>
          <w:szCs w:val="24"/>
        </w:rPr>
      </w:pPr>
      <w:r w:rsidRPr="00453C5C">
        <w:rPr>
          <w:rFonts w:ascii="Times New Roman" w:eastAsia="Calibri" w:hAnsi="Times New Roman" w:cs="Times New Roman"/>
          <w:b/>
          <w:sz w:val="24"/>
          <w:szCs w:val="24"/>
        </w:rPr>
        <w:t xml:space="preserve">Supplementary Figure 7. Parvalbumin colocalizes with NECAB1 in a subset of interneurons but it is absent in NECAB2-immunopositive cells. </w:t>
      </w:r>
    </w:p>
    <w:p w14:paraId="416483A8" w14:textId="77777777" w:rsidR="00453C5C" w:rsidRPr="00453C5C" w:rsidRDefault="00453C5C" w:rsidP="00453C5C">
      <w:pPr>
        <w:spacing w:after="0" w:line="480" w:lineRule="auto"/>
        <w:jc w:val="both"/>
        <w:rPr>
          <w:rFonts w:ascii="Times New Roman" w:eastAsia="Calibri" w:hAnsi="Times New Roman" w:cs="Times New Roman"/>
        </w:rPr>
      </w:pPr>
      <w:r w:rsidRPr="00453C5C">
        <w:rPr>
          <w:rFonts w:ascii="Times New Roman" w:eastAsia="Calibri" w:hAnsi="Times New Roman" w:cs="Times New Roman"/>
        </w:rPr>
        <w:t>(a</w:t>
      </w:r>
      <w:r w:rsidRPr="00453C5C">
        <w:rPr>
          <w:rFonts w:ascii="Times New Roman" w:eastAsia="Calibri" w:hAnsi="Times New Roman" w:cs="Times New Roman"/>
          <w:vertAlign w:val="subscript"/>
        </w:rPr>
        <w:t>1</w:t>
      </w:r>
      <w:r w:rsidRPr="00453C5C">
        <w:rPr>
          <w:rFonts w:ascii="Times New Roman" w:eastAsia="Calibri" w:hAnsi="Times New Roman" w:cs="Times New Roman"/>
        </w:rPr>
        <w:t>-a</w:t>
      </w:r>
      <w:r w:rsidRPr="00453C5C">
        <w:rPr>
          <w:rFonts w:ascii="Times New Roman" w:eastAsia="Calibri" w:hAnsi="Times New Roman" w:cs="Times New Roman"/>
          <w:vertAlign w:val="subscript"/>
        </w:rPr>
        <w:t>3</w:t>
      </w:r>
      <w:r w:rsidRPr="00453C5C">
        <w:rPr>
          <w:rFonts w:ascii="Times New Roman" w:eastAsia="Calibri" w:hAnsi="Times New Roman" w:cs="Times New Roman"/>
        </w:rPr>
        <w:t>) Confocal images show double immunostaining of NECAB1 (cyan) and parvalbumin (PV, red). White arrow points to a PV-containing interneuron that contains NECAB1, whereas black arrows label PV-</w:t>
      </w:r>
      <w:proofErr w:type="spellStart"/>
      <w:r w:rsidRPr="00453C5C">
        <w:rPr>
          <w:rFonts w:ascii="Times New Roman" w:eastAsia="Calibri" w:hAnsi="Times New Roman" w:cs="Times New Roman"/>
        </w:rPr>
        <w:t>immunonegative</w:t>
      </w:r>
      <w:proofErr w:type="spellEnd"/>
      <w:r w:rsidRPr="00453C5C">
        <w:rPr>
          <w:rFonts w:ascii="Times New Roman" w:eastAsia="Calibri" w:hAnsi="Times New Roman" w:cs="Times New Roman"/>
        </w:rPr>
        <w:t>, but NECAB1-immunopositive interneurons. (b</w:t>
      </w:r>
      <w:r w:rsidRPr="00453C5C">
        <w:rPr>
          <w:rFonts w:ascii="Times New Roman" w:eastAsia="Calibri" w:hAnsi="Times New Roman" w:cs="Times New Roman"/>
          <w:vertAlign w:val="subscript"/>
        </w:rPr>
        <w:t>1</w:t>
      </w:r>
      <w:r w:rsidRPr="00453C5C">
        <w:rPr>
          <w:rFonts w:ascii="Times New Roman" w:eastAsia="Calibri" w:hAnsi="Times New Roman" w:cs="Times New Roman"/>
        </w:rPr>
        <w:t>-b</w:t>
      </w:r>
      <w:r w:rsidRPr="00453C5C">
        <w:rPr>
          <w:rFonts w:ascii="Times New Roman" w:eastAsia="Calibri" w:hAnsi="Times New Roman" w:cs="Times New Roman"/>
          <w:vertAlign w:val="subscript"/>
        </w:rPr>
        <w:t>3</w:t>
      </w:r>
      <w:r w:rsidRPr="00453C5C">
        <w:rPr>
          <w:rFonts w:ascii="Times New Roman" w:eastAsia="Calibri" w:hAnsi="Times New Roman" w:cs="Times New Roman"/>
        </w:rPr>
        <w:t xml:space="preserve">) In the CA1 stratum pyramidale, NECAB2 (white arrow) and PV (black arrows) </w:t>
      </w:r>
      <w:proofErr w:type="gramStart"/>
      <w:r w:rsidRPr="00453C5C">
        <w:rPr>
          <w:rFonts w:ascii="Times New Roman" w:eastAsia="Calibri" w:hAnsi="Times New Roman" w:cs="Times New Roman"/>
        </w:rPr>
        <w:t>are located in</w:t>
      </w:r>
      <w:proofErr w:type="gramEnd"/>
      <w:r w:rsidRPr="00453C5C">
        <w:rPr>
          <w:rFonts w:ascii="Times New Roman" w:eastAsia="Calibri" w:hAnsi="Times New Roman" w:cs="Times New Roman"/>
        </w:rPr>
        <w:t xml:space="preserve"> different interneuron populations. Cell nuclei in a</w:t>
      </w:r>
      <w:r w:rsidRPr="00453C5C">
        <w:rPr>
          <w:rFonts w:ascii="Times New Roman" w:eastAsia="Calibri" w:hAnsi="Times New Roman" w:cs="Times New Roman"/>
          <w:vertAlign w:val="subscript"/>
        </w:rPr>
        <w:t>3</w:t>
      </w:r>
      <w:r w:rsidRPr="00453C5C">
        <w:rPr>
          <w:rFonts w:ascii="Times New Roman" w:eastAsia="Calibri" w:hAnsi="Times New Roman" w:cs="Times New Roman"/>
        </w:rPr>
        <w:t xml:space="preserve"> and b</w:t>
      </w:r>
      <w:r w:rsidRPr="00453C5C">
        <w:rPr>
          <w:rFonts w:ascii="Times New Roman" w:eastAsia="Calibri" w:hAnsi="Times New Roman" w:cs="Times New Roman"/>
          <w:vertAlign w:val="subscript"/>
        </w:rPr>
        <w:t>3</w:t>
      </w:r>
      <w:r w:rsidRPr="00453C5C">
        <w:rPr>
          <w:rFonts w:ascii="Times New Roman" w:eastAsia="Calibri" w:hAnsi="Times New Roman" w:cs="Times New Roman"/>
        </w:rPr>
        <w:t xml:space="preserve"> are stained with DAPI (white).</w:t>
      </w:r>
    </w:p>
    <w:p w14:paraId="28A72050" w14:textId="77777777" w:rsidR="00453C5C" w:rsidRDefault="00453C5C"/>
    <w:sectPr w:rsidR="00453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8C7"/>
    <w:rsid w:val="00167E7F"/>
    <w:rsid w:val="00437E3B"/>
    <w:rsid w:val="00453C5C"/>
    <w:rsid w:val="004C7CB6"/>
    <w:rsid w:val="006D58C7"/>
    <w:rsid w:val="007C1F6B"/>
    <w:rsid w:val="00903DE2"/>
    <w:rsid w:val="00A16F78"/>
    <w:rsid w:val="00A9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940C"/>
  <w15:chartTrackingRefBased/>
  <w15:docId w15:val="{F444A92B-80AF-4841-A816-F05C4243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2">
    <w:name w:val="heading 2"/>
    <w:basedOn w:val="Norml"/>
    <w:next w:val="Norml"/>
    <w:link w:val="Cmsor2Char"/>
    <w:uiPriority w:val="9"/>
    <w:semiHidden/>
    <w:unhideWhenUsed/>
    <w:qFormat/>
    <w:rsid w:val="00453C5C"/>
    <w:pPr>
      <w:spacing w:after="200" w:line="480" w:lineRule="auto"/>
      <w:ind w:firstLine="288"/>
      <w:jc w:val="both"/>
      <w:outlineLvl w:val="1"/>
    </w:pPr>
    <w:rPr>
      <w:rFonts w:ascii="Times New Roman" w:eastAsia="Times New Roman" w:hAnsi="Times New Roman" w:cs="Times New Roman"/>
      <w:b/>
      <w:bCs/>
      <w:i/>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semiHidden/>
    <w:rsid w:val="00453C5C"/>
    <w:rPr>
      <w:rFonts w:ascii="Times New Roman" w:eastAsia="Times New Roman" w:hAnsi="Times New Roman" w:cs="Times New Roman"/>
      <w:b/>
      <w:bCs/>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90189">
      <w:bodyDiv w:val="1"/>
      <w:marLeft w:val="0"/>
      <w:marRight w:val="0"/>
      <w:marTop w:val="0"/>
      <w:marBottom w:val="0"/>
      <w:divBdr>
        <w:top w:val="none" w:sz="0" w:space="0" w:color="auto"/>
        <w:left w:val="none" w:sz="0" w:space="0" w:color="auto"/>
        <w:bottom w:val="none" w:sz="0" w:space="0" w:color="auto"/>
        <w:right w:val="none" w:sz="0" w:space="0" w:color="auto"/>
      </w:divBdr>
    </w:div>
    <w:div w:id="33431540">
      <w:bodyDiv w:val="1"/>
      <w:marLeft w:val="0"/>
      <w:marRight w:val="0"/>
      <w:marTop w:val="0"/>
      <w:marBottom w:val="0"/>
      <w:divBdr>
        <w:top w:val="none" w:sz="0" w:space="0" w:color="auto"/>
        <w:left w:val="none" w:sz="0" w:space="0" w:color="auto"/>
        <w:bottom w:val="none" w:sz="0" w:space="0" w:color="auto"/>
        <w:right w:val="none" w:sz="0" w:space="0" w:color="auto"/>
      </w:divBdr>
    </w:div>
    <w:div w:id="245847471">
      <w:bodyDiv w:val="1"/>
      <w:marLeft w:val="0"/>
      <w:marRight w:val="0"/>
      <w:marTop w:val="0"/>
      <w:marBottom w:val="0"/>
      <w:divBdr>
        <w:top w:val="none" w:sz="0" w:space="0" w:color="auto"/>
        <w:left w:val="none" w:sz="0" w:space="0" w:color="auto"/>
        <w:bottom w:val="none" w:sz="0" w:space="0" w:color="auto"/>
        <w:right w:val="none" w:sz="0" w:space="0" w:color="auto"/>
      </w:divBdr>
    </w:div>
    <w:div w:id="254629478">
      <w:bodyDiv w:val="1"/>
      <w:marLeft w:val="0"/>
      <w:marRight w:val="0"/>
      <w:marTop w:val="0"/>
      <w:marBottom w:val="0"/>
      <w:divBdr>
        <w:top w:val="none" w:sz="0" w:space="0" w:color="auto"/>
        <w:left w:val="none" w:sz="0" w:space="0" w:color="auto"/>
        <w:bottom w:val="none" w:sz="0" w:space="0" w:color="auto"/>
        <w:right w:val="none" w:sz="0" w:space="0" w:color="auto"/>
      </w:divBdr>
    </w:div>
    <w:div w:id="260064135">
      <w:bodyDiv w:val="1"/>
      <w:marLeft w:val="0"/>
      <w:marRight w:val="0"/>
      <w:marTop w:val="0"/>
      <w:marBottom w:val="0"/>
      <w:divBdr>
        <w:top w:val="none" w:sz="0" w:space="0" w:color="auto"/>
        <w:left w:val="none" w:sz="0" w:space="0" w:color="auto"/>
        <w:bottom w:val="none" w:sz="0" w:space="0" w:color="auto"/>
        <w:right w:val="none" w:sz="0" w:space="0" w:color="auto"/>
      </w:divBdr>
    </w:div>
    <w:div w:id="526914412">
      <w:bodyDiv w:val="1"/>
      <w:marLeft w:val="0"/>
      <w:marRight w:val="0"/>
      <w:marTop w:val="0"/>
      <w:marBottom w:val="0"/>
      <w:divBdr>
        <w:top w:val="none" w:sz="0" w:space="0" w:color="auto"/>
        <w:left w:val="none" w:sz="0" w:space="0" w:color="auto"/>
        <w:bottom w:val="none" w:sz="0" w:space="0" w:color="auto"/>
        <w:right w:val="none" w:sz="0" w:space="0" w:color="auto"/>
      </w:divBdr>
    </w:div>
    <w:div w:id="765461321">
      <w:bodyDiv w:val="1"/>
      <w:marLeft w:val="0"/>
      <w:marRight w:val="0"/>
      <w:marTop w:val="0"/>
      <w:marBottom w:val="0"/>
      <w:divBdr>
        <w:top w:val="none" w:sz="0" w:space="0" w:color="auto"/>
        <w:left w:val="none" w:sz="0" w:space="0" w:color="auto"/>
        <w:bottom w:val="none" w:sz="0" w:space="0" w:color="auto"/>
        <w:right w:val="none" w:sz="0" w:space="0" w:color="auto"/>
      </w:divBdr>
    </w:div>
    <w:div w:id="1102653345">
      <w:bodyDiv w:val="1"/>
      <w:marLeft w:val="0"/>
      <w:marRight w:val="0"/>
      <w:marTop w:val="0"/>
      <w:marBottom w:val="0"/>
      <w:divBdr>
        <w:top w:val="none" w:sz="0" w:space="0" w:color="auto"/>
        <w:left w:val="none" w:sz="0" w:space="0" w:color="auto"/>
        <w:bottom w:val="none" w:sz="0" w:space="0" w:color="auto"/>
        <w:right w:val="none" w:sz="0" w:space="0" w:color="auto"/>
      </w:divBdr>
    </w:div>
    <w:div w:id="1108357716">
      <w:bodyDiv w:val="1"/>
      <w:marLeft w:val="0"/>
      <w:marRight w:val="0"/>
      <w:marTop w:val="0"/>
      <w:marBottom w:val="0"/>
      <w:divBdr>
        <w:top w:val="none" w:sz="0" w:space="0" w:color="auto"/>
        <w:left w:val="none" w:sz="0" w:space="0" w:color="auto"/>
        <w:bottom w:val="none" w:sz="0" w:space="0" w:color="auto"/>
        <w:right w:val="none" w:sz="0" w:space="0" w:color="auto"/>
      </w:divBdr>
    </w:div>
    <w:div w:id="1108428044">
      <w:bodyDiv w:val="1"/>
      <w:marLeft w:val="0"/>
      <w:marRight w:val="0"/>
      <w:marTop w:val="0"/>
      <w:marBottom w:val="0"/>
      <w:divBdr>
        <w:top w:val="none" w:sz="0" w:space="0" w:color="auto"/>
        <w:left w:val="none" w:sz="0" w:space="0" w:color="auto"/>
        <w:bottom w:val="none" w:sz="0" w:space="0" w:color="auto"/>
        <w:right w:val="none" w:sz="0" w:space="0" w:color="auto"/>
      </w:divBdr>
    </w:div>
    <w:div w:id="1429110422">
      <w:bodyDiv w:val="1"/>
      <w:marLeft w:val="0"/>
      <w:marRight w:val="0"/>
      <w:marTop w:val="0"/>
      <w:marBottom w:val="0"/>
      <w:divBdr>
        <w:top w:val="none" w:sz="0" w:space="0" w:color="auto"/>
        <w:left w:val="none" w:sz="0" w:space="0" w:color="auto"/>
        <w:bottom w:val="none" w:sz="0" w:space="0" w:color="auto"/>
        <w:right w:val="none" w:sz="0" w:space="0" w:color="auto"/>
      </w:divBdr>
    </w:div>
    <w:div w:id="1524438879">
      <w:bodyDiv w:val="1"/>
      <w:marLeft w:val="0"/>
      <w:marRight w:val="0"/>
      <w:marTop w:val="0"/>
      <w:marBottom w:val="0"/>
      <w:divBdr>
        <w:top w:val="none" w:sz="0" w:space="0" w:color="auto"/>
        <w:left w:val="none" w:sz="0" w:space="0" w:color="auto"/>
        <w:bottom w:val="none" w:sz="0" w:space="0" w:color="auto"/>
        <w:right w:val="none" w:sz="0" w:space="0" w:color="auto"/>
      </w:divBdr>
    </w:div>
    <w:div w:id="1542788381">
      <w:bodyDiv w:val="1"/>
      <w:marLeft w:val="0"/>
      <w:marRight w:val="0"/>
      <w:marTop w:val="0"/>
      <w:marBottom w:val="0"/>
      <w:divBdr>
        <w:top w:val="none" w:sz="0" w:space="0" w:color="auto"/>
        <w:left w:val="none" w:sz="0" w:space="0" w:color="auto"/>
        <w:bottom w:val="none" w:sz="0" w:space="0" w:color="auto"/>
        <w:right w:val="none" w:sz="0" w:space="0" w:color="auto"/>
      </w:divBdr>
    </w:div>
    <w:div w:id="1564366495">
      <w:bodyDiv w:val="1"/>
      <w:marLeft w:val="0"/>
      <w:marRight w:val="0"/>
      <w:marTop w:val="0"/>
      <w:marBottom w:val="0"/>
      <w:divBdr>
        <w:top w:val="none" w:sz="0" w:space="0" w:color="auto"/>
        <w:left w:val="none" w:sz="0" w:space="0" w:color="auto"/>
        <w:bottom w:val="none" w:sz="0" w:space="0" w:color="auto"/>
        <w:right w:val="none" w:sz="0" w:space="0" w:color="auto"/>
      </w:divBdr>
    </w:div>
    <w:div w:id="1603107115">
      <w:bodyDiv w:val="1"/>
      <w:marLeft w:val="0"/>
      <w:marRight w:val="0"/>
      <w:marTop w:val="0"/>
      <w:marBottom w:val="0"/>
      <w:divBdr>
        <w:top w:val="none" w:sz="0" w:space="0" w:color="auto"/>
        <w:left w:val="none" w:sz="0" w:space="0" w:color="auto"/>
        <w:bottom w:val="none" w:sz="0" w:space="0" w:color="auto"/>
        <w:right w:val="none" w:sz="0" w:space="0" w:color="auto"/>
      </w:divBdr>
    </w:div>
    <w:div w:id="1764954332">
      <w:bodyDiv w:val="1"/>
      <w:marLeft w:val="0"/>
      <w:marRight w:val="0"/>
      <w:marTop w:val="0"/>
      <w:marBottom w:val="0"/>
      <w:divBdr>
        <w:top w:val="none" w:sz="0" w:space="0" w:color="auto"/>
        <w:left w:val="none" w:sz="0" w:space="0" w:color="auto"/>
        <w:bottom w:val="none" w:sz="0" w:space="0" w:color="auto"/>
        <w:right w:val="none" w:sz="0" w:space="0" w:color="auto"/>
      </w:divBdr>
    </w:div>
    <w:div w:id="1783963013">
      <w:bodyDiv w:val="1"/>
      <w:marLeft w:val="0"/>
      <w:marRight w:val="0"/>
      <w:marTop w:val="0"/>
      <w:marBottom w:val="0"/>
      <w:divBdr>
        <w:top w:val="none" w:sz="0" w:space="0" w:color="auto"/>
        <w:left w:val="none" w:sz="0" w:space="0" w:color="auto"/>
        <w:bottom w:val="none" w:sz="0" w:space="0" w:color="auto"/>
        <w:right w:val="none" w:sz="0" w:space="0" w:color="auto"/>
      </w:divBdr>
    </w:div>
    <w:div w:id="1825315742">
      <w:bodyDiv w:val="1"/>
      <w:marLeft w:val="0"/>
      <w:marRight w:val="0"/>
      <w:marTop w:val="0"/>
      <w:marBottom w:val="0"/>
      <w:divBdr>
        <w:top w:val="none" w:sz="0" w:space="0" w:color="auto"/>
        <w:left w:val="none" w:sz="0" w:space="0" w:color="auto"/>
        <w:bottom w:val="none" w:sz="0" w:space="0" w:color="auto"/>
        <w:right w:val="none" w:sz="0" w:space="0" w:color="auto"/>
      </w:divBdr>
    </w:div>
    <w:div w:id="193150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2175</Words>
  <Characters>12404</Characters>
  <Application>Microsoft Office Word</Application>
  <DocSecurity>0</DocSecurity>
  <Lines>103</Lines>
  <Paragraphs>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Miczan</dc:creator>
  <cp:keywords/>
  <dc:description/>
  <cp:lastModifiedBy>Vivien Miczan</cp:lastModifiedBy>
  <cp:revision>5</cp:revision>
  <dcterms:created xsi:type="dcterms:W3CDTF">2020-10-08T20:48:00Z</dcterms:created>
  <dcterms:modified xsi:type="dcterms:W3CDTF">2020-10-08T21:31:00Z</dcterms:modified>
</cp:coreProperties>
</file>