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32FB0" w14:textId="77777777" w:rsidR="002D1896" w:rsidRPr="007F46F3" w:rsidRDefault="002D1896" w:rsidP="00625B3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Additional file 1</w:t>
      </w:r>
    </w:p>
    <w:p w14:paraId="0AF93FE4" w14:textId="77777777" w:rsidR="002D1896" w:rsidRDefault="002D1896" w:rsidP="00625B3A">
      <w:pPr>
        <w:rPr>
          <w:b/>
          <w:bCs/>
          <w:color w:val="000000" w:themeColor="text1"/>
        </w:rPr>
      </w:pPr>
    </w:p>
    <w:p w14:paraId="1714D636" w14:textId="77777777" w:rsidR="002D1896" w:rsidRDefault="002D1896" w:rsidP="00625B3A">
      <w:pPr>
        <w:rPr>
          <w:b/>
          <w:bCs/>
          <w:color w:val="000000" w:themeColor="text1"/>
        </w:rPr>
      </w:pPr>
    </w:p>
    <w:p w14:paraId="156A9AEE" w14:textId="77777777" w:rsidR="002D1896" w:rsidRDefault="00625B3A" w:rsidP="009720B5">
      <w:pPr>
        <w:ind w:left="990"/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</w:rPr>
        <w:drawing>
          <wp:inline distT="0" distB="0" distL="0" distR="0" wp14:anchorId="1DA35FFB" wp14:editId="2D9BB3C4">
            <wp:extent cx="4734928" cy="3807724"/>
            <wp:effectExtent l="0" t="0" r="2540" b="2540"/>
            <wp:docPr id="1" name="Picture 1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S1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1304" cy="382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6509D" w14:textId="77777777" w:rsidR="002D1896" w:rsidRDefault="002D1896" w:rsidP="00625B3A">
      <w:pPr>
        <w:rPr>
          <w:b/>
          <w:bCs/>
          <w:color w:val="000000" w:themeColor="text1"/>
        </w:rPr>
      </w:pPr>
    </w:p>
    <w:p w14:paraId="140F5AB3" w14:textId="0DBF722C" w:rsidR="002D1896" w:rsidRPr="007F46F3" w:rsidRDefault="002D1896" w:rsidP="00625B3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Fig.</w:t>
      </w:r>
      <w:r w:rsidRPr="006625D8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S</w:t>
      </w:r>
      <w:r w:rsidRPr="006625D8">
        <w:rPr>
          <w:b/>
          <w:bCs/>
          <w:color w:val="000000" w:themeColor="text1"/>
        </w:rPr>
        <w:t>1. G protein coupling of A2AR and CB1R in the A2AR-CB1R heteromer</w:t>
      </w:r>
      <w:r>
        <w:rPr>
          <w:b/>
          <w:bCs/>
          <w:color w:val="000000" w:themeColor="text1"/>
        </w:rPr>
        <w:t>.</w:t>
      </w:r>
      <w:r w:rsidRPr="006625D8">
        <w:rPr>
          <w:b/>
          <w:bCs/>
          <w:color w:val="000000" w:themeColor="text1"/>
        </w:rPr>
        <w:t xml:space="preserve"> </w:t>
      </w:r>
      <w:r w:rsidRPr="008E4A94">
        <w:rPr>
          <w:b/>
          <w:bCs/>
          <w:color w:val="000000" w:themeColor="text1"/>
        </w:rPr>
        <w:t>a-b</w:t>
      </w:r>
      <w:r w:rsidRPr="006625D8">
        <w:rPr>
          <w:color w:val="000000" w:themeColor="text1"/>
        </w:rPr>
        <w:t xml:space="preserve"> CODA-RET experiments, where two complementary halves of Rluc (cRluc and nRluc) are respectively fused to the A2AR and CB1R and YFP is fused to the </w:t>
      </w:r>
      <w:r w:rsidRPr="006625D8">
        <w:t>α subunit of Gi, Gs or Gq.</w:t>
      </w:r>
      <w:r w:rsidRPr="006625D8">
        <w:rPr>
          <w:color w:val="000000" w:themeColor="text1"/>
        </w:rPr>
        <w:t xml:space="preserve"> HEK-293T cells were transiently transfected with cDNAs of A2AR-cRluc (3.33 </w:t>
      </w:r>
      <w:r w:rsidRPr="006625D8">
        <w:sym w:font="Symbol" w:char="F06D"/>
      </w:r>
      <w:r w:rsidRPr="006625D8">
        <w:t>g)</w:t>
      </w:r>
      <w:r w:rsidRPr="006625D8">
        <w:rPr>
          <w:color w:val="000000" w:themeColor="text1"/>
        </w:rPr>
        <w:t xml:space="preserve">, CB1R-nRluc (1.67 </w:t>
      </w:r>
      <w:r w:rsidRPr="006625D8">
        <w:sym w:font="Symbol" w:char="F06D"/>
      </w:r>
      <w:r w:rsidRPr="006625D8">
        <w:t>g)</w:t>
      </w:r>
      <w:r w:rsidRPr="006625D8">
        <w:rPr>
          <w:color w:val="000000" w:themeColor="text1"/>
        </w:rPr>
        <w:t xml:space="preserve">, </w:t>
      </w:r>
      <w:r w:rsidRPr="006625D8">
        <w:t xml:space="preserve">Gαi1-YFP </w:t>
      </w:r>
      <w:r w:rsidRPr="006625D8">
        <w:rPr>
          <w:color w:val="000000" w:themeColor="text1"/>
        </w:rPr>
        <w:t xml:space="preserve">(5 </w:t>
      </w:r>
      <w:r w:rsidRPr="006625D8">
        <w:sym w:font="Symbol" w:char="F06D"/>
      </w:r>
      <w:r w:rsidRPr="006625D8">
        <w:t>g), G</w:t>
      </w:r>
      <w:r w:rsidR="0049465C" w:rsidRPr="006625D8">
        <w:t>α</w:t>
      </w:r>
      <w:r w:rsidRPr="006625D8">
        <w:t xml:space="preserve">s-YFP </w:t>
      </w:r>
      <w:r w:rsidRPr="006625D8">
        <w:rPr>
          <w:color w:val="000000" w:themeColor="text1"/>
        </w:rPr>
        <w:t xml:space="preserve">(5 </w:t>
      </w:r>
      <w:r w:rsidRPr="006625D8">
        <w:sym w:font="Symbol" w:char="F06D"/>
      </w:r>
      <w:r w:rsidRPr="006625D8">
        <w:t xml:space="preserve">g) or Gαq-YFP </w:t>
      </w:r>
      <w:r w:rsidRPr="006625D8">
        <w:rPr>
          <w:color w:val="000000" w:themeColor="text1"/>
        </w:rPr>
        <w:t xml:space="preserve">(5 </w:t>
      </w:r>
      <w:r w:rsidRPr="006625D8">
        <w:sym w:font="Symbol" w:char="F06D"/>
      </w:r>
      <w:r w:rsidRPr="006625D8">
        <w:t xml:space="preserve">g) and non-fused </w:t>
      </w:r>
      <w:r w:rsidRPr="006625D8">
        <w:sym w:font="Symbol" w:char="F062"/>
      </w:r>
      <w:r w:rsidRPr="006625D8">
        <w:t xml:space="preserve">1 and </w:t>
      </w:r>
      <w:r w:rsidRPr="006625D8">
        <w:sym w:font="Symbol" w:char="F067"/>
      </w:r>
      <w:r w:rsidRPr="006625D8">
        <w:t xml:space="preserve">2 subunits </w:t>
      </w:r>
      <w:r w:rsidRPr="006625D8">
        <w:rPr>
          <w:color w:val="000000" w:themeColor="text1"/>
        </w:rPr>
        <w:t xml:space="preserve">(4.5 </w:t>
      </w:r>
      <w:r w:rsidRPr="006625D8">
        <w:sym w:font="Symbol" w:char="F06D"/>
      </w:r>
      <w:r w:rsidRPr="006625D8">
        <w:t xml:space="preserve">g and </w:t>
      </w:r>
      <w:r w:rsidRPr="006625D8">
        <w:rPr>
          <w:color w:val="000000" w:themeColor="text1"/>
        </w:rPr>
        <w:t xml:space="preserve">5 </w:t>
      </w:r>
      <w:r w:rsidRPr="006625D8">
        <w:sym w:font="Symbol" w:char="F06D"/>
      </w:r>
      <w:r w:rsidRPr="006625D8">
        <w:t xml:space="preserve">g, respectively). </w:t>
      </w:r>
      <w:r>
        <w:rPr>
          <w:b/>
          <w:bCs/>
        </w:rPr>
        <w:t>c</w:t>
      </w:r>
      <w:r w:rsidRPr="002F6076">
        <w:t xml:space="preserve"> </w:t>
      </w:r>
      <w:r w:rsidRPr="006625D8">
        <w:rPr>
          <w:color w:val="000000" w:themeColor="text1"/>
        </w:rPr>
        <w:t>CODA-RET experiments, where cRluc and nRluc</w:t>
      </w:r>
      <w:r>
        <w:rPr>
          <w:color w:val="000000" w:themeColor="text1"/>
        </w:rPr>
        <w:t xml:space="preserve"> </w:t>
      </w:r>
      <w:r w:rsidRPr="006625D8">
        <w:rPr>
          <w:color w:val="000000" w:themeColor="text1"/>
        </w:rPr>
        <w:t xml:space="preserve">are respectively fused to the </w:t>
      </w:r>
      <w:r>
        <w:rPr>
          <w:color w:val="000000" w:themeColor="text1"/>
        </w:rPr>
        <w:t>5-HT2A</w:t>
      </w:r>
      <w:r w:rsidRPr="006625D8">
        <w:rPr>
          <w:color w:val="000000" w:themeColor="text1"/>
        </w:rPr>
        <w:t xml:space="preserve">R and </w:t>
      </w:r>
      <w:r>
        <w:rPr>
          <w:color w:val="000000" w:themeColor="text1"/>
        </w:rPr>
        <w:t>D2R</w:t>
      </w:r>
      <w:r w:rsidRPr="006625D8">
        <w:rPr>
          <w:color w:val="000000" w:themeColor="text1"/>
        </w:rPr>
        <w:t xml:space="preserve"> and YFP is fused to the </w:t>
      </w:r>
      <w:r w:rsidRPr="006625D8">
        <w:t>α subunit of Gq.</w:t>
      </w:r>
      <w:r w:rsidRPr="006625D8">
        <w:rPr>
          <w:color w:val="000000" w:themeColor="text1"/>
        </w:rPr>
        <w:t xml:space="preserve"> HEK-293T cells were transiently transfected with cDNAs of A2AR-cRluc (3.33 </w:t>
      </w:r>
      <w:r w:rsidRPr="006625D8">
        <w:sym w:font="Symbol" w:char="F06D"/>
      </w:r>
      <w:r w:rsidRPr="006625D8">
        <w:t>g)</w:t>
      </w:r>
      <w:r>
        <w:rPr>
          <w:color w:val="000000" w:themeColor="text1"/>
        </w:rPr>
        <w:t xml:space="preserve"> and</w:t>
      </w:r>
      <w:r w:rsidRPr="006625D8">
        <w:rPr>
          <w:color w:val="000000" w:themeColor="text1"/>
        </w:rPr>
        <w:t xml:space="preserve"> CB1R-nRluc (1.67 </w:t>
      </w:r>
      <w:r w:rsidRPr="006625D8">
        <w:sym w:font="Symbol" w:char="F06D"/>
      </w:r>
      <w:r w:rsidRPr="006625D8">
        <w:t>g)</w:t>
      </w:r>
      <w:r>
        <w:rPr>
          <w:color w:val="000000" w:themeColor="text1"/>
        </w:rPr>
        <w:t xml:space="preserve"> or 5-HT2A</w:t>
      </w:r>
      <w:r w:rsidRPr="006625D8">
        <w:rPr>
          <w:color w:val="000000" w:themeColor="text1"/>
        </w:rPr>
        <w:t>R</w:t>
      </w:r>
      <w:r>
        <w:rPr>
          <w:color w:val="000000" w:themeColor="text1"/>
        </w:rPr>
        <w:t xml:space="preserve">-cRluc </w:t>
      </w:r>
      <w:r w:rsidRPr="006625D8">
        <w:rPr>
          <w:color w:val="000000" w:themeColor="text1"/>
        </w:rPr>
        <w:t xml:space="preserve">(1.67 </w:t>
      </w:r>
      <w:r w:rsidRPr="006625D8">
        <w:sym w:font="Symbol" w:char="F06D"/>
      </w:r>
      <w:r w:rsidRPr="006625D8">
        <w:t>g)</w:t>
      </w:r>
      <w:r>
        <w:rPr>
          <w:color w:val="000000" w:themeColor="text1"/>
        </w:rPr>
        <w:t xml:space="preserve"> </w:t>
      </w:r>
      <w:r w:rsidRPr="006625D8">
        <w:rPr>
          <w:color w:val="000000" w:themeColor="text1"/>
        </w:rPr>
        <w:t xml:space="preserve">and </w:t>
      </w:r>
      <w:r>
        <w:rPr>
          <w:color w:val="000000" w:themeColor="text1"/>
        </w:rPr>
        <w:t>D2R-nRluc (</w:t>
      </w:r>
      <w:r w:rsidRPr="006625D8">
        <w:rPr>
          <w:color w:val="000000" w:themeColor="text1"/>
        </w:rPr>
        <w:t xml:space="preserve">3.33 </w:t>
      </w:r>
      <w:r w:rsidRPr="006625D8">
        <w:sym w:font="Symbol" w:char="F06D"/>
      </w:r>
      <w:r w:rsidRPr="006625D8">
        <w:t>g</w:t>
      </w:r>
      <w:r>
        <w:t>)</w:t>
      </w:r>
      <w:r>
        <w:rPr>
          <w:color w:val="000000" w:themeColor="text1"/>
        </w:rPr>
        <w:t xml:space="preserve"> and</w:t>
      </w:r>
      <w:r w:rsidRPr="006625D8">
        <w:rPr>
          <w:color w:val="000000" w:themeColor="text1"/>
        </w:rPr>
        <w:t xml:space="preserve"> </w:t>
      </w:r>
      <w:r w:rsidRPr="006625D8">
        <w:t xml:space="preserve">Gαi1-YFP </w:t>
      </w:r>
      <w:r w:rsidRPr="006625D8">
        <w:rPr>
          <w:color w:val="000000" w:themeColor="text1"/>
        </w:rPr>
        <w:t xml:space="preserve">(5 </w:t>
      </w:r>
      <w:r w:rsidRPr="006625D8">
        <w:sym w:font="Symbol" w:char="F06D"/>
      </w:r>
      <w:r w:rsidRPr="006625D8">
        <w:t xml:space="preserve">g), Gs-YFP </w:t>
      </w:r>
      <w:r w:rsidRPr="006625D8">
        <w:rPr>
          <w:color w:val="000000" w:themeColor="text1"/>
        </w:rPr>
        <w:t xml:space="preserve">(5 </w:t>
      </w:r>
      <w:r w:rsidRPr="006625D8">
        <w:sym w:font="Symbol" w:char="F06D"/>
      </w:r>
      <w:r w:rsidRPr="006625D8">
        <w:t xml:space="preserve">g) or Gαq-YFP </w:t>
      </w:r>
      <w:r w:rsidRPr="006625D8">
        <w:rPr>
          <w:color w:val="000000" w:themeColor="text1"/>
        </w:rPr>
        <w:t xml:space="preserve">(5 </w:t>
      </w:r>
      <w:r w:rsidRPr="006625D8">
        <w:sym w:font="Symbol" w:char="F06D"/>
      </w:r>
      <w:r w:rsidRPr="006625D8">
        <w:t xml:space="preserve">g) and non-fused </w:t>
      </w:r>
      <w:r w:rsidRPr="006625D8">
        <w:sym w:font="Symbol" w:char="F062"/>
      </w:r>
      <w:r w:rsidRPr="006625D8">
        <w:t xml:space="preserve">1 and </w:t>
      </w:r>
      <w:r w:rsidRPr="006625D8">
        <w:sym w:font="Symbol" w:char="F067"/>
      </w:r>
      <w:r w:rsidRPr="006625D8">
        <w:t xml:space="preserve">2 subunits </w:t>
      </w:r>
      <w:r w:rsidRPr="006625D8">
        <w:rPr>
          <w:color w:val="000000" w:themeColor="text1"/>
        </w:rPr>
        <w:t xml:space="preserve">(4.5 </w:t>
      </w:r>
      <w:r w:rsidRPr="006625D8">
        <w:sym w:font="Symbol" w:char="F06D"/>
      </w:r>
      <w:r w:rsidRPr="006625D8">
        <w:t xml:space="preserve">g and </w:t>
      </w:r>
      <w:r w:rsidRPr="006625D8">
        <w:rPr>
          <w:color w:val="000000" w:themeColor="text1"/>
        </w:rPr>
        <w:t xml:space="preserve">5 </w:t>
      </w:r>
      <w:r w:rsidRPr="006625D8">
        <w:sym w:font="Symbol" w:char="F06D"/>
      </w:r>
      <w:r w:rsidRPr="006625D8">
        <w:t xml:space="preserve">g, respectively). </w:t>
      </w:r>
      <w:r>
        <w:rPr>
          <w:color w:val="000000" w:themeColor="text1"/>
        </w:rPr>
        <w:t>Gr</w:t>
      </w:r>
      <w:r w:rsidRPr="006625D8">
        <w:rPr>
          <w:color w:val="000000" w:themeColor="text1"/>
        </w:rPr>
        <w:t xml:space="preserve">aphs represent </w:t>
      </w:r>
      <w:r>
        <w:rPr>
          <w:color w:val="000000" w:themeColor="text1"/>
        </w:rPr>
        <w:t>concentration-response curves of</w:t>
      </w:r>
      <w:r w:rsidRPr="006625D8">
        <w:rPr>
          <w:color w:val="000000" w:themeColor="text1"/>
        </w:rPr>
        <w:t xml:space="preserve"> the </w:t>
      </w:r>
      <w:r>
        <w:rPr>
          <w:color w:val="000000" w:themeColor="text1"/>
        </w:rPr>
        <w:t xml:space="preserve">effect of the </w:t>
      </w:r>
      <w:r w:rsidRPr="006625D8">
        <w:rPr>
          <w:color w:val="000000" w:themeColor="text1"/>
        </w:rPr>
        <w:t xml:space="preserve">non-selective adenosine receptor agonist NECA </w:t>
      </w:r>
      <w:r w:rsidRPr="002F6076">
        <w:rPr>
          <w:color w:val="000000" w:themeColor="text1"/>
        </w:rPr>
        <w:t>(</w:t>
      </w:r>
      <w:r>
        <w:rPr>
          <w:b/>
          <w:bCs/>
          <w:color w:val="000000" w:themeColor="text1"/>
        </w:rPr>
        <w:t>a</w:t>
      </w:r>
      <w:r w:rsidRPr="002F6076">
        <w:rPr>
          <w:color w:val="000000" w:themeColor="text1"/>
        </w:rPr>
        <w:t>), the selective CB1R agonist CP55940 (</w:t>
      </w:r>
      <w:r>
        <w:rPr>
          <w:b/>
          <w:bCs/>
          <w:color w:val="000000" w:themeColor="text1"/>
        </w:rPr>
        <w:t>b</w:t>
      </w:r>
      <w:r w:rsidRPr="002F6076">
        <w:rPr>
          <w:color w:val="000000" w:themeColor="text1"/>
        </w:rPr>
        <w:t>), and serotonin (5-HT) and dopamine (DA) (</w:t>
      </w:r>
      <w:r>
        <w:rPr>
          <w:b/>
          <w:bCs/>
          <w:color w:val="000000" w:themeColor="text1"/>
        </w:rPr>
        <w:t>c</w:t>
      </w:r>
      <w:r w:rsidRPr="002F6076">
        <w:rPr>
          <w:color w:val="000000" w:themeColor="text1"/>
        </w:rPr>
        <w:t>) on the ligand</w:t>
      </w:r>
      <w:r w:rsidRPr="006625D8">
        <w:rPr>
          <w:color w:val="000000" w:themeColor="text1"/>
        </w:rPr>
        <w:t xml:space="preserve">-induced </w:t>
      </w:r>
      <w:r>
        <w:rPr>
          <w:color w:val="000000" w:themeColor="text1"/>
        </w:rPr>
        <w:t xml:space="preserve">BRET </w:t>
      </w:r>
      <w:r w:rsidRPr="006625D8">
        <w:rPr>
          <w:color w:val="000000" w:themeColor="text1"/>
        </w:rPr>
        <w:t>changes</w:t>
      </w:r>
      <w:r>
        <w:rPr>
          <w:color w:val="000000" w:themeColor="text1"/>
        </w:rPr>
        <w:t xml:space="preserve">, which are determined by changes in the interaction </w:t>
      </w:r>
      <w:r w:rsidRPr="006625D8">
        <w:rPr>
          <w:color w:val="000000" w:themeColor="text1"/>
        </w:rPr>
        <w:t>of the A2AR-CB1R heteromer with Gi, Gs and Gq proteins (red, blue and green plots, respectively)</w:t>
      </w:r>
      <w:r>
        <w:rPr>
          <w:color w:val="000000" w:themeColor="text1"/>
        </w:rPr>
        <w:t xml:space="preserve"> or the 5-HT2AR-D2R heteromer with Gq</w:t>
      </w:r>
      <w:r w:rsidRPr="006625D8">
        <w:rPr>
          <w:color w:val="000000" w:themeColor="text1"/>
        </w:rPr>
        <w:t xml:space="preserve">. </w:t>
      </w:r>
      <w:r w:rsidRPr="006625D8">
        <w:t xml:space="preserve">Data </w:t>
      </w:r>
      <w:r w:rsidR="005C30A2">
        <w:t>are</w:t>
      </w:r>
      <w:r w:rsidRPr="006625D8">
        <w:t xml:space="preserve"> means ± S.E.M. of triplicate BRET ratio values of a</w:t>
      </w:r>
      <w:r>
        <w:t xml:space="preserve"> </w:t>
      </w:r>
      <w:r w:rsidRPr="006625D8">
        <w:t>representative</w:t>
      </w:r>
      <w:r w:rsidRPr="006625D8">
        <w:rPr>
          <w:color w:val="000000" w:themeColor="text1"/>
        </w:rPr>
        <w:t xml:space="preserve"> experiment (see text for EC</w:t>
      </w:r>
      <w:r w:rsidRPr="006625D8">
        <w:rPr>
          <w:color w:val="000000" w:themeColor="text1"/>
          <w:vertAlign w:val="subscript"/>
        </w:rPr>
        <w:t>50</w:t>
      </w:r>
      <w:r w:rsidRPr="006625D8">
        <w:rPr>
          <w:color w:val="000000" w:themeColor="text1"/>
        </w:rPr>
        <w:t xml:space="preserve"> values of </w:t>
      </w:r>
      <w:r>
        <w:rPr>
          <w:color w:val="000000" w:themeColor="text1"/>
        </w:rPr>
        <w:t>5</w:t>
      </w:r>
      <w:r w:rsidRPr="006625D8">
        <w:rPr>
          <w:color w:val="000000" w:themeColor="text1"/>
        </w:rPr>
        <w:t xml:space="preserve"> independent experiments).</w:t>
      </w:r>
    </w:p>
    <w:p w14:paraId="2C173954" w14:textId="77777777" w:rsidR="002D1896" w:rsidRPr="00F74BBA" w:rsidRDefault="002D1896" w:rsidP="00625B3A">
      <w:pPr>
        <w:rPr>
          <w:b/>
          <w:bCs/>
          <w:color w:val="000000" w:themeColor="text1"/>
        </w:rPr>
      </w:pPr>
    </w:p>
    <w:p w14:paraId="11FF1D1E" w14:textId="77777777" w:rsidR="00625B3A" w:rsidRDefault="00625B3A" w:rsidP="00625B3A">
      <w:pPr>
        <w:rPr>
          <w:b/>
          <w:bCs/>
          <w:color w:val="000000" w:themeColor="text1"/>
        </w:rPr>
      </w:pPr>
    </w:p>
    <w:p w14:paraId="1DFB35DA" w14:textId="3C5B1902" w:rsidR="000909E7" w:rsidRDefault="0049465C" w:rsidP="000909E7">
      <w:pPr>
        <w:ind w:left="2160"/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06A7832C" wp14:editId="10A0CF10">
            <wp:extent cx="2400001" cy="1530203"/>
            <wp:effectExtent l="0" t="0" r="635" b="0"/>
            <wp:docPr id="5" name="Picture 5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S2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6016" cy="155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B2624" w14:textId="77777777" w:rsidR="000909E7" w:rsidRDefault="000909E7" w:rsidP="000909E7">
      <w:pPr>
        <w:ind w:left="2160"/>
        <w:rPr>
          <w:b/>
          <w:bCs/>
          <w:color w:val="000000" w:themeColor="text1"/>
        </w:rPr>
      </w:pPr>
    </w:p>
    <w:p w14:paraId="1960905A" w14:textId="137FAAB4" w:rsidR="002D1896" w:rsidRPr="0049465C" w:rsidRDefault="002D1896" w:rsidP="00625B3A">
      <w:pPr>
        <w:rPr>
          <w:color w:val="000000" w:themeColor="text1"/>
        </w:rPr>
      </w:pPr>
      <w:r>
        <w:rPr>
          <w:b/>
          <w:bCs/>
          <w:color w:val="000000" w:themeColor="text1"/>
        </w:rPr>
        <w:t>Fig. S2</w:t>
      </w:r>
      <w:r w:rsidR="0049465C">
        <w:rPr>
          <w:b/>
          <w:bCs/>
          <w:color w:val="000000" w:themeColor="text1"/>
        </w:rPr>
        <w:t>.</w:t>
      </w:r>
      <w:r w:rsidR="0049465C" w:rsidRPr="0049465C">
        <w:rPr>
          <w:color w:val="000000" w:themeColor="text1"/>
        </w:rPr>
        <w:t xml:space="preserve"> </w:t>
      </w:r>
      <w:r w:rsidR="0049465C" w:rsidRPr="0049465C">
        <w:rPr>
          <w:b/>
          <w:bCs/>
          <w:color w:val="000000" w:themeColor="text1"/>
        </w:rPr>
        <w:t xml:space="preserve">Lack of </w:t>
      </w:r>
      <w:r w:rsidR="0049465C" w:rsidRPr="0049465C">
        <w:rPr>
          <w:b/>
          <w:bCs/>
          <w:iCs/>
          <w:color w:val="000000" w:themeColor="text1"/>
        </w:rPr>
        <w:t>modulation by the CB1R agonist CP55940 on A2AR-mediated Gs protein activation in the A2AR-CB1R heteromer.</w:t>
      </w:r>
      <w:r w:rsidR="0049465C">
        <w:rPr>
          <w:b/>
          <w:bCs/>
          <w:iCs/>
          <w:color w:val="000000" w:themeColor="text1"/>
        </w:rPr>
        <w:t xml:space="preserve"> </w:t>
      </w:r>
      <w:r w:rsidR="0049465C" w:rsidRPr="0049465C">
        <w:rPr>
          <w:iCs/>
          <w:color w:val="000000" w:themeColor="text1"/>
        </w:rPr>
        <w:t>CODA-RET experiments, where two</w:t>
      </w:r>
      <w:r w:rsidR="0049465C">
        <w:rPr>
          <w:iCs/>
          <w:color w:val="000000" w:themeColor="text1"/>
        </w:rPr>
        <w:t xml:space="preserve"> </w:t>
      </w:r>
      <w:r w:rsidR="0049465C" w:rsidRPr="0049465C">
        <w:rPr>
          <w:iCs/>
          <w:color w:val="000000" w:themeColor="text1"/>
        </w:rPr>
        <w:t>complementary halves of Rluc (cRluc and nRluc) are respectively fused to the A2AR and CB1R and YFP is fused to the α subunit of G</w:t>
      </w:r>
      <w:r w:rsidR="0049465C">
        <w:rPr>
          <w:iCs/>
          <w:color w:val="000000" w:themeColor="text1"/>
        </w:rPr>
        <w:t>s</w:t>
      </w:r>
      <w:r w:rsidR="0049465C" w:rsidRPr="0049465C">
        <w:rPr>
          <w:iCs/>
          <w:color w:val="000000" w:themeColor="text1"/>
        </w:rPr>
        <w:t xml:space="preserve">. HEK-293T cells were transiently transfected with cDNAs of A2AR-cRluc (3.33 </w:t>
      </w:r>
      <w:r w:rsidR="0049465C" w:rsidRPr="0049465C">
        <w:rPr>
          <w:iCs/>
          <w:color w:val="000000" w:themeColor="text1"/>
        </w:rPr>
        <w:sym w:font="Symbol" w:char="F06D"/>
      </w:r>
      <w:r w:rsidR="0049465C" w:rsidRPr="0049465C">
        <w:rPr>
          <w:iCs/>
          <w:color w:val="000000" w:themeColor="text1"/>
        </w:rPr>
        <w:t xml:space="preserve">g), CB1R-nRluc (1.67 </w:t>
      </w:r>
      <w:r w:rsidR="0049465C" w:rsidRPr="0049465C">
        <w:rPr>
          <w:iCs/>
          <w:color w:val="000000" w:themeColor="text1"/>
        </w:rPr>
        <w:sym w:font="Symbol" w:char="F06D"/>
      </w:r>
      <w:r w:rsidR="0049465C" w:rsidRPr="0049465C">
        <w:rPr>
          <w:iCs/>
          <w:color w:val="000000" w:themeColor="text1"/>
        </w:rPr>
        <w:t>g), Gα</w:t>
      </w:r>
      <w:r w:rsidR="0049465C">
        <w:rPr>
          <w:iCs/>
          <w:color w:val="000000" w:themeColor="text1"/>
        </w:rPr>
        <w:t>s</w:t>
      </w:r>
      <w:r w:rsidR="0049465C" w:rsidRPr="0049465C">
        <w:rPr>
          <w:iCs/>
          <w:color w:val="000000" w:themeColor="text1"/>
        </w:rPr>
        <w:t xml:space="preserve">-YFP (5 </w:t>
      </w:r>
      <w:r w:rsidR="0049465C" w:rsidRPr="0049465C">
        <w:rPr>
          <w:iCs/>
          <w:color w:val="000000" w:themeColor="text1"/>
        </w:rPr>
        <w:sym w:font="Symbol" w:char="F06D"/>
      </w:r>
      <w:r w:rsidR="0049465C" w:rsidRPr="0049465C">
        <w:rPr>
          <w:iCs/>
          <w:color w:val="000000" w:themeColor="text1"/>
        </w:rPr>
        <w:t xml:space="preserve">g) and non-fused </w:t>
      </w:r>
      <w:r w:rsidR="0049465C" w:rsidRPr="0049465C">
        <w:rPr>
          <w:iCs/>
          <w:color w:val="000000" w:themeColor="text1"/>
        </w:rPr>
        <w:sym w:font="Symbol" w:char="F062"/>
      </w:r>
      <w:r w:rsidR="0049465C" w:rsidRPr="0049465C">
        <w:rPr>
          <w:iCs/>
          <w:color w:val="000000" w:themeColor="text1"/>
        </w:rPr>
        <w:t xml:space="preserve">1 and </w:t>
      </w:r>
      <w:r w:rsidR="0049465C" w:rsidRPr="0049465C">
        <w:rPr>
          <w:iCs/>
          <w:color w:val="000000" w:themeColor="text1"/>
        </w:rPr>
        <w:sym w:font="Symbol" w:char="F067"/>
      </w:r>
      <w:r w:rsidR="0049465C" w:rsidRPr="0049465C">
        <w:rPr>
          <w:iCs/>
          <w:color w:val="000000" w:themeColor="text1"/>
        </w:rPr>
        <w:t xml:space="preserve">2 subunits (4.5 </w:t>
      </w:r>
      <w:r w:rsidR="0049465C" w:rsidRPr="0049465C">
        <w:rPr>
          <w:iCs/>
          <w:color w:val="000000" w:themeColor="text1"/>
        </w:rPr>
        <w:sym w:font="Symbol" w:char="F06D"/>
      </w:r>
      <w:r w:rsidR="0049465C" w:rsidRPr="0049465C">
        <w:rPr>
          <w:iCs/>
          <w:color w:val="000000" w:themeColor="text1"/>
        </w:rPr>
        <w:t xml:space="preserve">g and 5 </w:t>
      </w:r>
      <w:r w:rsidR="0049465C" w:rsidRPr="0049465C">
        <w:rPr>
          <w:iCs/>
          <w:color w:val="000000" w:themeColor="text1"/>
        </w:rPr>
        <w:sym w:font="Symbol" w:char="F06D"/>
      </w:r>
      <w:r w:rsidR="0049465C" w:rsidRPr="0049465C">
        <w:rPr>
          <w:iCs/>
          <w:color w:val="000000" w:themeColor="text1"/>
        </w:rPr>
        <w:t xml:space="preserve">g, respectively). </w:t>
      </w:r>
      <w:r w:rsidR="00491561">
        <w:rPr>
          <w:iCs/>
          <w:color w:val="000000" w:themeColor="text1"/>
        </w:rPr>
        <w:t>C</w:t>
      </w:r>
      <w:r w:rsidR="0049465C" w:rsidRPr="0049465C">
        <w:rPr>
          <w:iCs/>
          <w:color w:val="000000" w:themeColor="text1"/>
        </w:rPr>
        <w:t xml:space="preserve">oncentration-response curves of the effect of the </w:t>
      </w:r>
      <w:r w:rsidR="00491561">
        <w:t xml:space="preserve">non-selective adenosine receptor agonist NECA </w:t>
      </w:r>
      <w:r w:rsidR="0049465C" w:rsidRPr="0049465C">
        <w:rPr>
          <w:iCs/>
          <w:color w:val="000000" w:themeColor="text1"/>
        </w:rPr>
        <w:t>on the ligand-induced BRET changes, which are determined by changes in the interaction of the A2AR-CB1R heteromer with G</w:t>
      </w:r>
      <w:r w:rsidR="00491561">
        <w:rPr>
          <w:iCs/>
          <w:color w:val="000000" w:themeColor="text1"/>
        </w:rPr>
        <w:t>s</w:t>
      </w:r>
      <w:r w:rsidR="0049465C" w:rsidRPr="0049465C">
        <w:rPr>
          <w:iCs/>
          <w:color w:val="000000" w:themeColor="text1"/>
        </w:rPr>
        <w:t xml:space="preserve">, in the presence (blue plot) and absence (red plot) of the selective </w:t>
      </w:r>
      <w:r w:rsidR="00491561">
        <w:rPr>
          <w:iCs/>
          <w:color w:val="000000" w:themeColor="text1"/>
        </w:rPr>
        <w:t>CB1R agonist</w:t>
      </w:r>
      <w:r w:rsidR="0049465C" w:rsidRPr="0049465C">
        <w:rPr>
          <w:iCs/>
          <w:color w:val="000000" w:themeColor="text1"/>
        </w:rPr>
        <w:t xml:space="preserve"> </w:t>
      </w:r>
      <w:r w:rsidR="005C30A2">
        <w:rPr>
          <w:iCs/>
          <w:color w:val="000000" w:themeColor="text1"/>
        </w:rPr>
        <w:t xml:space="preserve">CP55940 </w:t>
      </w:r>
      <w:r w:rsidR="0049465C" w:rsidRPr="0049465C">
        <w:rPr>
          <w:iCs/>
          <w:color w:val="000000" w:themeColor="text1"/>
        </w:rPr>
        <w:t>(</w:t>
      </w:r>
      <w:r w:rsidR="00491561">
        <w:rPr>
          <w:iCs/>
          <w:color w:val="000000" w:themeColor="text1"/>
        </w:rPr>
        <w:t>10</w:t>
      </w:r>
      <w:r w:rsidR="0049465C" w:rsidRPr="0049465C">
        <w:rPr>
          <w:iCs/>
          <w:color w:val="000000" w:themeColor="text1"/>
        </w:rPr>
        <w:t xml:space="preserve"> </w:t>
      </w:r>
      <w:r w:rsidR="0049465C" w:rsidRPr="0049465C">
        <w:rPr>
          <w:iCs/>
          <w:color w:val="000000" w:themeColor="text1"/>
        </w:rPr>
        <w:sym w:font="Symbol" w:char="F06D"/>
      </w:r>
      <w:r w:rsidR="0049465C" w:rsidRPr="0049465C">
        <w:rPr>
          <w:iCs/>
          <w:color w:val="000000" w:themeColor="text1"/>
        </w:rPr>
        <w:t xml:space="preserve">M). </w:t>
      </w:r>
      <w:r w:rsidR="001C415F">
        <w:rPr>
          <w:color w:val="000000" w:themeColor="text1"/>
        </w:rPr>
        <w:t>S</w:t>
      </w:r>
      <w:r w:rsidR="001C415F" w:rsidRPr="006625D8">
        <w:rPr>
          <w:color w:val="000000" w:themeColor="text1"/>
        </w:rPr>
        <w:t xml:space="preserve">ee text for </w:t>
      </w:r>
      <w:r w:rsidR="000909E7">
        <w:rPr>
          <w:color w:val="000000" w:themeColor="text1"/>
        </w:rPr>
        <w:t xml:space="preserve">the analysis of </w:t>
      </w:r>
      <w:r w:rsidR="0049465C" w:rsidRPr="0049465C">
        <w:rPr>
          <w:iCs/>
          <w:color w:val="000000" w:themeColor="text1"/>
        </w:rPr>
        <w:t>EC</w:t>
      </w:r>
      <w:r w:rsidR="0049465C" w:rsidRPr="0049465C">
        <w:rPr>
          <w:iCs/>
          <w:color w:val="000000" w:themeColor="text1"/>
          <w:vertAlign w:val="subscript"/>
        </w:rPr>
        <w:t>50</w:t>
      </w:r>
      <w:r w:rsidR="0049465C" w:rsidRPr="0049465C">
        <w:rPr>
          <w:iCs/>
          <w:color w:val="000000" w:themeColor="text1"/>
        </w:rPr>
        <w:t xml:space="preserve"> and E</w:t>
      </w:r>
      <w:r w:rsidR="0049465C" w:rsidRPr="0049465C">
        <w:rPr>
          <w:iCs/>
          <w:color w:val="000000" w:themeColor="text1"/>
          <w:vertAlign w:val="subscript"/>
        </w:rPr>
        <w:t>max</w:t>
      </w:r>
      <w:r w:rsidR="0049465C" w:rsidRPr="0049465C">
        <w:rPr>
          <w:iCs/>
          <w:color w:val="000000" w:themeColor="text1"/>
        </w:rPr>
        <w:t xml:space="preserve"> values </w:t>
      </w:r>
      <w:r w:rsidR="000909E7">
        <w:rPr>
          <w:iCs/>
          <w:color w:val="000000" w:themeColor="text1"/>
        </w:rPr>
        <w:t xml:space="preserve">from 5 independent experiments. </w:t>
      </w:r>
    </w:p>
    <w:p w14:paraId="4C5C16D7" w14:textId="77777777" w:rsidR="00A741B1" w:rsidRDefault="00A741B1" w:rsidP="00625B3A">
      <w:pPr>
        <w:rPr>
          <w:b/>
          <w:bCs/>
          <w:color w:val="000000" w:themeColor="text1"/>
        </w:rPr>
      </w:pPr>
    </w:p>
    <w:p w14:paraId="03E50995" w14:textId="77777777" w:rsidR="00A741B1" w:rsidRDefault="00A741B1" w:rsidP="00625B3A">
      <w:pPr>
        <w:rPr>
          <w:b/>
          <w:bCs/>
          <w:color w:val="000000" w:themeColor="text1"/>
        </w:rPr>
      </w:pPr>
    </w:p>
    <w:p w14:paraId="7ADC8893" w14:textId="0C0585E6" w:rsidR="000909E7" w:rsidRDefault="00A741B1" w:rsidP="009720B5">
      <w:pPr>
        <w:ind w:left="2340"/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</w:rPr>
        <w:drawing>
          <wp:inline distT="0" distB="0" distL="0" distR="0" wp14:anchorId="3A8FEB38" wp14:editId="53EB78F6">
            <wp:extent cx="2132724" cy="2045833"/>
            <wp:effectExtent l="0" t="0" r="1270" b="0"/>
            <wp:docPr id="2" name="Picture 2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2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804" cy="2091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E748A" w14:textId="77777777" w:rsidR="009720B5" w:rsidRDefault="009720B5" w:rsidP="009720B5">
      <w:pPr>
        <w:ind w:left="2340"/>
        <w:rPr>
          <w:b/>
          <w:bCs/>
          <w:color w:val="000000" w:themeColor="text1"/>
        </w:rPr>
      </w:pPr>
    </w:p>
    <w:p w14:paraId="2A50435D" w14:textId="442E31AE" w:rsidR="002D1896" w:rsidRPr="007F46F3" w:rsidRDefault="002D1896" w:rsidP="00625B3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Fig.</w:t>
      </w:r>
      <w:r w:rsidRPr="006F5B58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S3</w:t>
      </w:r>
      <w:r w:rsidRPr="006F5B58">
        <w:rPr>
          <w:b/>
          <w:bCs/>
          <w:color w:val="000000" w:themeColor="text1"/>
        </w:rPr>
        <w:t>. Tetrameric structure of A2AR-CB1R heteromer.</w:t>
      </w:r>
      <w:r>
        <w:rPr>
          <w:b/>
          <w:bCs/>
          <w:color w:val="000000" w:themeColor="text1"/>
        </w:rPr>
        <w:t xml:space="preserve"> </w:t>
      </w:r>
      <w:r w:rsidRPr="006F5B58">
        <w:rPr>
          <w:color w:val="000000" w:themeColor="text1"/>
        </w:rPr>
        <w:t>BRET experiment with double complementation of both BRET biosensors</w:t>
      </w:r>
      <w:r>
        <w:rPr>
          <w:color w:val="000000" w:themeColor="text1"/>
        </w:rPr>
        <w:t xml:space="preserve">. HEK-293T cells were transiently transfected </w:t>
      </w:r>
      <w:r w:rsidRPr="006F5B58">
        <w:rPr>
          <w:color w:val="000000" w:themeColor="text1"/>
        </w:rPr>
        <w:t xml:space="preserve">with </w:t>
      </w:r>
      <w:r>
        <w:rPr>
          <w:color w:val="000000" w:themeColor="text1"/>
        </w:rPr>
        <w:t xml:space="preserve">cDNAs of two different molecules of </w:t>
      </w:r>
      <w:r w:rsidRPr="006F5B58">
        <w:rPr>
          <w:color w:val="000000" w:themeColor="text1"/>
        </w:rPr>
        <w:t xml:space="preserve">A2AR </w:t>
      </w:r>
      <w:r>
        <w:rPr>
          <w:color w:val="000000" w:themeColor="text1"/>
        </w:rPr>
        <w:t xml:space="preserve">separately fused to </w:t>
      </w:r>
      <w:r w:rsidRPr="006F5B58">
        <w:rPr>
          <w:color w:val="000000" w:themeColor="text1"/>
        </w:rPr>
        <w:t xml:space="preserve">complementary halves of Rluc </w:t>
      </w:r>
      <w:r>
        <w:rPr>
          <w:color w:val="000000" w:themeColor="text1"/>
        </w:rPr>
        <w:t xml:space="preserve">(A2AR-cRluc and A2AR-nRluc; 0.5 </w:t>
      </w:r>
      <w:r w:rsidRPr="00925F52">
        <w:sym w:font="Symbol" w:char="F06D"/>
      </w:r>
      <w:r w:rsidRPr="00925F52">
        <w:t>g</w:t>
      </w:r>
      <w:r>
        <w:t xml:space="preserve"> in both cases</w:t>
      </w:r>
      <w:r w:rsidRPr="00925F52">
        <w:rPr>
          <w:color w:val="000000" w:themeColor="text1"/>
        </w:rPr>
        <w:t>)</w:t>
      </w:r>
      <w:r>
        <w:rPr>
          <w:color w:val="000000" w:themeColor="text1"/>
        </w:rPr>
        <w:t xml:space="preserve"> and two different molecules of CB1R separately fused to complementary halves of YFP (CB1R-cYFP and CB1R-nYFP; 3 </w:t>
      </w:r>
      <w:r w:rsidRPr="00925F52">
        <w:sym w:font="Symbol" w:char="F06D"/>
      </w:r>
      <w:r w:rsidRPr="00925F52">
        <w:t>g</w:t>
      </w:r>
      <w:r>
        <w:t xml:space="preserve"> in both cases</w:t>
      </w:r>
      <w:r>
        <w:rPr>
          <w:color w:val="000000" w:themeColor="text1"/>
        </w:rPr>
        <w:t>).</w:t>
      </w:r>
      <w:r w:rsidRPr="006F5B58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cDNAs of D1R-cYFP and D1R-nYFP (0.25 </w:t>
      </w:r>
      <w:r w:rsidRPr="00925F52">
        <w:sym w:font="Symbol" w:char="F06D"/>
      </w:r>
      <w:r w:rsidRPr="00925F52">
        <w:t>g</w:t>
      </w:r>
      <w:r>
        <w:t xml:space="preserve"> in both cases</w:t>
      </w:r>
      <w:r>
        <w:rPr>
          <w:color w:val="000000" w:themeColor="text1"/>
        </w:rPr>
        <w:t xml:space="preserve">) and D1R-cYFP and D1R-nYFP (3.5 </w:t>
      </w:r>
      <w:r w:rsidRPr="00925F52">
        <w:sym w:font="Symbol" w:char="F06D"/>
      </w:r>
      <w:r w:rsidRPr="00925F52">
        <w:t>g</w:t>
      </w:r>
      <w:r>
        <w:t xml:space="preserve"> in both cases) </w:t>
      </w:r>
      <w:r>
        <w:rPr>
          <w:color w:val="000000" w:themeColor="text1"/>
        </w:rPr>
        <w:t xml:space="preserve">were also used as controls. </w:t>
      </w:r>
      <w:r>
        <w:t xml:space="preserve">Values are means </w:t>
      </w:r>
      <w:r w:rsidRPr="00EE3574">
        <w:t>±</w:t>
      </w:r>
      <w:r>
        <w:t xml:space="preserve"> S.E.M. (n = 5-16 with triplicates) of milli BRET units </w:t>
      </w:r>
      <w:r w:rsidRPr="00FE1BBA">
        <w:rPr>
          <w:bCs/>
        </w:rPr>
        <w:t>(mBU; net BRET x 1,000)</w:t>
      </w:r>
      <w:r>
        <w:rPr>
          <w:bCs/>
        </w:rPr>
        <w:t xml:space="preserve"> </w:t>
      </w:r>
      <w:r>
        <w:t xml:space="preserve">and analyzed statistically with one-way ANOVA, followed by Dunnett’s multiple comparison test. </w:t>
      </w:r>
      <w:r>
        <w:rPr>
          <w:color w:val="000000" w:themeColor="text1"/>
        </w:rPr>
        <w:t xml:space="preserve">Significant </w:t>
      </w:r>
      <w:r w:rsidRPr="006F5B58">
        <w:rPr>
          <w:color w:val="000000" w:themeColor="text1"/>
        </w:rPr>
        <w:t xml:space="preserve">BRET values </w:t>
      </w:r>
      <w:r>
        <w:rPr>
          <w:color w:val="000000" w:themeColor="text1"/>
        </w:rPr>
        <w:t>were</w:t>
      </w:r>
      <w:r w:rsidRPr="006F5B58">
        <w:rPr>
          <w:color w:val="000000" w:themeColor="text1"/>
        </w:rPr>
        <w:t xml:space="preserve"> obtained with co-transfection of A2AR-cRluc, A2AR-nRluc, CB1R-cYFP and CB1R-nYFP, compared with controls</w:t>
      </w:r>
      <w:r w:rsidRPr="009B7765">
        <w:rPr>
          <w:color w:val="000000" w:themeColor="text1"/>
        </w:rPr>
        <w:t xml:space="preserve"> </w:t>
      </w:r>
      <w:r>
        <w:rPr>
          <w:color w:val="000000" w:themeColor="text1"/>
        </w:rPr>
        <w:t>(**: p &lt; 0.01), indicating the formation of oligomers of A2AR and CB1R homodimers.</w:t>
      </w:r>
    </w:p>
    <w:p w14:paraId="4B0A5E3A" w14:textId="77777777" w:rsidR="00A741B1" w:rsidRDefault="0069760F" w:rsidP="0069760F">
      <w:pPr>
        <w:ind w:left="540"/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27C8F968" wp14:editId="6414CA65">
            <wp:extent cx="4790049" cy="6259817"/>
            <wp:effectExtent l="0" t="0" r="0" b="1905"/>
            <wp:docPr id="3" name="Picture 3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4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902" cy="628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DA272" w14:textId="6F2EBFB2" w:rsidR="002D1896" w:rsidRPr="007F46F3" w:rsidRDefault="002D1896" w:rsidP="00625B3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Fig.</w:t>
      </w:r>
      <w:r w:rsidRPr="00A85C2B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S4</w:t>
      </w:r>
      <w:r w:rsidRPr="00A85C2B">
        <w:rPr>
          <w:b/>
          <w:bCs/>
          <w:color w:val="000000" w:themeColor="text1"/>
        </w:rPr>
        <w:t>. Gs-dependent A2AR-mediated modulation and Gi-dependent CB1R-mediated modulation of AC signaling in HEK-293T cells</w:t>
      </w:r>
      <w:r>
        <w:rPr>
          <w:b/>
          <w:bCs/>
          <w:color w:val="000000" w:themeColor="text1"/>
        </w:rPr>
        <w:t xml:space="preserve">. </w:t>
      </w:r>
      <w:r w:rsidR="007C7BFD">
        <w:rPr>
          <w:b/>
          <w:bCs/>
          <w:color w:val="000000" w:themeColor="text1"/>
        </w:rPr>
        <w:t>a-e</w:t>
      </w:r>
      <w:r w:rsidRPr="00A85C2B">
        <w:rPr>
          <w:color w:val="000000" w:themeColor="text1"/>
        </w:rPr>
        <w:t xml:space="preserve"> cAMP formation induced by forskolin (500 nM) or by the A2AR agonist CGS21680 (CGS</w:t>
      </w:r>
      <w:r w:rsidR="005C30A2">
        <w:rPr>
          <w:color w:val="000000" w:themeColor="text1"/>
        </w:rPr>
        <w:t xml:space="preserve">, </w:t>
      </w:r>
      <w:r w:rsidRPr="00A85C2B">
        <w:rPr>
          <w:color w:val="000000" w:themeColor="text1"/>
        </w:rPr>
        <w:t>500 nM) and counteractive effects of the CB1R agonist CP55940 (200 nM). HEK-293T cells were transiently transfected with cDNAs of CB1R (</w:t>
      </w:r>
      <w:r w:rsidR="007C7BFD" w:rsidRPr="007C7BFD">
        <w:rPr>
          <w:b/>
          <w:bCs/>
          <w:color w:val="000000" w:themeColor="text1"/>
        </w:rPr>
        <w:t>a</w:t>
      </w:r>
      <w:r w:rsidRPr="00A85C2B">
        <w:rPr>
          <w:color w:val="000000" w:themeColor="text1"/>
        </w:rPr>
        <w:t xml:space="preserve">; 1.25 </w:t>
      </w:r>
      <w:r w:rsidRPr="00A85C2B">
        <w:sym w:font="Symbol" w:char="F06D"/>
      </w:r>
      <w:r w:rsidRPr="00A85C2B">
        <w:t>g</w:t>
      </w:r>
      <w:r w:rsidRPr="00A85C2B">
        <w:rPr>
          <w:color w:val="000000" w:themeColor="text1"/>
        </w:rPr>
        <w:t>), A2AR (</w:t>
      </w:r>
      <w:r w:rsidR="007C7BFD" w:rsidRPr="007C7BFD">
        <w:rPr>
          <w:b/>
          <w:bCs/>
          <w:color w:val="000000" w:themeColor="text1"/>
        </w:rPr>
        <w:t>b</w:t>
      </w:r>
      <w:r w:rsidRPr="00A85C2B">
        <w:rPr>
          <w:color w:val="000000" w:themeColor="text1"/>
        </w:rPr>
        <w:t xml:space="preserve">; 1.25 </w:t>
      </w:r>
      <w:r w:rsidRPr="00A85C2B">
        <w:sym w:font="Symbol" w:char="F06D"/>
      </w:r>
      <w:r w:rsidRPr="00A85C2B">
        <w:t>g</w:t>
      </w:r>
      <w:r w:rsidRPr="00A85C2B">
        <w:rPr>
          <w:color w:val="000000" w:themeColor="text1"/>
        </w:rPr>
        <w:t>) or with both (</w:t>
      </w:r>
      <w:r w:rsidR="007C7BFD" w:rsidRPr="007C7BFD">
        <w:rPr>
          <w:b/>
          <w:bCs/>
          <w:color w:val="000000" w:themeColor="text1"/>
        </w:rPr>
        <w:t>c-e</w:t>
      </w:r>
      <w:r w:rsidRPr="00A85C2B">
        <w:rPr>
          <w:color w:val="000000" w:themeColor="text1"/>
        </w:rPr>
        <w:t xml:space="preserve">; 2 </w:t>
      </w:r>
      <w:r w:rsidRPr="00A85C2B">
        <w:sym w:font="Symbol" w:char="F06D"/>
      </w:r>
      <w:r w:rsidRPr="00A85C2B">
        <w:t>g in both cases</w:t>
      </w:r>
      <w:r w:rsidRPr="00A85C2B">
        <w:rPr>
          <w:color w:val="000000" w:themeColor="text1"/>
        </w:rPr>
        <w:t>) in the absence of toxins (</w:t>
      </w:r>
      <w:r w:rsidR="007C7BFD" w:rsidRPr="007C7BFD">
        <w:rPr>
          <w:b/>
          <w:bCs/>
          <w:color w:val="000000" w:themeColor="text1"/>
        </w:rPr>
        <w:t>c</w:t>
      </w:r>
      <w:r w:rsidRPr="00A85C2B">
        <w:rPr>
          <w:color w:val="000000" w:themeColor="text1"/>
        </w:rPr>
        <w:t xml:space="preserve">) or pre-treated overnight with pertussis toxin (PTX; 10 ng/ml; </w:t>
      </w:r>
      <w:r w:rsidR="007C7BFD">
        <w:rPr>
          <w:b/>
          <w:bCs/>
          <w:color w:val="000000" w:themeColor="text1"/>
        </w:rPr>
        <w:t>d</w:t>
      </w:r>
      <w:r w:rsidRPr="00A85C2B">
        <w:rPr>
          <w:color w:val="000000" w:themeColor="text1"/>
        </w:rPr>
        <w:t xml:space="preserve">) or for 2h with </w:t>
      </w:r>
      <w:r w:rsidR="005C30A2">
        <w:rPr>
          <w:color w:val="000000" w:themeColor="text1"/>
        </w:rPr>
        <w:t>cholera toxin</w:t>
      </w:r>
      <w:r w:rsidRPr="00A85C2B">
        <w:rPr>
          <w:color w:val="000000" w:themeColor="text1"/>
        </w:rPr>
        <w:t xml:space="preserve"> (CTX; 100 ng/ml; </w:t>
      </w:r>
      <w:r w:rsidR="007C7BFD">
        <w:rPr>
          <w:b/>
          <w:bCs/>
          <w:color w:val="000000" w:themeColor="text1"/>
        </w:rPr>
        <w:t>e</w:t>
      </w:r>
      <w:r w:rsidRPr="00A85C2B">
        <w:rPr>
          <w:color w:val="000000" w:themeColor="text1"/>
        </w:rPr>
        <w:t>).</w:t>
      </w:r>
      <w:r w:rsidRPr="00A85C2B">
        <w:t xml:space="preserve"> Values are expressed as means ± S.E.M</w:t>
      </w:r>
      <w:r w:rsidRPr="00A85C2B">
        <w:rPr>
          <w:color w:val="000000" w:themeColor="text1"/>
        </w:rPr>
        <w:t>. (n = 5-6</w:t>
      </w:r>
      <w:r>
        <w:rPr>
          <w:color w:val="000000" w:themeColor="text1"/>
        </w:rPr>
        <w:t xml:space="preserve"> with triplicates</w:t>
      </w:r>
      <w:r w:rsidRPr="00A85C2B">
        <w:rPr>
          <w:color w:val="000000" w:themeColor="text1"/>
        </w:rPr>
        <w:t xml:space="preserve">) </w:t>
      </w:r>
      <w:r w:rsidRPr="00A85C2B">
        <w:t xml:space="preserve">of the percentage of forskolin-induced cAMP formation and analyzed statistically with repeated measures ANOVA, followed by Dunnett’s multiple comparison test </w:t>
      </w:r>
      <w:r w:rsidRPr="00A85C2B">
        <w:rPr>
          <w:color w:val="000000" w:themeColor="text1"/>
        </w:rPr>
        <w:t xml:space="preserve">(** and ***: p &lt; 0.01 and p &lt; 0.001, respectively, compared with basal; </w:t>
      </w:r>
      <w:r w:rsidRPr="00A85C2B">
        <w:rPr>
          <w:b/>
          <w:bCs/>
          <w:color w:val="000000" w:themeColor="text1"/>
          <w:vertAlign w:val="superscript"/>
        </w:rPr>
        <w:t>##</w:t>
      </w:r>
      <w:r w:rsidRPr="00A85C2B">
        <w:rPr>
          <w:color w:val="000000" w:themeColor="text1"/>
        </w:rPr>
        <w:t xml:space="preserve"> and </w:t>
      </w:r>
      <w:r w:rsidRPr="00A85C2B">
        <w:rPr>
          <w:b/>
          <w:bCs/>
          <w:color w:val="000000" w:themeColor="text1"/>
          <w:vertAlign w:val="superscript"/>
        </w:rPr>
        <w:t>###</w:t>
      </w:r>
      <w:r w:rsidRPr="00A85C2B">
        <w:rPr>
          <w:color w:val="000000" w:themeColor="text1"/>
        </w:rPr>
        <w:t>: p &lt; 0.01 and p &lt; 0.001, respectively,</w:t>
      </w:r>
      <w:r w:rsidR="005C30A2">
        <w:rPr>
          <w:color w:val="000000" w:themeColor="text1"/>
        </w:rPr>
        <w:t xml:space="preserve"> </w:t>
      </w:r>
      <w:bookmarkStart w:id="0" w:name="_GoBack"/>
      <w:bookmarkEnd w:id="0"/>
      <w:r w:rsidRPr="00A85C2B">
        <w:rPr>
          <w:color w:val="000000" w:themeColor="text1"/>
        </w:rPr>
        <w:t>compared to forskolin or CGS).</w:t>
      </w:r>
    </w:p>
    <w:p w14:paraId="56DDE546" w14:textId="77777777" w:rsidR="002D1896" w:rsidRDefault="0062340D" w:rsidP="000909E7">
      <w:pPr>
        <w:ind w:left="1170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0CA566B3" wp14:editId="6BC577DD">
            <wp:extent cx="3926012" cy="2424528"/>
            <wp:effectExtent l="0" t="0" r="0" b="1270"/>
            <wp:docPr id="4" name="Picture 4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S5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2715" cy="242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1A3EB" w14:textId="77777777" w:rsidR="0062340D" w:rsidRDefault="0062340D" w:rsidP="00625B3A">
      <w:pPr>
        <w:rPr>
          <w:color w:val="000000" w:themeColor="text1"/>
        </w:rPr>
      </w:pPr>
    </w:p>
    <w:p w14:paraId="4EEA4104" w14:textId="77777777" w:rsidR="0062340D" w:rsidRDefault="0062340D" w:rsidP="00625B3A">
      <w:pPr>
        <w:rPr>
          <w:color w:val="000000" w:themeColor="text1"/>
        </w:rPr>
      </w:pPr>
    </w:p>
    <w:p w14:paraId="0BCD1DB5" w14:textId="77777777" w:rsidR="002D1896" w:rsidRPr="00913969" w:rsidRDefault="002D1896" w:rsidP="00625B3A">
      <w:r>
        <w:rPr>
          <w:b/>
          <w:bCs/>
        </w:rPr>
        <w:t>Fig.</w:t>
      </w:r>
      <w:r w:rsidRPr="00DF5CD0">
        <w:rPr>
          <w:b/>
          <w:bCs/>
        </w:rPr>
        <w:t xml:space="preserve"> </w:t>
      </w:r>
      <w:r>
        <w:rPr>
          <w:b/>
          <w:bCs/>
        </w:rPr>
        <w:t>S5</w:t>
      </w:r>
      <w:r w:rsidRPr="00DF5CD0">
        <w:rPr>
          <w:b/>
          <w:bCs/>
        </w:rPr>
        <w:t>.</w:t>
      </w:r>
      <w:r>
        <w:t xml:space="preserve"> </w:t>
      </w:r>
      <w:r w:rsidRPr="00913969">
        <w:rPr>
          <w:b/>
        </w:rPr>
        <w:t>Control of striatal glutamate release by A2AR-CB1R and A1R-A2AR heteromers</w:t>
      </w:r>
      <w:r>
        <w:t xml:space="preserve">. </w:t>
      </w:r>
      <w:r w:rsidRPr="00913969">
        <w:t>Schematic representation of corticostriatal glutamatergic</w:t>
      </w:r>
      <w:r>
        <w:t xml:space="preserve"> </w:t>
      </w:r>
      <w:r w:rsidRPr="00913969">
        <w:t>terminal</w:t>
      </w:r>
      <w:r>
        <w:t>s</w:t>
      </w:r>
      <w:r w:rsidRPr="00913969">
        <w:t xml:space="preserve"> and </w:t>
      </w:r>
      <w:r>
        <w:t xml:space="preserve">the </w:t>
      </w:r>
      <w:r w:rsidRPr="00913969">
        <w:t xml:space="preserve">modulatory </w:t>
      </w:r>
      <w:r>
        <w:t xml:space="preserve">role of adenosine (ADE) and endocannabinoids (ECN) on glutamate (GLU) release mediated by A2AR-CB1R and A1R-A2AR heteromers. </w:t>
      </w:r>
      <w:r w:rsidR="003165AB">
        <w:rPr>
          <w:b/>
          <w:bCs/>
        </w:rPr>
        <w:t>a</w:t>
      </w:r>
      <w:r>
        <w:t xml:space="preserve"> Under low extracellular concentrations of ADE, the predominant activation of A1R within the A1R-A2AR heteromer leads to a predominant inhibition of GLU release, which can be further inhibited by ECN, which counteract A2AR-mediated constitutive activity within the A2AR-CB1R heteromer by means of the canonical </w:t>
      </w:r>
      <w:r w:rsidRPr="00C3620B">
        <w:t>Gi-Gs antagonistic interaction</w:t>
      </w:r>
      <w:r>
        <w:t xml:space="preserve"> at the AC level. </w:t>
      </w:r>
      <w:r w:rsidR="003165AB">
        <w:rPr>
          <w:b/>
          <w:bCs/>
        </w:rPr>
        <w:t>b</w:t>
      </w:r>
      <w:r>
        <w:t xml:space="preserve"> Under high extracellular concentrations of ADE, the activation of A2AR leads to the allosteric counteraction of A1R- and CB1R-mediated activation within the A1R-A2AR and A2AR-CB1R heteromers and to the A2AR-Gs-AC mediated activation of GLU release. </w:t>
      </w:r>
    </w:p>
    <w:p w14:paraId="56F967C4" w14:textId="77777777" w:rsidR="002D1896" w:rsidRPr="00A85C2B" w:rsidRDefault="002D1896" w:rsidP="00625B3A">
      <w:pPr>
        <w:rPr>
          <w:b/>
          <w:bCs/>
          <w:color w:val="000000" w:themeColor="text1"/>
        </w:rPr>
      </w:pPr>
    </w:p>
    <w:p w14:paraId="390EC131" w14:textId="77777777" w:rsidR="002D1896" w:rsidRPr="007760F4" w:rsidRDefault="002D1896" w:rsidP="00625B3A">
      <w:pPr>
        <w:rPr>
          <w:b/>
          <w:bCs/>
        </w:rPr>
      </w:pPr>
    </w:p>
    <w:p w14:paraId="0616395D" w14:textId="77777777" w:rsidR="0062663B" w:rsidRDefault="00414B60" w:rsidP="00625B3A"/>
    <w:sectPr w:rsidR="0062663B" w:rsidSect="00577814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51658" w14:textId="77777777" w:rsidR="00414B60" w:rsidRDefault="00414B60">
      <w:r>
        <w:separator/>
      </w:r>
    </w:p>
  </w:endnote>
  <w:endnote w:type="continuationSeparator" w:id="0">
    <w:p w14:paraId="41508827" w14:textId="77777777" w:rsidR="00414B60" w:rsidRDefault="00414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9867703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4A1159" w14:textId="77777777" w:rsidR="000749F0" w:rsidRDefault="00706A00" w:rsidP="00270E7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E8861AA" w14:textId="77777777" w:rsidR="000749F0" w:rsidRDefault="00414B60" w:rsidP="00C565D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4840596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040203" w14:textId="77777777" w:rsidR="000749F0" w:rsidRDefault="00706A00" w:rsidP="00270E7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78CDF95D" w14:textId="77777777" w:rsidR="000749F0" w:rsidRDefault="00414B60" w:rsidP="00C565D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8337A" w14:textId="77777777" w:rsidR="00414B60" w:rsidRDefault="00414B60">
      <w:r>
        <w:separator/>
      </w:r>
    </w:p>
  </w:footnote>
  <w:footnote w:type="continuationSeparator" w:id="0">
    <w:p w14:paraId="0876AF99" w14:textId="77777777" w:rsidR="00414B60" w:rsidRDefault="00414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96"/>
    <w:rsid w:val="000106D9"/>
    <w:rsid w:val="0001336A"/>
    <w:rsid w:val="000271C4"/>
    <w:rsid w:val="00057757"/>
    <w:rsid w:val="0007708E"/>
    <w:rsid w:val="000909E7"/>
    <w:rsid w:val="000A0782"/>
    <w:rsid w:val="000A29EF"/>
    <w:rsid w:val="000A4810"/>
    <w:rsid w:val="000D65F6"/>
    <w:rsid w:val="00100BCA"/>
    <w:rsid w:val="001051E1"/>
    <w:rsid w:val="001061C9"/>
    <w:rsid w:val="001322E8"/>
    <w:rsid w:val="00136BCB"/>
    <w:rsid w:val="00145E1C"/>
    <w:rsid w:val="0017100D"/>
    <w:rsid w:val="001821D9"/>
    <w:rsid w:val="001A2E3F"/>
    <w:rsid w:val="001A66C6"/>
    <w:rsid w:val="001C415F"/>
    <w:rsid w:val="001D2F55"/>
    <w:rsid w:val="001D612F"/>
    <w:rsid w:val="001E41B9"/>
    <w:rsid w:val="001E6E72"/>
    <w:rsid w:val="001F7CBC"/>
    <w:rsid w:val="002165AC"/>
    <w:rsid w:val="002240F1"/>
    <w:rsid w:val="0022784B"/>
    <w:rsid w:val="00230AE9"/>
    <w:rsid w:val="002456AC"/>
    <w:rsid w:val="002514A5"/>
    <w:rsid w:val="0025454B"/>
    <w:rsid w:val="00286A38"/>
    <w:rsid w:val="002A2ECA"/>
    <w:rsid w:val="002A44A5"/>
    <w:rsid w:val="002B5B55"/>
    <w:rsid w:val="002C229F"/>
    <w:rsid w:val="002C2524"/>
    <w:rsid w:val="002D1896"/>
    <w:rsid w:val="002E39CB"/>
    <w:rsid w:val="002F698B"/>
    <w:rsid w:val="002F7B77"/>
    <w:rsid w:val="003123AE"/>
    <w:rsid w:val="003165AB"/>
    <w:rsid w:val="0032704A"/>
    <w:rsid w:val="00332D6D"/>
    <w:rsid w:val="00333602"/>
    <w:rsid w:val="00336FD3"/>
    <w:rsid w:val="00343DDD"/>
    <w:rsid w:val="00344B09"/>
    <w:rsid w:val="00361CDF"/>
    <w:rsid w:val="003640F3"/>
    <w:rsid w:val="003707F5"/>
    <w:rsid w:val="003726D1"/>
    <w:rsid w:val="00375476"/>
    <w:rsid w:val="003F2CEC"/>
    <w:rsid w:val="003F6BDA"/>
    <w:rsid w:val="003F77D2"/>
    <w:rsid w:val="00407BE8"/>
    <w:rsid w:val="00414B60"/>
    <w:rsid w:val="004224AC"/>
    <w:rsid w:val="00460542"/>
    <w:rsid w:val="00473FE8"/>
    <w:rsid w:val="00491561"/>
    <w:rsid w:val="0049465C"/>
    <w:rsid w:val="004B3A55"/>
    <w:rsid w:val="004E55FD"/>
    <w:rsid w:val="004F3D11"/>
    <w:rsid w:val="004F6FBC"/>
    <w:rsid w:val="0051364A"/>
    <w:rsid w:val="00516C39"/>
    <w:rsid w:val="00527212"/>
    <w:rsid w:val="00573FFC"/>
    <w:rsid w:val="00577814"/>
    <w:rsid w:val="005826AF"/>
    <w:rsid w:val="005B6AC0"/>
    <w:rsid w:val="005C30A2"/>
    <w:rsid w:val="0060570B"/>
    <w:rsid w:val="00622E14"/>
    <w:rsid w:val="0062340D"/>
    <w:rsid w:val="00625B3A"/>
    <w:rsid w:val="006279EB"/>
    <w:rsid w:val="006454F9"/>
    <w:rsid w:val="00665A8D"/>
    <w:rsid w:val="00674AFD"/>
    <w:rsid w:val="0069005A"/>
    <w:rsid w:val="0069760F"/>
    <w:rsid w:val="006B19A7"/>
    <w:rsid w:val="006B528A"/>
    <w:rsid w:val="006C441B"/>
    <w:rsid w:val="006D2872"/>
    <w:rsid w:val="006E65E7"/>
    <w:rsid w:val="006F1FD3"/>
    <w:rsid w:val="006F2612"/>
    <w:rsid w:val="00706A00"/>
    <w:rsid w:val="00750BB3"/>
    <w:rsid w:val="00757C20"/>
    <w:rsid w:val="00785ACF"/>
    <w:rsid w:val="007A1D14"/>
    <w:rsid w:val="007C2E4C"/>
    <w:rsid w:val="007C6970"/>
    <w:rsid w:val="007C7BFD"/>
    <w:rsid w:val="007D4658"/>
    <w:rsid w:val="008026C3"/>
    <w:rsid w:val="0085255D"/>
    <w:rsid w:val="00871C97"/>
    <w:rsid w:val="00884307"/>
    <w:rsid w:val="008876B2"/>
    <w:rsid w:val="008B402B"/>
    <w:rsid w:val="008E0C61"/>
    <w:rsid w:val="0090599F"/>
    <w:rsid w:val="00943A95"/>
    <w:rsid w:val="009547DC"/>
    <w:rsid w:val="00956E4B"/>
    <w:rsid w:val="009678A9"/>
    <w:rsid w:val="009720B5"/>
    <w:rsid w:val="0098789E"/>
    <w:rsid w:val="009A108F"/>
    <w:rsid w:val="009C01AE"/>
    <w:rsid w:val="00A01031"/>
    <w:rsid w:val="00A06373"/>
    <w:rsid w:val="00A26171"/>
    <w:rsid w:val="00A341D9"/>
    <w:rsid w:val="00A64F2F"/>
    <w:rsid w:val="00A741B1"/>
    <w:rsid w:val="00A7459F"/>
    <w:rsid w:val="00A8629F"/>
    <w:rsid w:val="00A91790"/>
    <w:rsid w:val="00AB3B66"/>
    <w:rsid w:val="00AB3CB4"/>
    <w:rsid w:val="00AE0E26"/>
    <w:rsid w:val="00B0444A"/>
    <w:rsid w:val="00B06756"/>
    <w:rsid w:val="00B0697E"/>
    <w:rsid w:val="00B133D1"/>
    <w:rsid w:val="00B617C5"/>
    <w:rsid w:val="00B77DF2"/>
    <w:rsid w:val="00B94F27"/>
    <w:rsid w:val="00BD2369"/>
    <w:rsid w:val="00BF62FF"/>
    <w:rsid w:val="00BF6CAE"/>
    <w:rsid w:val="00BF747E"/>
    <w:rsid w:val="00C06EFC"/>
    <w:rsid w:val="00C1037C"/>
    <w:rsid w:val="00C11917"/>
    <w:rsid w:val="00C207FF"/>
    <w:rsid w:val="00C40302"/>
    <w:rsid w:val="00C413CF"/>
    <w:rsid w:val="00C4382F"/>
    <w:rsid w:val="00C44638"/>
    <w:rsid w:val="00C5486D"/>
    <w:rsid w:val="00C75E74"/>
    <w:rsid w:val="00C84A92"/>
    <w:rsid w:val="00CB0A8D"/>
    <w:rsid w:val="00CB15A6"/>
    <w:rsid w:val="00CB63E3"/>
    <w:rsid w:val="00CC6465"/>
    <w:rsid w:val="00CC7371"/>
    <w:rsid w:val="00CD67C9"/>
    <w:rsid w:val="00D409AD"/>
    <w:rsid w:val="00D409C0"/>
    <w:rsid w:val="00D54C19"/>
    <w:rsid w:val="00D776A1"/>
    <w:rsid w:val="00D9769A"/>
    <w:rsid w:val="00DA598A"/>
    <w:rsid w:val="00DC1618"/>
    <w:rsid w:val="00DD6417"/>
    <w:rsid w:val="00DE0D58"/>
    <w:rsid w:val="00DF0649"/>
    <w:rsid w:val="00DF312C"/>
    <w:rsid w:val="00E0516B"/>
    <w:rsid w:val="00E14E31"/>
    <w:rsid w:val="00E3180C"/>
    <w:rsid w:val="00E46EE3"/>
    <w:rsid w:val="00E56196"/>
    <w:rsid w:val="00E724C7"/>
    <w:rsid w:val="00EA78C0"/>
    <w:rsid w:val="00EC118D"/>
    <w:rsid w:val="00EC5D5F"/>
    <w:rsid w:val="00ED263A"/>
    <w:rsid w:val="00F03C96"/>
    <w:rsid w:val="00F128F1"/>
    <w:rsid w:val="00F35B5C"/>
    <w:rsid w:val="00F35FE9"/>
    <w:rsid w:val="00F60D1F"/>
    <w:rsid w:val="00F93234"/>
    <w:rsid w:val="00FA02AB"/>
    <w:rsid w:val="00FA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9FDD1C"/>
  <w14:defaultImageDpi w14:val="32767"/>
  <w15:chartTrackingRefBased/>
  <w15:docId w15:val="{E5D8465F-8D8B-E140-8D80-385B8336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D189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D189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2D1896"/>
  </w:style>
  <w:style w:type="character" w:styleId="PageNumber">
    <w:name w:val="page number"/>
    <w:basedOn w:val="DefaultParagraphFont"/>
    <w:uiPriority w:val="99"/>
    <w:semiHidden/>
    <w:unhideWhenUsed/>
    <w:rsid w:val="002D1896"/>
  </w:style>
  <w:style w:type="character" w:styleId="Hyperlink">
    <w:name w:val="Hyperlink"/>
    <w:basedOn w:val="DefaultParagraphFont"/>
    <w:uiPriority w:val="99"/>
    <w:unhideWhenUsed/>
    <w:rsid w:val="00D409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409C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0A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0A2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Ferre, Sergi (NIH/NIDA/IRP) [E]</dc:creator>
  <cp:keywords/>
  <dc:description/>
  <cp:lastModifiedBy>Ferre, Sergi (NIH/NIDA/IRP) [E]</cp:lastModifiedBy>
  <cp:revision>10</cp:revision>
  <dcterms:created xsi:type="dcterms:W3CDTF">2019-11-26T15:45:00Z</dcterms:created>
  <dcterms:modified xsi:type="dcterms:W3CDTF">2019-12-10T20:43:00Z</dcterms:modified>
</cp:coreProperties>
</file>