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29734" w14:textId="54E657A9" w:rsidR="00162B3C" w:rsidRPr="009D6292" w:rsidRDefault="00162B3C" w:rsidP="00162B3C">
      <w:pPr>
        <w:rPr>
          <w:rFonts w:asciiTheme="majorBidi" w:eastAsiaTheme="majorEastAsia" w:hAnsiTheme="majorBidi" w:cstheme="majorBidi"/>
          <w:b/>
          <w:bCs/>
          <w:sz w:val="24"/>
          <w:szCs w:val="24"/>
          <w:lang w:bidi="ar-SA"/>
        </w:rPr>
      </w:pPr>
      <w:r>
        <w:rPr>
          <w:rFonts w:asciiTheme="majorBidi" w:eastAsiaTheme="majorEastAsia" w:hAnsiTheme="majorBidi" w:cstheme="majorBidi"/>
          <w:b/>
          <w:bCs/>
          <w:sz w:val="24"/>
          <w:szCs w:val="24"/>
          <w:lang w:bidi="ar-SA"/>
        </w:rPr>
        <w:t xml:space="preserve">Supplementary </w:t>
      </w:r>
      <w:r w:rsidR="00515BAC">
        <w:rPr>
          <w:rFonts w:asciiTheme="majorBidi" w:eastAsiaTheme="majorEastAsia" w:hAnsiTheme="majorBidi" w:cstheme="majorBidi"/>
          <w:b/>
          <w:bCs/>
          <w:sz w:val="24"/>
          <w:szCs w:val="24"/>
          <w:lang w:bidi="ar-SA"/>
        </w:rPr>
        <w:t>m</w:t>
      </w:r>
      <w:r>
        <w:rPr>
          <w:rFonts w:asciiTheme="majorBidi" w:eastAsiaTheme="majorEastAsia" w:hAnsiTheme="majorBidi" w:cstheme="majorBidi"/>
          <w:b/>
          <w:bCs/>
          <w:sz w:val="24"/>
          <w:szCs w:val="24"/>
          <w:lang w:bidi="ar-SA"/>
        </w:rPr>
        <w:t xml:space="preserve">aterial </w:t>
      </w:r>
    </w:p>
    <w:p w14:paraId="35B6615A" w14:textId="23BDD50C" w:rsidR="00E37FD9" w:rsidRPr="00E37FD9" w:rsidRDefault="00E37FD9" w:rsidP="00162B3C">
      <w:pPr>
        <w:spacing w:after="0" w:line="480" w:lineRule="auto"/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  <w:bookmarkStart w:id="0" w:name="_Hlk206504846"/>
      <w:r w:rsidRPr="00E37FD9">
        <w:rPr>
          <w:rFonts w:asciiTheme="majorBidi" w:hAnsiTheme="majorBidi" w:cstheme="majorBidi"/>
          <w:b/>
          <w:bCs/>
          <w:sz w:val="24"/>
          <w:szCs w:val="24"/>
        </w:rPr>
        <w:t>Table S1</w:t>
      </w:r>
    </w:p>
    <w:p w14:paraId="139A3B52" w14:textId="00A42F47" w:rsidR="00162B3C" w:rsidRPr="009D6292" w:rsidRDefault="00162B3C" w:rsidP="00162B3C">
      <w:pPr>
        <w:spacing w:after="0" w:line="480" w:lineRule="auto"/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  <w:r w:rsidRPr="009D6292">
        <w:rPr>
          <w:rFonts w:asciiTheme="majorBidi" w:eastAsia="Times New Roman" w:hAnsiTheme="majorBidi" w:cstheme="majorBidi"/>
          <w:i/>
          <w:iCs/>
          <w:sz w:val="24"/>
          <w:szCs w:val="24"/>
        </w:rPr>
        <w:t>Assessment Tools Administered in Study 1</w:t>
      </w:r>
    </w:p>
    <w:tbl>
      <w:tblPr>
        <w:bidiVisual/>
        <w:tblW w:w="9792" w:type="dxa"/>
        <w:tblInd w:w="-456" w:type="dxa"/>
        <w:tblLook w:val="04A0" w:firstRow="1" w:lastRow="0" w:firstColumn="1" w:lastColumn="0" w:noHBand="0" w:noVBand="1"/>
      </w:tblPr>
      <w:tblGrid>
        <w:gridCol w:w="8474"/>
        <w:gridCol w:w="1318"/>
      </w:tblGrid>
      <w:tr w:rsidR="00162B3C" w:rsidRPr="00501E28" w14:paraId="585EDE33" w14:textId="77777777" w:rsidTr="00F712FA">
        <w:tc>
          <w:tcPr>
            <w:tcW w:w="8474" w:type="dxa"/>
            <w:tcBorders>
              <w:top w:val="single" w:sz="4" w:space="0" w:color="auto"/>
              <w:bottom w:val="single" w:sz="4" w:space="0" w:color="auto"/>
            </w:tcBorders>
          </w:tcPr>
          <w:bookmarkEnd w:id="0"/>
          <w:p w14:paraId="1EE26992" w14:textId="77777777" w:rsidR="00162B3C" w:rsidRPr="00501E28" w:rsidRDefault="00162B3C" w:rsidP="00F712FA">
            <w:pPr>
              <w:spacing w:line="240" w:lineRule="auto"/>
              <w:ind w:left="567" w:hanging="567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Lafontaine, M. F., Brassard, A., Lussier, Y., Valois, P., Shaver, P. R., &amp; Johnson, S. M. (2016). Selecting the best items for a </w:t>
            </w:r>
            <w:proofErr w:type="gramStart"/>
            <w:r w:rsidRPr="00501E28">
              <w:rPr>
                <w:rFonts w:asciiTheme="majorBidi" w:hAnsiTheme="majorBidi" w:cstheme="majorBidi"/>
                <w:sz w:val="24"/>
                <w:szCs w:val="24"/>
              </w:rPr>
              <w:t>short-form</w:t>
            </w:r>
            <w:proofErr w:type="gramEnd"/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 of the Experiences in Close Relationships questionnaire. </w:t>
            </w:r>
            <w:r w:rsidRPr="00501E2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European Journal of Psychological Assessment, 32</w:t>
            </w:r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, 140-154. </w:t>
            </w:r>
          </w:p>
        </w:tc>
        <w:tc>
          <w:tcPr>
            <w:tcW w:w="1318" w:type="dxa"/>
            <w:tcBorders>
              <w:top w:val="single" w:sz="4" w:space="0" w:color="auto"/>
              <w:bottom w:val="single" w:sz="4" w:space="0" w:color="auto"/>
            </w:tcBorders>
          </w:tcPr>
          <w:p w14:paraId="6EF8C307" w14:textId="77777777" w:rsidR="00162B3C" w:rsidRPr="00501E28" w:rsidRDefault="00162B3C" w:rsidP="00F712FA">
            <w:pPr>
              <w:spacing w:line="240" w:lineRule="auto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ECR-12 </w:t>
            </w:r>
          </w:p>
        </w:tc>
      </w:tr>
      <w:tr w:rsidR="00162B3C" w:rsidRPr="00501E28" w14:paraId="56992137" w14:textId="77777777" w:rsidTr="00F712FA">
        <w:tc>
          <w:tcPr>
            <w:tcW w:w="8474" w:type="dxa"/>
            <w:tcBorders>
              <w:top w:val="single" w:sz="4" w:space="0" w:color="auto"/>
              <w:bottom w:val="single" w:sz="4" w:space="0" w:color="auto"/>
            </w:tcBorders>
          </w:tcPr>
          <w:p w14:paraId="4A7F31B4" w14:textId="77777777" w:rsidR="00162B3C" w:rsidRPr="00501E28" w:rsidRDefault="00162B3C" w:rsidP="00F712FA">
            <w:pPr>
              <w:spacing w:line="240" w:lineRule="auto"/>
              <w:ind w:left="567" w:hanging="567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Fraley, R. C., &amp; Davis, K. E. (1997). Attachment formation and transfer in young adults’ close friendships and romantic relationships. </w:t>
            </w:r>
            <w:r w:rsidRPr="00501E2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Personal relationships, 4</w:t>
            </w:r>
            <w:r w:rsidRPr="00501E28">
              <w:rPr>
                <w:rFonts w:asciiTheme="majorBidi" w:hAnsiTheme="majorBidi" w:cstheme="majorBidi"/>
                <w:sz w:val="24"/>
                <w:szCs w:val="24"/>
              </w:rPr>
              <w:t>(2), 131-144.</w:t>
            </w:r>
            <w:r w:rsidRPr="00501E28">
              <w:rPr>
                <w:rFonts w:asciiTheme="majorBidi" w:hAnsiTheme="majorBidi" w:cstheme="majorBidi"/>
                <w:sz w:val="24"/>
                <w:szCs w:val="24"/>
                <w:rtl/>
              </w:rPr>
              <w:t>‏</w:t>
            </w:r>
          </w:p>
        </w:tc>
        <w:tc>
          <w:tcPr>
            <w:tcW w:w="1318" w:type="dxa"/>
            <w:tcBorders>
              <w:top w:val="single" w:sz="4" w:space="0" w:color="auto"/>
              <w:bottom w:val="single" w:sz="4" w:space="0" w:color="auto"/>
            </w:tcBorders>
          </w:tcPr>
          <w:p w14:paraId="0CA2A4CE" w14:textId="77777777" w:rsidR="00162B3C" w:rsidRPr="00501E28" w:rsidRDefault="00162B3C" w:rsidP="00F712FA">
            <w:pPr>
              <w:spacing w:line="240" w:lineRule="auto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>WHOTO</w:t>
            </w:r>
          </w:p>
        </w:tc>
      </w:tr>
      <w:tr w:rsidR="00162B3C" w:rsidRPr="00501E28" w14:paraId="20C42D60" w14:textId="77777777" w:rsidTr="00F712FA">
        <w:tc>
          <w:tcPr>
            <w:tcW w:w="8474" w:type="dxa"/>
            <w:tcBorders>
              <w:top w:val="single" w:sz="4" w:space="0" w:color="auto"/>
              <w:bottom w:val="single" w:sz="4" w:space="0" w:color="auto"/>
            </w:tcBorders>
          </w:tcPr>
          <w:p w14:paraId="4B9C2587" w14:textId="77777777" w:rsidR="00162B3C" w:rsidRPr="00501E28" w:rsidRDefault="00162B3C" w:rsidP="00F712FA">
            <w:pPr>
              <w:spacing w:line="240" w:lineRule="auto"/>
              <w:ind w:left="567" w:hanging="567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>Steger, M. F., Frazier, P., Oishi, S., &amp; Kaler, M. (2006). The Meaning in Life Questionnaire: Assessing the presence of and search for meaning in life</w:t>
            </w:r>
            <w:r w:rsidRPr="00501E2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 Journal of Counseling Psychology, 53</w:t>
            </w:r>
            <w:r w:rsidRPr="00501E28">
              <w:rPr>
                <w:rFonts w:asciiTheme="majorBidi" w:hAnsiTheme="majorBidi" w:cstheme="majorBidi"/>
                <w:sz w:val="24"/>
                <w:szCs w:val="24"/>
              </w:rPr>
              <w:t>(1), 80-93. https://doi.org/10.1037/0022-0167.53.1.80</w:t>
            </w:r>
          </w:p>
        </w:tc>
        <w:tc>
          <w:tcPr>
            <w:tcW w:w="1318" w:type="dxa"/>
            <w:tcBorders>
              <w:top w:val="single" w:sz="4" w:space="0" w:color="auto"/>
              <w:bottom w:val="single" w:sz="4" w:space="0" w:color="auto"/>
            </w:tcBorders>
          </w:tcPr>
          <w:p w14:paraId="4058911F" w14:textId="77777777" w:rsidR="00162B3C" w:rsidRPr="00501E28" w:rsidRDefault="00162B3C" w:rsidP="00F712FA">
            <w:pPr>
              <w:spacing w:line="240" w:lineRule="auto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>MIL</w:t>
            </w:r>
          </w:p>
        </w:tc>
      </w:tr>
      <w:tr w:rsidR="00162B3C" w:rsidRPr="00501E28" w14:paraId="05F5BB8F" w14:textId="77777777" w:rsidTr="00F712FA">
        <w:tc>
          <w:tcPr>
            <w:tcW w:w="8474" w:type="dxa"/>
            <w:tcBorders>
              <w:top w:val="single" w:sz="4" w:space="0" w:color="auto"/>
              <w:bottom w:val="single" w:sz="4" w:space="0" w:color="auto"/>
            </w:tcBorders>
          </w:tcPr>
          <w:p w14:paraId="210D90EC" w14:textId="77777777" w:rsidR="00162B3C" w:rsidRPr="00501E28" w:rsidRDefault="00162B3C" w:rsidP="00F712FA">
            <w:pPr>
              <w:spacing w:line="240" w:lineRule="auto"/>
              <w:ind w:left="567" w:hanging="567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Campbell‐Sills, L., &amp; Stein, M. B. (2007). Psychometric analysis and refinement of the Connor–Davidson Resilience Scale (CD‐RISC): Validation of a 10‐item measure of resilience. </w:t>
            </w:r>
            <w:r w:rsidRPr="00501E2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Journal of Traumatic Stress, 20</w:t>
            </w:r>
            <w:r w:rsidRPr="00501E28">
              <w:rPr>
                <w:rFonts w:asciiTheme="majorBidi" w:hAnsiTheme="majorBidi" w:cstheme="majorBidi"/>
                <w:sz w:val="24"/>
                <w:szCs w:val="24"/>
              </w:rPr>
              <w:t>(6), 1019-1028.</w:t>
            </w:r>
            <w:r w:rsidRPr="00501E28">
              <w:rPr>
                <w:rFonts w:asciiTheme="majorBidi" w:hAnsiTheme="majorBidi" w:cstheme="majorBidi"/>
                <w:sz w:val="24"/>
                <w:szCs w:val="24"/>
                <w:rtl/>
              </w:rPr>
              <w:t>‏</w:t>
            </w:r>
          </w:p>
        </w:tc>
        <w:tc>
          <w:tcPr>
            <w:tcW w:w="1318" w:type="dxa"/>
            <w:tcBorders>
              <w:top w:val="single" w:sz="4" w:space="0" w:color="auto"/>
              <w:bottom w:val="single" w:sz="4" w:space="0" w:color="auto"/>
            </w:tcBorders>
          </w:tcPr>
          <w:p w14:paraId="207D676E" w14:textId="77777777" w:rsidR="00162B3C" w:rsidRPr="00501E28" w:rsidRDefault="00162B3C" w:rsidP="00F712FA">
            <w:pPr>
              <w:spacing w:line="240" w:lineRule="auto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CD-RISC </w:t>
            </w:r>
          </w:p>
        </w:tc>
      </w:tr>
      <w:tr w:rsidR="00162B3C" w:rsidRPr="00501E28" w14:paraId="10B3396A" w14:textId="77777777" w:rsidTr="00F712FA">
        <w:tc>
          <w:tcPr>
            <w:tcW w:w="8474" w:type="dxa"/>
            <w:tcBorders>
              <w:top w:val="single" w:sz="4" w:space="0" w:color="auto"/>
              <w:bottom w:val="single" w:sz="4" w:space="0" w:color="auto"/>
            </w:tcBorders>
          </w:tcPr>
          <w:p w14:paraId="3F291333" w14:textId="77777777" w:rsidR="00162B3C" w:rsidRPr="00501E28" w:rsidRDefault="00162B3C" w:rsidP="00F712FA">
            <w:pPr>
              <w:spacing w:line="240" w:lineRule="auto"/>
              <w:ind w:left="567" w:hanging="567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Fraley, R. C., Heffernan, M. E., Vicary, A. M., &amp; Brumbaugh, C. C. (2011). The Experiences in Close Relationships-Relationship Structures questionnaire: A method for assessing attachment orientations across relationships. </w:t>
            </w:r>
            <w:r w:rsidRPr="00501E2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Psychological Assessment, 23</w:t>
            </w:r>
            <w:r w:rsidRPr="00501E28">
              <w:rPr>
                <w:rFonts w:asciiTheme="majorBidi" w:hAnsiTheme="majorBidi" w:cstheme="majorBidi"/>
                <w:sz w:val="24"/>
                <w:szCs w:val="24"/>
              </w:rPr>
              <w:t>, 615-625.</w:t>
            </w:r>
          </w:p>
        </w:tc>
        <w:tc>
          <w:tcPr>
            <w:tcW w:w="1318" w:type="dxa"/>
            <w:tcBorders>
              <w:top w:val="single" w:sz="4" w:space="0" w:color="auto"/>
              <w:bottom w:val="single" w:sz="4" w:space="0" w:color="auto"/>
            </w:tcBorders>
          </w:tcPr>
          <w:p w14:paraId="25D2527D" w14:textId="77777777" w:rsidR="00162B3C" w:rsidRPr="00501E28" w:rsidRDefault="00162B3C" w:rsidP="00F712FA">
            <w:pPr>
              <w:spacing w:line="240" w:lineRule="auto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ECR-RS </w:t>
            </w:r>
          </w:p>
        </w:tc>
      </w:tr>
      <w:tr w:rsidR="00162B3C" w:rsidRPr="00501E28" w14:paraId="4C4DE174" w14:textId="77777777" w:rsidTr="00F712FA">
        <w:tc>
          <w:tcPr>
            <w:tcW w:w="8474" w:type="dxa"/>
            <w:tcBorders>
              <w:top w:val="single" w:sz="4" w:space="0" w:color="auto"/>
              <w:bottom w:val="single" w:sz="4" w:space="0" w:color="auto"/>
            </w:tcBorders>
          </w:tcPr>
          <w:p w14:paraId="46AE4D3B" w14:textId="77777777" w:rsidR="00162B3C" w:rsidRPr="00501E28" w:rsidRDefault="00162B3C" w:rsidP="00F712FA">
            <w:pPr>
              <w:spacing w:line="240" w:lineRule="auto"/>
              <w:ind w:left="567" w:hanging="567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Kroenke, K., Spitzer, R. L., Williams, J. B., Monahan, P. O., &amp; Löwe, B. (2007). Anxiety disorders in primary care: Prevalence, impairment, comorbidity, and detection. </w:t>
            </w:r>
            <w:r w:rsidRPr="00501E2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Annals of internal medicine, 146(</w:t>
            </w:r>
            <w:r w:rsidRPr="00501E28">
              <w:rPr>
                <w:rFonts w:asciiTheme="majorBidi" w:hAnsiTheme="majorBidi" w:cstheme="majorBidi"/>
                <w:sz w:val="24"/>
                <w:szCs w:val="24"/>
              </w:rPr>
              <w:t>5), 317-325.</w:t>
            </w:r>
          </w:p>
        </w:tc>
        <w:tc>
          <w:tcPr>
            <w:tcW w:w="1318" w:type="dxa"/>
            <w:tcBorders>
              <w:top w:val="single" w:sz="4" w:space="0" w:color="auto"/>
              <w:bottom w:val="single" w:sz="4" w:space="0" w:color="auto"/>
            </w:tcBorders>
          </w:tcPr>
          <w:p w14:paraId="27D5B357" w14:textId="77777777" w:rsidR="00162B3C" w:rsidRPr="00501E28" w:rsidRDefault="00162B3C" w:rsidP="00F712FA">
            <w:pPr>
              <w:spacing w:line="240" w:lineRule="auto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>GAD-</w:t>
            </w:r>
            <w:r w:rsidRPr="00501E28">
              <w:rPr>
                <w:rFonts w:asciiTheme="majorBidi" w:hAnsiTheme="majorBidi" w:cstheme="majorBidi"/>
                <w:sz w:val="24"/>
                <w:szCs w:val="24"/>
                <w:rtl/>
              </w:rPr>
              <w:t>2</w:t>
            </w:r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162B3C" w:rsidRPr="00501E28" w14:paraId="3B0C477F" w14:textId="77777777" w:rsidTr="00F712FA">
        <w:tc>
          <w:tcPr>
            <w:tcW w:w="8474" w:type="dxa"/>
            <w:tcBorders>
              <w:top w:val="single" w:sz="4" w:space="0" w:color="auto"/>
              <w:bottom w:val="single" w:sz="4" w:space="0" w:color="auto"/>
            </w:tcBorders>
          </w:tcPr>
          <w:p w14:paraId="62CEF89A" w14:textId="77777777" w:rsidR="00162B3C" w:rsidRPr="00501E28" w:rsidRDefault="00162B3C" w:rsidP="00F712FA">
            <w:pPr>
              <w:spacing w:line="240" w:lineRule="auto"/>
              <w:ind w:left="567" w:hanging="567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Löwe, B., Kroenke, K., &amp; Gräfe, K. (2005). Detecting and monitoring depression with a two-item questionnaire (PHQ-2). </w:t>
            </w:r>
            <w:r w:rsidRPr="00501E2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Journal of psychosomatic research, 58</w:t>
            </w:r>
            <w:r w:rsidRPr="00501E28">
              <w:rPr>
                <w:rFonts w:asciiTheme="majorBidi" w:hAnsiTheme="majorBidi" w:cstheme="majorBidi"/>
                <w:sz w:val="24"/>
                <w:szCs w:val="24"/>
              </w:rPr>
              <w:t>(2), 163-171.</w:t>
            </w:r>
          </w:p>
        </w:tc>
        <w:tc>
          <w:tcPr>
            <w:tcW w:w="1318" w:type="dxa"/>
            <w:tcBorders>
              <w:top w:val="single" w:sz="4" w:space="0" w:color="auto"/>
              <w:bottom w:val="single" w:sz="4" w:space="0" w:color="auto"/>
            </w:tcBorders>
          </w:tcPr>
          <w:p w14:paraId="39242781" w14:textId="77777777" w:rsidR="00162B3C" w:rsidRPr="00501E28" w:rsidRDefault="00162B3C" w:rsidP="00F712FA">
            <w:pPr>
              <w:spacing w:line="240" w:lineRule="auto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>PHQ-</w:t>
            </w:r>
            <w:r w:rsidRPr="00501E28">
              <w:rPr>
                <w:rFonts w:asciiTheme="majorBidi" w:hAnsiTheme="majorBidi" w:cstheme="majorBidi"/>
                <w:sz w:val="24"/>
                <w:szCs w:val="24"/>
                <w:rtl/>
              </w:rPr>
              <w:t>2</w:t>
            </w:r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162B3C" w:rsidRPr="00501E28" w14:paraId="616B7AD8" w14:textId="77777777" w:rsidTr="00F712FA">
        <w:tc>
          <w:tcPr>
            <w:tcW w:w="8474" w:type="dxa"/>
            <w:tcBorders>
              <w:top w:val="single" w:sz="4" w:space="0" w:color="auto"/>
              <w:bottom w:val="single" w:sz="4" w:space="0" w:color="auto"/>
            </w:tcBorders>
          </w:tcPr>
          <w:p w14:paraId="611F9F7D" w14:textId="77777777" w:rsidR="00162B3C" w:rsidRPr="00501E28" w:rsidRDefault="00162B3C" w:rsidP="00F712FA">
            <w:pPr>
              <w:spacing w:line="240" w:lineRule="auto"/>
              <w:ind w:left="567" w:hanging="567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Humeniuk, R., Henry-Edwards, S., Ali, R., Poznyak, V. &amp; Monteiro, M. (2010). </w:t>
            </w:r>
            <w:r w:rsidRPr="00501E2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The Alcohol, Smoking and Substance Involvement Screening Test (ASSIST): Manual for use in primary care</w:t>
            </w:r>
            <w:r w:rsidRPr="00501E28">
              <w:rPr>
                <w:rFonts w:asciiTheme="majorBidi" w:hAnsiTheme="majorBidi" w:cstheme="majorBidi"/>
                <w:sz w:val="24"/>
                <w:szCs w:val="24"/>
              </w:rPr>
              <w:t>. (World Health Organization).</w:t>
            </w:r>
          </w:p>
        </w:tc>
        <w:tc>
          <w:tcPr>
            <w:tcW w:w="1318" w:type="dxa"/>
            <w:tcBorders>
              <w:top w:val="single" w:sz="4" w:space="0" w:color="auto"/>
              <w:bottom w:val="single" w:sz="4" w:space="0" w:color="auto"/>
            </w:tcBorders>
          </w:tcPr>
          <w:p w14:paraId="15365BC6" w14:textId="77777777" w:rsidR="00162B3C" w:rsidRPr="00501E28" w:rsidRDefault="00162B3C" w:rsidP="00F712FA">
            <w:pPr>
              <w:spacing w:line="240" w:lineRule="auto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ASSIST 3.1 </w:t>
            </w:r>
          </w:p>
        </w:tc>
      </w:tr>
      <w:tr w:rsidR="00162B3C" w:rsidRPr="00501E28" w14:paraId="2EBBA55E" w14:textId="77777777" w:rsidTr="00F712FA">
        <w:tc>
          <w:tcPr>
            <w:tcW w:w="8474" w:type="dxa"/>
            <w:tcBorders>
              <w:top w:val="single" w:sz="4" w:space="0" w:color="auto"/>
              <w:bottom w:val="single" w:sz="4" w:space="0" w:color="auto"/>
            </w:tcBorders>
          </w:tcPr>
          <w:p w14:paraId="735487FB" w14:textId="77777777" w:rsidR="00162B3C" w:rsidRPr="00501E28" w:rsidRDefault="00162B3C" w:rsidP="00F712FA">
            <w:pPr>
              <w:spacing w:line="240" w:lineRule="auto"/>
              <w:ind w:left="567" w:hanging="567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r w:rsidRPr="00501E28">
              <w:rPr>
                <w:rFonts w:asciiTheme="majorBidi" w:hAnsiTheme="majorBidi" w:cstheme="majorBidi"/>
                <w:sz w:val="24"/>
                <w:szCs w:val="24"/>
              </w:rPr>
              <w:t>Bőthe</w:t>
            </w:r>
            <w:proofErr w:type="spellEnd"/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, B., Tóth-Király, I., Demetrovics, Z., &amp; Orosz, G. (2021). The short version of the Problematic Pornography Consumption Scale (PPCS-6): A reliable and valid measure in general and treatment-seeking populations. </w:t>
            </w:r>
            <w:r w:rsidRPr="00501E2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The Journal of Sex Research, 58</w:t>
            </w:r>
            <w:r w:rsidRPr="00501E28">
              <w:rPr>
                <w:rFonts w:asciiTheme="majorBidi" w:hAnsiTheme="majorBidi" w:cstheme="majorBidi"/>
                <w:sz w:val="24"/>
                <w:szCs w:val="24"/>
              </w:rPr>
              <w:t>(3), 342-352.</w:t>
            </w:r>
            <w:r w:rsidRPr="00501E28">
              <w:rPr>
                <w:rFonts w:asciiTheme="majorBidi" w:hAnsiTheme="majorBidi" w:cstheme="majorBidi"/>
                <w:sz w:val="24"/>
                <w:szCs w:val="24"/>
                <w:rtl/>
              </w:rPr>
              <w:t>‏</w:t>
            </w:r>
          </w:p>
        </w:tc>
        <w:tc>
          <w:tcPr>
            <w:tcW w:w="1318" w:type="dxa"/>
            <w:tcBorders>
              <w:top w:val="single" w:sz="4" w:space="0" w:color="auto"/>
              <w:bottom w:val="single" w:sz="4" w:space="0" w:color="auto"/>
            </w:tcBorders>
          </w:tcPr>
          <w:p w14:paraId="0CF1AE62" w14:textId="77777777" w:rsidR="00162B3C" w:rsidRPr="00501E28" w:rsidRDefault="00162B3C" w:rsidP="00F712FA">
            <w:pPr>
              <w:spacing w:line="240" w:lineRule="auto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>PPCS-6</w:t>
            </w:r>
          </w:p>
        </w:tc>
      </w:tr>
      <w:tr w:rsidR="00162B3C" w:rsidRPr="00501E28" w14:paraId="07CE3A53" w14:textId="77777777" w:rsidTr="00F712FA">
        <w:tc>
          <w:tcPr>
            <w:tcW w:w="8474" w:type="dxa"/>
            <w:tcBorders>
              <w:top w:val="single" w:sz="4" w:space="0" w:color="auto"/>
              <w:bottom w:val="single" w:sz="4" w:space="0" w:color="auto"/>
            </w:tcBorders>
          </w:tcPr>
          <w:p w14:paraId="6FC3D0BA" w14:textId="77777777" w:rsidR="00162B3C" w:rsidRPr="00501E28" w:rsidRDefault="00162B3C" w:rsidP="00F712FA">
            <w:pPr>
              <w:spacing w:line="240" w:lineRule="auto"/>
              <w:ind w:left="567" w:hanging="567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Stinchfield, R., Govoni, R. &amp; Frisch, G. R. (2007). A review of screening and assessment instruments for problem and pathological gambling. In Smith, G., Hodgins, D. C. &amp; Williams, R. J (Eds.), </w:t>
            </w:r>
            <w:r w:rsidRPr="00501E2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Research and measurement issues in gambling studies</w:t>
            </w:r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 (179–213). Academic Press.</w:t>
            </w:r>
          </w:p>
        </w:tc>
        <w:tc>
          <w:tcPr>
            <w:tcW w:w="1318" w:type="dxa"/>
            <w:tcBorders>
              <w:top w:val="single" w:sz="4" w:space="0" w:color="auto"/>
              <w:bottom w:val="single" w:sz="4" w:space="0" w:color="auto"/>
            </w:tcBorders>
          </w:tcPr>
          <w:p w14:paraId="462B57A5" w14:textId="77777777" w:rsidR="00162B3C" w:rsidRPr="00501E28" w:rsidRDefault="00162B3C" w:rsidP="00F712FA">
            <w:pPr>
              <w:spacing w:line="240" w:lineRule="auto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PGSI </w:t>
            </w:r>
          </w:p>
        </w:tc>
      </w:tr>
      <w:tr w:rsidR="00162B3C" w:rsidRPr="00501E28" w14:paraId="7C80A4BB" w14:textId="77777777" w:rsidTr="00F712FA">
        <w:tc>
          <w:tcPr>
            <w:tcW w:w="8474" w:type="dxa"/>
            <w:tcBorders>
              <w:top w:val="single" w:sz="4" w:space="0" w:color="auto"/>
              <w:bottom w:val="single" w:sz="4" w:space="0" w:color="auto"/>
            </w:tcBorders>
          </w:tcPr>
          <w:p w14:paraId="0DA02C6A" w14:textId="77777777" w:rsidR="00162B3C" w:rsidRPr="00501E28" w:rsidRDefault="00162B3C" w:rsidP="00F712FA">
            <w:pPr>
              <w:spacing w:line="240" w:lineRule="auto"/>
              <w:ind w:left="567" w:hanging="567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Lemmens, J. S., Valkenburg, P. M., &amp; Peter, J. (2009). Development and validation of a Game Addiction Scale for adolescents. </w:t>
            </w:r>
            <w:r w:rsidRPr="00501E2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Media psychology, 12</w:t>
            </w:r>
            <w:r w:rsidRPr="00501E28">
              <w:rPr>
                <w:rFonts w:asciiTheme="majorBidi" w:hAnsiTheme="majorBidi" w:cstheme="majorBidi"/>
                <w:sz w:val="24"/>
                <w:szCs w:val="24"/>
              </w:rPr>
              <w:t>(1), 77-95.</w:t>
            </w:r>
          </w:p>
        </w:tc>
        <w:tc>
          <w:tcPr>
            <w:tcW w:w="1318" w:type="dxa"/>
            <w:tcBorders>
              <w:top w:val="single" w:sz="4" w:space="0" w:color="auto"/>
              <w:bottom w:val="single" w:sz="4" w:space="0" w:color="auto"/>
            </w:tcBorders>
          </w:tcPr>
          <w:p w14:paraId="54D4A311" w14:textId="77777777" w:rsidR="00162B3C" w:rsidRPr="00501E28" w:rsidRDefault="00162B3C" w:rsidP="00F712FA">
            <w:pPr>
              <w:spacing w:line="240" w:lineRule="auto"/>
              <w:contextualSpacing/>
              <w:outlineLvl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01E28">
              <w:rPr>
                <w:rFonts w:asciiTheme="majorBidi" w:hAnsiTheme="majorBidi" w:cstheme="majorBidi"/>
                <w:sz w:val="24"/>
                <w:szCs w:val="24"/>
              </w:rPr>
              <w:t xml:space="preserve">GAS </w:t>
            </w:r>
          </w:p>
        </w:tc>
      </w:tr>
    </w:tbl>
    <w:p w14:paraId="32DB7903" w14:textId="6C893EF6" w:rsidR="00D139DE" w:rsidRPr="00CB4B9E" w:rsidRDefault="00162B3C" w:rsidP="00CB4B9E">
      <w:pPr>
        <w:spacing w:after="0" w:line="240" w:lineRule="auto"/>
      </w:pPr>
      <w:r w:rsidRPr="00501E28">
        <w:rPr>
          <w:rFonts w:asciiTheme="majorBidi" w:eastAsia="Times New Roman" w:hAnsiTheme="majorBidi" w:cstheme="majorBidi"/>
          <w:i/>
          <w:iCs/>
        </w:rPr>
        <w:t xml:space="preserve">Note. </w:t>
      </w:r>
      <w:r w:rsidRPr="00CB4B9E">
        <w:rPr>
          <w:rFonts w:asciiTheme="majorBidi" w:eastAsia="Times New Roman" w:hAnsiTheme="majorBidi" w:cstheme="majorBidi"/>
        </w:rPr>
        <w:t xml:space="preserve">ECR-12 - Experiences in Close Relationships - 12 items, WHOTO - Who To Turn To, MIL - Meaning in Life, CD-RISC - Connor-Davidson Resilience Scale, ECR-RS - Experiences in Close Relationships - Relationship Structures, GAD-2 - Generalized Anxiety Disorder - 2 item screener, PHQ-2 - Patient Health Questionnaire - 2 item screener, ASSIST 3.1 - Alcohol, Smoking and Substance </w:t>
      </w:r>
      <w:r w:rsidRPr="00CB4B9E">
        <w:rPr>
          <w:rFonts w:asciiTheme="majorBidi" w:eastAsia="Times New Roman" w:hAnsiTheme="majorBidi" w:cstheme="majorBidi"/>
        </w:rPr>
        <w:lastRenderedPageBreak/>
        <w:t>Involvement Screening Test (version 3.1), PPCS-6 - Problematic Pornography Consumption Scale - 6 items, PGSI - Problem Gambling Severity Index, GAS - Gaming Addiction Scale.</w:t>
      </w:r>
    </w:p>
    <w:sectPr w:rsidR="00D139DE" w:rsidRPr="00CB4B9E" w:rsidSect="00162B3C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B68AE"/>
    <w:multiLevelType w:val="multilevel"/>
    <w:tmpl w:val="398C1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5B42A5"/>
    <w:multiLevelType w:val="multilevel"/>
    <w:tmpl w:val="CB6EB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075AC4"/>
    <w:multiLevelType w:val="hybridMultilevel"/>
    <w:tmpl w:val="6978B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C74AC"/>
    <w:multiLevelType w:val="multilevel"/>
    <w:tmpl w:val="709EC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9D4FE3"/>
    <w:multiLevelType w:val="hybridMultilevel"/>
    <w:tmpl w:val="EC1C6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407434">
    <w:abstractNumId w:val="2"/>
  </w:num>
  <w:num w:numId="2" w16cid:durableId="2043358890">
    <w:abstractNumId w:val="4"/>
  </w:num>
  <w:num w:numId="3" w16cid:durableId="897742212">
    <w:abstractNumId w:val="0"/>
  </w:num>
  <w:num w:numId="4" w16cid:durableId="965815225">
    <w:abstractNumId w:val="3"/>
  </w:num>
  <w:num w:numId="5" w16cid:durableId="990475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B3C"/>
    <w:rsid w:val="00162B3C"/>
    <w:rsid w:val="001E37F3"/>
    <w:rsid w:val="003F2DB8"/>
    <w:rsid w:val="00421112"/>
    <w:rsid w:val="0045482A"/>
    <w:rsid w:val="00472330"/>
    <w:rsid w:val="00515BAC"/>
    <w:rsid w:val="005D7D88"/>
    <w:rsid w:val="0079763F"/>
    <w:rsid w:val="00843219"/>
    <w:rsid w:val="00845AA6"/>
    <w:rsid w:val="008D510A"/>
    <w:rsid w:val="008E50F2"/>
    <w:rsid w:val="00CB4B9E"/>
    <w:rsid w:val="00CC5BE1"/>
    <w:rsid w:val="00D11AE8"/>
    <w:rsid w:val="00D139DE"/>
    <w:rsid w:val="00E37FD9"/>
    <w:rsid w:val="00F3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2D19A"/>
  <w15:chartTrackingRefBased/>
  <w15:docId w15:val="{3992B67B-DA40-4027-8C94-31F23BCF5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B3C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62B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2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2B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2B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2B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2B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2B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2B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2B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62B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162B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162B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162B3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162B3C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162B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162B3C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162B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162B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2B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162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2B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162B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2B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162B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2B3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62B3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62B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162B3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62B3C"/>
    <w:rPr>
      <w:b/>
      <w:bCs/>
      <w:smallCaps/>
      <w:color w:val="0F4761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162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טקסט בלונים תו"/>
    <w:basedOn w:val="a0"/>
    <w:link w:val="ae"/>
    <w:uiPriority w:val="99"/>
    <w:semiHidden/>
    <w:rsid w:val="00162B3C"/>
    <w:rPr>
      <w:rFonts w:ascii="Segoe UI" w:hAnsi="Segoe UI" w:cs="Segoe UI"/>
      <w:kern w:val="0"/>
      <w:sz w:val="18"/>
      <w:szCs w:val="18"/>
      <w14:ligatures w14:val="none"/>
    </w:rPr>
  </w:style>
  <w:style w:type="character" w:styleId="af0">
    <w:name w:val="annotation reference"/>
    <w:basedOn w:val="a0"/>
    <w:uiPriority w:val="99"/>
    <w:semiHidden/>
    <w:unhideWhenUsed/>
    <w:rsid w:val="00162B3C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162B3C"/>
    <w:pPr>
      <w:spacing w:line="240" w:lineRule="auto"/>
    </w:pPr>
    <w:rPr>
      <w:sz w:val="20"/>
      <w:szCs w:val="20"/>
    </w:rPr>
  </w:style>
  <w:style w:type="character" w:customStyle="1" w:styleId="af2">
    <w:name w:val="טקסט הערה תו"/>
    <w:basedOn w:val="a0"/>
    <w:link w:val="af1"/>
    <w:uiPriority w:val="99"/>
    <w:rsid w:val="00162B3C"/>
    <w:rPr>
      <w:kern w:val="0"/>
      <w:sz w:val="20"/>
      <w:szCs w:val="20"/>
      <w14:ligatures w14:val="none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62B3C"/>
    <w:rPr>
      <w:b/>
      <w:bCs/>
    </w:rPr>
  </w:style>
  <w:style w:type="character" w:customStyle="1" w:styleId="af4">
    <w:name w:val="נושא הערה תו"/>
    <w:basedOn w:val="af2"/>
    <w:link w:val="af3"/>
    <w:uiPriority w:val="99"/>
    <w:semiHidden/>
    <w:rsid w:val="00162B3C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a0"/>
    <w:uiPriority w:val="99"/>
    <w:unhideWhenUsed/>
    <w:rsid w:val="00162B3C"/>
    <w:rPr>
      <w:color w:val="467886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162B3C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a"/>
    <w:link w:val="EndNoteBibliography0"/>
    <w:rsid w:val="00162B3C"/>
    <w:pPr>
      <w:spacing w:after="0" w:line="240" w:lineRule="auto"/>
      <w:ind w:firstLine="720"/>
    </w:pPr>
    <w:rPr>
      <w:rFonts w:ascii="Times New Roman" w:hAnsi="Times New Roman" w:cs="Times New Roman"/>
      <w:noProof/>
      <w:sz w:val="24"/>
    </w:rPr>
  </w:style>
  <w:style w:type="character" w:customStyle="1" w:styleId="EndNoteBibliography0">
    <w:name w:val="EndNote Bibliography תו"/>
    <w:basedOn w:val="a0"/>
    <w:link w:val="EndNoteBibliography"/>
    <w:rsid w:val="00162B3C"/>
    <w:rPr>
      <w:rFonts w:ascii="Times New Roman" w:hAnsi="Times New Roman" w:cs="Times New Roman"/>
      <w:noProof/>
      <w:kern w:val="0"/>
      <w:szCs w:val="22"/>
      <w14:ligatures w14:val="none"/>
    </w:rPr>
  </w:style>
  <w:style w:type="paragraph" w:styleId="af6">
    <w:name w:val="header"/>
    <w:basedOn w:val="a"/>
    <w:link w:val="af7"/>
    <w:uiPriority w:val="99"/>
    <w:unhideWhenUsed/>
    <w:rsid w:val="00162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7">
    <w:name w:val="כותרת עליונה תו"/>
    <w:basedOn w:val="a0"/>
    <w:link w:val="af6"/>
    <w:uiPriority w:val="99"/>
    <w:rsid w:val="00162B3C"/>
    <w:rPr>
      <w:kern w:val="0"/>
      <w:sz w:val="22"/>
      <w:szCs w:val="22"/>
      <w14:ligatures w14:val="none"/>
    </w:rPr>
  </w:style>
  <w:style w:type="paragraph" w:styleId="af8">
    <w:name w:val="footer"/>
    <w:basedOn w:val="a"/>
    <w:link w:val="af9"/>
    <w:uiPriority w:val="99"/>
    <w:unhideWhenUsed/>
    <w:rsid w:val="00162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9">
    <w:name w:val="כותרת תחתונה תו"/>
    <w:basedOn w:val="a0"/>
    <w:link w:val="af8"/>
    <w:uiPriority w:val="99"/>
    <w:rsid w:val="00162B3C"/>
    <w:rPr>
      <w:kern w:val="0"/>
      <w:sz w:val="22"/>
      <w:szCs w:val="22"/>
      <w14:ligatures w14:val="none"/>
    </w:rPr>
  </w:style>
  <w:style w:type="table" w:styleId="afa">
    <w:name w:val="Table Grid"/>
    <w:basedOn w:val="a1"/>
    <w:uiPriority w:val="59"/>
    <w:rsid w:val="00162B3C"/>
    <w:pPr>
      <w:spacing w:after="0" w:line="240" w:lineRule="auto"/>
    </w:pPr>
    <w:rPr>
      <w:rFonts w:eastAsiaTheme="minorEastAsia"/>
      <w:kern w:val="0"/>
      <w:sz w:val="22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"/>
    <w:uiPriority w:val="99"/>
    <w:semiHidden/>
    <w:unhideWhenUsed/>
    <w:rsid w:val="00162B3C"/>
    <w:rPr>
      <w:rFonts w:ascii="Times New Roman" w:hAnsi="Times New Roman" w:cs="Times New Roman"/>
      <w:sz w:val="24"/>
      <w:szCs w:val="24"/>
    </w:rPr>
  </w:style>
  <w:style w:type="paragraph" w:styleId="afb">
    <w:name w:val="Revision"/>
    <w:hidden/>
    <w:uiPriority w:val="99"/>
    <w:semiHidden/>
    <w:rsid w:val="00162B3C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2</Pages>
  <Words>474</Words>
  <Characters>2691</Characters>
  <Application>Microsoft Office Word</Application>
  <DocSecurity>0</DocSecurity>
  <Lines>81</Lines>
  <Paragraphs>43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 Gliksberg</dc:creator>
  <cp:keywords/>
  <dc:description/>
  <cp:lastModifiedBy>Or Gliksberg</cp:lastModifiedBy>
  <cp:revision>8</cp:revision>
  <dcterms:created xsi:type="dcterms:W3CDTF">2025-08-11T10:54:00Z</dcterms:created>
  <dcterms:modified xsi:type="dcterms:W3CDTF">2025-11-30T13:37:00Z</dcterms:modified>
</cp:coreProperties>
</file>