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BD5A427" w14:textId="77777777" w:rsidR="00EA3D3C" w:rsidRDefault="00654E8F" w:rsidP="0001436A">
      <w:pPr>
        <w:pStyle w:val="Heading1"/>
      </w:pPr>
      <w:r w:rsidRPr="00994A3D">
        <w:t>Supplementary Data</w:t>
      </w:r>
    </w:p>
    <w:p w14:paraId="6F33A4D5" w14:textId="7CBB468E" w:rsidR="00E84EC6" w:rsidRDefault="00E84EC6" w:rsidP="00E84EC6">
      <w:pPr>
        <w:pStyle w:val="Heading2"/>
      </w:pPr>
      <w:r w:rsidRPr="00E84EC6">
        <w:t>Docking and MD simulation of JWH-015 bound to cannabinoid receptor (CB2)</w:t>
      </w:r>
    </w:p>
    <w:p w14:paraId="7A24CB90" w14:textId="77777777" w:rsidR="00E84EC6" w:rsidRDefault="00E84EC6" w:rsidP="008F0E37">
      <w:pPr>
        <w:ind w:firstLine="5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steps involved in protein preparation, docking and MD simulations were similar to those described earlier for the GR-JWH-015 complex, and only differences are discussed further. As there is no experimental </w:t>
      </w:r>
      <w:r w:rsidRPr="00E2335E">
        <w:rPr>
          <w:rFonts w:cs="Times New Roman"/>
          <w:szCs w:val="24"/>
        </w:rPr>
        <w:t xml:space="preserve">structure available </w:t>
      </w:r>
      <w:r>
        <w:rPr>
          <w:rFonts w:cs="Times New Roman"/>
          <w:szCs w:val="24"/>
        </w:rPr>
        <w:t>for</w:t>
      </w:r>
      <w:r w:rsidRPr="00E2335E">
        <w:rPr>
          <w:rFonts w:cs="Times New Roman"/>
          <w:szCs w:val="24"/>
        </w:rPr>
        <w:t xml:space="preserve"> JWH-015 bound to the CB2 receptor</w:t>
      </w:r>
      <w:r>
        <w:rPr>
          <w:rFonts w:cs="Times New Roman"/>
          <w:szCs w:val="24"/>
        </w:rPr>
        <w:t xml:space="preserve">, </w:t>
      </w:r>
      <w:r w:rsidRPr="00E2335E">
        <w:rPr>
          <w:rFonts w:cs="Times New Roman"/>
          <w:szCs w:val="24"/>
        </w:rPr>
        <w:t xml:space="preserve">docking </w:t>
      </w:r>
      <w:r>
        <w:rPr>
          <w:rFonts w:cs="Times New Roman"/>
          <w:szCs w:val="24"/>
        </w:rPr>
        <w:t xml:space="preserve">simulation </w:t>
      </w:r>
      <w:r w:rsidRPr="00E2335E">
        <w:rPr>
          <w:rFonts w:cs="Times New Roman"/>
          <w:szCs w:val="24"/>
        </w:rPr>
        <w:t xml:space="preserve">was undertaken to choose a likely </w:t>
      </w:r>
      <w:r>
        <w:rPr>
          <w:rFonts w:cs="Times New Roman"/>
          <w:szCs w:val="24"/>
        </w:rPr>
        <w:t xml:space="preserve">binding </w:t>
      </w:r>
      <w:r w:rsidRPr="00E2335E">
        <w:rPr>
          <w:rFonts w:cs="Times New Roman"/>
          <w:szCs w:val="24"/>
        </w:rPr>
        <w:t xml:space="preserve">pose </w:t>
      </w:r>
      <w:r>
        <w:rPr>
          <w:rFonts w:cs="Times New Roman"/>
          <w:szCs w:val="24"/>
        </w:rPr>
        <w:t>for further MD simulation. The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X-ray structure of </w:t>
      </w:r>
      <w:r w:rsidRPr="00E2335E">
        <w:rPr>
          <w:rFonts w:cs="Times New Roman"/>
          <w:szCs w:val="24"/>
        </w:rPr>
        <w:t>the CB2 receptor</w:t>
      </w:r>
      <w:r>
        <w:rPr>
          <w:rFonts w:cs="Times New Roman"/>
          <w:szCs w:val="24"/>
        </w:rPr>
        <w:t xml:space="preserve"> (PDB ID 5ZTY)</w:t>
      </w:r>
      <w:r w:rsidRPr="00E2335E">
        <w:rPr>
          <w:rFonts w:cs="Times New Roman"/>
          <w:szCs w:val="24"/>
        </w:rPr>
        <w:t xml:space="preserve"> was downloaded from</w:t>
      </w:r>
      <w:r>
        <w:rPr>
          <w:rFonts w:cs="Times New Roman"/>
          <w:szCs w:val="24"/>
        </w:rPr>
        <w:t xml:space="preserve"> the Protein Data Bank </w:t>
      </w:r>
      <w:r w:rsidRPr="00E2335E">
        <w:rPr>
          <w:rFonts w:cs="Times New Roman"/>
          <w:szCs w:val="24"/>
        </w:rPr>
        <w:fldChar w:fldCharType="begin">
          <w:fldData xml:space="preserve">PEVuZE5vdGU+PENpdGU+PEF1dGhvcj5MaTwvQXV0aG9yPjxZZWFyPjIwMTk8L1llYXI+PFJlY051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PEVuZE5vdGU+PENpdGU+PEF1dGhvcj5MaTwvQXV0aG9yPjxZZWFyPjIwMTk8L1llYXI+PFJlY051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 w:rsidRPr="00E2335E">
        <w:rPr>
          <w:rFonts w:cs="Times New Roman"/>
          <w:szCs w:val="24"/>
        </w:rPr>
      </w:r>
      <w:r w:rsidRPr="00E2335E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(Li et al., 2019)</w:t>
      </w:r>
      <w:r w:rsidRPr="00E2335E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  <w:r w:rsidRPr="00E2335E">
        <w:rPr>
          <w:rFonts w:cs="Times New Roman"/>
          <w:szCs w:val="24"/>
        </w:rPr>
        <w:t xml:space="preserve"> The mutations introduced during crystallization </w:t>
      </w:r>
      <w:r>
        <w:rPr>
          <w:rFonts w:cs="Times New Roman"/>
          <w:szCs w:val="24"/>
        </w:rPr>
        <w:t>(G</w:t>
      </w:r>
      <w:r w:rsidRPr="00E2335E">
        <w:rPr>
          <w:rFonts w:cs="Times New Roman"/>
          <w:szCs w:val="24"/>
        </w:rPr>
        <w:t xml:space="preserve">78L, T127A, </w:t>
      </w:r>
      <w:r>
        <w:rPr>
          <w:rFonts w:cs="Times New Roman"/>
          <w:szCs w:val="24"/>
        </w:rPr>
        <w:t>R</w:t>
      </w:r>
      <w:r w:rsidRPr="00E2335E">
        <w:rPr>
          <w:rFonts w:cs="Times New Roman"/>
          <w:szCs w:val="24"/>
        </w:rPr>
        <w:t>242</w:t>
      </w:r>
      <w:r>
        <w:rPr>
          <w:rFonts w:cs="Times New Roman"/>
          <w:szCs w:val="24"/>
        </w:rPr>
        <w:t>E</w:t>
      </w:r>
      <w:r w:rsidRPr="00E2335E">
        <w:rPr>
          <w:rFonts w:cs="Times New Roman"/>
          <w:szCs w:val="24"/>
        </w:rPr>
        <w:t>, and G304</w:t>
      </w:r>
      <w:r>
        <w:rPr>
          <w:rFonts w:cs="Times New Roman"/>
          <w:szCs w:val="24"/>
        </w:rPr>
        <w:t>E)</w:t>
      </w:r>
      <w:r w:rsidRPr="00E2335E">
        <w:rPr>
          <w:rFonts w:cs="Times New Roman"/>
          <w:szCs w:val="24"/>
        </w:rPr>
        <w:t xml:space="preserve"> were reverted to the</w:t>
      </w:r>
      <w:r>
        <w:rPr>
          <w:rFonts w:cs="Times New Roman"/>
          <w:szCs w:val="24"/>
        </w:rPr>
        <w:t xml:space="preserve"> original wild type version, and </w:t>
      </w:r>
      <w:r w:rsidRPr="00E2335E">
        <w:rPr>
          <w:rFonts w:cs="Times New Roman"/>
          <w:szCs w:val="24"/>
        </w:rPr>
        <w:t xml:space="preserve">the </w:t>
      </w:r>
      <w:r>
        <w:rPr>
          <w:rFonts w:cs="Times New Roman"/>
          <w:szCs w:val="24"/>
        </w:rPr>
        <w:t xml:space="preserve">bound </w:t>
      </w:r>
      <w:r w:rsidRPr="00E2335E">
        <w:rPr>
          <w:rFonts w:cs="Times New Roman"/>
          <w:szCs w:val="24"/>
        </w:rPr>
        <w:t xml:space="preserve">T4-lysozyme was removed from the structure. The </w:t>
      </w:r>
      <w:r>
        <w:rPr>
          <w:rFonts w:cs="Times New Roman"/>
          <w:szCs w:val="24"/>
        </w:rPr>
        <w:t xml:space="preserve">correct </w:t>
      </w:r>
      <w:r w:rsidRPr="00E2335E">
        <w:rPr>
          <w:rFonts w:cs="Times New Roman"/>
          <w:szCs w:val="24"/>
        </w:rPr>
        <w:t>protonation states</w:t>
      </w:r>
      <w:r>
        <w:rPr>
          <w:rFonts w:cs="Times New Roman"/>
          <w:szCs w:val="24"/>
        </w:rPr>
        <w:t xml:space="preserve"> of all residues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at pH 7.0 were assigned</w:t>
      </w:r>
      <w:r w:rsidRPr="00E2335E">
        <w:rPr>
          <w:rFonts w:cs="Times New Roman"/>
          <w:szCs w:val="24"/>
        </w:rPr>
        <w:t xml:space="preserve"> and </w:t>
      </w:r>
      <w:r>
        <w:rPr>
          <w:rFonts w:cs="Times New Roman"/>
          <w:szCs w:val="24"/>
        </w:rPr>
        <w:t>other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miscellaneous </w:t>
      </w:r>
      <w:r w:rsidRPr="00E2335E">
        <w:rPr>
          <w:rFonts w:cs="Times New Roman"/>
          <w:szCs w:val="24"/>
        </w:rPr>
        <w:t xml:space="preserve">ligands, waters, and lipids were removed prior to simulation. </w:t>
      </w:r>
    </w:p>
    <w:p w14:paraId="6632ACE6" w14:textId="233FFE61" w:rsidR="00E84EC6" w:rsidRPr="00E2335E" w:rsidRDefault="00E84EC6" w:rsidP="008F0E37">
      <w:pPr>
        <w:ind w:firstLine="562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The ligand</w:t>
      </w:r>
      <w:r w:rsidRPr="00E2335E">
        <w:rPr>
          <w:rFonts w:cs="Times New Roman"/>
          <w:szCs w:val="24"/>
        </w:rPr>
        <w:t xml:space="preserve"> JWH-015 was docked to Phe87, Phe91, Phe94, and His95</w:t>
      </w:r>
      <w:r>
        <w:rPr>
          <w:rFonts w:cs="Times New Roman"/>
          <w:szCs w:val="24"/>
        </w:rPr>
        <w:t xml:space="preserve"> as binding site residues</w:t>
      </w:r>
      <w:r w:rsidRPr="00E2335E">
        <w:rPr>
          <w:rFonts w:cs="Times New Roman"/>
          <w:szCs w:val="24"/>
        </w:rPr>
        <w:t xml:space="preserve">. Mutations of these residues </w:t>
      </w:r>
      <w:r>
        <w:rPr>
          <w:rFonts w:cs="Times New Roman"/>
          <w:szCs w:val="24"/>
        </w:rPr>
        <w:t xml:space="preserve">were shown to affect </w:t>
      </w:r>
      <w:r w:rsidRPr="00E2335E">
        <w:rPr>
          <w:rFonts w:cs="Times New Roman"/>
          <w:szCs w:val="24"/>
        </w:rPr>
        <w:t>CP 55,940 (agonist) binding substantially to CB2/CB1 re</w:t>
      </w:r>
      <w:r>
        <w:rPr>
          <w:rFonts w:cs="Times New Roman"/>
          <w:szCs w:val="24"/>
        </w:rPr>
        <w:t xml:space="preserve">ceptors </w:t>
      </w:r>
      <w:r w:rsidRPr="00E2335E">
        <w:rPr>
          <w:rFonts w:cs="Times New Roman"/>
          <w:szCs w:val="24"/>
        </w:rPr>
        <w:fldChar w:fldCharType="begin">
          <w:fldData xml:space="preserve">PEVuZE5vdGU+PENpdGU+PEF1dGhvcj5MaTwvQXV0aG9yPjxZZWFyPjIwMTk8L1llYXI+PFJlY051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</w:fldData>
        </w:fldChar>
      </w:r>
      <w:r>
        <w:rPr>
          <w:rFonts w:cs="Times New Roman"/>
          <w:szCs w:val="24"/>
        </w:rPr>
        <w:instrText xml:space="preserve"> ADDIN EN.CITE </w:instrText>
      </w:r>
      <w:r>
        <w:rPr>
          <w:rFonts w:cs="Times New Roman"/>
          <w:szCs w:val="24"/>
        </w:rPr>
        <w:fldChar w:fldCharType="begin">
          <w:fldData xml:space="preserve">PEVuZE5vdGU+PENpdGU+PEF1dGhvcj5MaTwvQXV0aG9yPjxZZWFyPjIwMTk8L1llYXI+PFJlY051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</w:fldData>
        </w:fldChar>
      </w:r>
      <w:r>
        <w:rPr>
          <w:rFonts w:cs="Times New Roman"/>
          <w:szCs w:val="24"/>
        </w:rPr>
        <w:instrText xml:space="preserve"> ADDIN EN.CITE.DATA </w:instrText>
      </w:r>
      <w:r>
        <w:rPr>
          <w:rFonts w:cs="Times New Roman"/>
          <w:szCs w:val="24"/>
        </w:rPr>
      </w:r>
      <w:r>
        <w:rPr>
          <w:rFonts w:cs="Times New Roman"/>
          <w:szCs w:val="24"/>
        </w:rPr>
        <w:fldChar w:fldCharType="end"/>
      </w:r>
      <w:r w:rsidRPr="00E2335E">
        <w:rPr>
          <w:rFonts w:cs="Times New Roman"/>
          <w:szCs w:val="24"/>
        </w:rPr>
      </w:r>
      <w:r w:rsidRPr="00E2335E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(Li et al., 2019)</w:t>
      </w:r>
      <w:r w:rsidRPr="00E2335E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As t</w:t>
      </w:r>
      <w:r w:rsidRPr="00E2335E">
        <w:rPr>
          <w:rFonts w:cs="Times New Roman"/>
          <w:szCs w:val="24"/>
        </w:rPr>
        <w:t>he CB2 receptor is a membrane b</w:t>
      </w:r>
      <w:r>
        <w:rPr>
          <w:rFonts w:cs="Times New Roman"/>
          <w:szCs w:val="24"/>
        </w:rPr>
        <w:t xml:space="preserve">ound GPCR, 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the receptor-ligand complex</w:t>
      </w:r>
      <w:r w:rsidRPr="00E2335E">
        <w:rPr>
          <w:rFonts w:cs="Times New Roman"/>
          <w:szCs w:val="24"/>
        </w:rPr>
        <w:t xml:space="preserve"> was first oriented </w:t>
      </w:r>
      <w:r>
        <w:rPr>
          <w:rFonts w:cs="Times New Roman"/>
          <w:szCs w:val="24"/>
        </w:rPr>
        <w:t xml:space="preserve">in its native membrane environment made up of 1-palmitoyl-2-oleoyl-sn-glycero-3-phosphocholine (POPC) lipid bilayer </w:t>
      </w:r>
      <w:r w:rsidRPr="00E2335E">
        <w:rPr>
          <w:rFonts w:cs="Times New Roman"/>
          <w:szCs w:val="24"/>
        </w:rPr>
        <w:t>using the OPM database</w:t>
      </w:r>
      <w:r>
        <w:rPr>
          <w:rFonts w:cs="Times New Roman"/>
          <w:szCs w:val="24"/>
        </w:rPr>
        <w:t xml:space="preserve"> </w:t>
      </w:r>
      <w:r w:rsidRPr="00E2335E"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EN.CITE &lt;EndNote&gt;&lt;Cite&gt;&lt;Author&gt;Lomize&lt;/Author&gt;&lt;Year&gt;2012&lt;/Year&gt;&lt;RecNum&gt;191&lt;/RecNum&gt;&lt;DisplayText&gt;(Lomize et al., 2012)&lt;/DisplayText&gt;&lt;record&gt;&lt;rec-number&gt;191&lt;/rec-number&gt;&lt;foreign-keys&gt;&lt;key app="EN" db-id="pd092dx932dse8e5fv7xrp5dv0xxx02d59tx" timestamp="1550707938"&gt;191&lt;/key&gt;&lt;/foreign-keys&gt;&lt;ref-type name="Journal Article"&gt;17&lt;/ref-type&gt;&lt;contributors&gt;&lt;authors&gt;&lt;author&gt;Lomize, Mikhail A.&lt;/author&gt;&lt;author&gt;Pogozheva, Irina D.&lt;/author&gt;&lt;author&gt;Joo, Hyeon&lt;/author&gt;&lt;author&gt;Mosberg, Henry I.&lt;/author&gt;&lt;author&gt;Lomize, Andrei L.&lt;/author&gt;&lt;/authors&gt;&lt;/contributors&gt;&lt;titles&gt;&lt;title&gt;OPM database and PPM web server: resources for positioning of proteins in membranes&lt;/title&gt;&lt;secondary-title&gt;Nucleic acids research&lt;/secondary-title&gt;&lt;/titles&gt;&lt;periodical&gt;&lt;full-title&gt;Nucleic Acids Research&lt;/full-title&gt;&lt;/periodical&gt;&lt;pages&gt;D370-D376&lt;/pages&gt;&lt;volume&gt;40&lt;/volume&gt;&lt;number&gt;Database issue&lt;/number&gt;&lt;edition&gt;09/02&lt;/edition&gt;&lt;dates&gt;&lt;year&gt;2012&lt;/year&gt;&lt;/dates&gt;&lt;publisher&gt;Oxford University Press&lt;/publisher&gt;&lt;isbn&gt;1362-4962&amp;#xD;0305-1048&lt;/isbn&gt;&lt;accession-num&gt;21890895&lt;/accession-num&gt;&lt;urls&gt;&lt;related-urls&gt;&lt;url&gt;https://www.ncbi.nlm.nih.gov/pubmed/21890895&lt;/url&gt;&lt;url&gt;https://www.ncbi.nlm.nih.gov/pmc/PMC3245162/&lt;/url&gt;&lt;/related-urls&gt;&lt;/urls&gt;&lt;electronic-resource-num&gt;10.1093/nar/gkr703&lt;/electronic-resource-num&gt;&lt;remote-database-name&gt;PubMed&lt;/remote-database-name&gt;&lt;/record&gt;&lt;/Cite&gt;&lt;/EndNote&gt;</w:instrText>
      </w:r>
      <w:r w:rsidRPr="00E2335E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(Lomize et al., 2012)</w:t>
      </w:r>
      <w:r w:rsidRPr="00E2335E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  <w:r w:rsidRPr="00E2335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The </w:t>
      </w:r>
      <w:r w:rsidRPr="00E2335E">
        <w:rPr>
          <w:rFonts w:cs="Times New Roman"/>
          <w:szCs w:val="24"/>
        </w:rPr>
        <w:t>CHARMM-GUI membrane builder was used to set</w:t>
      </w:r>
      <w:r>
        <w:rPr>
          <w:rFonts w:cs="Times New Roman"/>
          <w:szCs w:val="24"/>
        </w:rPr>
        <w:t xml:space="preserve"> up the receptor-ligand complex </w:t>
      </w:r>
      <w:r w:rsidRPr="00E2335E"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EN.CITE &lt;EndNote&gt;&lt;Cite&gt;&lt;Author&gt;Wu&lt;/Author&gt;&lt;Year&gt;2014&lt;/Year&gt;&lt;RecNum&gt;177&lt;/RecNum&gt;&lt;DisplayText&gt;(Wu et al., 2014)&lt;/DisplayText&gt;&lt;record&gt;&lt;rec-number&gt;177&lt;/rec-number&gt;&lt;foreign-keys&gt;&lt;key app="EN" db-id="pd092dx932dse8e5fv7xrp5dv0xxx02d59tx" timestamp="1549922721"&gt;177&lt;/key&gt;&lt;/foreign-keys&gt;&lt;ref-type name="Journal Article"&gt;17&lt;/ref-type&gt;&lt;contributors&gt;&lt;authors&gt;&lt;author&gt;Wu, Emilia L.&lt;/author&gt;&lt;author&gt;Cheng, Xi&lt;/author&gt;&lt;author&gt;Jo, Sunhwan&lt;/author&gt;&lt;author&gt;Rui, Huan&lt;/author&gt;&lt;author&gt;Song, Kevin C.&lt;/author&gt;&lt;author&gt;Dávila-Contreras, Eder M.&lt;/author&gt;&lt;author&gt;Qi, Yifei&lt;/author&gt;&lt;author&gt;Lee, Jumin&lt;/author&gt;&lt;author&gt;Monje-Galvan, Viviana&lt;/author&gt;&lt;author&gt;Venable, Richard M.&lt;/author&gt;&lt;author&gt;Klauda, Jeffery B.&lt;/author&gt;&lt;author&gt;Im, Wonpil&lt;/author&gt;&lt;/authors&gt;&lt;/contributors&gt;&lt;titles&gt;&lt;title&gt;CHARMM-GUI Membrane Builder toward realistic biological membrane simulations&lt;/title&gt;&lt;secondary-title&gt;Journal of computational chemistry&lt;/secondary-title&gt;&lt;/titles&gt;&lt;periodical&gt;&lt;full-title&gt;Journal of Computational Chemistry&lt;/full-title&gt;&lt;/periodical&gt;&lt;pages&gt;1997-2004&lt;/pages&gt;&lt;volume&gt;35&lt;/volume&gt;&lt;number&gt;27&lt;/number&gt;&lt;edition&gt;08/07&lt;/edition&gt;&lt;dates&gt;&lt;year&gt;2014&lt;/year&gt;&lt;/dates&gt;&lt;isbn&gt;1096-987X&amp;#xD;0192-8651&lt;/isbn&gt;&lt;accession-num&gt;25130509&lt;/accession-num&gt;&lt;urls&gt;&lt;related-urls&gt;&lt;url&gt;https://www.ncbi.nlm.nih.gov/pubmed/25130509&lt;/url&gt;&lt;url&gt;https://www.ncbi.nlm.nih.gov/pmc/PMC4165794/&lt;/url&gt;&lt;/related-urls&gt;&lt;/urls&gt;&lt;electronic-resource-num&gt;10.1002/jcc.23702&lt;/electronic-resource-num&gt;&lt;remote-database-name&gt;PubMed&lt;/remote-database-name&gt;&lt;/record&gt;&lt;/Cite&gt;&lt;/EndNote&gt;</w:instrText>
      </w:r>
      <w:r w:rsidRPr="00E2335E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(Wu et al., 2014)</w:t>
      </w:r>
      <w:r w:rsidRPr="00E2335E"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.</w:t>
      </w:r>
      <w:r w:rsidRPr="00E2335E">
        <w:rPr>
          <w:rFonts w:cs="Times New Roman"/>
          <w:szCs w:val="24"/>
        </w:rPr>
        <w:t xml:space="preserve"> Protein</w:t>
      </w:r>
      <w:r>
        <w:rPr>
          <w:rFonts w:cs="Times New Roman"/>
          <w:szCs w:val="24"/>
        </w:rPr>
        <w:t xml:space="preserve"> and lipid</w:t>
      </w:r>
      <w:r w:rsidRPr="00E2335E">
        <w:rPr>
          <w:rFonts w:cs="Times New Roman"/>
          <w:szCs w:val="24"/>
        </w:rPr>
        <w:t xml:space="preserve"> w</w:t>
      </w:r>
      <w:r>
        <w:rPr>
          <w:rFonts w:cs="Times New Roman"/>
          <w:szCs w:val="24"/>
        </w:rPr>
        <w:t>ere parameterized using the</w:t>
      </w:r>
      <w:r w:rsidRPr="00E2335E">
        <w:rPr>
          <w:rFonts w:cs="Times New Roman"/>
          <w:szCs w:val="24"/>
        </w:rPr>
        <w:t xml:space="preserve"> CHARMM36 force field</w:t>
      </w:r>
      <w:r>
        <w:rPr>
          <w:rFonts w:cs="Times New Roman"/>
          <w:szCs w:val="24"/>
        </w:rPr>
        <w:t xml:space="preserve">, </w:t>
      </w:r>
      <w:r w:rsidRPr="00E2335E">
        <w:rPr>
          <w:rFonts w:cs="Times New Roman"/>
          <w:szCs w:val="24"/>
        </w:rPr>
        <w:t xml:space="preserve">and again the ligand was modeled using the </w:t>
      </w:r>
      <w:proofErr w:type="spellStart"/>
      <w:r w:rsidRPr="00E2335E">
        <w:rPr>
          <w:rFonts w:cs="Times New Roman"/>
          <w:szCs w:val="24"/>
        </w:rPr>
        <w:t>CGenFF</w:t>
      </w:r>
      <w:proofErr w:type="spellEnd"/>
      <w:r w:rsidRPr="00E2335E">
        <w:rPr>
          <w:rFonts w:cs="Times New Roman"/>
          <w:szCs w:val="24"/>
        </w:rPr>
        <w:t xml:space="preserve"> parameters </w:t>
      </w:r>
      <w:r w:rsidRPr="00E2335E"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EN.CITE &lt;EndNote&gt;&lt;Cite&gt;&lt;Author&gt;Huang&lt;/Author&gt;&lt;Year&gt;2013&lt;/Year&gt;&lt;RecNum&gt;185&lt;/RecNum&gt;&lt;DisplayText&gt;(Huang and MacKerell, 2013)&lt;/DisplayText&gt;&lt;record&gt;&lt;rec-number&gt;185&lt;/rec-number&gt;&lt;foreign-keys&gt;&lt;key app="EN" db-id="pd092dx932dse8e5fv7xrp5dv0xxx02d59tx" timestamp="1549928397"&gt;185&lt;/key&gt;&lt;/foreign-keys&gt;&lt;ref-type name="Journal Article"&gt;17&lt;/ref-type&gt;&lt;contributors&gt;&lt;authors&gt;&lt;author&gt;Huang, Jing&lt;/author&gt;&lt;author&gt;MacKerell, Alexander D., Jr.&lt;/author&gt;&lt;/authors&gt;&lt;/contributors&gt;&lt;titles&gt;&lt;title&gt;CHARMM36 all-atom additive protein force field: validation based on comparison to NMR data&lt;/title&gt;&lt;secondary-title&gt;Journal of computational chemistry&lt;/secondary-title&gt;&lt;/titles&gt;&lt;periodical&gt;&lt;full-title&gt;Journal of Computational Chemistry&lt;/full-title&gt;&lt;/periodical&gt;&lt;pages&gt;2135-2145&lt;/pages&gt;&lt;volume&gt;34&lt;/volume&gt;&lt;number&gt;25&lt;/number&gt;&lt;edition&gt;07/06&lt;/edition&gt;&lt;dates&gt;&lt;year&gt;2013&lt;/year&gt;&lt;/dates&gt;&lt;isbn&gt;1096-987X&amp;#xD;0192-8651&lt;/isbn&gt;&lt;accession-num&gt;23832629&lt;/accession-num&gt;&lt;urls&gt;&lt;related-urls&gt;&lt;url&gt;https://www.ncbi.nlm.nih.gov/pubmed/23832629&lt;/url&gt;&lt;url&gt;https://www.ncbi.nlm.nih.gov/pmc/PMC3800559/&lt;/url&gt;&lt;/related-urls&gt;&lt;/urls&gt;&lt;electronic-resource-num&gt;10.1002/jcc.23354&lt;/electronic-resource-num&gt;&lt;remote-database-name&gt;PubMed&lt;/remote-database-name&gt;&lt;/record&gt;&lt;/Cite&gt;&lt;/EndNote&gt;</w:instrText>
      </w:r>
      <w:r w:rsidRPr="00E2335E"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(Huang and MacKerell, 2013)</w:t>
      </w:r>
      <w:r w:rsidRPr="00E2335E">
        <w:rPr>
          <w:rFonts w:cs="Times New Roman"/>
          <w:szCs w:val="24"/>
        </w:rPr>
        <w:fldChar w:fldCharType="end"/>
      </w:r>
      <w:r w:rsidRPr="00E2335E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The f</w:t>
      </w:r>
      <w:r w:rsidRPr="00E2335E">
        <w:rPr>
          <w:rFonts w:cs="Times New Roman"/>
          <w:szCs w:val="24"/>
        </w:rPr>
        <w:t>inal</w:t>
      </w:r>
      <w:r>
        <w:rPr>
          <w:rFonts w:cs="Times New Roman"/>
          <w:szCs w:val="24"/>
        </w:rPr>
        <w:t xml:space="preserve"> simulation</w:t>
      </w:r>
      <w:r w:rsidRPr="00E2335E">
        <w:rPr>
          <w:rFonts w:cs="Times New Roman"/>
          <w:szCs w:val="24"/>
        </w:rPr>
        <w:t xml:space="preserve"> box dimensions were 75 x 75 x 99 </w:t>
      </w:r>
      <w:r>
        <w:rPr>
          <w:rFonts w:cs="Times New Roman"/>
          <w:szCs w:val="24"/>
        </w:rPr>
        <w:t xml:space="preserve">Å </w:t>
      </w:r>
      <w:r w:rsidRPr="00E2335E">
        <w:rPr>
          <w:rFonts w:cs="Times New Roman"/>
          <w:szCs w:val="24"/>
        </w:rPr>
        <w:t>with 64</w:t>
      </w:r>
      <w:r>
        <w:rPr>
          <w:rFonts w:cs="Times New Roman"/>
          <w:szCs w:val="24"/>
        </w:rPr>
        <w:t xml:space="preserve"> and 65</w:t>
      </w:r>
      <w:r w:rsidRPr="00E2335E">
        <w:rPr>
          <w:rFonts w:cs="Times New Roman"/>
          <w:szCs w:val="24"/>
        </w:rPr>
        <w:t xml:space="preserve"> lipids in the upper leaflet and lower leaflet</w:t>
      </w:r>
      <w:r>
        <w:rPr>
          <w:rFonts w:cs="Times New Roman"/>
          <w:szCs w:val="24"/>
        </w:rPr>
        <w:t xml:space="preserve"> of the bilayer respectively</w:t>
      </w:r>
      <w:r w:rsidRPr="00E2335E">
        <w:rPr>
          <w:rFonts w:cs="Times New Roman"/>
          <w:szCs w:val="24"/>
        </w:rPr>
        <w:t xml:space="preserve">.  </w:t>
      </w:r>
    </w:p>
    <w:p w14:paraId="4D059444" w14:textId="77777777" w:rsidR="00994A3D" w:rsidRDefault="00654E8F" w:rsidP="0001436A">
      <w:pPr>
        <w:pStyle w:val="Heading1"/>
      </w:pPr>
      <w:r w:rsidRPr="00994A3D">
        <w:t>Supplementary Figures and Tables</w:t>
      </w:r>
    </w:p>
    <w:p w14:paraId="35F13C6E" w14:textId="02A81823" w:rsidR="00B23097" w:rsidRDefault="00B23097">
      <w:pPr>
        <w:spacing w:before="0" w:after="200" w:line="276" w:lineRule="auto"/>
      </w:pPr>
      <w:r>
        <w:br w:type="page"/>
      </w:r>
    </w:p>
    <w:p w14:paraId="05B2B7D5" w14:textId="77777777" w:rsidR="00B23097" w:rsidRPr="00B23097" w:rsidRDefault="00B23097" w:rsidP="00B23097"/>
    <w:p w14:paraId="63D7C2B0" w14:textId="4BB7FD00" w:rsidR="00994A3D" w:rsidRDefault="00994A3D" w:rsidP="0001436A">
      <w:pPr>
        <w:pStyle w:val="Heading2"/>
      </w:pPr>
      <w:r w:rsidRPr="0001436A">
        <w:t>Supplementary</w:t>
      </w:r>
      <w:r w:rsidR="00FA340E">
        <w:t xml:space="preserve"> </w:t>
      </w:r>
      <w:r w:rsidRPr="001549D3">
        <w:t>Figures</w:t>
      </w:r>
    </w:p>
    <w:p w14:paraId="491A783D" w14:textId="397F8782" w:rsidR="00054463" w:rsidRDefault="00054463" w:rsidP="00054463">
      <w:r>
        <w:rPr>
          <w:noProof/>
        </w:rPr>
        <w:drawing>
          <wp:inline distT="0" distB="0" distL="0" distR="0" wp14:anchorId="4996793B" wp14:editId="3D8D30BD">
            <wp:extent cx="4309770" cy="24669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529" cy="24754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8E26A" w14:textId="2700E78B" w:rsidR="00054463" w:rsidRDefault="00054463" w:rsidP="00054463">
      <w:pPr>
        <w:keepNext/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 w:rsidRPr="0001436A">
        <w:rPr>
          <w:rFonts w:cs="Times New Roman"/>
          <w:b/>
          <w:szCs w:val="24"/>
        </w:rPr>
        <w:fldChar w:fldCharType="begin"/>
      </w:r>
      <w:r w:rsidRPr="0001436A">
        <w:rPr>
          <w:rFonts w:cs="Times New Roman"/>
          <w:b/>
          <w:szCs w:val="24"/>
        </w:rPr>
        <w:instrText xml:space="preserve"> SEQ Figure \* ARABIC </w:instrText>
      </w:r>
      <w:r w:rsidRPr="0001436A">
        <w:rPr>
          <w:rFonts w:cs="Times New Roman"/>
          <w:b/>
          <w:szCs w:val="24"/>
        </w:rPr>
        <w:fldChar w:fldCharType="separate"/>
      </w:r>
      <w:r>
        <w:rPr>
          <w:rFonts w:cs="Times New Roman"/>
          <w:b/>
          <w:noProof/>
          <w:szCs w:val="24"/>
        </w:rPr>
        <w:t>1</w:t>
      </w:r>
      <w:r w:rsidRPr="0001436A">
        <w:rPr>
          <w:rFonts w:cs="Times New Roman"/>
          <w:b/>
          <w:szCs w:val="24"/>
        </w:rPr>
        <w:fldChar w:fldCharType="end"/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="001E54CF">
        <w:rPr>
          <w:rFonts w:cs="Times New Roman"/>
          <w:i/>
          <w:szCs w:val="24"/>
        </w:rPr>
        <w:t xml:space="preserve">CB2 and GR Knockdown. </w:t>
      </w:r>
      <w:r w:rsidR="001E54CF">
        <w:rPr>
          <w:rFonts w:cs="Times New Roman"/>
          <w:szCs w:val="24"/>
        </w:rPr>
        <w:t xml:space="preserve"> </w:t>
      </w:r>
      <w:r w:rsidR="006A751B">
        <w:rPr>
          <w:rFonts w:cs="Times New Roman"/>
          <w:szCs w:val="24"/>
        </w:rPr>
        <w:t>RASFs were transfected with siRNA targeting CB2 (</w:t>
      </w:r>
      <w:r w:rsidR="006A751B" w:rsidRPr="006A751B">
        <w:rPr>
          <w:rFonts w:cs="Times New Roman"/>
          <w:b/>
          <w:szCs w:val="24"/>
        </w:rPr>
        <w:t>A</w:t>
      </w:r>
      <w:r w:rsidR="006A751B">
        <w:rPr>
          <w:rFonts w:cs="Times New Roman"/>
          <w:szCs w:val="24"/>
        </w:rPr>
        <w:t xml:space="preserve"> and </w:t>
      </w:r>
      <w:r w:rsidR="006A751B" w:rsidRPr="006A751B">
        <w:rPr>
          <w:rFonts w:cs="Times New Roman"/>
          <w:b/>
          <w:szCs w:val="24"/>
        </w:rPr>
        <w:t>C</w:t>
      </w:r>
      <w:r w:rsidR="006A751B">
        <w:rPr>
          <w:rFonts w:cs="Times New Roman"/>
          <w:szCs w:val="24"/>
        </w:rPr>
        <w:t>) or GR (</w:t>
      </w:r>
      <w:r w:rsidR="006A751B" w:rsidRPr="006A751B">
        <w:rPr>
          <w:rFonts w:cs="Times New Roman"/>
          <w:b/>
          <w:szCs w:val="24"/>
        </w:rPr>
        <w:t>B</w:t>
      </w:r>
      <w:r w:rsidR="006A751B">
        <w:rPr>
          <w:rFonts w:cs="Times New Roman"/>
          <w:szCs w:val="24"/>
        </w:rPr>
        <w:t xml:space="preserve"> and </w:t>
      </w:r>
      <w:r w:rsidR="006A751B" w:rsidRPr="006A751B">
        <w:rPr>
          <w:rFonts w:cs="Times New Roman"/>
          <w:b/>
          <w:szCs w:val="24"/>
        </w:rPr>
        <w:t>D</w:t>
      </w:r>
      <w:r w:rsidR="006A751B">
        <w:rPr>
          <w:rFonts w:cs="Times New Roman"/>
          <w:szCs w:val="24"/>
        </w:rPr>
        <w:t>) using Lipofectamine 2000 for 48 hours. Cells were pre-treated with JWH-015 for 10 minutes prior to IL-1β stimulation. For qRT-PCR, IL-1β stimulation was for 8 hours (</w:t>
      </w:r>
      <w:r w:rsidR="006A751B" w:rsidRPr="006A751B">
        <w:rPr>
          <w:rFonts w:cs="Times New Roman"/>
          <w:b/>
          <w:szCs w:val="24"/>
        </w:rPr>
        <w:t>C</w:t>
      </w:r>
      <w:r w:rsidR="006A751B">
        <w:rPr>
          <w:rFonts w:cs="Times New Roman"/>
          <w:szCs w:val="24"/>
        </w:rPr>
        <w:t xml:space="preserve"> and </w:t>
      </w:r>
      <w:r w:rsidR="006A751B" w:rsidRPr="006A751B">
        <w:rPr>
          <w:rFonts w:cs="Times New Roman"/>
          <w:b/>
          <w:szCs w:val="24"/>
        </w:rPr>
        <w:t>D</w:t>
      </w:r>
      <w:r w:rsidR="006A751B">
        <w:rPr>
          <w:rFonts w:cs="Times New Roman"/>
          <w:szCs w:val="24"/>
        </w:rPr>
        <w:t>); and 24 hours (</w:t>
      </w:r>
      <w:r w:rsidR="006A751B" w:rsidRPr="006A751B">
        <w:rPr>
          <w:rFonts w:cs="Times New Roman"/>
          <w:b/>
          <w:szCs w:val="24"/>
        </w:rPr>
        <w:t>A</w:t>
      </w:r>
      <w:r w:rsidR="006A751B">
        <w:rPr>
          <w:rFonts w:cs="Times New Roman"/>
          <w:szCs w:val="24"/>
        </w:rPr>
        <w:t xml:space="preserve"> and </w:t>
      </w:r>
      <w:r w:rsidR="006A751B" w:rsidRPr="006A751B">
        <w:rPr>
          <w:rFonts w:cs="Times New Roman"/>
          <w:b/>
          <w:szCs w:val="24"/>
        </w:rPr>
        <w:t>B</w:t>
      </w:r>
      <w:r w:rsidR="006A751B">
        <w:rPr>
          <w:rFonts w:cs="Times New Roman"/>
          <w:szCs w:val="24"/>
        </w:rPr>
        <w:t xml:space="preserve">) for Western immunoblotting. </w:t>
      </w:r>
    </w:p>
    <w:p w14:paraId="1838E19B" w14:textId="77777777" w:rsidR="006A751B" w:rsidRPr="002B4A57" w:rsidRDefault="006A751B" w:rsidP="00054463">
      <w:pPr>
        <w:keepNext/>
        <w:rPr>
          <w:rFonts w:cs="Times New Roman"/>
          <w:b/>
          <w:szCs w:val="24"/>
        </w:rPr>
      </w:pPr>
    </w:p>
    <w:p w14:paraId="6C938BF0" w14:textId="076D509F" w:rsidR="00054463" w:rsidRDefault="00212374" w:rsidP="00054463">
      <w:r>
        <w:rPr>
          <w:noProof/>
        </w:rPr>
        <w:drawing>
          <wp:inline distT="0" distB="0" distL="0" distR="0" wp14:anchorId="408A0E71" wp14:editId="1B1E4290">
            <wp:extent cx="5106838" cy="299694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030" cy="300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11F5A6" w14:textId="69548505" w:rsidR="00FA340E" w:rsidRDefault="00B23097" w:rsidP="00054463">
      <w:pPr>
        <w:rPr>
          <w:rFonts w:cs="Times New Roman"/>
          <w:szCs w:val="24"/>
        </w:rPr>
      </w:pPr>
      <w:r w:rsidRPr="0001436A">
        <w:rPr>
          <w:rFonts w:cs="Times New Roman"/>
          <w:b/>
          <w:szCs w:val="24"/>
        </w:rPr>
        <w:t xml:space="preserve">Supplementary Figure </w:t>
      </w:r>
      <w:r>
        <w:rPr>
          <w:rFonts w:cs="Times New Roman"/>
          <w:b/>
          <w:szCs w:val="24"/>
        </w:rPr>
        <w:t>2</w:t>
      </w:r>
      <w:r w:rsidRPr="0001436A">
        <w:rPr>
          <w:rFonts w:cs="Times New Roman"/>
          <w:b/>
          <w:szCs w:val="24"/>
        </w:rPr>
        <w:t>.</w:t>
      </w:r>
      <w:r w:rsidRPr="001549D3">
        <w:rPr>
          <w:rFonts w:cs="Times New Roman"/>
          <w:szCs w:val="24"/>
        </w:rPr>
        <w:t xml:space="preserve"> </w:t>
      </w:r>
      <w:r w:rsidRPr="006A751B">
        <w:rPr>
          <w:rFonts w:cs="Times New Roman"/>
          <w:i/>
          <w:szCs w:val="24"/>
        </w:rPr>
        <w:t>JWH-015 bound to CB2 receptor</w:t>
      </w:r>
      <w:r>
        <w:rPr>
          <w:rFonts w:cs="Times New Roman"/>
          <w:szCs w:val="24"/>
        </w:rPr>
        <w:t>.</w:t>
      </w:r>
      <w:r w:rsidRPr="006A751B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</w:t>
      </w:r>
      <w:r w:rsidRPr="006A751B">
        <w:rPr>
          <w:rFonts w:cs="Times New Roman"/>
          <w:b/>
          <w:szCs w:val="24"/>
        </w:rPr>
        <w:t>A</w:t>
      </w:r>
      <w:r w:rsidRPr="006A751B">
        <w:rPr>
          <w:rFonts w:cs="Times New Roman"/>
          <w:szCs w:val="24"/>
        </w:rPr>
        <w:t xml:space="preserve">) </w:t>
      </w:r>
      <w:r w:rsidR="00777F85" w:rsidRPr="00777F85">
        <w:rPr>
          <w:rFonts w:cs="Times New Roman"/>
          <w:szCs w:val="24"/>
        </w:rPr>
        <w:t xml:space="preserve">The most favorable docking pose of </w:t>
      </w:r>
      <w:proofErr w:type="spellStart"/>
      <w:r w:rsidR="00777F85" w:rsidRPr="00777F85">
        <w:rPr>
          <w:rFonts w:cs="Times New Roman"/>
          <w:szCs w:val="24"/>
        </w:rPr>
        <w:t>of</w:t>
      </w:r>
      <w:proofErr w:type="spellEnd"/>
      <w:r w:rsidR="00777F85" w:rsidRPr="00777F85">
        <w:rPr>
          <w:rFonts w:cs="Times New Roman"/>
          <w:szCs w:val="24"/>
        </w:rPr>
        <w:t xml:space="preserve"> dexamethasone (yellow) a known ligand for the GR. </w:t>
      </w:r>
      <w:r w:rsidR="00777F85">
        <w:rPr>
          <w:rFonts w:cs="Times New Roman"/>
          <w:szCs w:val="24"/>
        </w:rPr>
        <w:t>(</w:t>
      </w:r>
      <w:r w:rsidR="00777F85" w:rsidRPr="006A751B">
        <w:rPr>
          <w:rFonts w:cs="Times New Roman"/>
          <w:b/>
          <w:szCs w:val="24"/>
        </w:rPr>
        <w:t>B</w:t>
      </w:r>
      <w:r w:rsidR="00777F85" w:rsidRPr="006A751B">
        <w:rPr>
          <w:rFonts w:cs="Times New Roman"/>
          <w:szCs w:val="24"/>
        </w:rPr>
        <w:t xml:space="preserve">) </w:t>
      </w:r>
      <w:r w:rsidRPr="006A751B">
        <w:rPr>
          <w:rFonts w:cs="Times New Roman"/>
          <w:szCs w:val="24"/>
        </w:rPr>
        <w:t>JWH-015 surrounded by various aromatic residues;</w:t>
      </w:r>
      <w:r w:rsidR="00777F85">
        <w:rPr>
          <w:rFonts w:cs="Times New Roman"/>
          <w:szCs w:val="24"/>
        </w:rPr>
        <w:t xml:space="preserve"> (</w:t>
      </w:r>
      <w:r w:rsidR="00777F85" w:rsidRPr="00777F85">
        <w:rPr>
          <w:rFonts w:cs="Times New Roman"/>
          <w:b/>
          <w:szCs w:val="24"/>
        </w:rPr>
        <w:t>C</w:t>
      </w:r>
      <w:r w:rsidR="00777F85">
        <w:rPr>
          <w:rFonts w:cs="Times New Roman"/>
          <w:szCs w:val="24"/>
        </w:rPr>
        <w:t>)</w:t>
      </w:r>
      <w:r>
        <w:rPr>
          <w:rFonts w:cs="Times New Roman"/>
          <w:szCs w:val="24"/>
        </w:rPr>
        <w:t xml:space="preserve"> </w:t>
      </w:r>
      <w:r w:rsidRPr="006A751B">
        <w:rPr>
          <w:rFonts w:cs="Times New Roman"/>
          <w:szCs w:val="24"/>
        </w:rPr>
        <w:t xml:space="preserve">distances between the indole and </w:t>
      </w:r>
      <w:r w:rsidR="006825A2" w:rsidRPr="006A751B">
        <w:rPr>
          <w:rFonts w:cs="Times New Roman"/>
          <w:szCs w:val="24"/>
        </w:rPr>
        <w:t>napthyl</w:t>
      </w:r>
      <w:r w:rsidRPr="006A751B">
        <w:rPr>
          <w:rFonts w:cs="Times New Roman"/>
          <w:szCs w:val="24"/>
        </w:rPr>
        <w:t xml:space="preserve"> rings of the ligand and the aromatic rings of the binding site residues.</w:t>
      </w:r>
    </w:p>
    <w:p w14:paraId="11240D08" w14:textId="0F9D0F91" w:rsidR="00FA340E" w:rsidRDefault="00FA340E">
      <w:pPr>
        <w:spacing w:before="0" w:after="200" w:line="276" w:lineRule="auto"/>
        <w:rPr>
          <w:rFonts w:cs="Times New Roman"/>
          <w:szCs w:val="24"/>
        </w:rPr>
      </w:pPr>
    </w:p>
    <w:p w14:paraId="2BF548C4" w14:textId="740E99F8" w:rsidR="00B23097" w:rsidRPr="00054463" w:rsidRDefault="00FA340E" w:rsidP="00FA340E">
      <w:pPr>
        <w:pStyle w:val="Heading2"/>
      </w:pPr>
      <w:r>
        <w:t>Supplementary Tables</w:t>
      </w:r>
    </w:p>
    <w:tbl>
      <w:tblPr>
        <w:tblpPr w:leftFromText="180" w:rightFromText="180" w:vertAnchor="page" w:horzAnchor="margin" w:tblpY="1983"/>
        <w:tblW w:w="100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2110"/>
        <w:gridCol w:w="1032"/>
        <w:gridCol w:w="1734"/>
        <w:gridCol w:w="1734"/>
        <w:gridCol w:w="1734"/>
        <w:gridCol w:w="1736"/>
      </w:tblGrid>
      <w:tr w:rsidR="00B23097" w:rsidRPr="00B23097" w14:paraId="2264DCE6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C5E3A1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CELL TYPE/RESPONSE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5E6917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E0E0E0"/>
            <w:vAlign w:val="center"/>
          </w:tcPr>
          <w:p w14:paraId="4968572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2E45ED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E17389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BE3EF6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</w:tr>
      <w:tr w:rsidR="00B23097" w:rsidRPr="00B23097" w14:paraId="1078E64D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27B354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Polymorphonuclear cells (PMNS)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8AB5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691A5F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Rare, 1-5/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C9980A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6-10/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7EA354D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Heavy infiltrate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F0BBDB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Packed</w:t>
            </w:r>
          </w:p>
        </w:tc>
      </w:tr>
      <w:tr w:rsidR="00B23097" w:rsidRPr="00B23097" w14:paraId="68C3C3E5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927D7E4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Lymphocytes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1F6F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2BCDB04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Rare, 1-5/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22B0E8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6-10/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58D853FD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Heavy infiltrate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1AE4AD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Packed</w:t>
            </w:r>
          </w:p>
        </w:tc>
      </w:tr>
      <w:tr w:rsidR="00B23097" w:rsidRPr="00B23097" w14:paraId="7207457C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93F1C8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Plasma cells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750C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6237A7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Rare, 1-5/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4A1D6D8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6-10/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600000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Heavy infiltrate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90CFB0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Packed</w:t>
            </w:r>
          </w:p>
        </w:tc>
      </w:tr>
      <w:tr w:rsidR="00B23097" w:rsidRPr="00B23097" w14:paraId="42DED183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C018F4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Macrophages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13EA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62C58B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Rare, 1-5/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E534C9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6-10/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1CAE99A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Heavy infiltrate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14A1A4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Packed</w:t>
            </w:r>
          </w:p>
        </w:tc>
      </w:tr>
      <w:tr w:rsidR="00B23097" w:rsidRPr="00B23097" w14:paraId="01A6E8A3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85F9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Giant cells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17E4E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AB4F22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Rare, 1-2/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ABA3DD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3-5/</w:t>
            </w:r>
            <w:proofErr w:type="spellStart"/>
            <w:r w:rsidRPr="00B23097">
              <w:rPr>
                <w:rFonts w:ascii="Arial" w:eastAsia="Times New Roman" w:hAnsi="Arial" w:cs="Arial"/>
                <w:sz w:val="20"/>
                <w:szCs w:val="20"/>
              </w:rPr>
              <w:t>hpf</w:t>
            </w:r>
            <w:proofErr w:type="spellEnd"/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5E28CF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Numerous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693F4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Sheets</w:t>
            </w:r>
          </w:p>
        </w:tc>
      </w:tr>
      <w:tr w:rsidR="00B23097" w:rsidRPr="00B23097" w14:paraId="7E71998E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7B376564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Necrosis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1739A5A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nil"/>
            </w:tcBorders>
            <w:vAlign w:val="center"/>
          </w:tcPr>
          <w:p w14:paraId="1995453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nil"/>
            </w:tcBorders>
            <w:vAlign w:val="center"/>
          </w:tcPr>
          <w:p w14:paraId="0E8C723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nil"/>
            </w:tcBorders>
            <w:vAlign w:val="center"/>
          </w:tcPr>
          <w:p w14:paraId="3D06AD2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14:paraId="442C9C3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11F698D1" w14:textId="77777777" w:rsidTr="00FA340E">
        <w:tc>
          <w:tcPr>
            <w:tcW w:w="1047" w:type="pct"/>
            <w:tcBorders>
              <w:top w:val="thinThickSmallGap" w:sz="2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71CE9E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Neovascularization</w:t>
            </w:r>
          </w:p>
        </w:tc>
        <w:tc>
          <w:tcPr>
            <w:tcW w:w="512" w:type="pct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0C9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thinThickSmallGap" w:sz="24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295D2C1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 capillary proliferation, focal, 1-3 buds</w:t>
            </w:r>
          </w:p>
        </w:tc>
        <w:tc>
          <w:tcPr>
            <w:tcW w:w="860" w:type="pct"/>
            <w:tcBorders>
              <w:top w:val="thinThickSmallGap" w:sz="24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767102CF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Groups of 4-7 capillaries with supporting fibroblastic structures</w:t>
            </w:r>
          </w:p>
        </w:tc>
        <w:tc>
          <w:tcPr>
            <w:tcW w:w="860" w:type="pct"/>
            <w:tcBorders>
              <w:top w:val="thinThickSmallGap" w:sz="24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6885AF9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Broad band of capillaries with supporting structures</w:t>
            </w:r>
          </w:p>
        </w:tc>
        <w:tc>
          <w:tcPr>
            <w:tcW w:w="861" w:type="pct"/>
            <w:tcBorders>
              <w:top w:val="thinThickSmallGap" w:sz="2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BAE1F6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Extensive band of capillaries with supporting fibroblastic structures</w:t>
            </w:r>
          </w:p>
        </w:tc>
      </w:tr>
      <w:tr w:rsidR="00B23097" w:rsidRPr="00B23097" w14:paraId="3EBEE9F7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155F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Fibrosis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C3FA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90379E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Narrow band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567A91F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Moderately thick band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4CFD1D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Thick band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12AAD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Extensive band</w:t>
            </w:r>
          </w:p>
        </w:tc>
      </w:tr>
      <w:tr w:rsidR="00B23097" w:rsidRPr="00B23097" w14:paraId="390E4BAB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28EA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Edema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6B7E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F8973E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730494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276D81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DD5C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2A0CCF51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79B0F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Global inflammation severity score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85F4E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D1021C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EED62A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3EE8ED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E99BD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3F10CAFD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7A171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Synovial lining cell layer grade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D49DD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DB7AB01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5A2808C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CE6663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ECC36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4B21AC94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4828D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Cartilage surface change/erosion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52E31F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normal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7DFE624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irregular, chondrocyte degeneration evident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38CE7AA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clefts, limited-to-minimal articular cartilage loss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FA056E0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clefts extend to bone, focal-to-coalescing cartilage loss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319B5A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23097" w:rsidRPr="00B23097" w14:paraId="2B09876B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E67E48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Subarticular bone erosion/loss grade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78C2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918F25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D15A73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2BD620C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67112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06282CA5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9CEF96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Bone peripheral to joint loss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A00D8E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 loss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934E609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D69E538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28BA29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E9171B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severe</w:t>
            </w:r>
          </w:p>
        </w:tc>
      </w:tr>
      <w:tr w:rsidR="00B23097" w:rsidRPr="00B23097" w14:paraId="66D75A8D" w14:textId="77777777" w:rsidTr="00FA340E">
        <w:tc>
          <w:tcPr>
            <w:tcW w:w="10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457482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Evidence of new bone/bone remodeling</w:t>
            </w:r>
          </w:p>
        </w:tc>
        <w:tc>
          <w:tcPr>
            <w:tcW w:w="51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936C6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none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7B288B5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minimal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73340B3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mild</w:t>
            </w:r>
          </w:p>
        </w:tc>
        <w:tc>
          <w:tcPr>
            <w:tcW w:w="8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445EEAA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moderate</w:t>
            </w:r>
          </w:p>
        </w:tc>
        <w:tc>
          <w:tcPr>
            <w:tcW w:w="8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E1CF37" w14:textId="77777777" w:rsidR="00B23097" w:rsidRPr="00B23097" w:rsidRDefault="00B23097" w:rsidP="00FA340E">
            <w:pPr>
              <w:spacing w:before="0"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3097">
              <w:rPr>
                <w:rFonts w:ascii="Arial" w:eastAsia="Times New Roman" w:hAnsi="Arial" w:cs="Arial"/>
                <w:sz w:val="20"/>
                <w:szCs w:val="20"/>
              </w:rPr>
              <w:t>marked</w:t>
            </w:r>
          </w:p>
        </w:tc>
      </w:tr>
    </w:tbl>
    <w:p w14:paraId="734D1585" w14:textId="70D31777" w:rsidR="00B23097" w:rsidRDefault="00B23097" w:rsidP="002B4A57">
      <w:pPr>
        <w:keepNext/>
        <w:rPr>
          <w:rFonts w:cs="Times New Roman"/>
          <w:szCs w:val="24"/>
        </w:rPr>
      </w:pPr>
      <w:r>
        <w:rPr>
          <w:rFonts w:cs="Times New Roman"/>
          <w:b/>
          <w:szCs w:val="24"/>
        </w:rPr>
        <w:t>Supplementary Table 1</w:t>
      </w:r>
      <w:r w:rsidR="009F45E0">
        <w:rPr>
          <w:rFonts w:cs="Times New Roman"/>
          <w:b/>
          <w:szCs w:val="24"/>
        </w:rPr>
        <w:t>.</w:t>
      </w:r>
      <w:r>
        <w:rPr>
          <w:rFonts w:cs="Times New Roman"/>
          <w:b/>
          <w:szCs w:val="24"/>
        </w:rPr>
        <w:t xml:space="preserve"> </w:t>
      </w:r>
      <w:r w:rsidRPr="00B23097">
        <w:rPr>
          <w:rFonts w:cs="Times New Roman"/>
          <w:i/>
          <w:szCs w:val="24"/>
        </w:rPr>
        <w:t>Inflammation of periarticular tissues</w:t>
      </w:r>
      <w:r>
        <w:rPr>
          <w:rFonts w:cs="Times New Roman"/>
          <w:i/>
          <w:szCs w:val="24"/>
        </w:rPr>
        <w:t>.</w:t>
      </w:r>
      <w:r>
        <w:rPr>
          <w:rFonts w:cs="Times New Roman"/>
          <w:szCs w:val="24"/>
        </w:rPr>
        <w:t xml:space="preserve"> </w:t>
      </w:r>
      <w:r w:rsidRPr="00B23097">
        <w:rPr>
          <w:rFonts w:cs="Times New Roman"/>
          <w:szCs w:val="24"/>
        </w:rPr>
        <w:t xml:space="preserve">Histopathological </w:t>
      </w:r>
      <w:r>
        <w:rPr>
          <w:rFonts w:cs="Times New Roman"/>
          <w:szCs w:val="24"/>
        </w:rPr>
        <w:t>parameters and grading s</w:t>
      </w:r>
      <w:r w:rsidRPr="00B23097">
        <w:rPr>
          <w:rFonts w:cs="Times New Roman"/>
          <w:szCs w:val="24"/>
        </w:rPr>
        <w:t>yste</w:t>
      </w:r>
      <w:r>
        <w:rPr>
          <w:rFonts w:cs="Times New Roman"/>
          <w:szCs w:val="24"/>
        </w:rPr>
        <w:t>m used for assessing pathology in rat joint slides stained with H&amp;E.</w:t>
      </w:r>
    </w:p>
    <w:p w14:paraId="33884EAE" w14:textId="7571C495" w:rsidR="00B23097" w:rsidRDefault="00B23097" w:rsidP="002B4A57">
      <w:pPr>
        <w:keepNext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14:paraId="288F8AE1" w14:textId="77777777" w:rsidR="00B23097" w:rsidRDefault="00B23097">
      <w:pPr>
        <w:spacing w:before="0" w:after="200"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488214A" w14:textId="77777777" w:rsidR="00B23097" w:rsidRPr="00B23097" w:rsidRDefault="00B23097" w:rsidP="002B4A57">
      <w:pPr>
        <w:keepNext/>
        <w:rPr>
          <w:rFonts w:cs="Times New Roman"/>
          <w:szCs w:val="24"/>
        </w:rPr>
      </w:pPr>
    </w:p>
    <w:tbl>
      <w:tblPr>
        <w:tblW w:w="5098" w:type="pct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77"/>
        <w:gridCol w:w="704"/>
        <w:gridCol w:w="704"/>
        <w:gridCol w:w="698"/>
        <w:gridCol w:w="695"/>
        <w:gridCol w:w="707"/>
        <w:gridCol w:w="701"/>
        <w:gridCol w:w="6"/>
        <w:gridCol w:w="711"/>
        <w:gridCol w:w="713"/>
        <w:gridCol w:w="8"/>
        <w:gridCol w:w="709"/>
        <w:gridCol w:w="8"/>
        <w:gridCol w:w="705"/>
        <w:gridCol w:w="8"/>
        <w:gridCol w:w="699"/>
      </w:tblGrid>
      <w:tr w:rsidR="00B23097" w:rsidRPr="00A96682" w14:paraId="4FCBB936" w14:textId="77777777" w:rsidTr="00FF2DE3">
        <w:tc>
          <w:tcPr>
            <w:tcW w:w="109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0FCB2E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06" w:type="pct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76CF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Inflammation- synovium/adjacent tissue</w:t>
            </w:r>
          </w:p>
        </w:tc>
      </w:tr>
      <w:tr w:rsidR="00B23097" w:rsidRPr="00A96682" w14:paraId="619EBF7C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558D2E0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Treatment group</w:t>
            </w:r>
          </w:p>
        </w:tc>
        <w:tc>
          <w:tcPr>
            <w:tcW w:w="1059" w:type="pct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242B7B1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Naïve</w:t>
            </w:r>
          </w:p>
        </w:tc>
        <w:tc>
          <w:tcPr>
            <w:tcW w:w="1416" w:type="pct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331EE6B2" w14:textId="001F0FB1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Non</w:t>
            </w:r>
            <w:r w:rsidR="00775E35">
              <w:rPr>
                <w:rFonts w:ascii="Arial" w:hAnsi="Arial" w:cs="Arial"/>
                <w:sz w:val="16"/>
                <w:szCs w:val="16"/>
              </w:rPr>
              <w:t>-</w:t>
            </w:r>
            <w:r>
              <w:rPr>
                <w:rFonts w:ascii="Arial" w:hAnsi="Arial" w:cs="Arial"/>
                <w:sz w:val="16"/>
                <w:szCs w:val="16"/>
              </w:rPr>
              <w:t>treated-AIA</w:t>
            </w:r>
          </w:p>
        </w:tc>
        <w:tc>
          <w:tcPr>
            <w:tcW w:w="1430" w:type="pct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4385085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Treated-AIA</w:t>
            </w:r>
          </w:p>
        </w:tc>
      </w:tr>
      <w:tr w:rsidR="00B23097" w:rsidRPr="00A96682" w14:paraId="30714B86" w14:textId="77777777" w:rsidTr="00FF2DE3">
        <w:tc>
          <w:tcPr>
            <w:tcW w:w="1094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2224E0E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Joint 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7BD3A94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0211A93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7A9655A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74611FB1" w14:textId="37CD167E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D09BE6A" w14:textId="11BB963B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09DABEC1" w14:textId="5EFA49C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27D4A837" w14:textId="08E6FE12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2445FF01" w14:textId="43E32DA6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2C54859B" w14:textId="28FA6FA0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19666A5" w14:textId="2BDE5CF5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41ECB1E4" w14:textId="6CC44F30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B23097" w:rsidRPr="00A96682" w14:paraId="163A9CE6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6B296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Inflammation</w:t>
            </w:r>
          </w:p>
          <w:p w14:paraId="7B20001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 xml:space="preserve">  Polymorphonuclear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0BB5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ECC3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ABC75B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D391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2E22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4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A7C4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4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7EEC41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4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4F8A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3D9C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6D9F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AC5EDA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2</w:t>
            </w:r>
          </w:p>
        </w:tc>
      </w:tr>
      <w:tr w:rsidR="00B23097" w:rsidRPr="00A96682" w14:paraId="39597D34" w14:textId="77777777" w:rsidTr="00FF2DE3">
        <w:tc>
          <w:tcPr>
            <w:tcW w:w="1094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1A1E1D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A96682">
              <w:rPr>
                <w:rFonts w:ascii="Arial" w:hAnsi="Arial" w:cs="Arial"/>
                <w:sz w:val="16"/>
                <w:szCs w:val="16"/>
                <w:lang w:val="fr-FR"/>
              </w:rPr>
              <w:t xml:space="preserve">  Lymphocytes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A610CF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83ADA6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4D9CBF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272395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30F89F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2B9E4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2638DF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04B1A5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C3E345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6A414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5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C55F9B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</w:tr>
      <w:tr w:rsidR="00B23097" w:rsidRPr="00A96682" w14:paraId="47E82AFF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92515D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A96682">
              <w:rPr>
                <w:rFonts w:ascii="Arial" w:hAnsi="Arial" w:cs="Arial"/>
                <w:sz w:val="16"/>
                <w:szCs w:val="16"/>
                <w:lang w:val="fr-FR"/>
              </w:rPr>
              <w:t xml:space="preserve">  Plasma </w:t>
            </w:r>
            <w:proofErr w:type="spellStart"/>
            <w:r w:rsidRPr="00A96682">
              <w:rPr>
                <w:rFonts w:ascii="Arial" w:hAnsi="Arial" w:cs="Arial"/>
                <w:sz w:val="16"/>
                <w:szCs w:val="16"/>
                <w:lang w:val="fr-FR"/>
              </w:rPr>
              <w:t>Cells</w:t>
            </w:r>
            <w:proofErr w:type="spellEnd"/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EC302A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490FE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FF36E2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8D59D3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FD390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81603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453F67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422213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60546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92DA1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C4B88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0</w:t>
            </w:r>
          </w:p>
        </w:tc>
      </w:tr>
      <w:tr w:rsidR="00B23097" w:rsidRPr="00A96682" w14:paraId="4EEA28B8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30C6609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  <w:lang w:val="fr-FR"/>
              </w:rPr>
              <w:t xml:space="preserve">  </w:t>
            </w:r>
            <w:r w:rsidRPr="00A96682">
              <w:rPr>
                <w:rFonts w:ascii="Arial" w:hAnsi="Arial" w:cs="Arial"/>
                <w:sz w:val="16"/>
                <w:szCs w:val="16"/>
              </w:rPr>
              <w:t>Macrophages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5734BA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2B241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9150E1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7CAE3A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8D0A5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D3533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42B94F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6FE552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1533B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66D29E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4ED4E8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B23097" w:rsidRPr="00A96682" w14:paraId="67B0BCEE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82903F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 xml:space="preserve">  Giant Cells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88A14D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44F3EF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F2FA46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61C219D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66500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6181CB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612771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4D707D2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F7F524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83942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CD8794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3097" w:rsidRPr="00A96682" w14:paraId="2C346912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4CF32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 xml:space="preserve">  Necrosis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5D18337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47C684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33BA48A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C824A7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D6EC31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3F34B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1CD6A8A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7210C36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825B4E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99A552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0C121A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</w:tr>
      <w:tr w:rsidR="00B23097" w:rsidRPr="00A96682" w14:paraId="3096ACDE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71AF9ED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SUB TOTAL (X2)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796EA7D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252A441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6183F85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1EDBA38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6B1C940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4266EC2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017DEBA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56C575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7036ACB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7C8BDC4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1C8EE29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</w:tr>
      <w:tr w:rsidR="00B23097" w:rsidRPr="00A96682" w14:paraId="769A274D" w14:textId="77777777" w:rsidTr="00FF2DE3">
        <w:tc>
          <w:tcPr>
            <w:tcW w:w="1094" w:type="pct"/>
            <w:tcBorders>
              <w:top w:val="single" w:sz="1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72927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Neovascularization</w:t>
            </w:r>
          </w:p>
          <w:p w14:paraId="0969ECE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(fibroplasia)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B2DFB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D625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2B54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20CFB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CE5DE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FF625E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0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1858A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E0E84D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E0B1B7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B28E19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64583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B23097" w:rsidRPr="00A96682" w14:paraId="68B10D17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E29AA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 xml:space="preserve">  Fibrosis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1A53BEE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CE78C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20FC6F9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F51D30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190E2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40D5D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7598E7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21BB963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7EA92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2C099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0678F08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23097" w:rsidRPr="00A96682" w14:paraId="1420B00A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6B500A3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SUB TOTAL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78A4B82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623A41E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6FFE431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0861520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1893B91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2" w:type="pct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76319C0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683C64A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6FED607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009A5EE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EECE1"/>
          </w:tcPr>
          <w:p w14:paraId="3D372A5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EEECE1"/>
          </w:tcPr>
          <w:p w14:paraId="0861345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23097" w:rsidRPr="00A96682" w14:paraId="4A84B684" w14:textId="77777777" w:rsidTr="00FF2DE3">
        <w:tc>
          <w:tcPr>
            <w:tcW w:w="1094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450E345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CFADD1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F00ECB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7185D9C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3700BB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5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3223227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2" w:type="pct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08EEB96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60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494A78E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8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490D3EB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1C2CA61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358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EECE1"/>
          </w:tcPr>
          <w:p w14:paraId="77EB7FA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355" w:type="pct"/>
            <w:gridSpan w:val="2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EEECE1"/>
          </w:tcPr>
          <w:p w14:paraId="208C898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</w:tr>
      <w:tr w:rsidR="00B23097" w:rsidRPr="00A96682" w14:paraId="676C4764" w14:textId="77777777" w:rsidTr="00FF2DE3">
        <w:tc>
          <w:tcPr>
            <w:tcW w:w="109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5AC1D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GROUP TOTAL</w:t>
            </w:r>
          </w:p>
        </w:tc>
        <w:tc>
          <w:tcPr>
            <w:tcW w:w="1059" w:type="pct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CA3CE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16" w:type="pct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02D4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1430" w:type="pct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27080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</w:p>
        </w:tc>
      </w:tr>
      <w:tr w:rsidR="00B23097" w:rsidRPr="00A96682" w14:paraId="2D7613A2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BA66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A96682">
              <w:rPr>
                <w:rFonts w:ascii="Arial" w:hAnsi="Arial" w:cs="Arial"/>
                <w:sz w:val="16"/>
                <w:szCs w:val="16"/>
              </w:rPr>
              <w:t>AVERAGE*</w:t>
            </w:r>
          </w:p>
        </w:tc>
        <w:tc>
          <w:tcPr>
            <w:tcW w:w="1059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2BF73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</w:t>
            </w:r>
          </w:p>
        </w:tc>
        <w:tc>
          <w:tcPr>
            <w:tcW w:w="1416" w:type="pct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15B8CAF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</w:t>
            </w:r>
          </w:p>
        </w:tc>
        <w:tc>
          <w:tcPr>
            <w:tcW w:w="1430" w:type="pct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D4FE7A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9.8</w:t>
            </w:r>
          </w:p>
        </w:tc>
      </w:tr>
      <w:tr w:rsidR="00B23097" w:rsidRPr="00A96682" w14:paraId="055F2022" w14:textId="77777777" w:rsidTr="00FF2DE3">
        <w:tc>
          <w:tcPr>
            <w:tcW w:w="5000" w:type="pct"/>
            <w:gridSpan w:val="16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5DC095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3097" w:rsidRPr="00A96682" w14:paraId="2BE86F15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000000" w:themeFill="text1"/>
          </w:tcPr>
          <w:p w14:paraId="2D605D71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64ED8E8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08814F5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000000" w:themeFill="text1"/>
          </w:tcPr>
          <w:p w14:paraId="63CCCFC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434D1BE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00354A3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176DB24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000000" w:themeFill="text1"/>
          </w:tcPr>
          <w:p w14:paraId="665DC08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35B129F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68A2AF2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000000" w:themeFill="text1"/>
          </w:tcPr>
          <w:p w14:paraId="4425881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000000" w:themeFill="text1"/>
          </w:tcPr>
          <w:p w14:paraId="6EE395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3097" w:rsidRPr="00A96682" w14:paraId="4CEF8EE9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FA5578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Edema in soft tissues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34AD921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CA70B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E53200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660191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534F95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C4F147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0CFFA9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14:paraId="05CDF80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9B2129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F7F2A9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C914AC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23097" w:rsidRPr="00A96682" w14:paraId="022248EC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D4A64D3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Global inflammation severity score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0AC6DF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7C3926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A91C01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A42ADB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0CDAE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D3633A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6914F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1562C8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F65CD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354168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F1B10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B23097" w:rsidRPr="00A96682" w14:paraId="1C9125EA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542952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Synovial lining cell </w:t>
            </w:r>
          </w:p>
          <w:p w14:paraId="4FC239B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layer grade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92CBC8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44976D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60C9E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2DAA5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ED5B4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7D43E3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63820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7FE2F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320B5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3E925A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546F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23097" w:rsidRPr="00A96682" w14:paraId="686640EE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6838DD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Cartilage surface change/erosion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5A18E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7A2C9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0E3C9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636E6C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§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4091E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29049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1A98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F1CBB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20978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62CA1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EF0A2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§</w:t>
            </w:r>
          </w:p>
        </w:tc>
      </w:tr>
      <w:tr w:rsidR="00B23097" w:rsidRPr="00A96682" w14:paraId="251ECA6D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D5C979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Subarticular bone erosion/loss grade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9EE6B8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0610C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BED71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74E990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§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D5144D6" w14:textId="77777777" w:rsidR="00B23097" w:rsidRPr="00A3556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1CA8E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C6A66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9EB20E6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5A031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434E2D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F445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§</w:t>
            </w:r>
          </w:p>
        </w:tc>
      </w:tr>
      <w:tr w:rsidR="00B23097" w:rsidRPr="00A96682" w14:paraId="3DA0B546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8903D" w14:textId="77777777" w:rsidR="00B23097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Bone peripheral to joint loss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2496D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57CF90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28F8B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9A53C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4AB3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F839B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CAF3D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CF8D765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C0D31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42DFE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559B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B23097" w:rsidRPr="00A96682" w14:paraId="46FF3BA7" w14:textId="77777777" w:rsidTr="00FF2DE3">
        <w:tc>
          <w:tcPr>
            <w:tcW w:w="109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5723CE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Evidence of new bone/bone remodeling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F058CD2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F83F3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9DDC3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3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B1750BA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80C25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5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AD5EF9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21539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6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90BF97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60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12E7E3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56B5BF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5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8748C4" w14:textId="77777777" w:rsidR="00B23097" w:rsidRPr="00A96682" w:rsidRDefault="00B23097" w:rsidP="00FF2DE3">
            <w:pPr>
              <w:tabs>
                <w:tab w:val="left" w:pos="1440"/>
              </w:tabs>
              <w:suppressAutoHyphens/>
              <w:spacing w:before="20" w:after="2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0111DBDD" w14:textId="78B89627" w:rsidR="00E84EC6" w:rsidRPr="00B23097" w:rsidRDefault="00B23097" w:rsidP="007B15DD">
      <w:pPr>
        <w:spacing w:before="240"/>
        <w:jc w:val="both"/>
      </w:pPr>
      <w:r w:rsidRPr="00B23097">
        <w:rPr>
          <w:b/>
        </w:rPr>
        <w:t>Supplementary Table 2</w:t>
      </w:r>
      <w:r w:rsidR="009F45E0">
        <w:rPr>
          <w:b/>
        </w:rPr>
        <w:t>.</w:t>
      </w:r>
      <w:r w:rsidRPr="00B23097">
        <w:rPr>
          <w:b/>
        </w:rPr>
        <w:t xml:space="preserve"> </w:t>
      </w:r>
      <w:r w:rsidRPr="00B23097">
        <w:rPr>
          <w:i/>
        </w:rPr>
        <w:t>Microscopic Evaluation Individual findings</w:t>
      </w:r>
      <w:r w:rsidR="00775E35">
        <w:rPr>
          <w:i/>
        </w:rPr>
        <w:t xml:space="preserve"> of</w:t>
      </w:r>
      <w:r w:rsidRPr="00B23097">
        <w:rPr>
          <w:i/>
        </w:rPr>
        <w:t xml:space="preserve"> ankle joint</w:t>
      </w:r>
      <w:r>
        <w:rPr>
          <w:i/>
        </w:rPr>
        <w:t xml:space="preserve">. </w:t>
      </w:r>
      <w:r>
        <w:t xml:space="preserve">Detailed analysis of pathology of rat AIA joint slides stained with H&amp;E. </w:t>
      </w:r>
      <w:r w:rsidR="00775E35">
        <w:t>F</w:t>
      </w:r>
      <w:r>
        <w:t xml:space="preserve">our representative slides from diseased rats in case one slide was of poor quality and could not be assessed. However all slides sent were indeed scored. </w:t>
      </w:r>
      <w:r w:rsidRPr="00B23097">
        <w:t>§ The tissue section of the bone/joint was not near the center of the joint, the evaluation of the articular surface of interest in the tissue section was limited and not considered adequate for full ev</w:t>
      </w:r>
      <w:r w:rsidR="00775E35">
        <w:t>aluation</w:t>
      </w:r>
      <w:r>
        <w:t>.</w:t>
      </w:r>
    </w:p>
    <w:p w14:paraId="30A8E01D" w14:textId="7082EFEA" w:rsidR="009F45E0" w:rsidRDefault="009F45E0">
      <w:pPr>
        <w:spacing w:before="0" w:after="200" w:line="276" w:lineRule="auto"/>
      </w:pPr>
      <w:r>
        <w:br w:type="page"/>
      </w:r>
    </w:p>
    <w:p w14:paraId="6A3AE794" w14:textId="6845F434" w:rsidR="00E84EC6" w:rsidRDefault="009F45E0" w:rsidP="009F45E0">
      <w:pPr>
        <w:pStyle w:val="Heading1"/>
      </w:pPr>
      <w:r>
        <w:lastRenderedPageBreak/>
        <w:t xml:space="preserve">Supplementary References </w:t>
      </w:r>
    </w:p>
    <w:p w14:paraId="685C0E7F" w14:textId="77777777" w:rsidR="00E84EC6" w:rsidRPr="00E84EC6" w:rsidRDefault="00E84EC6" w:rsidP="009C753B">
      <w:pPr>
        <w:pStyle w:val="EndNoteBibliography"/>
        <w:spacing w:after="0"/>
        <w:ind w:left="720" w:hanging="720"/>
        <w:jc w:val="both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E84EC6">
        <w:t xml:space="preserve">Huang, J., and MacKerell, A.D., Jr. (2013). CHARMM36 all-atom additive protein force field: validation based on comparison to NMR data. </w:t>
      </w:r>
      <w:r w:rsidRPr="00E84EC6">
        <w:rPr>
          <w:i/>
        </w:rPr>
        <w:t>Journal of computational chemistry</w:t>
      </w:r>
      <w:r w:rsidRPr="00E84EC6">
        <w:t xml:space="preserve"> 34(25)</w:t>
      </w:r>
      <w:r w:rsidRPr="00E84EC6">
        <w:rPr>
          <w:b/>
        </w:rPr>
        <w:t>,</w:t>
      </w:r>
      <w:r w:rsidRPr="00E84EC6">
        <w:t xml:space="preserve"> 2135-2145. doi: 10.1002/jcc.23354.</w:t>
      </w:r>
    </w:p>
    <w:p w14:paraId="09A0C1C7" w14:textId="77777777" w:rsidR="00E84EC6" w:rsidRPr="00E84EC6" w:rsidRDefault="00E84EC6" w:rsidP="009C753B">
      <w:pPr>
        <w:pStyle w:val="EndNoteBibliography"/>
        <w:spacing w:after="0"/>
        <w:ind w:left="720" w:hanging="720"/>
        <w:jc w:val="both"/>
      </w:pPr>
      <w:r w:rsidRPr="00E84EC6">
        <w:t xml:space="preserve">Li, X., Hua, T., Vemuri, K., Ho, J.H., Wu, Y., Wu, L., et al. (2019). Crystal Structure of the Human Cannabinoid Receptor CB2. </w:t>
      </w:r>
      <w:r w:rsidRPr="00E84EC6">
        <w:rPr>
          <w:i/>
        </w:rPr>
        <w:t>Cell</w:t>
      </w:r>
      <w:r w:rsidRPr="00E84EC6">
        <w:t xml:space="preserve"> 176(3)</w:t>
      </w:r>
      <w:r w:rsidRPr="00E84EC6">
        <w:rPr>
          <w:b/>
        </w:rPr>
        <w:t>,</w:t>
      </w:r>
      <w:r w:rsidRPr="00E84EC6">
        <w:t xml:space="preserve"> 459-467.e413. doi: 10.1016/j.cell.2018.12.011.</w:t>
      </w:r>
    </w:p>
    <w:p w14:paraId="0A4B3B8B" w14:textId="77777777" w:rsidR="00E84EC6" w:rsidRPr="00E84EC6" w:rsidRDefault="00E84EC6" w:rsidP="009C753B">
      <w:pPr>
        <w:pStyle w:val="EndNoteBibliography"/>
        <w:spacing w:after="0"/>
        <w:ind w:left="720" w:hanging="720"/>
        <w:jc w:val="both"/>
      </w:pPr>
      <w:r w:rsidRPr="00E84EC6">
        <w:t xml:space="preserve">Lomize, M.A., Pogozheva, I.D., Joo, H., Mosberg, H.I., and Lomize, A.L. (2012). OPM database and PPM web server: resources for positioning of proteins in membranes. </w:t>
      </w:r>
      <w:r w:rsidRPr="00E84EC6">
        <w:rPr>
          <w:i/>
        </w:rPr>
        <w:t>Nucleic acids research</w:t>
      </w:r>
      <w:r w:rsidRPr="00E84EC6">
        <w:t xml:space="preserve"> 40(Database issue)</w:t>
      </w:r>
      <w:r w:rsidRPr="00E84EC6">
        <w:rPr>
          <w:b/>
        </w:rPr>
        <w:t>,</w:t>
      </w:r>
      <w:r w:rsidRPr="00E84EC6">
        <w:t xml:space="preserve"> D370-D376. doi: 10.1093/nar/gkr703.</w:t>
      </w:r>
    </w:p>
    <w:p w14:paraId="17906AC7" w14:textId="77777777" w:rsidR="00E84EC6" w:rsidRPr="00E84EC6" w:rsidRDefault="00E84EC6" w:rsidP="009C753B">
      <w:pPr>
        <w:pStyle w:val="EndNoteBibliography"/>
        <w:ind w:left="720" w:hanging="720"/>
        <w:jc w:val="both"/>
      </w:pPr>
      <w:r w:rsidRPr="00E84EC6">
        <w:t xml:space="preserve">Wu, E.L., Cheng, X., Jo, S., Rui, H., Song, K.C., Dávila-Contreras, E.M., et al. (2014). CHARMM-GUI Membrane Builder toward realistic biological membrane simulations. </w:t>
      </w:r>
      <w:r w:rsidRPr="00E84EC6">
        <w:rPr>
          <w:i/>
        </w:rPr>
        <w:t>Journal of computational chemistry</w:t>
      </w:r>
      <w:r w:rsidRPr="00E84EC6">
        <w:t xml:space="preserve"> 35(27)</w:t>
      </w:r>
      <w:r w:rsidRPr="00E84EC6">
        <w:rPr>
          <w:b/>
        </w:rPr>
        <w:t>,</w:t>
      </w:r>
      <w:r w:rsidRPr="00E84EC6">
        <w:t xml:space="preserve"> 1997-2004. doi: 10.1002/jcc.23702.</w:t>
      </w:r>
    </w:p>
    <w:p w14:paraId="7B65BC41" w14:textId="16215396" w:rsidR="00DE23E8" w:rsidRPr="001549D3" w:rsidRDefault="00E84EC6" w:rsidP="009C753B">
      <w:pPr>
        <w:spacing w:before="240"/>
        <w:jc w:val="both"/>
      </w:pPr>
      <w:r>
        <w:fldChar w:fldCharType="end"/>
      </w:r>
      <w:bookmarkStart w:id="0" w:name="_GoBack"/>
      <w:bookmarkEnd w:id="0"/>
    </w:p>
    <w:sectPr w:rsidR="00DE23E8" w:rsidRPr="001549D3" w:rsidSect="0093429D">
      <w:headerReference w:type="even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94FDB2" w14:textId="77777777" w:rsidR="00D060CF" w:rsidRDefault="00D060CF" w:rsidP="00117666">
      <w:pPr>
        <w:spacing w:after="0"/>
      </w:pPr>
      <w:r>
        <w:separator/>
      </w:r>
    </w:p>
  </w:endnote>
  <w:endnote w:type="continuationSeparator" w:id="0">
    <w:p w14:paraId="14E0830A" w14:textId="77777777" w:rsidR="00D060CF" w:rsidRDefault="00D060CF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389F47D4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C753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389F47D4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C753B">
                      <w:rPr>
                        <w:noProof/>
                        <w:color w:val="000000" w:themeColor="text1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2861AB59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C753B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2861AB59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C753B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709C91" w14:textId="77777777" w:rsidR="00D060CF" w:rsidRDefault="00D060CF" w:rsidP="00117666">
      <w:pPr>
        <w:spacing w:after="0"/>
      </w:pPr>
      <w:r>
        <w:separator/>
      </w:r>
    </w:p>
  </w:footnote>
  <w:footnote w:type="continuationSeparator" w:id="0">
    <w:p w14:paraId="5BACC2C0" w14:textId="77777777" w:rsidR="00D060CF" w:rsidRDefault="00D060CF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Frontiers in Immunol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ED20B5"/>
    <w:rsid w:val="0001436A"/>
    <w:rsid w:val="00034304"/>
    <w:rsid w:val="00035434"/>
    <w:rsid w:val="00052A14"/>
    <w:rsid w:val="00054463"/>
    <w:rsid w:val="00077D53"/>
    <w:rsid w:val="00105FD9"/>
    <w:rsid w:val="00117666"/>
    <w:rsid w:val="001549D3"/>
    <w:rsid w:val="00160065"/>
    <w:rsid w:val="00177D84"/>
    <w:rsid w:val="00195D2F"/>
    <w:rsid w:val="001E54CF"/>
    <w:rsid w:val="0021237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825A2"/>
    <w:rsid w:val="006A751B"/>
    <w:rsid w:val="006B7D14"/>
    <w:rsid w:val="00701727"/>
    <w:rsid w:val="0070566C"/>
    <w:rsid w:val="00714C50"/>
    <w:rsid w:val="00725A7D"/>
    <w:rsid w:val="007501BE"/>
    <w:rsid w:val="00750A93"/>
    <w:rsid w:val="00775E35"/>
    <w:rsid w:val="00777F85"/>
    <w:rsid w:val="00790BB3"/>
    <w:rsid w:val="007B15DD"/>
    <w:rsid w:val="007C206C"/>
    <w:rsid w:val="00817DD6"/>
    <w:rsid w:val="0083759F"/>
    <w:rsid w:val="00885156"/>
    <w:rsid w:val="008F0E37"/>
    <w:rsid w:val="009151AA"/>
    <w:rsid w:val="0093429D"/>
    <w:rsid w:val="00943573"/>
    <w:rsid w:val="00964134"/>
    <w:rsid w:val="00970F7D"/>
    <w:rsid w:val="00994A3D"/>
    <w:rsid w:val="009C2B12"/>
    <w:rsid w:val="009C753B"/>
    <w:rsid w:val="009F45E0"/>
    <w:rsid w:val="00A174D9"/>
    <w:rsid w:val="00AA4D24"/>
    <w:rsid w:val="00AB6715"/>
    <w:rsid w:val="00B1671E"/>
    <w:rsid w:val="00B23097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4EC6"/>
    <w:rsid w:val="00E866C9"/>
    <w:rsid w:val="00EA3D3C"/>
    <w:rsid w:val="00EC090A"/>
    <w:rsid w:val="00ED20B5"/>
    <w:rsid w:val="00F46900"/>
    <w:rsid w:val="00F61D89"/>
    <w:rsid w:val="00FA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63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customStyle="1" w:styleId="EndNoteBibliographyTitle">
    <w:name w:val="EndNote Bibliography Title"/>
    <w:basedOn w:val="Normal"/>
    <w:link w:val="EndNoteBibliographyTitleChar"/>
    <w:rsid w:val="00E84EC6"/>
    <w:pPr>
      <w:spacing w:after="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84EC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E84EC6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84EC6"/>
    <w:rPr>
      <w:rFonts w:ascii="Times New Roma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DCC795C-7851-4582-8ED8-3F239607F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26</TotalTime>
  <Pages>5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Ahmed, Salah</cp:lastModifiedBy>
  <cp:revision>10</cp:revision>
  <cp:lastPrinted>2013-10-03T12:51:00Z</cp:lastPrinted>
  <dcterms:created xsi:type="dcterms:W3CDTF">2019-04-01T02:32:00Z</dcterms:created>
  <dcterms:modified xsi:type="dcterms:W3CDTF">2019-04-02T17:50:00Z</dcterms:modified>
</cp:coreProperties>
</file>