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93" w:type="dxa"/>
        <w:tblLook w:val="04A0" w:firstRow="1" w:lastRow="0" w:firstColumn="1" w:lastColumn="0" w:noHBand="0" w:noVBand="1"/>
      </w:tblPr>
      <w:tblGrid>
        <w:gridCol w:w="520"/>
        <w:gridCol w:w="4877"/>
        <w:gridCol w:w="4503"/>
      </w:tblGrid>
      <w:tr w:rsidR="006B2AFA" w:rsidRPr="006B2AFA" w14:paraId="04674B7E" w14:textId="77777777" w:rsidTr="0071595A">
        <w:trPr>
          <w:trHeight w:val="375"/>
        </w:trPr>
        <w:tc>
          <w:tcPr>
            <w:tcW w:w="520" w:type="dxa"/>
            <w:tcBorders>
              <w:top w:val="nil"/>
              <w:left w:val="nil"/>
              <w:bottom w:val="nil"/>
              <w:right w:val="nil"/>
            </w:tcBorders>
            <w:noWrap/>
            <w:vAlign w:val="bottom"/>
            <w:hideMark/>
          </w:tcPr>
          <w:p w14:paraId="3245B865" w14:textId="77777777" w:rsidR="006B2AFA" w:rsidRPr="006B2AFA" w:rsidRDefault="006B2AFA" w:rsidP="006B2AFA">
            <w:pPr>
              <w:rPr>
                <w:rFonts w:ascii="Calibri" w:hAnsi="Calibri"/>
                <w:b/>
                <w:bCs/>
                <w:color w:val="000000"/>
              </w:rPr>
            </w:pPr>
          </w:p>
        </w:tc>
        <w:tc>
          <w:tcPr>
            <w:tcW w:w="4877" w:type="dxa"/>
            <w:tcBorders>
              <w:top w:val="nil"/>
              <w:left w:val="nil"/>
              <w:bottom w:val="nil"/>
              <w:right w:val="nil"/>
            </w:tcBorders>
            <w:vAlign w:val="bottom"/>
            <w:hideMark/>
          </w:tcPr>
          <w:p w14:paraId="37BFDB80" w14:textId="77777777" w:rsidR="006B2AFA" w:rsidRPr="006B2AFA" w:rsidRDefault="006B2AFA" w:rsidP="006B2AFA">
            <w:pPr>
              <w:rPr>
                <w:rFonts w:ascii="Calibri" w:hAnsi="Calibri"/>
                <w:b/>
                <w:bCs/>
                <w:color w:val="000000"/>
                <w:sz w:val="28"/>
                <w:szCs w:val="28"/>
              </w:rPr>
            </w:pPr>
            <w:r w:rsidRPr="006B2AFA">
              <w:rPr>
                <w:rFonts w:ascii="Calibri" w:hAnsi="Calibri"/>
                <w:b/>
                <w:bCs/>
                <w:color w:val="000000"/>
                <w:sz w:val="28"/>
                <w:szCs w:val="28"/>
              </w:rPr>
              <w:t>Standards for Reporting Qualitative Research (SRQR)*</w:t>
            </w:r>
          </w:p>
        </w:tc>
        <w:tc>
          <w:tcPr>
            <w:tcW w:w="4503" w:type="dxa"/>
            <w:tcBorders>
              <w:top w:val="nil"/>
              <w:left w:val="nil"/>
              <w:bottom w:val="nil"/>
              <w:right w:val="nil"/>
            </w:tcBorders>
            <w:noWrap/>
            <w:vAlign w:val="bottom"/>
            <w:hideMark/>
          </w:tcPr>
          <w:p w14:paraId="56548B0D" w14:textId="77777777" w:rsidR="006B2AFA" w:rsidRPr="006B2AFA" w:rsidRDefault="006B2AFA" w:rsidP="006B2AFA">
            <w:pPr>
              <w:rPr>
                <w:rFonts w:ascii="Calibri" w:hAnsi="Calibri"/>
                <w:color w:val="000000"/>
              </w:rPr>
            </w:pPr>
          </w:p>
        </w:tc>
      </w:tr>
      <w:tr w:rsidR="006B2AFA" w:rsidRPr="006B2AFA" w14:paraId="7B6F17E3" w14:textId="77777777" w:rsidTr="0071595A">
        <w:trPr>
          <w:trHeight w:val="300"/>
        </w:trPr>
        <w:tc>
          <w:tcPr>
            <w:tcW w:w="520" w:type="dxa"/>
            <w:tcBorders>
              <w:top w:val="nil"/>
              <w:left w:val="nil"/>
              <w:bottom w:val="nil"/>
              <w:right w:val="nil"/>
            </w:tcBorders>
            <w:noWrap/>
            <w:vAlign w:val="bottom"/>
            <w:hideMark/>
          </w:tcPr>
          <w:p w14:paraId="09C7C51E" w14:textId="77777777" w:rsidR="006B2AFA" w:rsidRPr="006B2AFA" w:rsidRDefault="006B2AFA" w:rsidP="006B2AFA">
            <w:pPr>
              <w:rPr>
                <w:rFonts w:ascii="Calibri" w:hAnsi="Calibri"/>
                <w:b/>
                <w:bCs/>
                <w:color w:val="000000"/>
              </w:rPr>
            </w:pPr>
          </w:p>
        </w:tc>
        <w:tc>
          <w:tcPr>
            <w:tcW w:w="4877" w:type="dxa"/>
            <w:tcBorders>
              <w:top w:val="nil"/>
              <w:left w:val="nil"/>
              <w:bottom w:val="nil"/>
              <w:right w:val="nil"/>
            </w:tcBorders>
            <w:vAlign w:val="bottom"/>
            <w:hideMark/>
          </w:tcPr>
          <w:p w14:paraId="4FE1C70C" w14:textId="77777777" w:rsidR="006B2AFA" w:rsidRPr="006B2AFA" w:rsidRDefault="006B2AFA" w:rsidP="006B2AFA">
            <w:pPr>
              <w:rPr>
                <w:rFonts w:ascii="Calibri" w:hAnsi="Calibri"/>
                <w:color w:val="0000FF"/>
                <w:u w:val="single"/>
              </w:rPr>
            </w:pPr>
            <w:hyperlink r:id="rId6" w:history="1">
              <w:r w:rsidRPr="006B2AFA">
                <w:rPr>
                  <w:rFonts w:ascii="Calibri" w:hAnsi="Calibri"/>
                  <w:color w:val="0000FF"/>
                  <w:u w:val="single"/>
                </w:rPr>
                <w:t>http://www.equator-network.org/reporting-guidelines/srqr/</w:t>
              </w:r>
            </w:hyperlink>
          </w:p>
        </w:tc>
        <w:tc>
          <w:tcPr>
            <w:tcW w:w="4503" w:type="dxa"/>
            <w:tcBorders>
              <w:top w:val="nil"/>
              <w:left w:val="nil"/>
              <w:bottom w:val="nil"/>
              <w:right w:val="nil"/>
            </w:tcBorders>
            <w:noWrap/>
            <w:vAlign w:val="bottom"/>
            <w:hideMark/>
          </w:tcPr>
          <w:p w14:paraId="239DE536" w14:textId="77777777" w:rsidR="006B2AFA" w:rsidRPr="006B2AFA" w:rsidRDefault="006B2AFA" w:rsidP="006B2AFA">
            <w:pPr>
              <w:rPr>
                <w:rFonts w:ascii="Calibri" w:hAnsi="Calibri"/>
                <w:color w:val="000000"/>
              </w:rPr>
            </w:pPr>
          </w:p>
        </w:tc>
      </w:tr>
      <w:tr w:rsidR="006B2AFA" w:rsidRPr="006B2AFA" w14:paraId="65BF2DF3" w14:textId="77777777" w:rsidTr="0071595A">
        <w:trPr>
          <w:trHeight w:val="375"/>
        </w:trPr>
        <w:tc>
          <w:tcPr>
            <w:tcW w:w="520" w:type="dxa"/>
            <w:tcBorders>
              <w:top w:val="nil"/>
              <w:left w:val="nil"/>
              <w:bottom w:val="nil"/>
              <w:right w:val="nil"/>
            </w:tcBorders>
            <w:noWrap/>
            <w:vAlign w:val="bottom"/>
            <w:hideMark/>
          </w:tcPr>
          <w:p w14:paraId="6FF46668" w14:textId="77777777" w:rsidR="006B2AFA" w:rsidRPr="006B2AFA" w:rsidRDefault="006B2AFA" w:rsidP="006B2AFA">
            <w:pPr>
              <w:rPr>
                <w:rFonts w:ascii="Calibri" w:hAnsi="Calibri"/>
                <w:b/>
                <w:bCs/>
                <w:color w:val="000000"/>
              </w:rPr>
            </w:pPr>
          </w:p>
        </w:tc>
        <w:tc>
          <w:tcPr>
            <w:tcW w:w="4877" w:type="dxa"/>
            <w:tcBorders>
              <w:top w:val="nil"/>
              <w:left w:val="nil"/>
              <w:bottom w:val="nil"/>
              <w:right w:val="nil"/>
            </w:tcBorders>
            <w:vAlign w:val="bottom"/>
            <w:hideMark/>
          </w:tcPr>
          <w:p w14:paraId="0E09A93B" w14:textId="77777777" w:rsidR="006B2AFA" w:rsidRPr="006B2AFA" w:rsidRDefault="006B2AFA" w:rsidP="006B2AFA">
            <w:pPr>
              <w:rPr>
                <w:rFonts w:ascii="Calibri" w:hAnsi="Calibri"/>
                <w:b/>
                <w:bCs/>
                <w:color w:val="000000"/>
                <w:sz w:val="28"/>
                <w:szCs w:val="28"/>
              </w:rPr>
            </w:pPr>
          </w:p>
        </w:tc>
        <w:tc>
          <w:tcPr>
            <w:tcW w:w="4503" w:type="dxa"/>
            <w:tcBorders>
              <w:top w:val="nil"/>
              <w:left w:val="nil"/>
              <w:bottom w:val="nil"/>
              <w:right w:val="nil"/>
            </w:tcBorders>
            <w:noWrap/>
            <w:vAlign w:val="bottom"/>
            <w:hideMark/>
          </w:tcPr>
          <w:p w14:paraId="23AE033E" w14:textId="77777777" w:rsidR="006B2AFA" w:rsidRPr="006B2AFA" w:rsidRDefault="006B2AFA" w:rsidP="006B2AFA">
            <w:pPr>
              <w:rPr>
                <w:rFonts w:ascii="Calibri" w:hAnsi="Calibri"/>
                <w:b/>
                <w:bCs/>
                <w:color w:val="000000"/>
              </w:rPr>
            </w:pPr>
            <w:r w:rsidRPr="006B2AFA">
              <w:rPr>
                <w:rFonts w:ascii="Calibri" w:hAnsi="Calibri"/>
                <w:b/>
                <w:bCs/>
                <w:color w:val="000000"/>
              </w:rPr>
              <w:t>Page/line no(s).</w:t>
            </w:r>
          </w:p>
        </w:tc>
      </w:tr>
      <w:tr w:rsidR="006B2AFA" w:rsidRPr="006B2AFA" w14:paraId="3494F81F" w14:textId="77777777" w:rsidTr="0071595A">
        <w:trPr>
          <w:trHeight w:val="300"/>
        </w:trPr>
        <w:tc>
          <w:tcPr>
            <w:tcW w:w="5397" w:type="dxa"/>
            <w:gridSpan w:val="2"/>
            <w:tcBorders>
              <w:top w:val="nil"/>
              <w:left w:val="nil"/>
              <w:bottom w:val="nil"/>
              <w:right w:val="nil"/>
            </w:tcBorders>
            <w:noWrap/>
            <w:vAlign w:val="bottom"/>
            <w:hideMark/>
          </w:tcPr>
          <w:p w14:paraId="7252A79B" w14:textId="77777777" w:rsidR="006B2AFA" w:rsidRPr="006B2AFA" w:rsidRDefault="006B2AFA" w:rsidP="006B2AFA">
            <w:pPr>
              <w:rPr>
                <w:rFonts w:ascii="Calibri" w:hAnsi="Calibri"/>
                <w:b/>
                <w:bCs/>
                <w:color w:val="000000"/>
              </w:rPr>
            </w:pPr>
            <w:r w:rsidRPr="006B2AFA">
              <w:rPr>
                <w:rFonts w:ascii="Calibri" w:hAnsi="Calibri"/>
                <w:b/>
                <w:bCs/>
                <w:color w:val="000000"/>
              </w:rPr>
              <w:t>Title and abstract</w:t>
            </w:r>
          </w:p>
        </w:tc>
        <w:tc>
          <w:tcPr>
            <w:tcW w:w="4503" w:type="dxa"/>
            <w:tcBorders>
              <w:top w:val="nil"/>
              <w:left w:val="nil"/>
              <w:bottom w:val="nil"/>
              <w:right w:val="nil"/>
            </w:tcBorders>
            <w:noWrap/>
            <w:vAlign w:val="bottom"/>
            <w:hideMark/>
          </w:tcPr>
          <w:p w14:paraId="67F4C776" w14:textId="77777777" w:rsidR="006B2AFA" w:rsidRPr="006B2AFA" w:rsidRDefault="006B2AFA" w:rsidP="006B2AFA">
            <w:pPr>
              <w:rPr>
                <w:rFonts w:ascii="Calibri" w:hAnsi="Calibri"/>
                <w:color w:val="000000"/>
              </w:rPr>
            </w:pPr>
          </w:p>
        </w:tc>
      </w:tr>
      <w:tr w:rsidR="006B2AFA" w:rsidRPr="006B2AFA" w14:paraId="4D7BD5CC" w14:textId="77777777" w:rsidTr="0071595A">
        <w:trPr>
          <w:trHeight w:val="1200"/>
        </w:trPr>
        <w:tc>
          <w:tcPr>
            <w:tcW w:w="520" w:type="dxa"/>
            <w:tcBorders>
              <w:top w:val="nil"/>
              <w:left w:val="nil"/>
              <w:bottom w:val="nil"/>
              <w:right w:val="nil"/>
            </w:tcBorders>
            <w:noWrap/>
            <w:vAlign w:val="bottom"/>
            <w:hideMark/>
          </w:tcPr>
          <w:p w14:paraId="51FF9993" w14:textId="77777777" w:rsidR="006B2AFA" w:rsidRPr="006B2AFA" w:rsidRDefault="006B2AFA" w:rsidP="006B2AFA">
            <w:pPr>
              <w:rPr>
                <w:rFonts w:ascii="Calibri" w:hAnsi="Calibri"/>
                <w:b/>
                <w:bCs/>
                <w:color w:val="000000"/>
              </w:rPr>
            </w:pPr>
          </w:p>
        </w:tc>
        <w:tc>
          <w:tcPr>
            <w:tcW w:w="4877" w:type="dxa"/>
            <w:tcBorders>
              <w:top w:val="single" w:sz="4" w:space="0" w:color="auto"/>
              <w:left w:val="single" w:sz="4" w:space="0" w:color="auto"/>
              <w:bottom w:val="single" w:sz="4" w:space="0" w:color="auto"/>
              <w:right w:val="single" w:sz="4" w:space="0" w:color="auto"/>
            </w:tcBorders>
            <w:hideMark/>
          </w:tcPr>
          <w:p w14:paraId="55B36DD9" w14:textId="77777777" w:rsidR="006B2AFA" w:rsidRPr="006B2AFA" w:rsidRDefault="006B2AFA" w:rsidP="0071595A">
            <w:pPr>
              <w:rPr>
                <w:rFonts w:ascii="Calibri" w:hAnsi="Calibri"/>
                <w:color w:val="000000"/>
              </w:rPr>
            </w:pPr>
            <w:r w:rsidRPr="006B2AFA">
              <w:rPr>
                <w:rFonts w:ascii="Calibri" w:hAnsi="Calibri"/>
                <w:b/>
                <w:bCs/>
                <w:color w:val="000000"/>
              </w:rPr>
              <w:t>Title</w:t>
            </w:r>
            <w:r w:rsidRPr="006B2AFA">
              <w:rPr>
                <w:rFonts w:ascii="Calibri" w:hAnsi="Calibri"/>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4503" w:type="dxa"/>
            <w:tcBorders>
              <w:top w:val="single" w:sz="4" w:space="0" w:color="auto"/>
              <w:left w:val="nil"/>
              <w:bottom w:val="single" w:sz="4" w:space="0" w:color="auto"/>
              <w:right w:val="single" w:sz="4" w:space="0" w:color="auto"/>
            </w:tcBorders>
            <w:noWrap/>
            <w:hideMark/>
          </w:tcPr>
          <w:p w14:paraId="5F8A08AE" w14:textId="41D737F0" w:rsidR="004727C7" w:rsidRDefault="0071595A" w:rsidP="0071595A">
            <w:r>
              <w:rPr>
                <w:rStyle w:val="Strong"/>
              </w:rPr>
              <w:t>Yes –</w:t>
            </w:r>
            <w:r>
              <w:t xml:space="preserve"> Title identifies the study as a concept analysis and clearly states the phenomenon of interest (“Anticipated Stigma in Nursing: A Concept Analysis Informed by Cannabis Use Disclosure”).</w:t>
            </w:r>
            <w:r>
              <w:br/>
            </w:r>
            <w:r>
              <w:rPr>
                <w:rStyle w:val="Strong"/>
              </w:rPr>
              <w:t>Location:</w:t>
            </w:r>
            <w:r>
              <w:t xml:space="preserve"> Page 1, Line 1.</w:t>
            </w:r>
          </w:p>
        </w:tc>
      </w:tr>
      <w:tr w:rsidR="006B2AFA" w:rsidRPr="006B2AFA" w14:paraId="578DE300" w14:textId="77777777" w:rsidTr="0071595A">
        <w:trPr>
          <w:trHeight w:val="900"/>
        </w:trPr>
        <w:tc>
          <w:tcPr>
            <w:tcW w:w="520" w:type="dxa"/>
            <w:tcBorders>
              <w:top w:val="nil"/>
              <w:left w:val="nil"/>
              <w:bottom w:val="nil"/>
              <w:right w:val="nil"/>
            </w:tcBorders>
            <w:noWrap/>
            <w:vAlign w:val="bottom"/>
            <w:hideMark/>
          </w:tcPr>
          <w:p w14:paraId="22C5E41A"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1CCC8FFD" w14:textId="77777777" w:rsidR="006B2AFA" w:rsidRPr="006B2AFA" w:rsidRDefault="006B2AFA" w:rsidP="0071595A">
            <w:pPr>
              <w:rPr>
                <w:rFonts w:ascii="Calibri" w:hAnsi="Calibri"/>
                <w:color w:val="000000"/>
              </w:rPr>
            </w:pPr>
            <w:r w:rsidRPr="006B2AFA">
              <w:rPr>
                <w:rFonts w:ascii="Calibri" w:hAnsi="Calibri"/>
                <w:b/>
                <w:bCs/>
                <w:color w:val="000000"/>
              </w:rPr>
              <w:t>Abstract</w:t>
            </w:r>
            <w:r w:rsidRPr="006B2AFA">
              <w:rPr>
                <w:rFonts w:ascii="Calibri" w:hAnsi="Calibri"/>
                <w:color w:val="000000"/>
              </w:rPr>
              <w:t xml:space="preserve">  - Summary of key elements of the study using the abstract format of the intended publication; typically includes background, purpose, methods, results, and conclusions</w:t>
            </w:r>
          </w:p>
        </w:tc>
        <w:tc>
          <w:tcPr>
            <w:tcW w:w="4503" w:type="dxa"/>
            <w:tcBorders>
              <w:top w:val="nil"/>
              <w:left w:val="nil"/>
              <w:bottom w:val="single" w:sz="4" w:space="0" w:color="auto"/>
              <w:right w:val="single" w:sz="4" w:space="0" w:color="auto"/>
            </w:tcBorders>
            <w:noWrap/>
            <w:hideMark/>
          </w:tcPr>
          <w:p w14:paraId="6EBCAEE1" w14:textId="1C37A44C" w:rsidR="004727C7" w:rsidRDefault="0071595A" w:rsidP="0071595A">
            <w:r>
              <w:rPr>
                <w:rStyle w:val="Strong"/>
              </w:rPr>
              <w:t>Yes –</w:t>
            </w:r>
            <w:r>
              <w:t xml:space="preserve"> Structured abstract includes aim, design, data sources, review methods, results, conclusion, and impact, followed by a note on patient/public contribution and key words.</w:t>
            </w:r>
            <w:r>
              <w:br/>
            </w:r>
            <w:r>
              <w:rPr>
                <w:rStyle w:val="Strong"/>
              </w:rPr>
              <w:t>Location:</w:t>
            </w:r>
            <w:r>
              <w:t xml:space="preserve"> Page 1, Lines 3–23; Page 2, Lines 24 &amp; 26–27.</w:t>
            </w:r>
          </w:p>
        </w:tc>
      </w:tr>
      <w:tr w:rsidR="006B2AFA" w:rsidRPr="006B2AFA" w14:paraId="12A6328F" w14:textId="77777777" w:rsidTr="0071595A">
        <w:trPr>
          <w:trHeight w:val="300"/>
        </w:trPr>
        <w:tc>
          <w:tcPr>
            <w:tcW w:w="5397" w:type="dxa"/>
            <w:gridSpan w:val="2"/>
            <w:tcBorders>
              <w:top w:val="nil"/>
              <w:left w:val="nil"/>
              <w:bottom w:val="nil"/>
              <w:right w:val="nil"/>
            </w:tcBorders>
            <w:noWrap/>
            <w:hideMark/>
          </w:tcPr>
          <w:p w14:paraId="4D9AE825" w14:textId="77777777" w:rsidR="006B2AFA" w:rsidRPr="006B2AFA" w:rsidRDefault="006B2AFA" w:rsidP="0071595A">
            <w:pPr>
              <w:rPr>
                <w:rFonts w:ascii="Calibri" w:hAnsi="Calibri"/>
                <w:b/>
                <w:bCs/>
                <w:color w:val="000000"/>
              </w:rPr>
            </w:pPr>
            <w:r w:rsidRPr="006B2AFA">
              <w:rPr>
                <w:rFonts w:ascii="Calibri" w:hAnsi="Calibri"/>
                <w:b/>
                <w:bCs/>
                <w:color w:val="000000"/>
              </w:rPr>
              <w:t>Introduction</w:t>
            </w:r>
          </w:p>
        </w:tc>
        <w:tc>
          <w:tcPr>
            <w:tcW w:w="4503" w:type="dxa"/>
            <w:tcBorders>
              <w:top w:val="nil"/>
              <w:left w:val="nil"/>
              <w:bottom w:val="nil"/>
              <w:right w:val="nil"/>
            </w:tcBorders>
            <w:noWrap/>
            <w:hideMark/>
          </w:tcPr>
          <w:p w14:paraId="4AC8C123" w14:textId="4ED89B2D" w:rsidR="004727C7" w:rsidRDefault="004727C7" w:rsidP="0071595A"/>
        </w:tc>
      </w:tr>
      <w:tr w:rsidR="006B2AFA" w:rsidRPr="006B2AFA" w14:paraId="793082DD" w14:textId="77777777" w:rsidTr="0071595A">
        <w:trPr>
          <w:trHeight w:val="900"/>
        </w:trPr>
        <w:tc>
          <w:tcPr>
            <w:tcW w:w="520" w:type="dxa"/>
            <w:tcBorders>
              <w:top w:val="nil"/>
              <w:left w:val="nil"/>
              <w:bottom w:val="nil"/>
              <w:right w:val="nil"/>
            </w:tcBorders>
            <w:noWrap/>
            <w:vAlign w:val="bottom"/>
            <w:hideMark/>
          </w:tcPr>
          <w:p w14:paraId="0CEE5F6F" w14:textId="77777777" w:rsidR="006B2AFA" w:rsidRPr="006B2AFA" w:rsidRDefault="006B2AFA" w:rsidP="006B2AFA">
            <w:pPr>
              <w:rPr>
                <w:rFonts w:ascii="Calibri" w:hAnsi="Calibri"/>
                <w:b/>
                <w:bCs/>
                <w:color w:val="000000"/>
              </w:rPr>
            </w:pPr>
          </w:p>
        </w:tc>
        <w:tc>
          <w:tcPr>
            <w:tcW w:w="4877" w:type="dxa"/>
            <w:tcBorders>
              <w:top w:val="single" w:sz="4" w:space="0" w:color="auto"/>
              <w:left w:val="single" w:sz="4" w:space="0" w:color="auto"/>
              <w:bottom w:val="single" w:sz="4" w:space="0" w:color="auto"/>
              <w:right w:val="single" w:sz="4" w:space="0" w:color="auto"/>
            </w:tcBorders>
            <w:hideMark/>
          </w:tcPr>
          <w:p w14:paraId="2FCFE3BE" w14:textId="77777777" w:rsidR="006B2AFA" w:rsidRPr="006B2AFA" w:rsidRDefault="006B2AFA" w:rsidP="0071595A">
            <w:pPr>
              <w:rPr>
                <w:rFonts w:ascii="Calibri" w:hAnsi="Calibri"/>
                <w:color w:val="000000"/>
              </w:rPr>
            </w:pPr>
            <w:r w:rsidRPr="006B2AFA">
              <w:rPr>
                <w:rFonts w:ascii="Calibri" w:hAnsi="Calibri"/>
                <w:b/>
                <w:bCs/>
                <w:color w:val="000000"/>
              </w:rPr>
              <w:t>Problem formulation</w:t>
            </w:r>
            <w:r w:rsidRPr="006B2AFA">
              <w:rPr>
                <w:rFonts w:ascii="Calibri" w:hAnsi="Calibri"/>
                <w:color w:val="000000"/>
              </w:rPr>
              <w:t xml:space="preserve"> - Description and significance of the problem/phenomenon studied; review of relevant theory and empirical work; problem statement</w:t>
            </w:r>
          </w:p>
        </w:tc>
        <w:tc>
          <w:tcPr>
            <w:tcW w:w="4503" w:type="dxa"/>
            <w:tcBorders>
              <w:top w:val="single" w:sz="4" w:space="0" w:color="auto"/>
              <w:left w:val="nil"/>
              <w:bottom w:val="single" w:sz="4" w:space="0" w:color="auto"/>
              <w:right w:val="single" w:sz="4" w:space="0" w:color="auto"/>
            </w:tcBorders>
            <w:noWrap/>
            <w:hideMark/>
          </w:tcPr>
          <w:p w14:paraId="5560AF43" w14:textId="371620A7" w:rsidR="004727C7" w:rsidRDefault="0071595A" w:rsidP="0071595A">
            <w:r>
              <w:rPr>
                <w:rStyle w:val="Strong"/>
              </w:rPr>
              <w:t>Yes –</w:t>
            </w:r>
            <w:r>
              <w:t xml:space="preserve"> Introduction and Background describe anticipated stigma as a future-oriented expectation of prejudice, devaluation, or discrimination; summarize interdisciplinary theory and frameworks (e.g., Goffman, Minority Stress, Conservation of Resources); and identify the gap in nursing scholarship and relevance to cannabis disclosure.</w:t>
            </w:r>
            <w:r>
              <w:br/>
            </w:r>
            <w:r>
              <w:rPr>
                <w:rStyle w:val="Strong"/>
              </w:rPr>
              <w:t>Location:</w:t>
            </w:r>
            <w:r>
              <w:t xml:space="preserve"> Page 3, Lines 49–67; Page 4, Lines 70–76; Page 5, Lines 100–114; Page 6, Lines 115–124, 126–137.</w:t>
            </w:r>
          </w:p>
        </w:tc>
      </w:tr>
      <w:tr w:rsidR="006B2AFA" w:rsidRPr="006B2AFA" w14:paraId="679C5AD0" w14:textId="77777777" w:rsidTr="0071595A">
        <w:trPr>
          <w:trHeight w:val="600"/>
        </w:trPr>
        <w:tc>
          <w:tcPr>
            <w:tcW w:w="520" w:type="dxa"/>
            <w:tcBorders>
              <w:top w:val="nil"/>
              <w:left w:val="nil"/>
              <w:bottom w:val="nil"/>
              <w:right w:val="nil"/>
            </w:tcBorders>
            <w:noWrap/>
            <w:vAlign w:val="bottom"/>
            <w:hideMark/>
          </w:tcPr>
          <w:p w14:paraId="55195D35"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49199CEF" w14:textId="77777777" w:rsidR="006B2AFA" w:rsidRPr="006B2AFA" w:rsidRDefault="006B2AFA" w:rsidP="0071595A">
            <w:pPr>
              <w:rPr>
                <w:rFonts w:ascii="Calibri" w:hAnsi="Calibri"/>
                <w:color w:val="000000"/>
              </w:rPr>
            </w:pPr>
            <w:r w:rsidRPr="006B2AFA">
              <w:rPr>
                <w:rFonts w:ascii="Calibri" w:hAnsi="Calibri"/>
                <w:b/>
                <w:bCs/>
                <w:color w:val="000000"/>
              </w:rPr>
              <w:t>Purpose or research questio</w:t>
            </w:r>
            <w:r w:rsidRPr="006B2AFA">
              <w:rPr>
                <w:rFonts w:ascii="Calibri" w:hAnsi="Calibri"/>
                <w:color w:val="000000"/>
              </w:rPr>
              <w:t>n - Purpose of the study and specific objectives or questions</w:t>
            </w:r>
          </w:p>
        </w:tc>
        <w:tc>
          <w:tcPr>
            <w:tcW w:w="4503" w:type="dxa"/>
            <w:tcBorders>
              <w:top w:val="nil"/>
              <w:left w:val="nil"/>
              <w:bottom w:val="single" w:sz="4" w:space="0" w:color="auto"/>
              <w:right w:val="single" w:sz="4" w:space="0" w:color="auto"/>
            </w:tcBorders>
            <w:noWrap/>
            <w:hideMark/>
          </w:tcPr>
          <w:p w14:paraId="76A65F21" w14:textId="1C335725" w:rsidR="004727C7" w:rsidRDefault="0071595A" w:rsidP="0071595A">
            <w:r>
              <w:rPr>
                <w:rStyle w:val="Strong"/>
              </w:rPr>
              <w:t>Yes –</w:t>
            </w:r>
            <w:r>
              <w:t xml:space="preserve"> Purpose is clearly stated in the abstract and reiterated at the end of the introduction: to clarify the concept of anticipated stigma using Rodgers and </w:t>
            </w:r>
            <w:proofErr w:type="spellStart"/>
            <w:r>
              <w:t>Knafl’s</w:t>
            </w:r>
            <w:proofErr w:type="spellEnd"/>
            <w:r>
              <w:t xml:space="preserve"> evolutionary concept analysis and to examine its relevance to cannabis use disclosure and nursing practice.</w:t>
            </w:r>
            <w:r>
              <w:br/>
            </w:r>
            <w:r>
              <w:rPr>
                <w:rStyle w:val="Strong"/>
              </w:rPr>
              <w:t>Location:</w:t>
            </w:r>
            <w:r>
              <w:t xml:space="preserve"> Page 1, Lines 3–6; Page 4, Lines 73–76.</w:t>
            </w:r>
          </w:p>
        </w:tc>
      </w:tr>
      <w:tr w:rsidR="006B2AFA" w:rsidRPr="006B2AFA" w14:paraId="5C4334D9" w14:textId="77777777" w:rsidTr="0071595A">
        <w:trPr>
          <w:trHeight w:val="300"/>
        </w:trPr>
        <w:tc>
          <w:tcPr>
            <w:tcW w:w="5397" w:type="dxa"/>
            <w:gridSpan w:val="2"/>
            <w:tcBorders>
              <w:top w:val="nil"/>
              <w:left w:val="nil"/>
              <w:bottom w:val="nil"/>
              <w:right w:val="nil"/>
            </w:tcBorders>
            <w:noWrap/>
            <w:hideMark/>
          </w:tcPr>
          <w:p w14:paraId="419A278A" w14:textId="77777777" w:rsidR="006B2AFA" w:rsidRPr="006B2AFA" w:rsidRDefault="006B2AFA" w:rsidP="0071595A">
            <w:pPr>
              <w:rPr>
                <w:rFonts w:ascii="Calibri" w:hAnsi="Calibri"/>
                <w:b/>
                <w:bCs/>
                <w:color w:val="000000"/>
              </w:rPr>
            </w:pPr>
            <w:r w:rsidRPr="006B2AFA">
              <w:rPr>
                <w:rFonts w:ascii="Calibri" w:hAnsi="Calibri"/>
                <w:b/>
                <w:bCs/>
                <w:color w:val="000000"/>
              </w:rPr>
              <w:t>Methods</w:t>
            </w:r>
          </w:p>
        </w:tc>
        <w:tc>
          <w:tcPr>
            <w:tcW w:w="4503" w:type="dxa"/>
            <w:tcBorders>
              <w:top w:val="nil"/>
              <w:left w:val="nil"/>
              <w:bottom w:val="nil"/>
              <w:right w:val="nil"/>
            </w:tcBorders>
            <w:noWrap/>
            <w:hideMark/>
          </w:tcPr>
          <w:p w14:paraId="51EBC075" w14:textId="5224B189" w:rsidR="004727C7" w:rsidRDefault="004727C7" w:rsidP="0071595A"/>
        </w:tc>
      </w:tr>
      <w:tr w:rsidR="006B2AFA" w:rsidRPr="006B2AFA" w14:paraId="12248CB0" w14:textId="77777777" w:rsidTr="0071595A">
        <w:trPr>
          <w:trHeight w:val="1500"/>
        </w:trPr>
        <w:tc>
          <w:tcPr>
            <w:tcW w:w="520" w:type="dxa"/>
            <w:tcBorders>
              <w:top w:val="nil"/>
              <w:left w:val="nil"/>
              <w:bottom w:val="nil"/>
              <w:right w:val="nil"/>
            </w:tcBorders>
            <w:vAlign w:val="bottom"/>
            <w:hideMark/>
          </w:tcPr>
          <w:p w14:paraId="194F5BB3" w14:textId="77777777" w:rsidR="006B2AFA" w:rsidRPr="006B2AFA" w:rsidRDefault="006B2AFA" w:rsidP="006B2AFA">
            <w:pPr>
              <w:rPr>
                <w:rFonts w:ascii="Calibri" w:hAnsi="Calibri"/>
                <w:b/>
                <w:bCs/>
                <w:color w:val="000000"/>
              </w:rPr>
            </w:pPr>
          </w:p>
        </w:tc>
        <w:tc>
          <w:tcPr>
            <w:tcW w:w="4877" w:type="dxa"/>
            <w:tcBorders>
              <w:top w:val="single" w:sz="4" w:space="0" w:color="auto"/>
              <w:left w:val="single" w:sz="4" w:space="0" w:color="auto"/>
              <w:bottom w:val="single" w:sz="4" w:space="0" w:color="auto"/>
              <w:right w:val="single" w:sz="4" w:space="0" w:color="auto"/>
            </w:tcBorders>
            <w:hideMark/>
          </w:tcPr>
          <w:p w14:paraId="147DA6F7" w14:textId="77777777" w:rsidR="006B2AFA" w:rsidRPr="006B2AFA" w:rsidRDefault="006B2AFA" w:rsidP="0071595A">
            <w:pPr>
              <w:rPr>
                <w:rFonts w:ascii="Calibri" w:hAnsi="Calibri"/>
                <w:color w:val="000000"/>
              </w:rPr>
            </w:pPr>
            <w:r w:rsidRPr="006B2AFA">
              <w:rPr>
                <w:rFonts w:ascii="Calibri" w:hAnsi="Calibri"/>
                <w:b/>
                <w:bCs/>
                <w:color w:val="000000"/>
              </w:rPr>
              <w:t>Qualitative approach and research paradigm</w:t>
            </w:r>
            <w:r w:rsidRPr="006B2AFA">
              <w:rPr>
                <w:rFonts w:ascii="Calibri" w:hAnsi="Calibri"/>
                <w:color w:val="000000"/>
              </w:rPr>
              <w:t xml:space="preserve"> - Qualitative approach (e.g., ethnography, grounded theory, case study, phenomenology, narrative research) and guiding theory if appropriate; identifying the research paradigm (e.g., postpositivist, constructivist/ </w:t>
            </w:r>
            <w:r w:rsidRPr="006B2AFA">
              <w:rPr>
                <w:rFonts w:ascii="Calibri" w:hAnsi="Calibri"/>
                <w:color w:val="000000"/>
              </w:rPr>
              <w:lastRenderedPageBreak/>
              <w:t>interpretivist) is also recommended; rationale**</w:t>
            </w:r>
          </w:p>
        </w:tc>
        <w:tc>
          <w:tcPr>
            <w:tcW w:w="4503" w:type="dxa"/>
            <w:tcBorders>
              <w:top w:val="single" w:sz="4" w:space="0" w:color="auto"/>
              <w:left w:val="nil"/>
              <w:bottom w:val="single" w:sz="4" w:space="0" w:color="auto"/>
              <w:right w:val="single" w:sz="4" w:space="0" w:color="auto"/>
            </w:tcBorders>
            <w:hideMark/>
          </w:tcPr>
          <w:p w14:paraId="337B0967" w14:textId="219DFA9C" w:rsidR="004727C7" w:rsidRDefault="0071595A" w:rsidP="0071595A">
            <w:r>
              <w:rPr>
                <w:rStyle w:val="Strong"/>
              </w:rPr>
              <w:lastRenderedPageBreak/>
              <w:t>Yes –</w:t>
            </w:r>
            <w:r>
              <w:t xml:space="preserve"> A concept analysis of anticipated stigma is conducted using Rodgers and </w:t>
            </w:r>
            <w:proofErr w:type="spellStart"/>
            <w:r>
              <w:t>Knafl’s</w:t>
            </w:r>
            <w:proofErr w:type="spellEnd"/>
            <w:r>
              <w:t xml:space="preserve"> (2000) evolutionary method, emphasizing concepts as dynamic and context-dependent and detailing six iterative strategies (identifying the concept, sampling </w:t>
            </w:r>
            <w:r>
              <w:lastRenderedPageBreak/>
              <w:t>literature, extracting data, analyzing and summarizing, identifying a model case, and proposing implications). This interpretive, context-sensitive approach aligns with an interpretivist/constructivist paradigm and is explicitly linked to SRQR/EQUATOR guidance.</w:t>
            </w:r>
            <w:r>
              <w:br/>
            </w:r>
            <w:r>
              <w:rPr>
                <w:rStyle w:val="Strong"/>
              </w:rPr>
              <w:t>Location:</w:t>
            </w:r>
            <w:r>
              <w:t xml:space="preserve"> Page 9, Lines 189–196; Page 9–10, Lines 197–206; Page 10, Lines 207–213.</w:t>
            </w:r>
          </w:p>
        </w:tc>
      </w:tr>
      <w:tr w:rsidR="006B2AFA" w:rsidRPr="006B2AFA" w14:paraId="337755E8" w14:textId="77777777" w:rsidTr="0071595A">
        <w:trPr>
          <w:trHeight w:val="1800"/>
        </w:trPr>
        <w:tc>
          <w:tcPr>
            <w:tcW w:w="520" w:type="dxa"/>
            <w:tcBorders>
              <w:top w:val="nil"/>
              <w:left w:val="nil"/>
              <w:bottom w:val="nil"/>
              <w:right w:val="nil"/>
            </w:tcBorders>
            <w:noWrap/>
            <w:vAlign w:val="bottom"/>
            <w:hideMark/>
          </w:tcPr>
          <w:p w14:paraId="1F35EE5E"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730648FD" w14:textId="77777777" w:rsidR="006B2AFA" w:rsidRPr="006B2AFA" w:rsidRDefault="006B2AFA" w:rsidP="0071595A">
            <w:pPr>
              <w:rPr>
                <w:rFonts w:ascii="Calibri" w:hAnsi="Calibri"/>
                <w:color w:val="000000"/>
              </w:rPr>
            </w:pPr>
            <w:r w:rsidRPr="006B2AFA">
              <w:rPr>
                <w:rFonts w:ascii="Calibri" w:hAnsi="Calibri"/>
                <w:b/>
                <w:bCs/>
                <w:color w:val="000000"/>
              </w:rPr>
              <w:t xml:space="preserve">Researcher characteristics and reflexivity </w:t>
            </w:r>
            <w:r w:rsidRPr="006B2AFA">
              <w:rPr>
                <w:rFonts w:ascii="Calibri" w:hAnsi="Calibri"/>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4503" w:type="dxa"/>
            <w:tcBorders>
              <w:top w:val="nil"/>
              <w:left w:val="nil"/>
              <w:bottom w:val="single" w:sz="4" w:space="0" w:color="auto"/>
              <w:right w:val="single" w:sz="4" w:space="0" w:color="auto"/>
            </w:tcBorders>
            <w:noWrap/>
            <w:hideMark/>
          </w:tcPr>
          <w:p w14:paraId="532AFEA1" w14:textId="384660AE" w:rsidR="004727C7" w:rsidRDefault="0071595A" w:rsidP="0071595A">
            <w:r>
              <w:rPr>
                <w:rStyle w:val="Strong"/>
              </w:rPr>
              <w:t xml:space="preserve">N/A </w:t>
            </w:r>
          </w:p>
        </w:tc>
      </w:tr>
      <w:tr w:rsidR="006B2AFA" w:rsidRPr="006B2AFA" w14:paraId="2903E98C" w14:textId="77777777" w:rsidTr="0071595A">
        <w:trPr>
          <w:trHeight w:val="300"/>
        </w:trPr>
        <w:tc>
          <w:tcPr>
            <w:tcW w:w="520" w:type="dxa"/>
            <w:tcBorders>
              <w:top w:val="nil"/>
              <w:left w:val="nil"/>
              <w:bottom w:val="nil"/>
              <w:right w:val="nil"/>
            </w:tcBorders>
            <w:noWrap/>
            <w:vAlign w:val="bottom"/>
            <w:hideMark/>
          </w:tcPr>
          <w:p w14:paraId="042782F2"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7AD73356" w14:textId="77777777" w:rsidR="006B2AFA" w:rsidRPr="006B2AFA" w:rsidRDefault="006B2AFA" w:rsidP="0071595A">
            <w:pPr>
              <w:rPr>
                <w:rFonts w:ascii="Calibri" w:hAnsi="Calibri"/>
                <w:color w:val="000000"/>
              </w:rPr>
            </w:pPr>
            <w:r w:rsidRPr="006B2AFA">
              <w:rPr>
                <w:rFonts w:ascii="Calibri" w:hAnsi="Calibri"/>
                <w:b/>
                <w:bCs/>
                <w:color w:val="000000"/>
              </w:rPr>
              <w:t>Context</w:t>
            </w:r>
            <w:r w:rsidRPr="006B2AFA">
              <w:rPr>
                <w:rFonts w:ascii="Calibri" w:hAnsi="Calibri"/>
                <w:color w:val="000000"/>
              </w:rPr>
              <w:t xml:space="preserve"> - Setting/site and salient contextual factors; rationale</w:t>
            </w:r>
            <w:r>
              <w:rPr>
                <w:rFonts w:ascii="Calibri" w:hAnsi="Calibri"/>
                <w:color w:val="000000"/>
              </w:rPr>
              <w:t>**</w:t>
            </w:r>
          </w:p>
        </w:tc>
        <w:tc>
          <w:tcPr>
            <w:tcW w:w="4503" w:type="dxa"/>
            <w:tcBorders>
              <w:top w:val="nil"/>
              <w:left w:val="nil"/>
              <w:bottom w:val="single" w:sz="4" w:space="0" w:color="auto"/>
              <w:right w:val="single" w:sz="4" w:space="0" w:color="auto"/>
            </w:tcBorders>
            <w:noWrap/>
            <w:hideMark/>
          </w:tcPr>
          <w:p w14:paraId="2CD957A4" w14:textId="0004459E" w:rsidR="004727C7" w:rsidRPr="0071595A" w:rsidRDefault="00000000" w:rsidP="0071595A">
            <w:pPr>
              <w:rPr>
                <w:b/>
                <w:bCs/>
              </w:rPr>
            </w:pPr>
            <w:r w:rsidRPr="0071595A">
              <w:rPr>
                <w:b/>
                <w:bCs/>
              </w:rPr>
              <w:t>N/A</w:t>
            </w:r>
          </w:p>
        </w:tc>
      </w:tr>
      <w:tr w:rsidR="006B2AFA" w:rsidRPr="006B2AFA" w14:paraId="5C079F07" w14:textId="77777777" w:rsidTr="0071595A">
        <w:trPr>
          <w:trHeight w:val="900"/>
        </w:trPr>
        <w:tc>
          <w:tcPr>
            <w:tcW w:w="520" w:type="dxa"/>
            <w:tcBorders>
              <w:top w:val="nil"/>
              <w:left w:val="nil"/>
              <w:bottom w:val="nil"/>
              <w:right w:val="nil"/>
            </w:tcBorders>
            <w:noWrap/>
            <w:vAlign w:val="bottom"/>
            <w:hideMark/>
          </w:tcPr>
          <w:p w14:paraId="162377D4"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69B8BCEE" w14:textId="77777777" w:rsidR="006B2AFA" w:rsidRPr="006B2AFA" w:rsidRDefault="006B2AFA" w:rsidP="0071595A">
            <w:pPr>
              <w:rPr>
                <w:rFonts w:ascii="Calibri" w:hAnsi="Calibri"/>
                <w:color w:val="000000"/>
              </w:rPr>
            </w:pPr>
            <w:r w:rsidRPr="006B2AFA">
              <w:rPr>
                <w:rFonts w:ascii="Calibri" w:hAnsi="Calibri"/>
                <w:b/>
                <w:bCs/>
                <w:color w:val="000000"/>
              </w:rPr>
              <w:t>Sampling strategy</w:t>
            </w:r>
            <w:r w:rsidRPr="006B2AFA">
              <w:rPr>
                <w:rFonts w:ascii="Calibri" w:hAnsi="Calibri"/>
                <w:color w:val="000000"/>
              </w:rPr>
              <w:t xml:space="preserve"> - How and why research participants, documents, or events were selected; criteria for deciding when no further sampling was necessary (e.g., sampling saturation); rationale**</w:t>
            </w:r>
          </w:p>
        </w:tc>
        <w:tc>
          <w:tcPr>
            <w:tcW w:w="4503" w:type="dxa"/>
            <w:tcBorders>
              <w:top w:val="nil"/>
              <w:left w:val="nil"/>
              <w:bottom w:val="single" w:sz="4" w:space="0" w:color="auto"/>
              <w:right w:val="single" w:sz="4" w:space="0" w:color="auto"/>
            </w:tcBorders>
            <w:noWrap/>
            <w:hideMark/>
          </w:tcPr>
          <w:p w14:paraId="6F34EA26" w14:textId="02F10665" w:rsidR="004727C7" w:rsidRDefault="0071595A" w:rsidP="0071595A">
            <w:r>
              <w:rPr>
                <w:rStyle w:val="Strong"/>
              </w:rPr>
              <w:t>Yes –</w:t>
            </w:r>
            <w:r>
              <w:t xml:space="preserve"> A purposive, interdisciplinary sampling strategy is described: iterative semantic searches using Elicit; supplementary keyword searches in PsycINFO and CINAHL; citation chaining; and integration of seminal sources from prior integrative reviews. Inclusion and exclusion criteria for empirical, theoretical, and concept-analytic sources are detailed, and the final sample is defined as 31 core sources plus 34 additional conceptual/theoretical sources spanning 1963–2024.</w:t>
            </w:r>
            <w:r>
              <w:br/>
            </w:r>
            <w:r>
              <w:rPr>
                <w:rStyle w:val="Strong"/>
              </w:rPr>
              <w:t>Location:</w:t>
            </w:r>
            <w:r>
              <w:t xml:space="preserve"> Page 10–11, Lines 215–223 and 230–250; “Eligibility Criteria and Study Selection,” Lines 236–247.</w:t>
            </w:r>
          </w:p>
        </w:tc>
      </w:tr>
      <w:tr w:rsidR="006B2AFA" w:rsidRPr="006B2AFA" w14:paraId="50ABD337" w14:textId="77777777" w:rsidTr="0071595A">
        <w:trPr>
          <w:trHeight w:val="900"/>
        </w:trPr>
        <w:tc>
          <w:tcPr>
            <w:tcW w:w="520" w:type="dxa"/>
            <w:tcBorders>
              <w:top w:val="nil"/>
              <w:left w:val="nil"/>
              <w:bottom w:val="nil"/>
              <w:right w:val="nil"/>
            </w:tcBorders>
            <w:noWrap/>
            <w:vAlign w:val="bottom"/>
            <w:hideMark/>
          </w:tcPr>
          <w:p w14:paraId="2B6CA6B0"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02436AEF" w14:textId="77777777" w:rsidR="006B2AFA" w:rsidRPr="006B2AFA" w:rsidRDefault="006B2AFA" w:rsidP="0071595A">
            <w:pPr>
              <w:rPr>
                <w:rFonts w:ascii="Calibri" w:hAnsi="Calibri"/>
                <w:color w:val="000000"/>
              </w:rPr>
            </w:pPr>
            <w:r w:rsidRPr="006B2AFA">
              <w:rPr>
                <w:rFonts w:ascii="Calibri" w:hAnsi="Calibri"/>
                <w:b/>
                <w:bCs/>
                <w:color w:val="000000"/>
              </w:rPr>
              <w:t xml:space="preserve">Ethical issues pertaining to human subjects </w:t>
            </w:r>
            <w:r w:rsidRPr="006B2AFA">
              <w:rPr>
                <w:rFonts w:ascii="Calibri" w:hAnsi="Calibri"/>
                <w:color w:val="000000"/>
              </w:rPr>
              <w:t>- Documentation of approval by an appropriate ethics review board and participant consent, or explanation for lack thereof; other confidentiality and data security issues</w:t>
            </w:r>
          </w:p>
        </w:tc>
        <w:tc>
          <w:tcPr>
            <w:tcW w:w="4503" w:type="dxa"/>
            <w:tcBorders>
              <w:top w:val="nil"/>
              <w:left w:val="nil"/>
              <w:bottom w:val="single" w:sz="4" w:space="0" w:color="auto"/>
              <w:right w:val="single" w:sz="4" w:space="0" w:color="auto"/>
            </w:tcBorders>
            <w:noWrap/>
            <w:hideMark/>
          </w:tcPr>
          <w:p w14:paraId="6F6A00C1" w14:textId="43C8578C" w:rsidR="004727C7" w:rsidRDefault="0071595A" w:rsidP="0071595A">
            <w:r w:rsidRPr="0071595A">
              <w:rPr>
                <w:b/>
                <w:bCs/>
              </w:rPr>
              <w:t>N/A</w:t>
            </w:r>
          </w:p>
        </w:tc>
      </w:tr>
      <w:tr w:rsidR="006B2AFA" w:rsidRPr="006B2AFA" w14:paraId="3822DD43" w14:textId="77777777" w:rsidTr="0071595A">
        <w:trPr>
          <w:trHeight w:val="1200"/>
        </w:trPr>
        <w:tc>
          <w:tcPr>
            <w:tcW w:w="520" w:type="dxa"/>
            <w:tcBorders>
              <w:top w:val="nil"/>
              <w:left w:val="nil"/>
              <w:bottom w:val="nil"/>
              <w:right w:val="nil"/>
            </w:tcBorders>
            <w:noWrap/>
            <w:vAlign w:val="bottom"/>
            <w:hideMark/>
          </w:tcPr>
          <w:p w14:paraId="6AD2D359"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3502EC87" w14:textId="77777777" w:rsidR="006B2AFA" w:rsidRPr="006B2AFA" w:rsidRDefault="006B2AFA" w:rsidP="0071595A">
            <w:pPr>
              <w:rPr>
                <w:rFonts w:ascii="Calibri" w:hAnsi="Calibri"/>
                <w:color w:val="000000"/>
              </w:rPr>
            </w:pPr>
            <w:r w:rsidRPr="006B2AFA">
              <w:rPr>
                <w:rFonts w:ascii="Calibri" w:hAnsi="Calibri"/>
                <w:b/>
                <w:bCs/>
                <w:color w:val="000000"/>
              </w:rPr>
              <w:t>Data collection methods</w:t>
            </w:r>
            <w:r w:rsidRPr="006B2AFA">
              <w:rPr>
                <w:rFonts w:ascii="Calibri" w:hAnsi="Calibri"/>
                <w:color w:val="000000"/>
              </w:rPr>
              <w:t xml:space="preserve"> - Types of data collected; details of data collection procedures including (as appropriate) start and stop dates of data collection and analysis, iterative process, triangulation of sources/methods, and </w:t>
            </w:r>
            <w:r w:rsidRPr="006B2AFA">
              <w:rPr>
                <w:rFonts w:ascii="Calibri" w:hAnsi="Calibri"/>
                <w:color w:val="000000"/>
              </w:rPr>
              <w:lastRenderedPageBreak/>
              <w:t>modification of procedures in response to evolving study findings; rationale**</w:t>
            </w:r>
          </w:p>
        </w:tc>
        <w:tc>
          <w:tcPr>
            <w:tcW w:w="4503" w:type="dxa"/>
            <w:tcBorders>
              <w:top w:val="nil"/>
              <w:left w:val="nil"/>
              <w:bottom w:val="single" w:sz="4" w:space="0" w:color="auto"/>
              <w:right w:val="single" w:sz="4" w:space="0" w:color="auto"/>
            </w:tcBorders>
            <w:noWrap/>
            <w:hideMark/>
          </w:tcPr>
          <w:p w14:paraId="4C38BFCC" w14:textId="2E6D33B4" w:rsidR="004727C7" w:rsidRDefault="0071595A" w:rsidP="0071595A">
            <w:r>
              <w:rPr>
                <w:rStyle w:val="Strong"/>
              </w:rPr>
              <w:lastRenderedPageBreak/>
              <w:t>Yes –</w:t>
            </w:r>
            <w:r>
              <w:t xml:space="preserve"> Data collection consisted of iterative literature searching and selection procedures: AI-assisted semantic searches with Elicit across a large corpus; supplementary database searches; citation chaining; and integration of sources from prior integrative reviews. The process </w:t>
            </w:r>
            <w:r>
              <w:lastRenderedPageBreak/>
              <w:t xml:space="preserve">reflects </w:t>
            </w:r>
            <w:r w:rsidR="008954D0">
              <w:t>multiple</w:t>
            </w:r>
            <w:r>
              <w:t xml:space="preserve"> methods (AI-assisted search, traditional databases, citation chaining) and disciplines and is explicitly tied to the iterative nature of Rodgers and </w:t>
            </w:r>
            <w:proofErr w:type="spellStart"/>
            <w:r>
              <w:t>Knafl’s</w:t>
            </w:r>
            <w:proofErr w:type="spellEnd"/>
            <w:r>
              <w:t xml:space="preserve"> evolutionary method.</w:t>
            </w:r>
            <w:r>
              <w:br/>
            </w:r>
            <w:r>
              <w:rPr>
                <w:rStyle w:val="Strong"/>
              </w:rPr>
              <w:t>Location:</w:t>
            </w:r>
            <w:r>
              <w:t xml:space="preserve"> “Search Strategy and Data Sources,” Page 10–11, Lines 215–223 and 230–234; “Eligibility Criteria and Study Selection,” Lines 236–247.</w:t>
            </w:r>
          </w:p>
        </w:tc>
      </w:tr>
      <w:tr w:rsidR="006B2AFA" w:rsidRPr="006B2AFA" w14:paraId="07E3B791" w14:textId="77777777" w:rsidTr="0071595A">
        <w:trPr>
          <w:trHeight w:val="1200"/>
        </w:trPr>
        <w:tc>
          <w:tcPr>
            <w:tcW w:w="520" w:type="dxa"/>
            <w:tcBorders>
              <w:top w:val="nil"/>
              <w:left w:val="nil"/>
              <w:bottom w:val="nil"/>
              <w:right w:val="nil"/>
            </w:tcBorders>
            <w:noWrap/>
            <w:vAlign w:val="bottom"/>
            <w:hideMark/>
          </w:tcPr>
          <w:p w14:paraId="2C8F1940"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08C871CA" w14:textId="77777777" w:rsidR="006B2AFA" w:rsidRPr="006B2AFA" w:rsidRDefault="006B2AFA" w:rsidP="0071595A">
            <w:pPr>
              <w:rPr>
                <w:rFonts w:ascii="Calibri" w:hAnsi="Calibri"/>
                <w:color w:val="000000"/>
              </w:rPr>
            </w:pPr>
            <w:r w:rsidRPr="006B2AFA">
              <w:rPr>
                <w:rFonts w:ascii="Calibri" w:hAnsi="Calibri"/>
                <w:b/>
                <w:bCs/>
                <w:color w:val="000000"/>
              </w:rPr>
              <w:t>Data collection instruments and technologies</w:t>
            </w:r>
            <w:r w:rsidRPr="006B2AFA">
              <w:rPr>
                <w:rFonts w:ascii="Calibri" w:hAnsi="Calibri"/>
                <w:color w:val="000000"/>
              </w:rPr>
              <w:t xml:space="preserve"> - Description of instruments (e.g., interview guides, questionnaires) and devices (e.g., audio recorders) used for data collection; if/how the instrument(s) changed over the course of the study</w:t>
            </w:r>
          </w:p>
        </w:tc>
        <w:tc>
          <w:tcPr>
            <w:tcW w:w="4503" w:type="dxa"/>
            <w:tcBorders>
              <w:top w:val="nil"/>
              <w:left w:val="nil"/>
              <w:bottom w:val="single" w:sz="4" w:space="0" w:color="auto"/>
              <w:right w:val="single" w:sz="4" w:space="0" w:color="auto"/>
            </w:tcBorders>
            <w:noWrap/>
            <w:hideMark/>
          </w:tcPr>
          <w:p w14:paraId="0CC1F514" w14:textId="2F3A23F5" w:rsidR="004727C7" w:rsidRDefault="0071595A" w:rsidP="0071595A">
            <w:r>
              <w:rPr>
                <w:rStyle w:val="Strong"/>
              </w:rPr>
              <w:t>Yes –</w:t>
            </w:r>
            <w:r>
              <w:t xml:space="preserve"> Data collection technologies are identified, including Elicit (an AI-supported research assistant performing semantic searches across large bibliographic corpora) and Zotero for reference management and screening. The manuscript also acknowledges the use of generative AI tools for organization and refinement of manuscript language and structure, with the author retaining final responsibility for content.</w:t>
            </w:r>
            <w:r>
              <w:br/>
            </w:r>
            <w:r>
              <w:rPr>
                <w:rStyle w:val="Strong"/>
              </w:rPr>
              <w:t>Location:</w:t>
            </w:r>
            <w:r>
              <w:t xml:space="preserve"> Page 10, Lines 215–223 (Elicit); Page 10–11, Lines 224–227 and 230–233 (Zotero and supplemental searching); Page 4, Lines 75–79 (generative AI support statement).</w:t>
            </w:r>
          </w:p>
        </w:tc>
      </w:tr>
      <w:tr w:rsidR="006B2AFA" w:rsidRPr="006B2AFA" w14:paraId="275666B6" w14:textId="77777777" w:rsidTr="0071595A">
        <w:trPr>
          <w:trHeight w:val="900"/>
        </w:trPr>
        <w:tc>
          <w:tcPr>
            <w:tcW w:w="520" w:type="dxa"/>
            <w:tcBorders>
              <w:top w:val="nil"/>
              <w:left w:val="nil"/>
              <w:bottom w:val="nil"/>
              <w:right w:val="nil"/>
            </w:tcBorders>
            <w:noWrap/>
            <w:vAlign w:val="bottom"/>
            <w:hideMark/>
          </w:tcPr>
          <w:p w14:paraId="4605EB1A"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6C190B7A" w14:textId="77777777" w:rsidR="006B2AFA" w:rsidRPr="006B2AFA" w:rsidRDefault="006B2AFA" w:rsidP="0071595A">
            <w:pPr>
              <w:rPr>
                <w:rFonts w:ascii="Calibri" w:hAnsi="Calibri"/>
                <w:color w:val="000000"/>
              </w:rPr>
            </w:pPr>
            <w:r w:rsidRPr="006B2AFA">
              <w:rPr>
                <w:rFonts w:ascii="Calibri" w:hAnsi="Calibri"/>
                <w:b/>
                <w:bCs/>
                <w:color w:val="000000"/>
              </w:rPr>
              <w:t>Units of study</w:t>
            </w:r>
            <w:r w:rsidRPr="006B2AFA">
              <w:rPr>
                <w:rFonts w:ascii="Calibri" w:hAnsi="Calibri"/>
                <w:color w:val="000000"/>
              </w:rPr>
              <w:t xml:space="preserve"> - Number and relevant characteristics of participants, documents, or events included in the study; level of participation (could be reported in results)</w:t>
            </w:r>
          </w:p>
        </w:tc>
        <w:tc>
          <w:tcPr>
            <w:tcW w:w="4503" w:type="dxa"/>
            <w:tcBorders>
              <w:top w:val="nil"/>
              <w:left w:val="nil"/>
              <w:bottom w:val="single" w:sz="4" w:space="0" w:color="auto"/>
              <w:right w:val="single" w:sz="4" w:space="0" w:color="auto"/>
            </w:tcBorders>
            <w:noWrap/>
            <w:hideMark/>
          </w:tcPr>
          <w:p w14:paraId="17DA28A8" w14:textId="595430C1" w:rsidR="004727C7" w:rsidRDefault="0071595A" w:rsidP="0071595A">
            <w:r>
              <w:rPr>
                <w:rStyle w:val="Strong"/>
              </w:rPr>
              <w:t>Yes –</w:t>
            </w:r>
            <w:r>
              <w:t xml:space="preserve"> Units of study are the 31 included empirical and conceptual sources directly contributing to the concept analysis, plus 34 additional sources incorporated for conceptual and theoretical clarification. Characteristics (disciplinary field, population/setting, terminology, definitions, measurement, and key findings) are captured in a structured data extraction matrix and summarized in Table 1.</w:t>
            </w:r>
            <w:r>
              <w:br/>
            </w:r>
            <w:r>
              <w:rPr>
                <w:rStyle w:val="Strong"/>
              </w:rPr>
              <w:t>Location:</w:t>
            </w:r>
            <w:r>
              <w:t xml:space="preserve"> Page 11, Lines 243–247; Page 12, Lines 252–256; Table 1.</w:t>
            </w:r>
          </w:p>
        </w:tc>
      </w:tr>
      <w:tr w:rsidR="006B2AFA" w:rsidRPr="006B2AFA" w14:paraId="6417BDF9" w14:textId="77777777" w:rsidTr="0071595A">
        <w:trPr>
          <w:trHeight w:val="900"/>
        </w:trPr>
        <w:tc>
          <w:tcPr>
            <w:tcW w:w="520" w:type="dxa"/>
            <w:tcBorders>
              <w:top w:val="nil"/>
              <w:left w:val="nil"/>
              <w:bottom w:val="nil"/>
              <w:right w:val="nil"/>
            </w:tcBorders>
            <w:noWrap/>
            <w:vAlign w:val="bottom"/>
            <w:hideMark/>
          </w:tcPr>
          <w:p w14:paraId="38AF1801"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3038A792" w14:textId="77777777" w:rsidR="006B2AFA" w:rsidRPr="006B2AFA" w:rsidRDefault="006B2AFA" w:rsidP="0071595A">
            <w:pPr>
              <w:rPr>
                <w:rFonts w:ascii="Calibri" w:hAnsi="Calibri"/>
                <w:color w:val="000000"/>
              </w:rPr>
            </w:pPr>
            <w:r w:rsidRPr="006B2AFA">
              <w:rPr>
                <w:rFonts w:ascii="Calibri" w:hAnsi="Calibri"/>
                <w:b/>
                <w:bCs/>
                <w:color w:val="000000"/>
              </w:rPr>
              <w:t>Data processing</w:t>
            </w:r>
            <w:r w:rsidRPr="006B2AFA">
              <w:rPr>
                <w:rFonts w:ascii="Calibri" w:hAnsi="Calibri"/>
                <w:color w:val="000000"/>
              </w:rPr>
              <w:t xml:space="preserve"> - Methods for processing data prior to and during analysis, including transcription, data entry, data management and security, verification of data integrity, data coding, and anonymization/de</w:t>
            </w:r>
            <w:r>
              <w:rPr>
                <w:rFonts w:ascii="Calibri" w:hAnsi="Calibri"/>
                <w:color w:val="000000"/>
              </w:rPr>
              <w:t>-</w:t>
            </w:r>
            <w:r w:rsidRPr="006B2AFA">
              <w:rPr>
                <w:rFonts w:ascii="Calibri" w:hAnsi="Calibri"/>
                <w:color w:val="000000"/>
              </w:rPr>
              <w:t>identification of excerpts</w:t>
            </w:r>
          </w:p>
        </w:tc>
        <w:tc>
          <w:tcPr>
            <w:tcW w:w="4503" w:type="dxa"/>
            <w:tcBorders>
              <w:top w:val="nil"/>
              <w:left w:val="nil"/>
              <w:bottom w:val="single" w:sz="4" w:space="0" w:color="auto"/>
              <w:right w:val="single" w:sz="4" w:space="0" w:color="auto"/>
            </w:tcBorders>
            <w:noWrap/>
            <w:hideMark/>
          </w:tcPr>
          <w:p w14:paraId="08815147" w14:textId="25405E67" w:rsidR="004727C7" w:rsidRDefault="0071595A" w:rsidP="0071595A">
            <w:r>
              <w:rPr>
                <w:rStyle w:val="Strong"/>
              </w:rPr>
              <w:t>Yes –</w:t>
            </w:r>
            <w:r>
              <w:t xml:space="preserve"> For each included source, data were extracted into a structured matrix capturing disciplinary field, population and setting, terminology, explicit definitions, measurement approaches, and key findings related to attributes, antecedents, consequences, and contextual factors. This matrix served as the basis for subsequent inductive comparison and synthesis.</w:t>
            </w:r>
            <w:r>
              <w:br/>
            </w:r>
            <w:r>
              <w:rPr>
                <w:rStyle w:val="Strong"/>
              </w:rPr>
              <w:t>Location:</w:t>
            </w:r>
            <w:r>
              <w:t xml:space="preserve"> Page 12, Lines 252–256.</w:t>
            </w:r>
          </w:p>
        </w:tc>
      </w:tr>
      <w:tr w:rsidR="006B2AFA" w:rsidRPr="006B2AFA" w14:paraId="5E0F82E7" w14:textId="77777777" w:rsidTr="0071595A">
        <w:trPr>
          <w:trHeight w:val="900"/>
        </w:trPr>
        <w:tc>
          <w:tcPr>
            <w:tcW w:w="520" w:type="dxa"/>
            <w:tcBorders>
              <w:top w:val="nil"/>
              <w:left w:val="nil"/>
              <w:bottom w:val="nil"/>
              <w:right w:val="nil"/>
            </w:tcBorders>
            <w:noWrap/>
            <w:vAlign w:val="bottom"/>
            <w:hideMark/>
          </w:tcPr>
          <w:p w14:paraId="7DDFE799"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11C4D93D" w14:textId="77777777" w:rsidR="006B2AFA" w:rsidRPr="006B2AFA" w:rsidRDefault="006B2AFA" w:rsidP="0071595A">
            <w:pPr>
              <w:rPr>
                <w:rFonts w:ascii="Calibri" w:hAnsi="Calibri"/>
                <w:color w:val="000000"/>
              </w:rPr>
            </w:pPr>
            <w:r w:rsidRPr="006B2AFA">
              <w:rPr>
                <w:rFonts w:ascii="Calibri" w:hAnsi="Calibri"/>
                <w:b/>
                <w:bCs/>
                <w:color w:val="000000"/>
              </w:rPr>
              <w:t>Data analysis</w:t>
            </w:r>
            <w:r w:rsidRPr="006B2AFA">
              <w:rPr>
                <w:rFonts w:ascii="Calibri" w:hAnsi="Calibri"/>
                <w:color w:val="000000"/>
              </w:rPr>
              <w:t xml:space="preserve"> - Process by which inferences, themes, etc., were identified and developed, including the researchers involved in data analysis; usually references a specific paradigm or approach; rationale**</w:t>
            </w:r>
          </w:p>
        </w:tc>
        <w:tc>
          <w:tcPr>
            <w:tcW w:w="4503" w:type="dxa"/>
            <w:tcBorders>
              <w:top w:val="nil"/>
              <w:left w:val="nil"/>
              <w:bottom w:val="single" w:sz="4" w:space="0" w:color="auto"/>
              <w:right w:val="single" w:sz="4" w:space="0" w:color="auto"/>
            </w:tcBorders>
            <w:noWrap/>
            <w:hideMark/>
          </w:tcPr>
          <w:p w14:paraId="47CEA7FD" w14:textId="10D4CAE6" w:rsidR="004727C7" w:rsidRDefault="0071595A" w:rsidP="0071595A">
            <w:r>
              <w:rPr>
                <w:rStyle w:val="Strong"/>
              </w:rPr>
              <w:t>Yes –</w:t>
            </w:r>
            <w:r>
              <w:t xml:space="preserve"> Data analysis proceeded inductively and comparatively in line with Rodgers and </w:t>
            </w:r>
            <w:proofErr w:type="spellStart"/>
            <w:r>
              <w:t>Knafl’s</w:t>
            </w:r>
            <w:proofErr w:type="spellEnd"/>
            <w:r>
              <w:t xml:space="preserve"> evolutionary method, with repeated review of the extraction matrix to identify recurring language and patterns, develop defining attributes, antecedents, and consequences, and examine contextual and temporal variation and overlaps with perceived, enacted, and internalized stigma. These patterns informed construction of a conceptual model and a model case illustrating anticipated stigma in nursing practice.</w:t>
            </w:r>
            <w:r>
              <w:br/>
            </w:r>
            <w:r>
              <w:rPr>
                <w:rStyle w:val="Strong"/>
              </w:rPr>
              <w:t>Location:</w:t>
            </w:r>
            <w:r>
              <w:t xml:space="preserve"> Page 12, Lines 257–267; “Overview of the Concept” and “Defining Attributes,” Page 12–14, Lines 268–299.</w:t>
            </w:r>
          </w:p>
        </w:tc>
      </w:tr>
      <w:tr w:rsidR="006B2AFA" w:rsidRPr="006B2AFA" w14:paraId="4F7F47B5" w14:textId="77777777" w:rsidTr="0071595A">
        <w:trPr>
          <w:trHeight w:val="900"/>
        </w:trPr>
        <w:tc>
          <w:tcPr>
            <w:tcW w:w="520" w:type="dxa"/>
            <w:tcBorders>
              <w:top w:val="nil"/>
              <w:left w:val="nil"/>
              <w:bottom w:val="nil"/>
              <w:right w:val="nil"/>
            </w:tcBorders>
            <w:noWrap/>
            <w:vAlign w:val="bottom"/>
            <w:hideMark/>
          </w:tcPr>
          <w:p w14:paraId="141DCAA3"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55F38636" w14:textId="77777777" w:rsidR="006B2AFA" w:rsidRPr="006B2AFA" w:rsidRDefault="006B2AFA" w:rsidP="0071595A">
            <w:pPr>
              <w:rPr>
                <w:rFonts w:ascii="Calibri" w:hAnsi="Calibri"/>
                <w:color w:val="000000"/>
              </w:rPr>
            </w:pPr>
            <w:r w:rsidRPr="006B2AFA">
              <w:rPr>
                <w:rFonts w:ascii="Calibri" w:hAnsi="Calibri"/>
                <w:b/>
                <w:bCs/>
                <w:color w:val="000000"/>
              </w:rPr>
              <w:t>Techniques to enhance trustworthiness</w:t>
            </w:r>
            <w:r w:rsidRPr="006B2AFA">
              <w:rPr>
                <w:rFonts w:ascii="Calibri" w:hAnsi="Calibri"/>
                <w:color w:val="000000"/>
              </w:rPr>
              <w:t xml:space="preserve"> - Techniques to enhance trustworthiness and credibility of data analysis (e.g., member checking, audit trail, triangulation); rationale**</w:t>
            </w:r>
          </w:p>
        </w:tc>
        <w:tc>
          <w:tcPr>
            <w:tcW w:w="4503" w:type="dxa"/>
            <w:tcBorders>
              <w:top w:val="nil"/>
              <w:left w:val="nil"/>
              <w:bottom w:val="single" w:sz="4" w:space="0" w:color="auto"/>
              <w:right w:val="single" w:sz="4" w:space="0" w:color="auto"/>
            </w:tcBorders>
            <w:noWrap/>
            <w:hideMark/>
          </w:tcPr>
          <w:p w14:paraId="7A70ABE4" w14:textId="73C665F4" w:rsidR="004727C7" w:rsidRDefault="0071595A" w:rsidP="0071595A">
            <w:r>
              <w:rPr>
                <w:rStyle w:val="Strong"/>
              </w:rPr>
              <w:t>Yes –</w:t>
            </w:r>
            <w:r>
              <w:t xml:space="preserve"> Trustworthiness is supported by</w:t>
            </w:r>
            <w:r w:rsidR="00B47223">
              <w:t xml:space="preserve"> inclusion of </w:t>
            </w:r>
            <w:r>
              <w:t xml:space="preserve">interdisciplinary empirical and theoretical sources; transparent description of AI-assisted and traditional search strategies; use of a structured data extraction matrix; development of a conceptual model (Figure 1) and detailed model case; and explicit discussion of methodological limitations (e.g., dependence on </w:t>
            </w:r>
            <w:proofErr w:type="spellStart"/>
            <w:r>
              <w:t>Elicit’s</w:t>
            </w:r>
            <w:proofErr w:type="spellEnd"/>
            <w:r>
              <w:t xml:space="preserve"> coverage and ranking algorithms, language and publication-type constraints). These techniques enhance transparency, conceptual saturation, and transferability.</w:t>
            </w:r>
            <w:r>
              <w:br/>
            </w:r>
            <w:r>
              <w:rPr>
                <w:rStyle w:val="Strong"/>
              </w:rPr>
              <w:t>Location:</w:t>
            </w:r>
            <w:r>
              <w:t xml:space="preserve"> Page 9–10, Lines 189–206; Page 10–12, Lines 215–267; Figure 1 and accompanying note, Page 16, Lines 334–342; “Limitations,” Page 25, Lines 533–541.</w:t>
            </w:r>
          </w:p>
        </w:tc>
      </w:tr>
      <w:tr w:rsidR="006B2AFA" w:rsidRPr="006B2AFA" w14:paraId="5C56A751" w14:textId="77777777" w:rsidTr="0071595A">
        <w:trPr>
          <w:trHeight w:val="300"/>
        </w:trPr>
        <w:tc>
          <w:tcPr>
            <w:tcW w:w="5397" w:type="dxa"/>
            <w:gridSpan w:val="2"/>
            <w:tcBorders>
              <w:top w:val="nil"/>
              <w:left w:val="nil"/>
              <w:bottom w:val="nil"/>
              <w:right w:val="nil"/>
            </w:tcBorders>
            <w:noWrap/>
            <w:hideMark/>
          </w:tcPr>
          <w:p w14:paraId="059F4451" w14:textId="77777777" w:rsidR="006B2AFA" w:rsidRPr="006B2AFA" w:rsidRDefault="006B2AFA" w:rsidP="0071595A">
            <w:pPr>
              <w:rPr>
                <w:rFonts w:ascii="Calibri" w:hAnsi="Calibri"/>
                <w:b/>
                <w:bCs/>
                <w:color w:val="000000"/>
              </w:rPr>
            </w:pPr>
            <w:r w:rsidRPr="006B2AFA">
              <w:rPr>
                <w:rFonts w:ascii="Calibri" w:hAnsi="Calibri"/>
                <w:b/>
                <w:bCs/>
                <w:color w:val="000000"/>
              </w:rPr>
              <w:t>Results/findings</w:t>
            </w:r>
          </w:p>
        </w:tc>
        <w:tc>
          <w:tcPr>
            <w:tcW w:w="4503" w:type="dxa"/>
            <w:tcBorders>
              <w:top w:val="nil"/>
              <w:left w:val="nil"/>
              <w:bottom w:val="nil"/>
              <w:right w:val="nil"/>
            </w:tcBorders>
            <w:noWrap/>
            <w:hideMark/>
          </w:tcPr>
          <w:p w14:paraId="4A0C7E50" w14:textId="70214740" w:rsidR="004727C7" w:rsidRDefault="004727C7" w:rsidP="0071595A"/>
        </w:tc>
      </w:tr>
      <w:tr w:rsidR="006B2AFA" w:rsidRPr="006B2AFA" w14:paraId="2DE04894" w14:textId="77777777" w:rsidTr="0071595A">
        <w:trPr>
          <w:trHeight w:val="900"/>
        </w:trPr>
        <w:tc>
          <w:tcPr>
            <w:tcW w:w="520" w:type="dxa"/>
            <w:tcBorders>
              <w:top w:val="nil"/>
              <w:left w:val="nil"/>
              <w:bottom w:val="nil"/>
              <w:right w:val="nil"/>
            </w:tcBorders>
            <w:noWrap/>
            <w:vAlign w:val="bottom"/>
            <w:hideMark/>
          </w:tcPr>
          <w:p w14:paraId="035DA99E" w14:textId="77777777" w:rsidR="006B2AFA" w:rsidRPr="006B2AFA" w:rsidRDefault="006B2AFA" w:rsidP="006B2AFA">
            <w:pPr>
              <w:rPr>
                <w:rFonts w:ascii="Calibri" w:hAnsi="Calibri"/>
                <w:b/>
                <w:bCs/>
                <w:color w:val="000000"/>
              </w:rPr>
            </w:pPr>
          </w:p>
        </w:tc>
        <w:tc>
          <w:tcPr>
            <w:tcW w:w="4877" w:type="dxa"/>
            <w:tcBorders>
              <w:top w:val="single" w:sz="4" w:space="0" w:color="auto"/>
              <w:left w:val="single" w:sz="4" w:space="0" w:color="auto"/>
              <w:bottom w:val="single" w:sz="4" w:space="0" w:color="auto"/>
              <w:right w:val="single" w:sz="4" w:space="0" w:color="auto"/>
            </w:tcBorders>
            <w:hideMark/>
          </w:tcPr>
          <w:p w14:paraId="3B40C80C" w14:textId="77777777" w:rsidR="006B2AFA" w:rsidRPr="006B2AFA" w:rsidRDefault="006B2AFA" w:rsidP="0071595A">
            <w:pPr>
              <w:rPr>
                <w:rFonts w:ascii="Calibri" w:hAnsi="Calibri"/>
                <w:color w:val="000000"/>
              </w:rPr>
            </w:pPr>
            <w:r w:rsidRPr="006B2AFA">
              <w:rPr>
                <w:rFonts w:ascii="Calibri" w:hAnsi="Calibri"/>
                <w:b/>
                <w:bCs/>
                <w:color w:val="000000"/>
              </w:rPr>
              <w:t>Synthesis and interpretation</w:t>
            </w:r>
            <w:r w:rsidRPr="006B2AFA">
              <w:rPr>
                <w:rFonts w:ascii="Calibri" w:hAnsi="Calibri"/>
                <w:color w:val="000000"/>
              </w:rPr>
              <w:t xml:space="preserve"> - Main findings (e.g., interpretations, inferences, and themes); might include development of a theory or model, or integration with prior research or theory</w:t>
            </w:r>
          </w:p>
        </w:tc>
        <w:tc>
          <w:tcPr>
            <w:tcW w:w="4503" w:type="dxa"/>
            <w:tcBorders>
              <w:top w:val="single" w:sz="4" w:space="0" w:color="auto"/>
              <w:left w:val="nil"/>
              <w:bottom w:val="single" w:sz="4" w:space="0" w:color="auto"/>
              <w:right w:val="single" w:sz="4" w:space="0" w:color="auto"/>
            </w:tcBorders>
            <w:noWrap/>
            <w:hideMark/>
          </w:tcPr>
          <w:p w14:paraId="3F47504C" w14:textId="128E3388" w:rsidR="006B2AFA" w:rsidRPr="006B2AFA" w:rsidRDefault="0071595A" w:rsidP="0071595A">
            <w:pPr>
              <w:rPr>
                <w:rFonts w:ascii="Calibri" w:hAnsi="Calibri"/>
                <w:color w:val="000000"/>
              </w:rPr>
            </w:pPr>
            <w:r>
              <w:rPr>
                <w:rStyle w:val="Strong"/>
              </w:rPr>
              <w:t>Yes –</w:t>
            </w:r>
            <w:r>
              <w:t xml:space="preserve"> The analysis synthesizes anticipated stigma as a future-oriented expectation of negative treatment associated with concealable stigmatized identities (e.g., cannabis use), identifies defining attributes, antecedents, consequences, and distinguishing features relative to perceived, enacted, and internalized stigma, and develops a conceptual model and model case specific to nursing and cannabis disclosure. Findings are integrated with foundational stigma frameworks (e.g., Goffman, Link &amp; Phelan, Earnshaw et al.) and contemporary minority stress and structural stigma literature.</w:t>
            </w:r>
            <w:r>
              <w:br/>
            </w:r>
            <w:r>
              <w:rPr>
                <w:rStyle w:val="Strong"/>
              </w:rPr>
              <w:lastRenderedPageBreak/>
              <w:t>Location:</w:t>
            </w:r>
            <w:r>
              <w:t xml:space="preserve"> “Overview of the Concept” and “Defining Attributes,” Page 12–14, Lines 268–299; “Antecedents” and “Consequences,” Page 14–17, Lines 300–349; “Related Concepts,” Page 18–20, Lines 372–434; conceptual model (Figure 1), Page 16, Lines 334–342; model case and lead-in to Discussion, Page 22, Lines 453–456.</w:t>
            </w:r>
          </w:p>
        </w:tc>
      </w:tr>
      <w:tr w:rsidR="006B2AFA" w:rsidRPr="006B2AFA" w14:paraId="54A61FAC" w14:textId="77777777" w:rsidTr="0071595A">
        <w:trPr>
          <w:trHeight w:val="600"/>
        </w:trPr>
        <w:tc>
          <w:tcPr>
            <w:tcW w:w="520" w:type="dxa"/>
            <w:tcBorders>
              <w:top w:val="nil"/>
              <w:left w:val="nil"/>
              <w:bottom w:val="nil"/>
              <w:right w:val="nil"/>
            </w:tcBorders>
            <w:noWrap/>
            <w:vAlign w:val="bottom"/>
            <w:hideMark/>
          </w:tcPr>
          <w:p w14:paraId="104D2EDC"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7C0B6045" w14:textId="77777777" w:rsidR="006B2AFA" w:rsidRPr="006B2AFA" w:rsidRDefault="006B2AFA" w:rsidP="0071595A">
            <w:pPr>
              <w:rPr>
                <w:rFonts w:ascii="Calibri" w:hAnsi="Calibri"/>
                <w:color w:val="000000"/>
              </w:rPr>
            </w:pPr>
            <w:r w:rsidRPr="006B2AFA">
              <w:rPr>
                <w:rFonts w:ascii="Calibri" w:hAnsi="Calibri"/>
                <w:b/>
                <w:bCs/>
                <w:color w:val="000000"/>
              </w:rPr>
              <w:t xml:space="preserve">Links to empirical data </w:t>
            </w:r>
            <w:r w:rsidRPr="006B2AFA">
              <w:rPr>
                <w:rFonts w:ascii="Calibri" w:hAnsi="Calibri"/>
                <w:color w:val="000000"/>
              </w:rPr>
              <w:t>- Evidence (e.g., quotes, field notes, text excerpts, photographs) to substantiate analytic findings</w:t>
            </w:r>
          </w:p>
        </w:tc>
        <w:tc>
          <w:tcPr>
            <w:tcW w:w="4503" w:type="dxa"/>
            <w:tcBorders>
              <w:top w:val="nil"/>
              <w:left w:val="nil"/>
              <w:bottom w:val="single" w:sz="4" w:space="0" w:color="auto"/>
              <w:right w:val="single" w:sz="4" w:space="0" w:color="auto"/>
            </w:tcBorders>
            <w:noWrap/>
            <w:hideMark/>
          </w:tcPr>
          <w:p w14:paraId="5B7939AA" w14:textId="6C1E5862" w:rsidR="006B2AFA" w:rsidRPr="006B2AFA" w:rsidRDefault="0071595A" w:rsidP="0071595A">
            <w:pPr>
              <w:rPr>
                <w:rFonts w:ascii="Calibri" w:hAnsi="Calibri"/>
                <w:color w:val="000000"/>
              </w:rPr>
            </w:pPr>
            <w:r>
              <w:rPr>
                <w:rStyle w:val="Strong"/>
              </w:rPr>
              <w:t>Yes –</w:t>
            </w:r>
            <w:r>
              <w:t xml:space="preserve"> The manuscript uses multiple forms of evidence to substantiate analytic findings: Table 1 summarizes characteristics of the 31 included sources; Table 2 lists defining attributes across disciplines; Table 3 summarizes attributes, antecedents, consequences, and related concepts with key examples and representative sources; the conceptual model (Figure 1) is grounded in cited literature; and the model case narrative is informed by empirical findings on cannabis disclosure in nursing.</w:t>
            </w:r>
            <w:r>
              <w:br/>
            </w:r>
            <w:r>
              <w:rPr>
                <w:rStyle w:val="Strong"/>
              </w:rPr>
              <w:t>Location:</w:t>
            </w:r>
            <w:r>
              <w:t xml:space="preserve"> Table 1; Table 2, Page 13, Lines 280–283; Table 3, Page 20–21, Lines 433–437, 49–56; Figure 1 and note, Page 16, Lines 334–342; model case, Page 22, Lines 453–456.</w:t>
            </w:r>
          </w:p>
        </w:tc>
      </w:tr>
      <w:tr w:rsidR="006B2AFA" w:rsidRPr="006B2AFA" w14:paraId="3A7A0042" w14:textId="77777777" w:rsidTr="0071595A">
        <w:trPr>
          <w:trHeight w:val="300"/>
        </w:trPr>
        <w:tc>
          <w:tcPr>
            <w:tcW w:w="520" w:type="dxa"/>
            <w:tcBorders>
              <w:top w:val="nil"/>
              <w:left w:val="nil"/>
              <w:bottom w:val="nil"/>
              <w:right w:val="nil"/>
            </w:tcBorders>
            <w:noWrap/>
            <w:vAlign w:val="bottom"/>
            <w:hideMark/>
          </w:tcPr>
          <w:p w14:paraId="0419FF6D" w14:textId="77777777" w:rsidR="006B2AFA" w:rsidRPr="006B2AFA" w:rsidRDefault="006B2AFA" w:rsidP="006B2AFA">
            <w:pPr>
              <w:rPr>
                <w:rFonts w:ascii="Calibri" w:hAnsi="Calibri"/>
                <w:b/>
                <w:bCs/>
                <w:color w:val="000000"/>
              </w:rPr>
            </w:pPr>
          </w:p>
        </w:tc>
        <w:tc>
          <w:tcPr>
            <w:tcW w:w="4877" w:type="dxa"/>
            <w:tcBorders>
              <w:top w:val="nil"/>
              <w:left w:val="nil"/>
              <w:bottom w:val="nil"/>
              <w:right w:val="nil"/>
            </w:tcBorders>
            <w:hideMark/>
          </w:tcPr>
          <w:p w14:paraId="7468A853" w14:textId="77777777" w:rsidR="006B2AFA" w:rsidRPr="006B2AFA" w:rsidRDefault="006B2AFA" w:rsidP="0071595A">
            <w:pPr>
              <w:rPr>
                <w:rFonts w:ascii="Calibri" w:hAnsi="Calibri"/>
                <w:color w:val="000000"/>
              </w:rPr>
            </w:pPr>
          </w:p>
        </w:tc>
        <w:tc>
          <w:tcPr>
            <w:tcW w:w="4503" w:type="dxa"/>
            <w:tcBorders>
              <w:top w:val="nil"/>
              <w:left w:val="nil"/>
              <w:bottom w:val="nil"/>
              <w:right w:val="nil"/>
            </w:tcBorders>
            <w:noWrap/>
            <w:hideMark/>
          </w:tcPr>
          <w:p w14:paraId="6E0E6D0A" w14:textId="77777777" w:rsidR="006B2AFA" w:rsidRPr="006B2AFA" w:rsidRDefault="006B2AFA" w:rsidP="0071595A">
            <w:pPr>
              <w:rPr>
                <w:rFonts w:ascii="Calibri" w:hAnsi="Calibri"/>
                <w:color w:val="000000"/>
              </w:rPr>
            </w:pPr>
          </w:p>
        </w:tc>
      </w:tr>
      <w:tr w:rsidR="006B2AFA" w:rsidRPr="006B2AFA" w14:paraId="12D88F2B" w14:textId="77777777" w:rsidTr="0071595A">
        <w:trPr>
          <w:trHeight w:val="300"/>
        </w:trPr>
        <w:tc>
          <w:tcPr>
            <w:tcW w:w="5397" w:type="dxa"/>
            <w:gridSpan w:val="2"/>
            <w:tcBorders>
              <w:top w:val="nil"/>
              <w:left w:val="nil"/>
              <w:bottom w:val="nil"/>
              <w:right w:val="nil"/>
            </w:tcBorders>
            <w:noWrap/>
            <w:hideMark/>
          </w:tcPr>
          <w:p w14:paraId="7568C5E8" w14:textId="77777777" w:rsidR="006B2AFA" w:rsidRPr="006B2AFA" w:rsidRDefault="006B2AFA" w:rsidP="0071595A">
            <w:pPr>
              <w:rPr>
                <w:rFonts w:ascii="Calibri" w:hAnsi="Calibri"/>
                <w:b/>
                <w:bCs/>
                <w:color w:val="000000"/>
              </w:rPr>
            </w:pPr>
            <w:r w:rsidRPr="006B2AFA">
              <w:rPr>
                <w:rFonts w:ascii="Calibri" w:hAnsi="Calibri"/>
                <w:b/>
                <w:bCs/>
                <w:color w:val="000000"/>
              </w:rPr>
              <w:t>Discussion</w:t>
            </w:r>
          </w:p>
        </w:tc>
        <w:tc>
          <w:tcPr>
            <w:tcW w:w="4503" w:type="dxa"/>
            <w:tcBorders>
              <w:top w:val="nil"/>
              <w:left w:val="nil"/>
              <w:bottom w:val="nil"/>
              <w:right w:val="nil"/>
            </w:tcBorders>
            <w:noWrap/>
            <w:hideMark/>
          </w:tcPr>
          <w:p w14:paraId="4F7D3EA1" w14:textId="77777777" w:rsidR="006B2AFA" w:rsidRPr="006B2AFA" w:rsidRDefault="006B2AFA" w:rsidP="0071595A">
            <w:pPr>
              <w:rPr>
                <w:rFonts w:ascii="Calibri" w:hAnsi="Calibri"/>
                <w:color w:val="000000"/>
              </w:rPr>
            </w:pPr>
          </w:p>
        </w:tc>
      </w:tr>
      <w:tr w:rsidR="006B2AFA" w:rsidRPr="006B2AFA" w14:paraId="539D7256" w14:textId="77777777" w:rsidTr="0071595A">
        <w:trPr>
          <w:trHeight w:val="1500"/>
        </w:trPr>
        <w:tc>
          <w:tcPr>
            <w:tcW w:w="520" w:type="dxa"/>
            <w:tcBorders>
              <w:top w:val="nil"/>
              <w:left w:val="nil"/>
              <w:bottom w:val="nil"/>
              <w:right w:val="nil"/>
            </w:tcBorders>
            <w:noWrap/>
            <w:vAlign w:val="bottom"/>
            <w:hideMark/>
          </w:tcPr>
          <w:p w14:paraId="18F90E95" w14:textId="77777777" w:rsidR="006B2AFA" w:rsidRPr="006B2AFA" w:rsidRDefault="006B2AFA" w:rsidP="006B2AFA">
            <w:pPr>
              <w:rPr>
                <w:rFonts w:ascii="Calibri" w:hAnsi="Calibri"/>
                <w:b/>
                <w:bCs/>
                <w:color w:val="000000"/>
              </w:rPr>
            </w:pPr>
          </w:p>
        </w:tc>
        <w:tc>
          <w:tcPr>
            <w:tcW w:w="4877" w:type="dxa"/>
            <w:tcBorders>
              <w:top w:val="single" w:sz="4" w:space="0" w:color="auto"/>
              <w:left w:val="single" w:sz="4" w:space="0" w:color="auto"/>
              <w:bottom w:val="single" w:sz="4" w:space="0" w:color="auto"/>
              <w:right w:val="single" w:sz="4" w:space="0" w:color="auto"/>
            </w:tcBorders>
            <w:hideMark/>
          </w:tcPr>
          <w:p w14:paraId="25B1392E" w14:textId="77777777" w:rsidR="006B2AFA" w:rsidRPr="006B2AFA" w:rsidRDefault="006B2AFA" w:rsidP="0071595A">
            <w:pPr>
              <w:rPr>
                <w:rFonts w:ascii="Calibri" w:hAnsi="Calibri"/>
                <w:b/>
                <w:bCs/>
                <w:color w:val="000000"/>
              </w:rPr>
            </w:pPr>
            <w:r w:rsidRPr="006B2AFA">
              <w:rPr>
                <w:rFonts w:ascii="Calibri" w:hAnsi="Calibri"/>
                <w:b/>
                <w:bCs/>
                <w:color w:val="000000"/>
              </w:rPr>
              <w:t xml:space="preserve">Integration with prior work, implications, transferability, and contribution(s) to the field - </w:t>
            </w:r>
            <w:r w:rsidRPr="006B2AFA">
              <w:rPr>
                <w:rFonts w:ascii="Calibri" w:hAnsi="Calibri"/>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4503" w:type="dxa"/>
            <w:tcBorders>
              <w:top w:val="single" w:sz="4" w:space="0" w:color="auto"/>
              <w:left w:val="nil"/>
              <w:bottom w:val="single" w:sz="4" w:space="0" w:color="auto"/>
              <w:right w:val="single" w:sz="4" w:space="0" w:color="auto"/>
            </w:tcBorders>
            <w:noWrap/>
            <w:hideMark/>
          </w:tcPr>
          <w:p w14:paraId="1AEB6564" w14:textId="01E0BECF" w:rsidR="006B2AFA" w:rsidRPr="006B2AFA" w:rsidRDefault="0071595A" w:rsidP="0071595A">
            <w:pPr>
              <w:rPr>
                <w:rFonts w:ascii="Calibri" w:hAnsi="Calibri"/>
                <w:color w:val="000000"/>
              </w:rPr>
            </w:pPr>
            <w:r>
              <w:rPr>
                <w:rStyle w:val="Strong"/>
              </w:rPr>
              <w:t>Yes –</w:t>
            </w:r>
            <w:r>
              <w:t xml:space="preserve"> The Discussion clarifies how anticipated stigma refines and extends existing stigma frameworks by emphasizing temporal and anticipatory dimensions, links structural and interpersonal stigma to downstream psychological and behavioral outcomes, and situates findings within nursing contexts, especially around cannabis disclosure. Subsequent sections articulate implications for nursing practice and institutional policy, nursing education and professional development, and future research, highlighting the concept’s transferability to other stigmatized health behaviors and its unique contribution to nursing theory and stigma-informed care.</w:t>
            </w:r>
            <w:r>
              <w:br/>
            </w:r>
            <w:r>
              <w:rPr>
                <w:rStyle w:val="Strong"/>
              </w:rPr>
              <w:t>Location:</w:t>
            </w:r>
            <w:r>
              <w:t xml:space="preserve"> “Discussion,” Page 22–23, Lines 457–479; “Implications for Nursing Practice and Institutional Policy,” Page 23, Lines 481–497; “Implications for Nursing Education and Professional Development” </w:t>
            </w:r>
            <w:r>
              <w:lastRenderedPageBreak/>
              <w:t>and “Implications for Research,” Page 24–25, Lines 499–532.</w:t>
            </w:r>
          </w:p>
        </w:tc>
      </w:tr>
      <w:tr w:rsidR="006B2AFA" w:rsidRPr="006B2AFA" w14:paraId="1588153A" w14:textId="77777777" w:rsidTr="0071595A">
        <w:trPr>
          <w:trHeight w:val="300"/>
        </w:trPr>
        <w:tc>
          <w:tcPr>
            <w:tcW w:w="520" w:type="dxa"/>
            <w:tcBorders>
              <w:top w:val="nil"/>
              <w:left w:val="nil"/>
              <w:bottom w:val="nil"/>
              <w:right w:val="nil"/>
            </w:tcBorders>
            <w:noWrap/>
            <w:vAlign w:val="bottom"/>
            <w:hideMark/>
          </w:tcPr>
          <w:p w14:paraId="5A38323F"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38EC6F08" w14:textId="77777777" w:rsidR="006B2AFA" w:rsidRPr="006B2AFA" w:rsidRDefault="006B2AFA" w:rsidP="0071595A">
            <w:pPr>
              <w:rPr>
                <w:rFonts w:ascii="Calibri" w:hAnsi="Calibri"/>
                <w:color w:val="000000"/>
              </w:rPr>
            </w:pPr>
            <w:r w:rsidRPr="006B2AFA">
              <w:rPr>
                <w:rFonts w:ascii="Calibri" w:hAnsi="Calibri"/>
                <w:b/>
                <w:bCs/>
                <w:color w:val="000000"/>
              </w:rPr>
              <w:t>Limitations</w:t>
            </w:r>
            <w:r w:rsidRPr="006B2AFA">
              <w:rPr>
                <w:rFonts w:ascii="Calibri" w:hAnsi="Calibri"/>
                <w:color w:val="000000"/>
              </w:rPr>
              <w:t xml:space="preserve"> - Trustworthiness and limitations of findings</w:t>
            </w:r>
          </w:p>
        </w:tc>
        <w:tc>
          <w:tcPr>
            <w:tcW w:w="4503" w:type="dxa"/>
            <w:tcBorders>
              <w:top w:val="nil"/>
              <w:left w:val="nil"/>
              <w:bottom w:val="single" w:sz="4" w:space="0" w:color="auto"/>
              <w:right w:val="single" w:sz="4" w:space="0" w:color="auto"/>
            </w:tcBorders>
            <w:noWrap/>
            <w:hideMark/>
          </w:tcPr>
          <w:p w14:paraId="616C5F12" w14:textId="074F7881" w:rsidR="006B2AFA" w:rsidRPr="006B2AFA" w:rsidRDefault="0071595A" w:rsidP="0071595A">
            <w:pPr>
              <w:rPr>
                <w:rFonts w:ascii="Calibri" w:hAnsi="Calibri"/>
                <w:color w:val="000000"/>
              </w:rPr>
            </w:pPr>
            <w:r>
              <w:rPr>
                <w:rStyle w:val="Strong"/>
              </w:rPr>
              <w:t>Yes –</w:t>
            </w:r>
            <w:r>
              <w:t xml:space="preserve"> The Limitations section acknowledges that the search relied heavily on an AI-assisted semantic tool (Elicit) and available databases, which may introduce coverage and ranking biases and limit reproducibility; that most sources were peer-reviewed and predominantly English-language, potentially underrepresenting non-English and grey literature; and that the conceptual, literature-based nature of the work constrains direct generalizability while still offering transferable insights. These constraints are framed as appropriate but important to consider for interpretation and future research.</w:t>
            </w:r>
            <w:r>
              <w:br/>
            </w:r>
            <w:r>
              <w:rPr>
                <w:rStyle w:val="Strong"/>
              </w:rPr>
              <w:t>Location:</w:t>
            </w:r>
            <w:r>
              <w:t xml:space="preserve"> “Limitations,” Page 25, Lines 533–541 (and following sentences as applicable).</w:t>
            </w:r>
          </w:p>
        </w:tc>
      </w:tr>
      <w:tr w:rsidR="006B2AFA" w:rsidRPr="006B2AFA" w14:paraId="2C3A82AC" w14:textId="77777777" w:rsidTr="0071595A">
        <w:trPr>
          <w:trHeight w:val="300"/>
        </w:trPr>
        <w:tc>
          <w:tcPr>
            <w:tcW w:w="520" w:type="dxa"/>
            <w:tcBorders>
              <w:top w:val="nil"/>
              <w:left w:val="nil"/>
              <w:bottom w:val="nil"/>
              <w:right w:val="nil"/>
            </w:tcBorders>
            <w:noWrap/>
            <w:vAlign w:val="bottom"/>
            <w:hideMark/>
          </w:tcPr>
          <w:p w14:paraId="20A303D3" w14:textId="77777777" w:rsidR="006B2AFA" w:rsidRPr="006B2AFA" w:rsidRDefault="006B2AFA" w:rsidP="006B2AFA">
            <w:pPr>
              <w:rPr>
                <w:rFonts w:ascii="Calibri" w:hAnsi="Calibri"/>
                <w:b/>
                <w:bCs/>
                <w:color w:val="000000"/>
              </w:rPr>
            </w:pPr>
          </w:p>
        </w:tc>
        <w:tc>
          <w:tcPr>
            <w:tcW w:w="4877" w:type="dxa"/>
            <w:tcBorders>
              <w:top w:val="nil"/>
              <w:left w:val="nil"/>
              <w:bottom w:val="nil"/>
              <w:right w:val="nil"/>
            </w:tcBorders>
            <w:hideMark/>
          </w:tcPr>
          <w:p w14:paraId="28D68082" w14:textId="77777777" w:rsidR="006B2AFA" w:rsidRPr="006B2AFA" w:rsidRDefault="006B2AFA" w:rsidP="0071595A">
            <w:pPr>
              <w:rPr>
                <w:rFonts w:ascii="Calibri" w:hAnsi="Calibri"/>
                <w:color w:val="000000"/>
              </w:rPr>
            </w:pPr>
          </w:p>
        </w:tc>
        <w:tc>
          <w:tcPr>
            <w:tcW w:w="4503" w:type="dxa"/>
            <w:tcBorders>
              <w:top w:val="nil"/>
              <w:left w:val="nil"/>
              <w:bottom w:val="nil"/>
              <w:right w:val="nil"/>
            </w:tcBorders>
            <w:noWrap/>
            <w:hideMark/>
          </w:tcPr>
          <w:p w14:paraId="480CC04F" w14:textId="77777777" w:rsidR="006B2AFA" w:rsidRPr="006B2AFA" w:rsidRDefault="006B2AFA" w:rsidP="0071595A">
            <w:pPr>
              <w:rPr>
                <w:rFonts w:ascii="Calibri" w:hAnsi="Calibri"/>
                <w:color w:val="000000"/>
              </w:rPr>
            </w:pPr>
          </w:p>
        </w:tc>
      </w:tr>
      <w:tr w:rsidR="006B2AFA" w:rsidRPr="006B2AFA" w14:paraId="331F0F5E" w14:textId="77777777" w:rsidTr="0071595A">
        <w:trPr>
          <w:trHeight w:val="300"/>
        </w:trPr>
        <w:tc>
          <w:tcPr>
            <w:tcW w:w="5397" w:type="dxa"/>
            <w:gridSpan w:val="2"/>
            <w:tcBorders>
              <w:top w:val="nil"/>
              <w:left w:val="nil"/>
              <w:bottom w:val="nil"/>
              <w:right w:val="nil"/>
            </w:tcBorders>
            <w:noWrap/>
            <w:hideMark/>
          </w:tcPr>
          <w:p w14:paraId="5BB3D082" w14:textId="77777777" w:rsidR="006B2AFA" w:rsidRPr="006B2AFA" w:rsidRDefault="006B2AFA" w:rsidP="0071595A">
            <w:pPr>
              <w:rPr>
                <w:rFonts w:ascii="Calibri" w:hAnsi="Calibri"/>
                <w:b/>
                <w:bCs/>
                <w:color w:val="000000"/>
              </w:rPr>
            </w:pPr>
            <w:r w:rsidRPr="006B2AFA">
              <w:rPr>
                <w:rFonts w:ascii="Calibri" w:hAnsi="Calibri"/>
                <w:b/>
                <w:bCs/>
                <w:color w:val="000000"/>
              </w:rPr>
              <w:t>Other</w:t>
            </w:r>
          </w:p>
        </w:tc>
        <w:tc>
          <w:tcPr>
            <w:tcW w:w="4503" w:type="dxa"/>
            <w:tcBorders>
              <w:top w:val="nil"/>
              <w:left w:val="nil"/>
              <w:bottom w:val="nil"/>
              <w:right w:val="nil"/>
            </w:tcBorders>
            <w:noWrap/>
            <w:hideMark/>
          </w:tcPr>
          <w:p w14:paraId="1C52E4C5" w14:textId="77777777" w:rsidR="006B2AFA" w:rsidRPr="006B2AFA" w:rsidRDefault="006B2AFA" w:rsidP="0071595A">
            <w:pPr>
              <w:rPr>
                <w:rFonts w:ascii="Calibri" w:hAnsi="Calibri"/>
                <w:color w:val="000000"/>
              </w:rPr>
            </w:pPr>
          </w:p>
        </w:tc>
      </w:tr>
      <w:tr w:rsidR="006B2AFA" w:rsidRPr="006B2AFA" w14:paraId="5747761E" w14:textId="77777777" w:rsidTr="0071595A">
        <w:trPr>
          <w:trHeight w:val="600"/>
        </w:trPr>
        <w:tc>
          <w:tcPr>
            <w:tcW w:w="520" w:type="dxa"/>
            <w:tcBorders>
              <w:top w:val="nil"/>
              <w:left w:val="nil"/>
              <w:bottom w:val="nil"/>
              <w:right w:val="nil"/>
            </w:tcBorders>
            <w:noWrap/>
            <w:vAlign w:val="bottom"/>
            <w:hideMark/>
          </w:tcPr>
          <w:p w14:paraId="499D4CA9" w14:textId="77777777" w:rsidR="006B2AFA" w:rsidRPr="006B2AFA" w:rsidRDefault="006B2AFA" w:rsidP="006B2AFA">
            <w:pPr>
              <w:rPr>
                <w:rFonts w:ascii="Calibri" w:hAnsi="Calibri"/>
                <w:b/>
                <w:bCs/>
                <w:color w:val="000000"/>
              </w:rPr>
            </w:pPr>
          </w:p>
        </w:tc>
        <w:tc>
          <w:tcPr>
            <w:tcW w:w="4877" w:type="dxa"/>
            <w:tcBorders>
              <w:top w:val="single" w:sz="4" w:space="0" w:color="auto"/>
              <w:left w:val="single" w:sz="4" w:space="0" w:color="auto"/>
              <w:bottom w:val="single" w:sz="4" w:space="0" w:color="auto"/>
              <w:right w:val="single" w:sz="4" w:space="0" w:color="auto"/>
            </w:tcBorders>
            <w:hideMark/>
          </w:tcPr>
          <w:p w14:paraId="3292BC1F" w14:textId="77777777" w:rsidR="006B2AFA" w:rsidRPr="006B2AFA" w:rsidRDefault="006B2AFA" w:rsidP="0071595A">
            <w:pPr>
              <w:rPr>
                <w:rFonts w:ascii="Calibri" w:hAnsi="Calibri"/>
                <w:color w:val="000000"/>
              </w:rPr>
            </w:pPr>
            <w:r w:rsidRPr="006B2AFA">
              <w:rPr>
                <w:rFonts w:ascii="Calibri" w:hAnsi="Calibri"/>
                <w:b/>
                <w:bCs/>
                <w:color w:val="000000"/>
              </w:rPr>
              <w:t>Conflicts of interest</w:t>
            </w:r>
            <w:r w:rsidRPr="006B2AFA">
              <w:rPr>
                <w:rFonts w:ascii="Calibri" w:hAnsi="Calibri"/>
                <w:color w:val="000000"/>
              </w:rPr>
              <w:t xml:space="preserve"> - Potential sources of influence or perceived influence on study conduct and conclusions; how these were managed</w:t>
            </w:r>
          </w:p>
        </w:tc>
        <w:tc>
          <w:tcPr>
            <w:tcW w:w="4503" w:type="dxa"/>
            <w:tcBorders>
              <w:top w:val="single" w:sz="4" w:space="0" w:color="auto"/>
              <w:left w:val="nil"/>
              <w:bottom w:val="single" w:sz="4" w:space="0" w:color="auto"/>
              <w:right w:val="single" w:sz="4" w:space="0" w:color="auto"/>
            </w:tcBorders>
            <w:noWrap/>
            <w:hideMark/>
          </w:tcPr>
          <w:p w14:paraId="2B497700" w14:textId="77777777" w:rsidR="0071595A" w:rsidRDefault="0071595A" w:rsidP="0071595A">
            <w:pPr>
              <w:rPr>
                <w:rStyle w:val="relative"/>
              </w:rPr>
            </w:pPr>
            <w:r>
              <w:rPr>
                <w:rStyle w:val="Strong"/>
              </w:rPr>
              <w:t>Yes –</w:t>
            </w:r>
            <w:r>
              <w:t xml:space="preserve"> A conflict of interest statement is provided with the manuscript materials; the author declares no conflicts of interest that could influence the conduct, interpretation, or reporting of the study.</w:t>
            </w:r>
            <w:r>
              <w:br/>
            </w:r>
            <w:r>
              <w:rPr>
                <w:rStyle w:val="Strong"/>
              </w:rPr>
              <w:t>Location:</w:t>
            </w:r>
            <w:r>
              <w:t xml:space="preserve"> Title page / author declarations (separate from the line-numbered main text). </w:t>
            </w:r>
          </w:p>
          <w:p w14:paraId="4247CB1A" w14:textId="1A803D5D" w:rsidR="006B2AFA" w:rsidRPr="0071595A" w:rsidRDefault="0071595A" w:rsidP="0071595A">
            <w:pPr>
              <w:pStyle w:val="not-prose"/>
            </w:pPr>
            <w:proofErr w:type="spellStart"/>
            <w:r>
              <w:t>Completed_SRQR_Checklist</w:t>
            </w:r>
            <w:proofErr w:type="spellEnd"/>
          </w:p>
        </w:tc>
      </w:tr>
      <w:tr w:rsidR="006B2AFA" w:rsidRPr="006B2AFA" w14:paraId="18A61414" w14:textId="77777777" w:rsidTr="0071595A">
        <w:trPr>
          <w:trHeight w:val="341"/>
        </w:trPr>
        <w:tc>
          <w:tcPr>
            <w:tcW w:w="520" w:type="dxa"/>
            <w:tcBorders>
              <w:top w:val="nil"/>
              <w:left w:val="nil"/>
              <w:bottom w:val="nil"/>
              <w:right w:val="nil"/>
            </w:tcBorders>
            <w:noWrap/>
            <w:vAlign w:val="bottom"/>
            <w:hideMark/>
          </w:tcPr>
          <w:p w14:paraId="6B8B3649"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56AE831B" w14:textId="77777777" w:rsidR="006B2AFA" w:rsidRPr="006B2AFA" w:rsidRDefault="006B2AFA" w:rsidP="0071595A">
            <w:pPr>
              <w:rPr>
                <w:rFonts w:ascii="Calibri" w:hAnsi="Calibri"/>
                <w:color w:val="000000"/>
              </w:rPr>
            </w:pPr>
            <w:r w:rsidRPr="006B2AFA">
              <w:rPr>
                <w:rFonts w:ascii="Calibri" w:hAnsi="Calibri"/>
                <w:b/>
                <w:bCs/>
                <w:color w:val="000000"/>
              </w:rPr>
              <w:t>Funding</w:t>
            </w:r>
            <w:r w:rsidRPr="006B2AFA">
              <w:rPr>
                <w:rFonts w:ascii="Calibri" w:hAnsi="Calibri"/>
                <w:color w:val="000000"/>
              </w:rPr>
              <w:t xml:space="preserve"> - Sources of funding and other support; role of funders in data collection, interpretation, and reporting</w:t>
            </w:r>
          </w:p>
        </w:tc>
        <w:tc>
          <w:tcPr>
            <w:tcW w:w="4503" w:type="dxa"/>
            <w:tcBorders>
              <w:top w:val="nil"/>
              <w:left w:val="nil"/>
              <w:bottom w:val="single" w:sz="4" w:space="0" w:color="auto"/>
              <w:right w:val="single" w:sz="4" w:space="0" w:color="auto"/>
            </w:tcBorders>
            <w:noWrap/>
            <w:hideMark/>
          </w:tcPr>
          <w:p w14:paraId="7FE894EC" w14:textId="12604165" w:rsidR="006B2AFA" w:rsidRPr="006B2AFA" w:rsidRDefault="0071595A" w:rsidP="0071595A">
            <w:pPr>
              <w:rPr>
                <w:rFonts w:ascii="Calibri" w:hAnsi="Calibri"/>
                <w:color w:val="000000"/>
              </w:rPr>
            </w:pPr>
            <w:r>
              <w:rPr>
                <w:rStyle w:val="Strong"/>
              </w:rPr>
              <w:t>Yes –</w:t>
            </w:r>
            <w:r>
              <w:t xml:space="preserve"> A funding statement accompanying the manuscript indicates that no external funding was received and that no funder influenced the study’s design, analysis, or reporting.</w:t>
            </w:r>
            <w:r>
              <w:br/>
            </w:r>
            <w:r>
              <w:rPr>
                <w:rStyle w:val="Strong"/>
              </w:rPr>
              <w:t>Location:</w:t>
            </w:r>
            <w:r>
              <w:t xml:space="preserve"> Title page / author declarations (separate from the line-numbered main text).</w:t>
            </w:r>
          </w:p>
        </w:tc>
      </w:tr>
      <w:tr w:rsidR="006B2AFA" w:rsidRPr="006B2AFA" w14:paraId="0361F060" w14:textId="77777777" w:rsidTr="0071595A">
        <w:trPr>
          <w:trHeight w:val="300"/>
        </w:trPr>
        <w:tc>
          <w:tcPr>
            <w:tcW w:w="520" w:type="dxa"/>
            <w:tcBorders>
              <w:top w:val="nil"/>
              <w:left w:val="nil"/>
              <w:bottom w:val="nil"/>
              <w:right w:val="nil"/>
            </w:tcBorders>
            <w:noWrap/>
            <w:vAlign w:val="bottom"/>
            <w:hideMark/>
          </w:tcPr>
          <w:p w14:paraId="365CFDC9" w14:textId="77777777" w:rsidR="006B2AFA" w:rsidRPr="006B2AFA" w:rsidRDefault="006B2AFA" w:rsidP="006B2AFA">
            <w:pPr>
              <w:rPr>
                <w:rFonts w:ascii="Calibri" w:hAnsi="Calibri"/>
                <w:b/>
                <w:bCs/>
                <w:color w:val="000000"/>
              </w:rPr>
            </w:pPr>
          </w:p>
        </w:tc>
        <w:tc>
          <w:tcPr>
            <w:tcW w:w="4877" w:type="dxa"/>
            <w:tcBorders>
              <w:top w:val="nil"/>
              <w:left w:val="nil"/>
              <w:bottom w:val="nil"/>
              <w:right w:val="nil"/>
            </w:tcBorders>
            <w:hideMark/>
          </w:tcPr>
          <w:p w14:paraId="2880DC8A" w14:textId="77777777" w:rsidR="006B2AFA" w:rsidRPr="006B2AFA" w:rsidRDefault="006B2AFA" w:rsidP="0071595A">
            <w:pPr>
              <w:rPr>
                <w:rFonts w:ascii="Calibri" w:hAnsi="Calibri"/>
                <w:color w:val="000000"/>
              </w:rPr>
            </w:pPr>
          </w:p>
        </w:tc>
        <w:tc>
          <w:tcPr>
            <w:tcW w:w="4503" w:type="dxa"/>
            <w:tcBorders>
              <w:top w:val="nil"/>
              <w:left w:val="nil"/>
              <w:bottom w:val="nil"/>
              <w:right w:val="nil"/>
            </w:tcBorders>
            <w:noWrap/>
            <w:hideMark/>
          </w:tcPr>
          <w:p w14:paraId="72996FC6" w14:textId="77777777" w:rsidR="006B2AFA" w:rsidRPr="006B2AFA" w:rsidRDefault="006B2AFA" w:rsidP="0071595A">
            <w:pPr>
              <w:rPr>
                <w:rFonts w:ascii="Calibri" w:hAnsi="Calibri"/>
                <w:color w:val="000000"/>
              </w:rPr>
            </w:pPr>
          </w:p>
        </w:tc>
      </w:tr>
      <w:tr w:rsidR="006B2AFA" w:rsidRPr="006B2AFA" w14:paraId="5C768BD6" w14:textId="77777777" w:rsidTr="0071595A">
        <w:trPr>
          <w:trHeight w:val="1290"/>
        </w:trPr>
        <w:tc>
          <w:tcPr>
            <w:tcW w:w="520" w:type="dxa"/>
            <w:tcBorders>
              <w:top w:val="nil"/>
              <w:left w:val="nil"/>
              <w:bottom w:val="nil"/>
              <w:right w:val="nil"/>
            </w:tcBorders>
            <w:noWrap/>
            <w:vAlign w:val="bottom"/>
            <w:hideMark/>
          </w:tcPr>
          <w:p w14:paraId="5F4F4680" w14:textId="77777777" w:rsidR="006B2AFA" w:rsidRPr="006B2AFA" w:rsidRDefault="006B2AFA" w:rsidP="006B2AFA">
            <w:pPr>
              <w:rPr>
                <w:rFonts w:ascii="Calibri" w:hAnsi="Calibri"/>
                <w:b/>
                <w:bCs/>
                <w:color w:val="000000"/>
              </w:rPr>
            </w:pPr>
          </w:p>
        </w:tc>
        <w:tc>
          <w:tcPr>
            <w:tcW w:w="4877" w:type="dxa"/>
            <w:tcBorders>
              <w:top w:val="single" w:sz="4" w:space="0" w:color="auto"/>
              <w:left w:val="single" w:sz="4" w:space="0" w:color="auto"/>
              <w:bottom w:val="nil"/>
              <w:right w:val="single" w:sz="4" w:space="0" w:color="auto"/>
            </w:tcBorders>
            <w:hideMark/>
          </w:tcPr>
          <w:p w14:paraId="7F507C1B" w14:textId="77777777" w:rsidR="006B2AFA" w:rsidRPr="006B2AFA" w:rsidRDefault="006B2AFA" w:rsidP="0071595A">
            <w:pPr>
              <w:rPr>
                <w:rFonts w:ascii="Calibri" w:hAnsi="Calibri"/>
                <w:color w:val="000000"/>
                <w:sz w:val="20"/>
                <w:szCs w:val="20"/>
              </w:rPr>
            </w:pPr>
            <w:r w:rsidRPr="006B2AFA">
              <w:rPr>
                <w:rFonts w:ascii="Calibri" w:hAnsi="Calibri"/>
                <w:color w:val="000000"/>
                <w:sz w:val="20"/>
                <w:szCs w:val="20"/>
              </w:rPr>
              <w:t xml:space="preserve">*The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w:t>
            </w:r>
            <w:r w:rsidRPr="006B2AFA">
              <w:rPr>
                <w:rFonts w:ascii="Calibri" w:hAnsi="Calibri"/>
                <w:color w:val="000000"/>
                <w:sz w:val="20"/>
                <w:szCs w:val="20"/>
              </w:rPr>
              <w:lastRenderedPageBreak/>
              <w:t>research by providing clear standards for reporting qualitative research.</w:t>
            </w:r>
          </w:p>
        </w:tc>
        <w:tc>
          <w:tcPr>
            <w:tcW w:w="4503" w:type="dxa"/>
            <w:tcBorders>
              <w:top w:val="nil"/>
              <w:left w:val="nil"/>
              <w:bottom w:val="nil"/>
              <w:right w:val="nil"/>
            </w:tcBorders>
            <w:noWrap/>
            <w:hideMark/>
          </w:tcPr>
          <w:p w14:paraId="4DB60F52" w14:textId="7E2C1900" w:rsidR="006B2AFA" w:rsidRPr="006B2AFA" w:rsidRDefault="006B2AFA" w:rsidP="0071595A">
            <w:pPr>
              <w:rPr>
                <w:rFonts w:ascii="Calibri" w:hAnsi="Calibri"/>
                <w:color w:val="000000"/>
              </w:rPr>
            </w:pPr>
          </w:p>
        </w:tc>
      </w:tr>
      <w:tr w:rsidR="006B2AFA" w:rsidRPr="006B2AFA" w14:paraId="55E6EA01" w14:textId="77777777" w:rsidTr="0071595A">
        <w:trPr>
          <w:trHeight w:val="300"/>
        </w:trPr>
        <w:tc>
          <w:tcPr>
            <w:tcW w:w="520" w:type="dxa"/>
            <w:tcBorders>
              <w:top w:val="nil"/>
              <w:left w:val="nil"/>
              <w:bottom w:val="nil"/>
              <w:right w:val="nil"/>
            </w:tcBorders>
            <w:noWrap/>
            <w:vAlign w:val="bottom"/>
            <w:hideMark/>
          </w:tcPr>
          <w:p w14:paraId="4ADF82C8"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nil"/>
              <w:right w:val="single" w:sz="4" w:space="0" w:color="auto"/>
            </w:tcBorders>
            <w:hideMark/>
          </w:tcPr>
          <w:p w14:paraId="7BA91E06" w14:textId="37EFC7E3" w:rsidR="006B2AFA" w:rsidRPr="006B2AFA" w:rsidRDefault="006B2AFA" w:rsidP="0071595A">
            <w:pPr>
              <w:rPr>
                <w:rFonts w:ascii="Calibri" w:hAnsi="Calibri"/>
                <w:color w:val="000000"/>
                <w:sz w:val="20"/>
                <w:szCs w:val="20"/>
              </w:rPr>
            </w:pPr>
          </w:p>
        </w:tc>
        <w:tc>
          <w:tcPr>
            <w:tcW w:w="4503" w:type="dxa"/>
            <w:tcBorders>
              <w:top w:val="nil"/>
              <w:left w:val="nil"/>
              <w:bottom w:val="nil"/>
              <w:right w:val="nil"/>
            </w:tcBorders>
            <w:noWrap/>
            <w:hideMark/>
          </w:tcPr>
          <w:p w14:paraId="21F1D78C" w14:textId="77777777" w:rsidR="006B2AFA" w:rsidRPr="006B2AFA" w:rsidRDefault="006B2AFA" w:rsidP="0071595A">
            <w:pPr>
              <w:rPr>
                <w:rFonts w:ascii="Calibri" w:hAnsi="Calibri"/>
                <w:color w:val="000000"/>
              </w:rPr>
            </w:pPr>
          </w:p>
        </w:tc>
      </w:tr>
      <w:tr w:rsidR="006B2AFA" w:rsidRPr="006B2AFA" w14:paraId="4C6F14CA" w14:textId="77777777" w:rsidTr="0071595A">
        <w:trPr>
          <w:trHeight w:val="1290"/>
        </w:trPr>
        <w:tc>
          <w:tcPr>
            <w:tcW w:w="520" w:type="dxa"/>
            <w:tcBorders>
              <w:top w:val="nil"/>
              <w:left w:val="nil"/>
              <w:bottom w:val="nil"/>
              <w:right w:val="nil"/>
            </w:tcBorders>
            <w:noWrap/>
            <w:vAlign w:val="bottom"/>
            <w:hideMark/>
          </w:tcPr>
          <w:p w14:paraId="16AC0188" w14:textId="77777777" w:rsidR="006B2AFA" w:rsidRPr="006B2AFA" w:rsidRDefault="006B2AFA" w:rsidP="006B2AFA">
            <w:pPr>
              <w:rPr>
                <w:rFonts w:ascii="Calibri" w:hAnsi="Calibri"/>
                <w:b/>
                <w:bCs/>
                <w:color w:val="000000"/>
              </w:rPr>
            </w:pPr>
          </w:p>
        </w:tc>
        <w:tc>
          <w:tcPr>
            <w:tcW w:w="4877" w:type="dxa"/>
            <w:tcBorders>
              <w:top w:val="nil"/>
              <w:left w:val="single" w:sz="4" w:space="0" w:color="auto"/>
              <w:bottom w:val="single" w:sz="4" w:space="0" w:color="auto"/>
              <w:right w:val="single" w:sz="4" w:space="0" w:color="auto"/>
            </w:tcBorders>
            <w:hideMark/>
          </w:tcPr>
          <w:p w14:paraId="5FC377BA" w14:textId="77777777" w:rsidR="006B2AFA" w:rsidRPr="006B2AFA" w:rsidRDefault="006B2AFA" w:rsidP="0071595A">
            <w:pPr>
              <w:rPr>
                <w:rFonts w:ascii="Calibri" w:hAnsi="Calibri"/>
                <w:color w:val="000000"/>
                <w:sz w:val="20"/>
                <w:szCs w:val="20"/>
              </w:rPr>
            </w:pPr>
            <w:r w:rsidRPr="006B2AFA">
              <w:rPr>
                <w:rFonts w:ascii="Calibri" w:hAnsi="Calibri"/>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4503" w:type="dxa"/>
            <w:tcBorders>
              <w:top w:val="nil"/>
              <w:left w:val="nil"/>
              <w:bottom w:val="nil"/>
              <w:right w:val="nil"/>
            </w:tcBorders>
            <w:noWrap/>
            <w:hideMark/>
          </w:tcPr>
          <w:p w14:paraId="68D4F2AF" w14:textId="2A37177E" w:rsidR="006B2AFA" w:rsidRPr="006B2AFA" w:rsidRDefault="0071595A" w:rsidP="0071595A">
            <w:pPr>
              <w:pStyle w:val="NormalWeb"/>
              <w:rPr>
                <w:rFonts w:ascii="Calibri" w:hAnsi="Calibri"/>
                <w:color w:val="000000"/>
              </w:rPr>
            </w:pPr>
            <w:r>
              <w:rPr>
                <w:rStyle w:val="Strong"/>
              </w:rPr>
              <w:t>Justification:</w:t>
            </w:r>
            <w:r>
              <w:t xml:space="preserve"> Rodgers and </w:t>
            </w:r>
            <w:proofErr w:type="spellStart"/>
            <w:r>
              <w:t>Knafl’s</w:t>
            </w:r>
            <w:proofErr w:type="spellEnd"/>
            <w:r>
              <w:t xml:space="preserve"> evolutionary concept analysis method was selected because it emphasizes inductive, iterative analysis of how concepts evolve over time and across disciplines, supporting an interpretivist stance that recognizes contextual and temporal variation in how anticipated stigma is experienced and conceptualized. This rationale is discussed in the Methods section in connection with the multi-theoretical frameworks reviewed earlier.</w:t>
            </w:r>
            <w:r>
              <w:br/>
            </w:r>
            <w:r>
              <w:rPr>
                <w:rStyle w:val="Strong"/>
              </w:rPr>
              <w:t>Updated location:</w:t>
            </w:r>
            <w:r>
              <w:t xml:space="preserve"> Page 9–10, Lines 189–206.</w:t>
            </w:r>
          </w:p>
        </w:tc>
      </w:tr>
      <w:tr w:rsidR="006B2AFA" w:rsidRPr="006B2AFA" w14:paraId="152D535E" w14:textId="77777777" w:rsidTr="0071595A">
        <w:trPr>
          <w:trHeight w:val="300"/>
        </w:trPr>
        <w:tc>
          <w:tcPr>
            <w:tcW w:w="520" w:type="dxa"/>
            <w:tcBorders>
              <w:top w:val="nil"/>
              <w:left w:val="nil"/>
              <w:bottom w:val="nil"/>
              <w:right w:val="nil"/>
            </w:tcBorders>
            <w:noWrap/>
            <w:vAlign w:val="bottom"/>
            <w:hideMark/>
          </w:tcPr>
          <w:p w14:paraId="5C7D74D4" w14:textId="77777777" w:rsidR="006B2AFA" w:rsidRPr="006B2AFA" w:rsidRDefault="006B2AFA" w:rsidP="006B2AFA">
            <w:pPr>
              <w:rPr>
                <w:rFonts w:ascii="Calibri" w:hAnsi="Calibri"/>
                <w:b/>
                <w:bCs/>
                <w:color w:val="000000"/>
              </w:rPr>
            </w:pPr>
          </w:p>
        </w:tc>
        <w:tc>
          <w:tcPr>
            <w:tcW w:w="4877" w:type="dxa"/>
            <w:tcBorders>
              <w:top w:val="nil"/>
              <w:left w:val="nil"/>
              <w:bottom w:val="nil"/>
              <w:right w:val="nil"/>
            </w:tcBorders>
            <w:hideMark/>
          </w:tcPr>
          <w:p w14:paraId="53F7D4FD" w14:textId="77777777" w:rsidR="006B2AFA" w:rsidRPr="006B2AFA" w:rsidRDefault="006B2AFA" w:rsidP="0071595A">
            <w:pPr>
              <w:rPr>
                <w:rFonts w:ascii="Calibri" w:hAnsi="Calibri"/>
                <w:color w:val="000000"/>
              </w:rPr>
            </w:pPr>
          </w:p>
        </w:tc>
        <w:tc>
          <w:tcPr>
            <w:tcW w:w="4503" w:type="dxa"/>
            <w:tcBorders>
              <w:top w:val="nil"/>
              <w:left w:val="nil"/>
              <w:bottom w:val="nil"/>
              <w:right w:val="nil"/>
            </w:tcBorders>
            <w:noWrap/>
            <w:hideMark/>
          </w:tcPr>
          <w:p w14:paraId="65B2BDEE" w14:textId="77777777" w:rsidR="006B2AFA" w:rsidRPr="006B2AFA" w:rsidRDefault="006B2AFA" w:rsidP="0071595A">
            <w:pPr>
              <w:rPr>
                <w:rFonts w:ascii="Calibri" w:hAnsi="Calibri"/>
                <w:color w:val="000000"/>
              </w:rPr>
            </w:pPr>
          </w:p>
        </w:tc>
      </w:tr>
      <w:tr w:rsidR="006B2AFA" w:rsidRPr="006B2AFA" w14:paraId="46BBA503" w14:textId="77777777" w:rsidTr="0071595A">
        <w:trPr>
          <w:trHeight w:val="300"/>
        </w:trPr>
        <w:tc>
          <w:tcPr>
            <w:tcW w:w="520" w:type="dxa"/>
            <w:tcBorders>
              <w:top w:val="nil"/>
              <w:left w:val="nil"/>
              <w:bottom w:val="nil"/>
              <w:right w:val="nil"/>
            </w:tcBorders>
            <w:noWrap/>
            <w:vAlign w:val="bottom"/>
            <w:hideMark/>
          </w:tcPr>
          <w:p w14:paraId="06E3F2F3" w14:textId="77777777" w:rsidR="006B2AFA" w:rsidRPr="006B2AFA" w:rsidRDefault="006B2AFA" w:rsidP="006B2AFA">
            <w:pPr>
              <w:rPr>
                <w:rFonts w:ascii="Calibri" w:hAnsi="Calibri"/>
                <w:b/>
                <w:bCs/>
                <w:color w:val="000000"/>
              </w:rPr>
            </w:pPr>
          </w:p>
        </w:tc>
        <w:tc>
          <w:tcPr>
            <w:tcW w:w="4877" w:type="dxa"/>
            <w:tcBorders>
              <w:top w:val="nil"/>
              <w:left w:val="nil"/>
              <w:bottom w:val="nil"/>
              <w:right w:val="nil"/>
            </w:tcBorders>
            <w:hideMark/>
          </w:tcPr>
          <w:p w14:paraId="71EC17C9" w14:textId="04D432F9" w:rsidR="006B2AFA" w:rsidRPr="006B2AFA" w:rsidRDefault="006B2AFA" w:rsidP="0071595A">
            <w:pPr>
              <w:rPr>
                <w:rFonts w:ascii="Calibri" w:hAnsi="Calibri"/>
                <w:b/>
                <w:bCs/>
                <w:color w:val="000000"/>
                <w:sz w:val="20"/>
                <w:szCs w:val="20"/>
                <w:u w:val="single"/>
              </w:rPr>
            </w:pPr>
            <w:r w:rsidRPr="006B2AFA">
              <w:rPr>
                <w:rFonts w:ascii="Calibri" w:hAnsi="Calibri"/>
                <w:b/>
                <w:bCs/>
                <w:color w:val="000000"/>
                <w:sz w:val="20"/>
                <w:szCs w:val="20"/>
                <w:u w:val="single"/>
              </w:rPr>
              <w:t>Reference:</w:t>
            </w:r>
          </w:p>
        </w:tc>
        <w:tc>
          <w:tcPr>
            <w:tcW w:w="4503" w:type="dxa"/>
            <w:tcBorders>
              <w:top w:val="nil"/>
              <w:left w:val="nil"/>
              <w:bottom w:val="nil"/>
              <w:right w:val="nil"/>
            </w:tcBorders>
            <w:noWrap/>
            <w:hideMark/>
          </w:tcPr>
          <w:p w14:paraId="09596D1D" w14:textId="77777777" w:rsidR="006B2AFA" w:rsidRPr="006B2AFA" w:rsidRDefault="006B2AFA" w:rsidP="0071595A">
            <w:pPr>
              <w:rPr>
                <w:rFonts w:ascii="Calibri" w:hAnsi="Calibri"/>
                <w:color w:val="000000"/>
              </w:rPr>
            </w:pPr>
          </w:p>
        </w:tc>
      </w:tr>
      <w:tr w:rsidR="006B2AFA" w:rsidRPr="006B2AFA" w14:paraId="114BECDC" w14:textId="77777777" w:rsidTr="0071595A">
        <w:trPr>
          <w:trHeight w:val="300"/>
        </w:trPr>
        <w:tc>
          <w:tcPr>
            <w:tcW w:w="520" w:type="dxa"/>
            <w:tcBorders>
              <w:top w:val="nil"/>
              <w:left w:val="nil"/>
              <w:bottom w:val="nil"/>
              <w:right w:val="nil"/>
            </w:tcBorders>
            <w:noWrap/>
            <w:vAlign w:val="bottom"/>
            <w:hideMark/>
          </w:tcPr>
          <w:p w14:paraId="27B635C3" w14:textId="77777777" w:rsidR="006B2AFA" w:rsidRPr="006B2AFA" w:rsidRDefault="006B2AFA" w:rsidP="006B2AFA">
            <w:pPr>
              <w:rPr>
                <w:rFonts w:ascii="Calibri" w:hAnsi="Calibri"/>
                <w:b/>
                <w:bCs/>
                <w:color w:val="000000"/>
              </w:rPr>
            </w:pPr>
          </w:p>
        </w:tc>
        <w:tc>
          <w:tcPr>
            <w:tcW w:w="4877" w:type="dxa"/>
            <w:tcBorders>
              <w:top w:val="nil"/>
              <w:left w:val="nil"/>
              <w:bottom w:val="nil"/>
              <w:right w:val="nil"/>
            </w:tcBorders>
            <w:hideMark/>
          </w:tcPr>
          <w:p w14:paraId="1439533B" w14:textId="77777777" w:rsidR="006B2AFA" w:rsidRDefault="006B2AFA" w:rsidP="0071595A">
            <w:pPr>
              <w:rPr>
                <w:rFonts w:cs="Frutiger-Light"/>
                <w:color w:val="0070C0"/>
                <w:sz w:val="20"/>
                <w:szCs w:val="20"/>
              </w:rPr>
            </w:pPr>
            <w:r w:rsidRPr="006B2AFA">
              <w:rPr>
                <w:color w:val="0070C0"/>
                <w:sz w:val="20"/>
                <w:szCs w:val="20"/>
              </w:rPr>
              <w:t>O'Brien BC, Harris IB, Beckman TJ, Reed DA, Cook DA.</w:t>
            </w:r>
            <w:r>
              <w:rPr>
                <w:color w:val="0070C0"/>
                <w:sz w:val="20"/>
                <w:szCs w:val="20"/>
              </w:rPr>
              <w:t xml:space="preserve"> </w:t>
            </w:r>
            <w:r w:rsidRPr="006B2AFA">
              <w:rPr>
                <w:b/>
                <w:bCs/>
                <w:color w:val="0070C0"/>
                <w:sz w:val="20"/>
                <w:szCs w:val="20"/>
              </w:rPr>
              <w:t>Standards for reporting qualitative research: a synthesis of recommendations.</w:t>
            </w:r>
            <w:r>
              <w:rPr>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763ACCA8" w14:textId="77777777" w:rsidR="006B2AFA" w:rsidRPr="006B2AFA" w:rsidRDefault="006B2AFA" w:rsidP="0071595A">
            <w:pPr>
              <w:rPr>
                <w:color w:val="0070C0"/>
                <w:sz w:val="20"/>
                <w:szCs w:val="20"/>
              </w:rPr>
            </w:pPr>
            <w:r w:rsidRPr="006B2AFA">
              <w:rPr>
                <w:color w:val="0070C0"/>
                <w:sz w:val="20"/>
                <w:szCs w:val="20"/>
              </w:rPr>
              <w:t>DOI: 10.1097/ACM.0000000000000388</w:t>
            </w:r>
          </w:p>
        </w:tc>
        <w:tc>
          <w:tcPr>
            <w:tcW w:w="4503" w:type="dxa"/>
            <w:tcBorders>
              <w:top w:val="nil"/>
              <w:left w:val="nil"/>
              <w:bottom w:val="nil"/>
              <w:right w:val="nil"/>
            </w:tcBorders>
            <w:noWrap/>
            <w:hideMark/>
          </w:tcPr>
          <w:p w14:paraId="48CA3B26" w14:textId="77777777" w:rsidR="006B2AFA" w:rsidRPr="006B2AFA" w:rsidRDefault="006B2AFA" w:rsidP="0071595A">
            <w:pPr>
              <w:rPr>
                <w:rFonts w:ascii="Calibri" w:hAnsi="Calibri"/>
                <w:color w:val="000000"/>
              </w:rPr>
            </w:pPr>
          </w:p>
        </w:tc>
      </w:tr>
      <w:tr w:rsidR="006B2AFA" w:rsidRPr="006B2AFA" w14:paraId="2CB98683" w14:textId="77777777" w:rsidTr="0071595A">
        <w:trPr>
          <w:trHeight w:val="345"/>
        </w:trPr>
        <w:tc>
          <w:tcPr>
            <w:tcW w:w="520" w:type="dxa"/>
            <w:tcBorders>
              <w:top w:val="nil"/>
              <w:left w:val="nil"/>
              <w:bottom w:val="nil"/>
              <w:right w:val="nil"/>
            </w:tcBorders>
            <w:noWrap/>
            <w:vAlign w:val="bottom"/>
            <w:hideMark/>
          </w:tcPr>
          <w:p w14:paraId="28CA7569" w14:textId="77777777" w:rsidR="006B2AFA" w:rsidRPr="006B2AFA" w:rsidRDefault="006B2AFA" w:rsidP="006B2AFA">
            <w:pPr>
              <w:rPr>
                <w:rFonts w:ascii="Calibri" w:hAnsi="Calibri"/>
                <w:b/>
                <w:bCs/>
                <w:color w:val="000000"/>
              </w:rPr>
            </w:pPr>
          </w:p>
        </w:tc>
        <w:tc>
          <w:tcPr>
            <w:tcW w:w="4877" w:type="dxa"/>
            <w:tcBorders>
              <w:top w:val="nil"/>
              <w:left w:val="nil"/>
              <w:bottom w:val="nil"/>
              <w:right w:val="nil"/>
            </w:tcBorders>
            <w:hideMark/>
          </w:tcPr>
          <w:p w14:paraId="7A070D8A" w14:textId="77777777" w:rsidR="006B2AFA" w:rsidRPr="006B2AFA" w:rsidRDefault="006B2AFA" w:rsidP="0071595A">
            <w:pPr>
              <w:rPr>
                <w:color w:val="0070C0"/>
                <w:sz w:val="20"/>
                <w:szCs w:val="20"/>
              </w:rPr>
            </w:pPr>
          </w:p>
        </w:tc>
        <w:tc>
          <w:tcPr>
            <w:tcW w:w="4503" w:type="dxa"/>
            <w:tcBorders>
              <w:top w:val="nil"/>
              <w:left w:val="nil"/>
              <w:bottom w:val="nil"/>
              <w:right w:val="nil"/>
            </w:tcBorders>
            <w:noWrap/>
            <w:hideMark/>
          </w:tcPr>
          <w:p w14:paraId="7B9F6383" w14:textId="77777777" w:rsidR="006B2AFA" w:rsidRPr="006B2AFA" w:rsidRDefault="006B2AFA" w:rsidP="0071595A">
            <w:pPr>
              <w:rPr>
                <w:rFonts w:ascii="Calibri" w:hAnsi="Calibri"/>
                <w:color w:val="000000"/>
              </w:rPr>
            </w:pPr>
          </w:p>
        </w:tc>
      </w:tr>
      <w:tr w:rsidR="006B2AFA" w:rsidRPr="006B2AFA" w14:paraId="0932C39A" w14:textId="77777777" w:rsidTr="0071595A">
        <w:trPr>
          <w:trHeight w:val="244"/>
        </w:trPr>
        <w:tc>
          <w:tcPr>
            <w:tcW w:w="520" w:type="dxa"/>
            <w:tcBorders>
              <w:top w:val="nil"/>
              <w:left w:val="nil"/>
              <w:bottom w:val="nil"/>
              <w:right w:val="nil"/>
            </w:tcBorders>
            <w:noWrap/>
            <w:vAlign w:val="bottom"/>
            <w:hideMark/>
          </w:tcPr>
          <w:p w14:paraId="646A150C" w14:textId="77777777" w:rsidR="006B2AFA" w:rsidRPr="006B2AFA" w:rsidRDefault="006B2AFA" w:rsidP="006B2AFA">
            <w:pPr>
              <w:rPr>
                <w:rFonts w:ascii="Calibri" w:hAnsi="Calibri"/>
                <w:b/>
                <w:bCs/>
                <w:color w:val="000000"/>
              </w:rPr>
            </w:pPr>
          </w:p>
        </w:tc>
        <w:tc>
          <w:tcPr>
            <w:tcW w:w="4877" w:type="dxa"/>
            <w:tcBorders>
              <w:top w:val="nil"/>
              <w:left w:val="nil"/>
              <w:bottom w:val="nil"/>
              <w:right w:val="nil"/>
            </w:tcBorders>
            <w:hideMark/>
          </w:tcPr>
          <w:p w14:paraId="54B655CF" w14:textId="77777777" w:rsidR="006B2AFA" w:rsidRPr="006B2AFA" w:rsidRDefault="006B2AFA" w:rsidP="0071595A">
            <w:pPr>
              <w:rPr>
                <w:color w:val="0070C0"/>
                <w:sz w:val="20"/>
                <w:szCs w:val="20"/>
              </w:rPr>
            </w:pPr>
          </w:p>
        </w:tc>
        <w:tc>
          <w:tcPr>
            <w:tcW w:w="4503" w:type="dxa"/>
            <w:tcBorders>
              <w:top w:val="nil"/>
              <w:left w:val="nil"/>
              <w:bottom w:val="nil"/>
              <w:right w:val="nil"/>
            </w:tcBorders>
            <w:noWrap/>
            <w:hideMark/>
          </w:tcPr>
          <w:p w14:paraId="7206C7FA" w14:textId="77777777" w:rsidR="006B2AFA" w:rsidRPr="006B2AFA" w:rsidRDefault="006B2AFA" w:rsidP="0071595A">
            <w:pPr>
              <w:rPr>
                <w:rFonts w:ascii="Calibri" w:hAnsi="Calibri"/>
                <w:color w:val="000000"/>
              </w:rPr>
            </w:pPr>
          </w:p>
        </w:tc>
      </w:tr>
    </w:tbl>
    <w:p w14:paraId="7B868F22"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1C87E" w14:textId="77777777" w:rsidR="00FB660C" w:rsidRDefault="00FB660C" w:rsidP="006B2AFA">
      <w:r>
        <w:separator/>
      </w:r>
    </w:p>
  </w:endnote>
  <w:endnote w:type="continuationSeparator" w:id="0">
    <w:p w14:paraId="34B69947" w14:textId="77777777" w:rsidR="00FB660C" w:rsidRDefault="00FB660C" w:rsidP="006B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100257"/>
      <w:docPartObj>
        <w:docPartGallery w:val="Page Numbers (Bottom of Page)"/>
        <w:docPartUnique/>
      </w:docPartObj>
    </w:sdtPr>
    <w:sdtEndPr>
      <w:rPr>
        <w:noProof/>
      </w:rPr>
    </w:sdtEndPr>
    <w:sdtContent>
      <w:p w14:paraId="2B6CB061"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3B73051"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3357F" w14:textId="77777777" w:rsidR="00FB660C" w:rsidRDefault="00FB660C" w:rsidP="006B2AFA">
      <w:r>
        <w:separator/>
      </w:r>
    </w:p>
  </w:footnote>
  <w:footnote w:type="continuationSeparator" w:id="0">
    <w:p w14:paraId="4CF29817" w14:textId="77777777" w:rsidR="00FB660C" w:rsidRDefault="00FB660C" w:rsidP="006B2A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254EC3"/>
    <w:rsid w:val="004727C7"/>
    <w:rsid w:val="004B4973"/>
    <w:rsid w:val="00516EAC"/>
    <w:rsid w:val="006B2AFA"/>
    <w:rsid w:val="0071595A"/>
    <w:rsid w:val="008954D0"/>
    <w:rsid w:val="00AE26B0"/>
    <w:rsid w:val="00B47223"/>
    <w:rsid w:val="00C012C8"/>
    <w:rsid w:val="00C876AE"/>
    <w:rsid w:val="00D23915"/>
    <w:rsid w:val="00E42833"/>
    <w:rsid w:val="00FB6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5D2D0"/>
  <w15:docId w15:val="{1FAE10F6-4ED5-304C-9768-1AB2C9F3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9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B2AFA"/>
  </w:style>
  <w:style w:type="character" w:styleId="Strong">
    <w:name w:val="Strong"/>
    <w:basedOn w:val="DefaultParagraphFont"/>
    <w:uiPriority w:val="22"/>
    <w:qFormat/>
    <w:rsid w:val="004B4973"/>
    <w:rPr>
      <w:b/>
      <w:bCs/>
    </w:rPr>
  </w:style>
  <w:style w:type="paragraph" w:styleId="NormalWeb">
    <w:name w:val="Normal (Web)"/>
    <w:basedOn w:val="Normal"/>
    <w:uiPriority w:val="99"/>
    <w:semiHidden/>
    <w:unhideWhenUsed/>
    <w:rsid w:val="004B4973"/>
    <w:pPr>
      <w:spacing w:before="100" w:beforeAutospacing="1" w:after="100" w:afterAutospacing="1"/>
    </w:pPr>
  </w:style>
  <w:style w:type="character" w:customStyle="1" w:styleId="relative">
    <w:name w:val="relative"/>
    <w:basedOn w:val="DefaultParagraphFont"/>
    <w:rsid w:val="0071595A"/>
  </w:style>
  <w:style w:type="paragraph" w:customStyle="1" w:styleId="not-prose">
    <w:name w:val="not-prose"/>
    <w:basedOn w:val="Normal"/>
    <w:rsid w:val="0071595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7</Pages>
  <Words>2060</Words>
  <Characters>13499</Characters>
  <Application>Microsoft Office Word</Application>
  <DocSecurity>0</DocSecurity>
  <Lines>385</Lines>
  <Paragraphs>101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15458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Daniel King</cp:lastModifiedBy>
  <cp:revision>5</cp:revision>
  <dcterms:created xsi:type="dcterms:W3CDTF">2025-07-31T15:50:00Z</dcterms:created>
  <dcterms:modified xsi:type="dcterms:W3CDTF">2025-12-09T04:54:00Z</dcterms:modified>
</cp:coreProperties>
</file>