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C7C41"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26F79B10"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7747"/>
        <w:gridCol w:w="627"/>
        <w:gridCol w:w="4051"/>
      </w:tblGrid>
      <w:tr w:rsidR="00191A23" w:rsidRPr="0022554A" w14:paraId="31002D47" w14:textId="77777777" w:rsidTr="00B42CD6">
        <w:tc>
          <w:tcPr>
            <w:tcW w:w="1951" w:type="dxa"/>
          </w:tcPr>
          <w:p w14:paraId="0404794D"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3AAE3333"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47EEF628"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236" w:type="dxa"/>
          </w:tcPr>
          <w:p w14:paraId="35663313"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4158" w:type="dxa"/>
          </w:tcPr>
          <w:p w14:paraId="2CC231E0"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7C94AF02" w14:textId="77777777" w:rsidTr="00B42CD6">
        <w:tc>
          <w:tcPr>
            <w:tcW w:w="1951" w:type="dxa"/>
            <w:vMerge w:val="restart"/>
          </w:tcPr>
          <w:p w14:paraId="6ED5BA88"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1861E706" w14:textId="77777777" w:rsidR="00191A23" w:rsidRPr="0022554A" w:rsidRDefault="00191A23" w:rsidP="0022554A">
            <w:pPr>
              <w:tabs>
                <w:tab w:val="left" w:pos="5400"/>
              </w:tabs>
              <w:jc w:val="center"/>
              <w:rPr>
                <w:sz w:val="20"/>
              </w:rPr>
            </w:pPr>
            <w:r w:rsidRPr="0022554A">
              <w:rPr>
                <w:sz w:val="20"/>
              </w:rPr>
              <w:t>1</w:t>
            </w:r>
          </w:p>
        </w:tc>
        <w:tc>
          <w:tcPr>
            <w:tcW w:w="8031" w:type="dxa"/>
          </w:tcPr>
          <w:p w14:paraId="7EE88F24"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236" w:type="dxa"/>
          </w:tcPr>
          <w:p w14:paraId="3AC86099" w14:textId="58591F4F" w:rsidR="00191A23" w:rsidRPr="0022554A" w:rsidRDefault="00B42CD6" w:rsidP="0022554A">
            <w:pPr>
              <w:tabs>
                <w:tab w:val="left" w:pos="5400"/>
              </w:tabs>
              <w:rPr>
                <w:sz w:val="20"/>
              </w:rPr>
            </w:pPr>
            <w:r>
              <w:rPr>
                <w:sz w:val="20"/>
              </w:rPr>
              <w:t>1</w:t>
            </w:r>
          </w:p>
        </w:tc>
        <w:tc>
          <w:tcPr>
            <w:tcW w:w="4158" w:type="dxa"/>
          </w:tcPr>
          <w:p w14:paraId="342EA5A0" w14:textId="20A09143" w:rsidR="00191A23" w:rsidRPr="0022554A" w:rsidRDefault="00B42CD6" w:rsidP="0022554A">
            <w:pPr>
              <w:tabs>
                <w:tab w:val="left" w:pos="5400"/>
              </w:tabs>
              <w:rPr>
                <w:sz w:val="20"/>
              </w:rPr>
            </w:pPr>
            <w:r>
              <w:rPr>
                <w:sz w:val="20"/>
              </w:rPr>
              <w:t>“</w:t>
            </w:r>
            <w:r w:rsidRPr="00B42CD6">
              <w:rPr>
                <w:sz w:val="20"/>
              </w:rPr>
              <w:t>Association of mental health related quality of life and other factors with treatment seeking for substance use disorders: A comparison of SUDs rooted in legal, partially legal, and illegal substances</w:t>
            </w:r>
            <w:r>
              <w:rPr>
                <w:sz w:val="20"/>
              </w:rPr>
              <w:t>”</w:t>
            </w:r>
          </w:p>
        </w:tc>
      </w:tr>
      <w:tr w:rsidR="00191A23" w:rsidRPr="0022554A" w14:paraId="09E32EB0" w14:textId="77777777" w:rsidTr="00B42CD6">
        <w:tc>
          <w:tcPr>
            <w:tcW w:w="1951" w:type="dxa"/>
            <w:vMerge/>
          </w:tcPr>
          <w:p w14:paraId="6F0ACF4B"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0CBF5BEC" w14:textId="77777777" w:rsidR="00191A23" w:rsidRPr="0022554A" w:rsidRDefault="00191A23" w:rsidP="0022554A">
            <w:pPr>
              <w:tabs>
                <w:tab w:val="left" w:pos="5400"/>
              </w:tabs>
              <w:jc w:val="center"/>
              <w:rPr>
                <w:sz w:val="20"/>
              </w:rPr>
            </w:pPr>
          </w:p>
        </w:tc>
        <w:tc>
          <w:tcPr>
            <w:tcW w:w="8031" w:type="dxa"/>
          </w:tcPr>
          <w:p w14:paraId="243620F6"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236" w:type="dxa"/>
          </w:tcPr>
          <w:p w14:paraId="4B9B47FF" w14:textId="4A4034D6" w:rsidR="00191A23" w:rsidRPr="0022554A" w:rsidRDefault="00B42CD6" w:rsidP="0022554A">
            <w:pPr>
              <w:tabs>
                <w:tab w:val="left" w:pos="5400"/>
              </w:tabs>
              <w:rPr>
                <w:sz w:val="20"/>
              </w:rPr>
            </w:pPr>
            <w:r>
              <w:rPr>
                <w:sz w:val="20"/>
              </w:rPr>
              <w:t>2</w:t>
            </w:r>
          </w:p>
        </w:tc>
        <w:tc>
          <w:tcPr>
            <w:tcW w:w="4158" w:type="dxa"/>
          </w:tcPr>
          <w:p w14:paraId="1F25D82E" w14:textId="435F5172" w:rsidR="00191A23" w:rsidRPr="0022554A" w:rsidRDefault="00B42CD6" w:rsidP="0022554A">
            <w:pPr>
              <w:tabs>
                <w:tab w:val="left" w:pos="5400"/>
              </w:tabs>
              <w:rPr>
                <w:sz w:val="20"/>
              </w:rPr>
            </w:pPr>
            <w:r>
              <w:rPr>
                <w:sz w:val="20"/>
              </w:rPr>
              <w:t>“</w:t>
            </w:r>
            <w:r w:rsidRPr="00B42CD6">
              <w:rPr>
                <w:sz w:val="20"/>
              </w:rPr>
              <w:t>This analysis used nationally-representative data from the NESARC-III database of those experiencing past-year SUDs (n=5,808) to compare rates of service use and its correlates among three groups</w:t>
            </w:r>
            <w:r>
              <w:rPr>
                <w:sz w:val="20"/>
              </w:rPr>
              <w:t>”</w:t>
            </w:r>
          </w:p>
        </w:tc>
      </w:tr>
      <w:tr w:rsidR="00191A23" w:rsidRPr="0022554A" w14:paraId="42258F10" w14:textId="77777777" w:rsidTr="00B42CD6">
        <w:tc>
          <w:tcPr>
            <w:tcW w:w="10829" w:type="dxa"/>
            <w:gridSpan w:val="4"/>
          </w:tcPr>
          <w:p w14:paraId="6B82BE79"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4163" w:type="dxa"/>
          </w:tcPr>
          <w:p w14:paraId="11D20C10" w14:textId="77777777" w:rsidR="00191A23" w:rsidRPr="0022554A" w:rsidRDefault="00191A23" w:rsidP="0022554A">
            <w:pPr>
              <w:pStyle w:val="TableSubHead"/>
              <w:tabs>
                <w:tab w:val="left" w:pos="5400"/>
              </w:tabs>
              <w:rPr>
                <w:sz w:val="20"/>
              </w:rPr>
            </w:pPr>
          </w:p>
        </w:tc>
      </w:tr>
      <w:tr w:rsidR="00191A23" w:rsidRPr="0022554A" w14:paraId="5C1EB17A" w14:textId="77777777" w:rsidTr="00B42CD6">
        <w:tc>
          <w:tcPr>
            <w:tcW w:w="1951" w:type="dxa"/>
          </w:tcPr>
          <w:p w14:paraId="35EE3D11"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0FA9905E" w14:textId="77777777" w:rsidR="00191A23" w:rsidRPr="0022554A" w:rsidRDefault="00191A23" w:rsidP="0022554A">
            <w:pPr>
              <w:tabs>
                <w:tab w:val="left" w:pos="5400"/>
              </w:tabs>
              <w:jc w:val="center"/>
              <w:rPr>
                <w:sz w:val="20"/>
              </w:rPr>
            </w:pPr>
            <w:r w:rsidRPr="0022554A">
              <w:rPr>
                <w:sz w:val="20"/>
              </w:rPr>
              <w:t>2</w:t>
            </w:r>
          </w:p>
        </w:tc>
        <w:tc>
          <w:tcPr>
            <w:tcW w:w="8031" w:type="dxa"/>
          </w:tcPr>
          <w:p w14:paraId="77141BCB"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236" w:type="dxa"/>
          </w:tcPr>
          <w:p w14:paraId="597B3D0C" w14:textId="34A4B437" w:rsidR="00191A23" w:rsidRPr="0022554A" w:rsidRDefault="00B42CD6" w:rsidP="0022554A">
            <w:pPr>
              <w:tabs>
                <w:tab w:val="left" w:pos="5400"/>
              </w:tabs>
              <w:rPr>
                <w:sz w:val="20"/>
              </w:rPr>
            </w:pPr>
            <w:r>
              <w:rPr>
                <w:sz w:val="20"/>
              </w:rPr>
              <w:t>3</w:t>
            </w:r>
          </w:p>
        </w:tc>
        <w:tc>
          <w:tcPr>
            <w:tcW w:w="4158" w:type="dxa"/>
          </w:tcPr>
          <w:p w14:paraId="67E1CA67" w14:textId="2762665A" w:rsidR="00191A23" w:rsidRPr="0022554A" w:rsidRDefault="00B42CD6" w:rsidP="0022554A">
            <w:pPr>
              <w:tabs>
                <w:tab w:val="left" w:pos="5400"/>
              </w:tabs>
              <w:rPr>
                <w:sz w:val="20"/>
              </w:rPr>
            </w:pPr>
            <w:r>
              <w:rPr>
                <w:sz w:val="20"/>
              </w:rPr>
              <w:t>“d</w:t>
            </w:r>
            <w:r w:rsidRPr="00B42CD6">
              <w:rPr>
                <w:sz w:val="20"/>
              </w:rPr>
              <w:t>etermining rates and correlates of treatment seeking is of interest to the medical community, especially examining the association of the comparative legal status of various substances of abuse with rates and correlates of service use, an issue that has been little studied</w:t>
            </w:r>
            <w:r>
              <w:rPr>
                <w:sz w:val="20"/>
              </w:rPr>
              <w:t>”</w:t>
            </w:r>
          </w:p>
        </w:tc>
      </w:tr>
      <w:tr w:rsidR="00191A23" w:rsidRPr="0022554A" w14:paraId="0EFBAE84" w14:textId="77777777" w:rsidTr="00B42CD6">
        <w:tc>
          <w:tcPr>
            <w:tcW w:w="1951" w:type="dxa"/>
          </w:tcPr>
          <w:p w14:paraId="208B69EB"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1F6B129F" w14:textId="77777777" w:rsidR="00191A23" w:rsidRPr="0022554A" w:rsidRDefault="00191A23" w:rsidP="0022554A">
            <w:pPr>
              <w:tabs>
                <w:tab w:val="left" w:pos="5400"/>
              </w:tabs>
              <w:jc w:val="center"/>
              <w:rPr>
                <w:sz w:val="20"/>
              </w:rPr>
            </w:pPr>
            <w:r w:rsidRPr="0022554A">
              <w:rPr>
                <w:sz w:val="20"/>
              </w:rPr>
              <w:t>3</w:t>
            </w:r>
          </w:p>
        </w:tc>
        <w:tc>
          <w:tcPr>
            <w:tcW w:w="8031" w:type="dxa"/>
          </w:tcPr>
          <w:p w14:paraId="69B624B7"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236" w:type="dxa"/>
          </w:tcPr>
          <w:p w14:paraId="0BAB8136" w14:textId="4118F9FC" w:rsidR="00191A23" w:rsidRPr="0022554A" w:rsidRDefault="00B42CD6" w:rsidP="0022554A">
            <w:pPr>
              <w:tabs>
                <w:tab w:val="left" w:pos="5400"/>
              </w:tabs>
              <w:rPr>
                <w:sz w:val="20"/>
              </w:rPr>
            </w:pPr>
            <w:r>
              <w:rPr>
                <w:sz w:val="20"/>
              </w:rPr>
              <w:t>4</w:t>
            </w:r>
          </w:p>
        </w:tc>
        <w:tc>
          <w:tcPr>
            <w:tcW w:w="4158" w:type="dxa"/>
          </w:tcPr>
          <w:p w14:paraId="4D88AA57" w14:textId="25825A8D" w:rsidR="00191A23" w:rsidRPr="0022554A" w:rsidRDefault="00B42CD6" w:rsidP="0022554A">
            <w:pPr>
              <w:tabs>
                <w:tab w:val="left" w:pos="5400"/>
              </w:tabs>
              <w:rPr>
                <w:sz w:val="20"/>
              </w:rPr>
            </w:pPr>
            <w:r>
              <w:rPr>
                <w:sz w:val="20"/>
              </w:rPr>
              <w:t>“</w:t>
            </w:r>
            <w:r w:rsidRPr="00B42CD6">
              <w:rPr>
                <w:sz w:val="20"/>
              </w:rPr>
              <w:t xml:space="preserve">We consider the following questions: 1) What are the significant differences in sociodemographic and clinical characteristics between diagnostically-defined groups that differ in the legal status of the substances at the root of their SUDs, 2) Are there differences in rates and correlates of service use between SUDs that differ in their legal statuses, including in the association with MHRQOL? </w:t>
            </w:r>
            <w:r w:rsidRPr="00B42CD6">
              <w:rPr>
                <w:sz w:val="20"/>
              </w:rPr>
              <w:lastRenderedPageBreak/>
              <w:t>And 3) To what extent are differences in subjective MHRQOL, reflecting personal subjective distress, associated with differences in receipt of SUD treatment for substances of differing legal status, both in unadjusted analyses and net of socio-demographic characteristics, co-morbid mental and medical disorders, and behavioral characteristics that are related to both MHRQOL and SUDs and thus are potential confounders?</w:t>
            </w:r>
            <w:r>
              <w:rPr>
                <w:sz w:val="20"/>
              </w:rPr>
              <w:t>”</w:t>
            </w:r>
          </w:p>
        </w:tc>
      </w:tr>
      <w:tr w:rsidR="00191A23" w:rsidRPr="0022554A" w14:paraId="7E606F5C" w14:textId="77777777" w:rsidTr="00B42CD6">
        <w:tc>
          <w:tcPr>
            <w:tcW w:w="10829" w:type="dxa"/>
            <w:gridSpan w:val="4"/>
          </w:tcPr>
          <w:p w14:paraId="6862A86F"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lastRenderedPageBreak/>
              <w:t>Methods</w:t>
            </w:r>
          </w:p>
        </w:tc>
        <w:bookmarkEnd w:id="21"/>
        <w:bookmarkEnd w:id="22"/>
        <w:tc>
          <w:tcPr>
            <w:tcW w:w="4163" w:type="dxa"/>
          </w:tcPr>
          <w:p w14:paraId="2BE4AA27" w14:textId="77777777" w:rsidR="00191A23" w:rsidRPr="0022554A" w:rsidRDefault="00191A23" w:rsidP="0022554A">
            <w:pPr>
              <w:pStyle w:val="TableSubHead"/>
              <w:tabs>
                <w:tab w:val="left" w:pos="5400"/>
              </w:tabs>
              <w:rPr>
                <w:sz w:val="20"/>
              </w:rPr>
            </w:pPr>
          </w:p>
        </w:tc>
      </w:tr>
      <w:tr w:rsidR="00191A23" w:rsidRPr="0022554A" w14:paraId="6F8372DD" w14:textId="77777777" w:rsidTr="00B42CD6">
        <w:tc>
          <w:tcPr>
            <w:tcW w:w="1951" w:type="dxa"/>
          </w:tcPr>
          <w:p w14:paraId="549D0A6A"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27A5773A" w14:textId="77777777" w:rsidR="00191A23" w:rsidRPr="0022554A" w:rsidRDefault="00191A23" w:rsidP="0022554A">
            <w:pPr>
              <w:tabs>
                <w:tab w:val="left" w:pos="5400"/>
              </w:tabs>
              <w:jc w:val="center"/>
              <w:rPr>
                <w:sz w:val="20"/>
              </w:rPr>
            </w:pPr>
            <w:r w:rsidRPr="0022554A">
              <w:rPr>
                <w:sz w:val="20"/>
              </w:rPr>
              <w:t>4</w:t>
            </w:r>
          </w:p>
        </w:tc>
        <w:tc>
          <w:tcPr>
            <w:tcW w:w="8031" w:type="dxa"/>
          </w:tcPr>
          <w:p w14:paraId="11DBA312"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236" w:type="dxa"/>
          </w:tcPr>
          <w:p w14:paraId="320BA974" w14:textId="0810CE38" w:rsidR="00191A23" w:rsidRPr="0022554A" w:rsidRDefault="00B42CD6" w:rsidP="0022554A">
            <w:pPr>
              <w:tabs>
                <w:tab w:val="left" w:pos="5400"/>
              </w:tabs>
              <w:rPr>
                <w:sz w:val="20"/>
              </w:rPr>
            </w:pPr>
            <w:r>
              <w:rPr>
                <w:sz w:val="20"/>
              </w:rPr>
              <w:t>4</w:t>
            </w:r>
          </w:p>
        </w:tc>
        <w:tc>
          <w:tcPr>
            <w:tcW w:w="4158" w:type="dxa"/>
          </w:tcPr>
          <w:p w14:paraId="04709EA9" w14:textId="240C5475" w:rsidR="00191A23" w:rsidRPr="0022554A" w:rsidRDefault="00B42CD6" w:rsidP="0022554A">
            <w:pPr>
              <w:tabs>
                <w:tab w:val="left" w:pos="5400"/>
              </w:tabs>
              <w:rPr>
                <w:sz w:val="20"/>
              </w:rPr>
            </w:pPr>
            <w:r>
              <w:rPr>
                <w:sz w:val="20"/>
              </w:rPr>
              <w:t>“</w:t>
            </w:r>
            <w:r w:rsidRPr="00B42CD6">
              <w:rPr>
                <w:sz w:val="20"/>
              </w:rPr>
              <w:t>In this study we use survey data from the National Epidemiologic Survey on Alcohol and Related Conditions (NESARC) – III to compare concurrent characteristics and services use among three distinct groups of SUDs defined by the legal status of the substances involved: legal, partially legal, and illegal.  Our specific focus is on differences in subjective MHRQOL and its independent association with the likelihood of receiving treatment</w:t>
            </w:r>
            <w:r>
              <w:rPr>
                <w:sz w:val="20"/>
              </w:rPr>
              <w:t>”</w:t>
            </w:r>
          </w:p>
        </w:tc>
      </w:tr>
      <w:tr w:rsidR="00191A23" w:rsidRPr="0022554A" w14:paraId="7C43690C" w14:textId="77777777" w:rsidTr="00B42CD6">
        <w:tc>
          <w:tcPr>
            <w:tcW w:w="1951" w:type="dxa"/>
          </w:tcPr>
          <w:p w14:paraId="20DA6E57"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76C7C25D" w14:textId="77777777" w:rsidR="00191A23" w:rsidRPr="0022554A" w:rsidRDefault="00191A23" w:rsidP="0022554A">
            <w:pPr>
              <w:tabs>
                <w:tab w:val="left" w:pos="5400"/>
              </w:tabs>
              <w:jc w:val="center"/>
              <w:rPr>
                <w:sz w:val="20"/>
              </w:rPr>
            </w:pPr>
            <w:r w:rsidRPr="0022554A">
              <w:rPr>
                <w:sz w:val="20"/>
              </w:rPr>
              <w:t>5</w:t>
            </w:r>
          </w:p>
        </w:tc>
        <w:tc>
          <w:tcPr>
            <w:tcW w:w="8031" w:type="dxa"/>
          </w:tcPr>
          <w:p w14:paraId="687863EB"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236" w:type="dxa"/>
          </w:tcPr>
          <w:p w14:paraId="6D9E0B34" w14:textId="13E158F5" w:rsidR="00191A23" w:rsidRPr="0022554A" w:rsidRDefault="00B42CD6" w:rsidP="0022554A">
            <w:pPr>
              <w:tabs>
                <w:tab w:val="left" w:pos="5400"/>
              </w:tabs>
              <w:rPr>
                <w:sz w:val="20"/>
              </w:rPr>
            </w:pPr>
            <w:r>
              <w:rPr>
                <w:sz w:val="20"/>
              </w:rPr>
              <w:t>5</w:t>
            </w:r>
          </w:p>
        </w:tc>
        <w:tc>
          <w:tcPr>
            <w:tcW w:w="4158" w:type="dxa"/>
          </w:tcPr>
          <w:p w14:paraId="6320CC1D" w14:textId="4F956DC0" w:rsidR="00191A23" w:rsidRPr="0022554A" w:rsidRDefault="00B42CD6" w:rsidP="0022554A">
            <w:pPr>
              <w:tabs>
                <w:tab w:val="left" w:pos="5400"/>
              </w:tabs>
              <w:rPr>
                <w:sz w:val="20"/>
              </w:rPr>
            </w:pPr>
            <w:r>
              <w:rPr>
                <w:sz w:val="20"/>
              </w:rPr>
              <w:t>“</w:t>
            </w:r>
            <w:r w:rsidRPr="00B42CD6">
              <w:rPr>
                <w:sz w:val="20"/>
              </w:rPr>
              <w:t xml:space="preserve">We used restricted data from the National Epidemiologic Survey on Alcohol and Related Conditions-III (NESARC-III), sponsored by the National Institute on Alcohol Abuse and Alcoholism (NIAAA) (33). The NESARC-III is a nationally representative cross-sectional survey, conducted from April 2012 through June 2013, of physical and mental health diagnoses, well-being, and disabilities among non-institutionalized civilian adults aged 18 or </w:t>
            </w:r>
            <w:r w:rsidRPr="00B42CD6">
              <w:rPr>
                <w:sz w:val="20"/>
              </w:rPr>
              <w:lastRenderedPageBreak/>
              <w:t>older with a focus on alcohol and other SUDs.</w:t>
            </w:r>
            <w:r>
              <w:rPr>
                <w:sz w:val="20"/>
              </w:rPr>
              <w:t>”</w:t>
            </w:r>
          </w:p>
        </w:tc>
      </w:tr>
      <w:bookmarkEnd w:id="25"/>
      <w:bookmarkEnd w:id="26"/>
      <w:tr w:rsidR="00191A23" w:rsidRPr="0022554A" w14:paraId="15391F4A" w14:textId="77777777" w:rsidTr="00B42CD6">
        <w:tc>
          <w:tcPr>
            <w:tcW w:w="1951" w:type="dxa"/>
            <w:vMerge w:val="restart"/>
          </w:tcPr>
          <w:p w14:paraId="4121DC82" w14:textId="77777777" w:rsidR="00191A23" w:rsidRPr="0022554A" w:rsidRDefault="00191A23" w:rsidP="0022554A">
            <w:pPr>
              <w:tabs>
                <w:tab w:val="left" w:pos="5400"/>
              </w:tabs>
              <w:rPr>
                <w:bCs/>
                <w:sz w:val="20"/>
              </w:rPr>
            </w:pPr>
            <w:r w:rsidRPr="0022554A">
              <w:rPr>
                <w:bCs/>
                <w:sz w:val="20"/>
              </w:rPr>
              <w:lastRenderedPageBreak/>
              <w:t>Participants</w:t>
            </w:r>
          </w:p>
        </w:tc>
        <w:tc>
          <w:tcPr>
            <w:tcW w:w="616" w:type="dxa"/>
            <w:vMerge w:val="restart"/>
          </w:tcPr>
          <w:p w14:paraId="4B153779" w14:textId="77777777" w:rsidR="00191A23" w:rsidRPr="0022554A" w:rsidRDefault="00191A23" w:rsidP="0022554A">
            <w:pPr>
              <w:tabs>
                <w:tab w:val="left" w:pos="5400"/>
              </w:tabs>
              <w:jc w:val="center"/>
              <w:rPr>
                <w:sz w:val="20"/>
              </w:rPr>
            </w:pPr>
            <w:r w:rsidRPr="0022554A">
              <w:rPr>
                <w:sz w:val="20"/>
              </w:rPr>
              <w:t>6</w:t>
            </w:r>
          </w:p>
        </w:tc>
        <w:tc>
          <w:tcPr>
            <w:tcW w:w="8031" w:type="dxa"/>
          </w:tcPr>
          <w:p w14:paraId="07FE0B68"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38083E38" w14:textId="77777777"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2F47AEFB"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236" w:type="dxa"/>
          </w:tcPr>
          <w:p w14:paraId="6C109558" w14:textId="32A04913" w:rsidR="00191A23" w:rsidRPr="0022554A" w:rsidRDefault="00B42CD6" w:rsidP="0022554A">
            <w:pPr>
              <w:tabs>
                <w:tab w:val="left" w:pos="5400"/>
              </w:tabs>
              <w:rPr>
                <w:sz w:val="20"/>
              </w:rPr>
            </w:pPr>
            <w:r>
              <w:rPr>
                <w:sz w:val="20"/>
              </w:rPr>
              <w:t>5</w:t>
            </w:r>
          </w:p>
        </w:tc>
        <w:tc>
          <w:tcPr>
            <w:tcW w:w="4158" w:type="dxa"/>
          </w:tcPr>
          <w:p w14:paraId="533E39B8" w14:textId="3C16C828" w:rsidR="00191A23" w:rsidRPr="0022554A" w:rsidRDefault="00B42CD6" w:rsidP="0022554A">
            <w:pPr>
              <w:tabs>
                <w:tab w:val="left" w:pos="5400"/>
              </w:tabs>
              <w:rPr>
                <w:sz w:val="20"/>
              </w:rPr>
            </w:pPr>
            <w:r>
              <w:rPr>
                <w:sz w:val="20"/>
              </w:rPr>
              <w:t>“</w:t>
            </w:r>
            <w:r w:rsidRPr="00B42CD6">
              <w:rPr>
                <w:sz w:val="20"/>
              </w:rPr>
              <w:t>We used restricted data from the National Epidemiologic Survey on Alcohol and Related Conditions-III (NESARC-III), sponsored by the National Institute on Alcohol Abuse and Alcoholism (NIAAA) (33). The NESARC-III is a nationally representative cross-sectional survey, conducted from April 2012 through June 2013, of physical and mental health diagnoses, well-being, and disabilities among non-institutionalized civilian adults aged 18 or older with a focus on alcohol and other SUDs.</w:t>
            </w:r>
            <w:r>
              <w:rPr>
                <w:sz w:val="20"/>
              </w:rPr>
              <w:t>”</w:t>
            </w:r>
          </w:p>
        </w:tc>
      </w:tr>
      <w:tr w:rsidR="00191A23" w:rsidRPr="0022554A" w14:paraId="23D5BE1D" w14:textId="77777777" w:rsidTr="00B42CD6">
        <w:tc>
          <w:tcPr>
            <w:tcW w:w="1951" w:type="dxa"/>
            <w:vMerge/>
          </w:tcPr>
          <w:p w14:paraId="4B720C62"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7151F5C6" w14:textId="77777777" w:rsidR="00191A23" w:rsidRPr="0022554A" w:rsidRDefault="00191A23" w:rsidP="0022554A">
            <w:pPr>
              <w:tabs>
                <w:tab w:val="left" w:pos="5400"/>
              </w:tabs>
              <w:jc w:val="center"/>
              <w:rPr>
                <w:sz w:val="20"/>
              </w:rPr>
            </w:pPr>
          </w:p>
        </w:tc>
        <w:tc>
          <w:tcPr>
            <w:tcW w:w="8031" w:type="dxa"/>
          </w:tcPr>
          <w:p w14:paraId="704E9587"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11CB4BC4"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236" w:type="dxa"/>
          </w:tcPr>
          <w:p w14:paraId="3F264B16" w14:textId="0963684E" w:rsidR="00191A23" w:rsidRPr="0022554A" w:rsidRDefault="00B42CD6" w:rsidP="0022554A">
            <w:pPr>
              <w:tabs>
                <w:tab w:val="left" w:pos="5400"/>
              </w:tabs>
              <w:rPr>
                <w:sz w:val="20"/>
              </w:rPr>
            </w:pPr>
            <w:r>
              <w:rPr>
                <w:sz w:val="20"/>
              </w:rPr>
              <w:t>9</w:t>
            </w:r>
          </w:p>
        </w:tc>
        <w:tc>
          <w:tcPr>
            <w:tcW w:w="4158" w:type="dxa"/>
          </w:tcPr>
          <w:p w14:paraId="3B1B5D44" w14:textId="0E3469E3" w:rsidR="00191A23" w:rsidRPr="0022554A" w:rsidRDefault="00B42CD6" w:rsidP="0022554A">
            <w:pPr>
              <w:tabs>
                <w:tab w:val="left" w:pos="5400"/>
              </w:tabs>
              <w:rPr>
                <w:sz w:val="20"/>
              </w:rPr>
            </w:pPr>
            <w:r>
              <w:rPr>
                <w:sz w:val="20"/>
              </w:rPr>
              <w:t>“</w:t>
            </w:r>
            <w:r w:rsidRPr="00B42CD6">
              <w:rPr>
                <w:sz w:val="20"/>
              </w:rPr>
              <w:t>Overall, 16.0% (n= 5,808) of the entire study sample, representing 36,887,003 adults, met criteria for an included SUD within the past 12 months: 659 (11.4%) with ISUDs, representing 4.1 million adults, 828 (14.3%) with CUD, representing 5.1 million adults, and 4,321 with AUD (74.4%), representing 27.7 million adults (Table 1, rows 2-3).</w:t>
            </w:r>
            <w:r>
              <w:rPr>
                <w:sz w:val="20"/>
              </w:rPr>
              <w:t>”</w:t>
            </w:r>
          </w:p>
        </w:tc>
      </w:tr>
      <w:tr w:rsidR="00191A23" w:rsidRPr="0022554A" w14:paraId="119DF4A6" w14:textId="77777777" w:rsidTr="00B42CD6">
        <w:tc>
          <w:tcPr>
            <w:tcW w:w="1951" w:type="dxa"/>
          </w:tcPr>
          <w:p w14:paraId="59EB3227"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2EEFF748" w14:textId="77777777" w:rsidR="00191A23" w:rsidRPr="0022554A" w:rsidRDefault="00191A23" w:rsidP="0022554A">
            <w:pPr>
              <w:tabs>
                <w:tab w:val="left" w:pos="5400"/>
              </w:tabs>
              <w:jc w:val="center"/>
              <w:rPr>
                <w:sz w:val="20"/>
              </w:rPr>
            </w:pPr>
            <w:r w:rsidRPr="0022554A">
              <w:rPr>
                <w:sz w:val="20"/>
              </w:rPr>
              <w:t>7</w:t>
            </w:r>
          </w:p>
        </w:tc>
        <w:tc>
          <w:tcPr>
            <w:tcW w:w="8031" w:type="dxa"/>
          </w:tcPr>
          <w:p w14:paraId="46EE5B53"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236" w:type="dxa"/>
          </w:tcPr>
          <w:p w14:paraId="413254A5" w14:textId="33E96908" w:rsidR="00191A23" w:rsidRPr="0022554A" w:rsidRDefault="00BD7559" w:rsidP="0022554A">
            <w:pPr>
              <w:tabs>
                <w:tab w:val="left" w:pos="5400"/>
              </w:tabs>
              <w:rPr>
                <w:sz w:val="20"/>
              </w:rPr>
            </w:pPr>
            <w:r>
              <w:rPr>
                <w:sz w:val="20"/>
              </w:rPr>
              <w:t>5</w:t>
            </w:r>
          </w:p>
        </w:tc>
        <w:tc>
          <w:tcPr>
            <w:tcW w:w="4158" w:type="dxa"/>
          </w:tcPr>
          <w:p w14:paraId="42E62172" w14:textId="08B2B3A5" w:rsidR="00191A23" w:rsidRPr="0022554A" w:rsidRDefault="00BD7559" w:rsidP="0022554A">
            <w:pPr>
              <w:tabs>
                <w:tab w:val="left" w:pos="5400"/>
              </w:tabs>
              <w:rPr>
                <w:sz w:val="20"/>
              </w:rPr>
            </w:pPr>
            <w:r>
              <w:rPr>
                <w:sz w:val="20"/>
              </w:rPr>
              <w:t>“</w:t>
            </w:r>
            <w:r w:rsidRPr="00BD7559">
              <w:rPr>
                <w:sz w:val="20"/>
              </w:rPr>
              <w:t xml:space="preserve">We classified the sample into three groups, stratified by substance legality, with no overlap between groups. One use disorder group was defined by inclusion of adults with past year AUD (n=4,321), the only entirely legal substance for adults considered in our classification, as nicotine use disorder was not used to define this group. The next “partially legal” group was defined as including adults with past year CUD (n=828), a substance that is legal in the form of both medical and </w:t>
            </w:r>
            <w:r w:rsidRPr="00BD7559">
              <w:rPr>
                <w:sz w:val="20"/>
              </w:rPr>
              <w:lastRenderedPageBreak/>
              <w:t>recreational marijuana use with considerable variability across states. The final, “illicit” group was defined as including adults with past year illicit SUDs (ISUDs (n=659), including cocaine use disorder, heroin use disorder, amphetamine or stimulant use disorder, hallucinogen use disorder, club drug use disorder, prescription opioid use disorder, sedative use disorder, or other unspecified drug use disorder. Adults who met criteria for more than one group were classified in the more illegal group.</w:t>
            </w:r>
            <w:r>
              <w:rPr>
                <w:sz w:val="20"/>
              </w:rPr>
              <w:t>”</w:t>
            </w:r>
          </w:p>
        </w:tc>
      </w:tr>
      <w:tr w:rsidR="00191A23" w:rsidRPr="0022554A" w14:paraId="1A594C19" w14:textId="77777777" w:rsidTr="00B42CD6">
        <w:trPr>
          <w:trHeight w:val="294"/>
        </w:trPr>
        <w:tc>
          <w:tcPr>
            <w:tcW w:w="1951" w:type="dxa"/>
          </w:tcPr>
          <w:p w14:paraId="73BF3CCC"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lastRenderedPageBreak/>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0A8C5CAB"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45CBB7A8"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236" w:type="dxa"/>
          </w:tcPr>
          <w:p w14:paraId="33516FF7" w14:textId="4AA27EE8" w:rsidR="00191A23" w:rsidRPr="00BD7559" w:rsidRDefault="00BD7559" w:rsidP="0022554A">
            <w:pPr>
              <w:tabs>
                <w:tab w:val="left" w:pos="5400"/>
              </w:tabs>
              <w:rPr>
                <w:iCs/>
                <w:sz w:val="20"/>
              </w:rPr>
            </w:pPr>
            <w:r>
              <w:rPr>
                <w:iCs/>
                <w:sz w:val="20"/>
              </w:rPr>
              <w:t>5</w:t>
            </w:r>
          </w:p>
        </w:tc>
        <w:tc>
          <w:tcPr>
            <w:tcW w:w="4158" w:type="dxa"/>
          </w:tcPr>
          <w:p w14:paraId="56411897" w14:textId="21F7EADD" w:rsidR="00191A23" w:rsidRPr="00BD7559" w:rsidRDefault="00BD7559" w:rsidP="0022554A">
            <w:pPr>
              <w:tabs>
                <w:tab w:val="left" w:pos="5400"/>
              </w:tabs>
              <w:rPr>
                <w:iCs/>
                <w:sz w:val="20"/>
              </w:rPr>
            </w:pPr>
            <w:r>
              <w:rPr>
                <w:iCs/>
                <w:sz w:val="20"/>
              </w:rPr>
              <w:t>“</w:t>
            </w:r>
            <w:r w:rsidRPr="00BD7559">
              <w:rPr>
                <w:iCs/>
                <w:sz w:val="20"/>
              </w:rPr>
              <w:t>We used restricted data from the National Epidemiologic Survey on Alcohol and Related Conditions-III (NESARC-III), sponsored by the National Institute on Alcohol Abuse and Alcoholism (NIAAA) (33).</w:t>
            </w:r>
            <w:r>
              <w:rPr>
                <w:iCs/>
                <w:sz w:val="20"/>
              </w:rPr>
              <w:t xml:space="preserve">” </w:t>
            </w:r>
          </w:p>
        </w:tc>
      </w:tr>
      <w:tr w:rsidR="00191A23" w:rsidRPr="0022554A" w14:paraId="62AE0FFD" w14:textId="77777777" w:rsidTr="00B42CD6">
        <w:tc>
          <w:tcPr>
            <w:tcW w:w="1951" w:type="dxa"/>
          </w:tcPr>
          <w:p w14:paraId="6EC91C7E"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3456FD91" w14:textId="77777777" w:rsidR="00191A23" w:rsidRPr="0022554A" w:rsidRDefault="00191A23" w:rsidP="0022554A">
            <w:pPr>
              <w:tabs>
                <w:tab w:val="left" w:pos="5400"/>
              </w:tabs>
              <w:jc w:val="center"/>
              <w:rPr>
                <w:sz w:val="20"/>
              </w:rPr>
            </w:pPr>
            <w:r w:rsidRPr="0022554A">
              <w:rPr>
                <w:sz w:val="20"/>
              </w:rPr>
              <w:t>9</w:t>
            </w:r>
          </w:p>
        </w:tc>
        <w:tc>
          <w:tcPr>
            <w:tcW w:w="8031" w:type="dxa"/>
          </w:tcPr>
          <w:p w14:paraId="084A7DD1"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236" w:type="dxa"/>
          </w:tcPr>
          <w:p w14:paraId="2CC9821C" w14:textId="43D88368" w:rsidR="00191A23" w:rsidRPr="0022554A" w:rsidRDefault="00BD7559" w:rsidP="0022554A">
            <w:pPr>
              <w:tabs>
                <w:tab w:val="left" w:pos="5400"/>
              </w:tabs>
              <w:rPr>
                <w:color w:val="000000"/>
                <w:sz w:val="20"/>
              </w:rPr>
            </w:pPr>
            <w:r>
              <w:rPr>
                <w:color w:val="000000"/>
                <w:sz w:val="20"/>
              </w:rPr>
              <w:t>15</w:t>
            </w:r>
          </w:p>
        </w:tc>
        <w:tc>
          <w:tcPr>
            <w:tcW w:w="4158" w:type="dxa"/>
          </w:tcPr>
          <w:p w14:paraId="49913514" w14:textId="66465474" w:rsidR="00191A23" w:rsidRPr="0022554A" w:rsidRDefault="00BD7559" w:rsidP="0022554A">
            <w:pPr>
              <w:tabs>
                <w:tab w:val="left" w:pos="5400"/>
              </w:tabs>
              <w:rPr>
                <w:color w:val="000000"/>
                <w:sz w:val="20"/>
              </w:rPr>
            </w:pPr>
            <w:r>
              <w:rPr>
                <w:color w:val="000000"/>
                <w:sz w:val="20"/>
              </w:rPr>
              <w:t>“</w:t>
            </w:r>
            <w:r w:rsidRPr="00BD7559">
              <w:rPr>
                <w:color w:val="000000"/>
                <w:sz w:val="20"/>
              </w:rPr>
              <w:t>First, the most recent available NESARC survey was conducted between 2012 and 2013, and substance use habits, attitudes and socio-economic conditions of the United States population have shifted since this time.</w:t>
            </w:r>
            <w:r>
              <w:rPr>
                <w:color w:val="000000"/>
                <w:sz w:val="20"/>
              </w:rPr>
              <w:t>”</w:t>
            </w:r>
          </w:p>
        </w:tc>
      </w:tr>
      <w:tr w:rsidR="00191A23" w:rsidRPr="0022554A" w14:paraId="701F3007" w14:textId="77777777" w:rsidTr="00B42CD6">
        <w:tc>
          <w:tcPr>
            <w:tcW w:w="1951" w:type="dxa"/>
          </w:tcPr>
          <w:p w14:paraId="4AA840F0"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33D023D6" w14:textId="77777777" w:rsidR="00191A23" w:rsidRPr="0022554A" w:rsidRDefault="00191A23" w:rsidP="0022554A">
            <w:pPr>
              <w:tabs>
                <w:tab w:val="left" w:pos="5400"/>
              </w:tabs>
              <w:jc w:val="center"/>
              <w:rPr>
                <w:sz w:val="20"/>
              </w:rPr>
            </w:pPr>
            <w:r w:rsidRPr="0022554A">
              <w:rPr>
                <w:sz w:val="20"/>
              </w:rPr>
              <w:t>10</w:t>
            </w:r>
          </w:p>
        </w:tc>
        <w:tc>
          <w:tcPr>
            <w:tcW w:w="8031" w:type="dxa"/>
          </w:tcPr>
          <w:p w14:paraId="52FB8AC1" w14:textId="77777777" w:rsidR="00191A23" w:rsidRPr="0022554A" w:rsidRDefault="00191A23" w:rsidP="0022554A">
            <w:pPr>
              <w:tabs>
                <w:tab w:val="left" w:pos="5400"/>
              </w:tabs>
              <w:rPr>
                <w:sz w:val="20"/>
              </w:rPr>
            </w:pPr>
            <w:r w:rsidRPr="0022554A">
              <w:rPr>
                <w:sz w:val="20"/>
              </w:rPr>
              <w:t>Explain how the study size was arrived at</w:t>
            </w:r>
          </w:p>
        </w:tc>
        <w:tc>
          <w:tcPr>
            <w:tcW w:w="236" w:type="dxa"/>
          </w:tcPr>
          <w:p w14:paraId="1706E8EE" w14:textId="6DA9C1A3" w:rsidR="00191A23" w:rsidRPr="0022554A" w:rsidRDefault="00BD7559" w:rsidP="0022554A">
            <w:pPr>
              <w:tabs>
                <w:tab w:val="left" w:pos="5400"/>
              </w:tabs>
              <w:rPr>
                <w:sz w:val="20"/>
              </w:rPr>
            </w:pPr>
            <w:r>
              <w:rPr>
                <w:sz w:val="20"/>
              </w:rPr>
              <w:t>9</w:t>
            </w:r>
          </w:p>
        </w:tc>
        <w:tc>
          <w:tcPr>
            <w:tcW w:w="4158" w:type="dxa"/>
          </w:tcPr>
          <w:p w14:paraId="7F22ABA1" w14:textId="70DBCE6F" w:rsidR="00191A23" w:rsidRPr="0022554A" w:rsidRDefault="00BD7559" w:rsidP="0022554A">
            <w:pPr>
              <w:tabs>
                <w:tab w:val="left" w:pos="5400"/>
              </w:tabs>
              <w:rPr>
                <w:sz w:val="20"/>
              </w:rPr>
            </w:pPr>
            <w:r>
              <w:rPr>
                <w:sz w:val="20"/>
              </w:rPr>
              <w:t>“</w:t>
            </w:r>
            <w:r w:rsidRPr="00BD7559">
              <w:rPr>
                <w:sz w:val="20"/>
              </w:rPr>
              <w:t>Overall, 16.0% (n= 5,808) of the entire study sample, representing 36,887,003 adults, met criteria for an included SUD within the past 12 months: 659 (11.4%) with ISUDs, representing 4.1 million adults, 828 (14.3%) with CUD, representing 5.1 million adults, and 4,321 with AUD (74.4%), representing 27.7 million adults (Table 1, rows 2-3).</w:t>
            </w:r>
            <w:r>
              <w:rPr>
                <w:sz w:val="20"/>
              </w:rPr>
              <w:t>”</w:t>
            </w:r>
          </w:p>
        </w:tc>
      </w:tr>
    </w:tbl>
    <w:p w14:paraId="77827626" w14:textId="77777777"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600C7394" w14:textId="77777777" w:rsidTr="00517788">
        <w:tc>
          <w:tcPr>
            <w:tcW w:w="1521" w:type="dxa"/>
          </w:tcPr>
          <w:p w14:paraId="62FB8883"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66B0FB67" w14:textId="77777777" w:rsidR="00191A23" w:rsidRPr="0022554A" w:rsidRDefault="00191A23" w:rsidP="00191A23">
            <w:pPr>
              <w:tabs>
                <w:tab w:val="left" w:pos="5400"/>
              </w:tabs>
              <w:jc w:val="center"/>
              <w:rPr>
                <w:sz w:val="20"/>
              </w:rPr>
            </w:pPr>
            <w:r w:rsidRPr="0022554A">
              <w:rPr>
                <w:sz w:val="20"/>
              </w:rPr>
              <w:t>11</w:t>
            </w:r>
          </w:p>
        </w:tc>
        <w:tc>
          <w:tcPr>
            <w:tcW w:w="8328" w:type="dxa"/>
          </w:tcPr>
          <w:p w14:paraId="2EA99B40"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3BB5B141" w14:textId="4F315999" w:rsidR="00191A23" w:rsidRPr="0022554A" w:rsidRDefault="00BD7559" w:rsidP="00191A23">
            <w:pPr>
              <w:tabs>
                <w:tab w:val="left" w:pos="5400"/>
              </w:tabs>
              <w:rPr>
                <w:sz w:val="20"/>
              </w:rPr>
            </w:pPr>
            <w:r>
              <w:rPr>
                <w:sz w:val="20"/>
              </w:rPr>
              <w:t>7</w:t>
            </w:r>
          </w:p>
        </w:tc>
        <w:tc>
          <w:tcPr>
            <w:tcW w:w="3118" w:type="dxa"/>
          </w:tcPr>
          <w:p w14:paraId="445DDDA2" w14:textId="21B3B4B6" w:rsidR="00191A23" w:rsidRPr="0022554A" w:rsidRDefault="00BD7559" w:rsidP="00191A23">
            <w:pPr>
              <w:tabs>
                <w:tab w:val="left" w:pos="5400"/>
              </w:tabs>
              <w:rPr>
                <w:sz w:val="20"/>
              </w:rPr>
            </w:pPr>
            <w:r>
              <w:rPr>
                <w:sz w:val="20"/>
              </w:rPr>
              <w:t xml:space="preserve">“2.3 Analysis… </w:t>
            </w:r>
            <w:r w:rsidRPr="00BD7559">
              <w:rPr>
                <w:sz w:val="20"/>
              </w:rPr>
              <w:t>Comparisons of categorical variables were based on bivariable logistic regression analyses with odds ratios as indicators of effect sizes while continuous variables were compared with Cohen’s d and associated P-values as indicators of statistical significance and effect size differences.</w:t>
            </w:r>
            <w:r>
              <w:rPr>
                <w:sz w:val="20"/>
              </w:rPr>
              <w:t>”</w:t>
            </w:r>
          </w:p>
        </w:tc>
      </w:tr>
      <w:tr w:rsidR="00191A23" w:rsidRPr="0022554A" w14:paraId="0E913EEC" w14:textId="77777777" w:rsidTr="00517788">
        <w:tc>
          <w:tcPr>
            <w:tcW w:w="1521" w:type="dxa"/>
            <w:vMerge w:val="restart"/>
          </w:tcPr>
          <w:p w14:paraId="58BAEBE7"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15F8CF6B" w14:textId="77777777" w:rsidR="00191A23" w:rsidRPr="0022554A" w:rsidRDefault="00191A23" w:rsidP="00191A23">
            <w:pPr>
              <w:tabs>
                <w:tab w:val="left" w:pos="5400"/>
              </w:tabs>
              <w:jc w:val="center"/>
              <w:rPr>
                <w:sz w:val="20"/>
              </w:rPr>
            </w:pPr>
            <w:r w:rsidRPr="0022554A">
              <w:rPr>
                <w:sz w:val="20"/>
              </w:rPr>
              <w:t>12</w:t>
            </w:r>
          </w:p>
        </w:tc>
        <w:tc>
          <w:tcPr>
            <w:tcW w:w="8328" w:type="dxa"/>
          </w:tcPr>
          <w:p w14:paraId="0539EED4"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1A8BDBE9" w14:textId="2D70FECC" w:rsidR="00191A23" w:rsidRPr="0022554A" w:rsidRDefault="00D06691" w:rsidP="00191A23">
            <w:pPr>
              <w:tabs>
                <w:tab w:val="left" w:pos="5400"/>
              </w:tabs>
              <w:rPr>
                <w:sz w:val="20"/>
              </w:rPr>
            </w:pPr>
            <w:r>
              <w:rPr>
                <w:sz w:val="20"/>
              </w:rPr>
              <w:t>7</w:t>
            </w:r>
          </w:p>
        </w:tc>
        <w:tc>
          <w:tcPr>
            <w:tcW w:w="3118" w:type="dxa"/>
          </w:tcPr>
          <w:p w14:paraId="02804986" w14:textId="3AD53C34" w:rsidR="00191A23" w:rsidRPr="0022554A" w:rsidRDefault="00D06691" w:rsidP="00191A23">
            <w:pPr>
              <w:tabs>
                <w:tab w:val="left" w:pos="5400"/>
              </w:tabs>
              <w:rPr>
                <w:sz w:val="20"/>
              </w:rPr>
            </w:pPr>
            <w:r>
              <w:rPr>
                <w:sz w:val="20"/>
              </w:rPr>
              <w:t>“</w:t>
            </w:r>
            <w:r w:rsidRPr="00D06691">
              <w:rPr>
                <w:sz w:val="20"/>
              </w:rPr>
              <w:t>We constructed three sets of models for each group. The first model was a bivariable logistic regression assessing the unadjusted association MHRQOL with likelihood of SUD treatment. The second model added covariates representing sociodemographic variables such as age, sex, and race that may confound this association. The third model added additional covariates representing behavioral factors such as trouble with police in the past year and diagnostic factors like number of diagnosed non-SUD psychiatric disorders.</w:t>
            </w:r>
            <w:r>
              <w:rPr>
                <w:sz w:val="20"/>
              </w:rPr>
              <w:t>”</w:t>
            </w:r>
          </w:p>
        </w:tc>
      </w:tr>
      <w:tr w:rsidR="00191A23" w:rsidRPr="0022554A" w14:paraId="3C905A7E" w14:textId="77777777" w:rsidTr="00517788">
        <w:tc>
          <w:tcPr>
            <w:tcW w:w="1521" w:type="dxa"/>
            <w:vMerge/>
          </w:tcPr>
          <w:p w14:paraId="7527A1C6"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0C762910" w14:textId="77777777" w:rsidR="00191A23" w:rsidRPr="0022554A" w:rsidRDefault="00191A23" w:rsidP="00191A23">
            <w:pPr>
              <w:tabs>
                <w:tab w:val="left" w:pos="5400"/>
              </w:tabs>
              <w:jc w:val="center"/>
              <w:rPr>
                <w:sz w:val="20"/>
              </w:rPr>
            </w:pPr>
          </w:p>
        </w:tc>
        <w:tc>
          <w:tcPr>
            <w:tcW w:w="8328" w:type="dxa"/>
          </w:tcPr>
          <w:p w14:paraId="2C11EF4E"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4716486B" w14:textId="1FD8B020" w:rsidR="00191A23" w:rsidRPr="0022554A" w:rsidRDefault="00D06691" w:rsidP="00191A23">
            <w:pPr>
              <w:tabs>
                <w:tab w:val="left" w:pos="5400"/>
              </w:tabs>
              <w:rPr>
                <w:sz w:val="20"/>
              </w:rPr>
            </w:pPr>
            <w:r>
              <w:rPr>
                <w:sz w:val="20"/>
              </w:rPr>
              <w:t>7</w:t>
            </w:r>
          </w:p>
        </w:tc>
        <w:tc>
          <w:tcPr>
            <w:tcW w:w="3118" w:type="dxa"/>
          </w:tcPr>
          <w:p w14:paraId="3CE51CD8" w14:textId="723965B2" w:rsidR="00191A23" w:rsidRPr="0022554A" w:rsidRDefault="00D06691" w:rsidP="00191A23">
            <w:pPr>
              <w:tabs>
                <w:tab w:val="left" w:pos="5400"/>
              </w:tabs>
              <w:rPr>
                <w:sz w:val="20"/>
              </w:rPr>
            </w:pPr>
            <w:r>
              <w:rPr>
                <w:sz w:val="20"/>
              </w:rPr>
              <w:t>“</w:t>
            </w:r>
            <w:r w:rsidRPr="00D06691">
              <w:rPr>
                <w:sz w:val="20"/>
              </w:rPr>
              <w:t xml:space="preserve">First, we investigated differences in sociodemographic, behavioral, and diagnostic characteristics for our three categories of SUDs (ISUD, CUD, and AUD), through three sets of pairwise comparisons </w:t>
            </w:r>
            <w:r w:rsidRPr="00D06691">
              <w:rPr>
                <w:sz w:val="20"/>
              </w:rPr>
              <w:lastRenderedPageBreak/>
              <w:t>(ISUD vs CUD, CUD vs AUD, and ISUD vs AUD).</w:t>
            </w:r>
            <w:r>
              <w:rPr>
                <w:sz w:val="20"/>
              </w:rPr>
              <w:t>”</w:t>
            </w:r>
          </w:p>
        </w:tc>
      </w:tr>
      <w:tr w:rsidR="00191A23" w:rsidRPr="0022554A" w14:paraId="6B20199D" w14:textId="77777777" w:rsidTr="00517788">
        <w:tc>
          <w:tcPr>
            <w:tcW w:w="1521" w:type="dxa"/>
            <w:vMerge/>
          </w:tcPr>
          <w:p w14:paraId="08EC6D51"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712A7239" w14:textId="77777777" w:rsidR="00191A23" w:rsidRPr="0022554A" w:rsidRDefault="00191A23" w:rsidP="00191A23">
            <w:pPr>
              <w:tabs>
                <w:tab w:val="left" w:pos="5400"/>
              </w:tabs>
              <w:jc w:val="center"/>
              <w:rPr>
                <w:sz w:val="20"/>
              </w:rPr>
            </w:pPr>
          </w:p>
        </w:tc>
        <w:tc>
          <w:tcPr>
            <w:tcW w:w="8328" w:type="dxa"/>
          </w:tcPr>
          <w:p w14:paraId="046CDE96"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5FA3C6EE" w14:textId="6E696A31" w:rsidR="00191A23" w:rsidRPr="0022554A" w:rsidRDefault="00D06691" w:rsidP="00191A23">
            <w:pPr>
              <w:tabs>
                <w:tab w:val="left" w:pos="5400"/>
              </w:tabs>
              <w:rPr>
                <w:sz w:val="20"/>
              </w:rPr>
            </w:pPr>
            <w:r>
              <w:rPr>
                <w:sz w:val="20"/>
              </w:rPr>
              <w:t>7</w:t>
            </w:r>
          </w:p>
        </w:tc>
        <w:tc>
          <w:tcPr>
            <w:tcW w:w="3118" w:type="dxa"/>
          </w:tcPr>
          <w:p w14:paraId="29137945" w14:textId="5DF532EE" w:rsidR="00191A23" w:rsidRPr="0022554A" w:rsidRDefault="00D06691" w:rsidP="00191A23">
            <w:pPr>
              <w:tabs>
                <w:tab w:val="left" w:pos="5400"/>
              </w:tabs>
              <w:rPr>
                <w:sz w:val="20"/>
              </w:rPr>
            </w:pPr>
            <w:r>
              <w:rPr>
                <w:sz w:val="20"/>
              </w:rPr>
              <w:t>“</w:t>
            </w:r>
            <w:r w:rsidRPr="00D06691">
              <w:rPr>
                <w:sz w:val="20"/>
              </w:rPr>
              <w:t>We constructed three sets of models for each group. The first model was a bivariable logistic regression assessing the unadjusted association MHRQOL with likelihood of SUD treatment. The second model added covariates representing sociodemographic variables such as age, sex, and race that may confound this association. The third model added additional covariates representing behavioral factors such as trouble with police in the past year and diagnostic factors like number of diagnosed non-SUD psychiatric disorders.</w:t>
            </w:r>
            <w:r>
              <w:rPr>
                <w:sz w:val="20"/>
              </w:rPr>
              <w:t>”</w:t>
            </w:r>
          </w:p>
        </w:tc>
      </w:tr>
      <w:tr w:rsidR="00191A23" w:rsidRPr="0022554A" w14:paraId="0D8F84AB" w14:textId="77777777" w:rsidTr="00517788">
        <w:tc>
          <w:tcPr>
            <w:tcW w:w="1521" w:type="dxa"/>
            <w:vMerge/>
          </w:tcPr>
          <w:p w14:paraId="49839C2A"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590AC21C" w14:textId="77777777" w:rsidR="00191A23" w:rsidRPr="0022554A" w:rsidRDefault="00191A23" w:rsidP="00191A23">
            <w:pPr>
              <w:tabs>
                <w:tab w:val="left" w:pos="5400"/>
              </w:tabs>
              <w:jc w:val="center"/>
              <w:rPr>
                <w:sz w:val="20"/>
              </w:rPr>
            </w:pPr>
          </w:p>
        </w:tc>
        <w:tc>
          <w:tcPr>
            <w:tcW w:w="8328" w:type="dxa"/>
          </w:tcPr>
          <w:p w14:paraId="0CC5979F"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13567460"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76BB3088"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0641D150" w14:textId="2E575EC9" w:rsidR="00191A23" w:rsidRPr="0022554A" w:rsidRDefault="00D06691" w:rsidP="00191A23">
            <w:pPr>
              <w:tabs>
                <w:tab w:val="left" w:pos="5400"/>
              </w:tabs>
              <w:rPr>
                <w:sz w:val="20"/>
              </w:rPr>
            </w:pPr>
            <w:r>
              <w:rPr>
                <w:sz w:val="20"/>
              </w:rPr>
              <w:t>8</w:t>
            </w:r>
          </w:p>
        </w:tc>
        <w:tc>
          <w:tcPr>
            <w:tcW w:w="3118" w:type="dxa"/>
          </w:tcPr>
          <w:p w14:paraId="26079FF0" w14:textId="08BFAEAC" w:rsidR="00191A23" w:rsidRPr="0022554A" w:rsidRDefault="00D06691" w:rsidP="00191A23">
            <w:pPr>
              <w:tabs>
                <w:tab w:val="left" w:pos="5400"/>
              </w:tabs>
              <w:rPr>
                <w:sz w:val="20"/>
              </w:rPr>
            </w:pPr>
            <w:r>
              <w:rPr>
                <w:sz w:val="20"/>
              </w:rPr>
              <w:t>“</w:t>
            </w:r>
            <w:r w:rsidRPr="00D06691">
              <w:rPr>
                <w:sz w:val="20"/>
              </w:rPr>
              <w:t>We used Stata version 17.0 for all analyses and employed the svy commands in Stata to account for the complex survey sampling design of the NESARC-III (e.g., unequal probability of selection, clustering and stratification) (44).</w:t>
            </w:r>
            <w:r>
              <w:rPr>
                <w:sz w:val="20"/>
              </w:rPr>
              <w:t>”</w:t>
            </w:r>
          </w:p>
        </w:tc>
      </w:tr>
      <w:tr w:rsidR="00191A23" w:rsidRPr="0022554A" w14:paraId="13290D03" w14:textId="77777777" w:rsidTr="00517788">
        <w:tc>
          <w:tcPr>
            <w:tcW w:w="1521" w:type="dxa"/>
            <w:vMerge/>
          </w:tcPr>
          <w:p w14:paraId="55E15CBA"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41AF25C9" w14:textId="77777777" w:rsidR="00191A23" w:rsidRPr="0022554A" w:rsidRDefault="00191A23" w:rsidP="00191A23">
            <w:pPr>
              <w:tabs>
                <w:tab w:val="left" w:pos="5400"/>
              </w:tabs>
              <w:jc w:val="center"/>
              <w:rPr>
                <w:sz w:val="20"/>
              </w:rPr>
            </w:pPr>
          </w:p>
        </w:tc>
        <w:tc>
          <w:tcPr>
            <w:tcW w:w="8328" w:type="dxa"/>
          </w:tcPr>
          <w:p w14:paraId="77495E2B"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54AE82C5" w14:textId="37C56FB8" w:rsidR="00191A23" w:rsidRPr="0022554A" w:rsidRDefault="00C80465" w:rsidP="00191A23">
            <w:pPr>
              <w:tabs>
                <w:tab w:val="left" w:pos="5400"/>
              </w:tabs>
              <w:rPr>
                <w:sz w:val="20"/>
              </w:rPr>
            </w:pPr>
            <w:r>
              <w:rPr>
                <w:sz w:val="20"/>
              </w:rPr>
              <w:t>8</w:t>
            </w:r>
          </w:p>
        </w:tc>
        <w:tc>
          <w:tcPr>
            <w:tcW w:w="3118" w:type="dxa"/>
          </w:tcPr>
          <w:p w14:paraId="45DB8FD1" w14:textId="0675C821" w:rsidR="00191A23" w:rsidRPr="0022554A" w:rsidRDefault="00C80465" w:rsidP="00191A23">
            <w:pPr>
              <w:tabs>
                <w:tab w:val="left" w:pos="5400"/>
              </w:tabs>
              <w:rPr>
                <w:sz w:val="20"/>
              </w:rPr>
            </w:pPr>
            <w:r>
              <w:rPr>
                <w:sz w:val="20"/>
              </w:rPr>
              <w:t>“</w:t>
            </w:r>
            <w:r w:rsidRPr="00C80465">
              <w:rPr>
                <w:sz w:val="20"/>
              </w:rPr>
              <w:t xml:space="preserve">As we aimed to control for three sets of factors in nine multivariable analyses, we undertook a Bonferroni correction for multiple comparisons by considering test results significant at p&lt;0.05/9 = </w:t>
            </w:r>
            <w:r w:rsidRPr="00C80465">
              <w:rPr>
                <w:sz w:val="20"/>
              </w:rPr>
              <w:lastRenderedPageBreak/>
              <w:t>0.005.</w:t>
            </w:r>
            <w:r>
              <w:rPr>
                <w:sz w:val="20"/>
              </w:rPr>
              <w:t>”</w:t>
            </w:r>
          </w:p>
        </w:tc>
      </w:tr>
      <w:bookmarkEnd w:id="52"/>
      <w:bookmarkEnd w:id="53"/>
      <w:tr w:rsidR="00191A23" w:rsidRPr="0022554A" w14:paraId="6DE060AD" w14:textId="77777777" w:rsidTr="00191A23">
        <w:tc>
          <w:tcPr>
            <w:tcW w:w="14992" w:type="dxa"/>
            <w:gridSpan w:val="5"/>
          </w:tcPr>
          <w:p w14:paraId="28E4D587" w14:textId="77777777" w:rsidR="00191A23" w:rsidRPr="0022554A" w:rsidRDefault="00191A23" w:rsidP="00191A23">
            <w:pPr>
              <w:pStyle w:val="TableSubHead"/>
              <w:tabs>
                <w:tab w:val="left" w:pos="5400"/>
              </w:tabs>
              <w:rPr>
                <w:sz w:val="20"/>
              </w:rPr>
            </w:pPr>
            <w:r w:rsidRPr="0022554A">
              <w:rPr>
                <w:sz w:val="20"/>
              </w:rPr>
              <w:lastRenderedPageBreak/>
              <w:t>Results</w:t>
            </w:r>
          </w:p>
        </w:tc>
      </w:tr>
      <w:tr w:rsidR="00191A23" w:rsidRPr="0022554A" w14:paraId="13A376D9" w14:textId="77777777" w:rsidTr="00517788">
        <w:tc>
          <w:tcPr>
            <w:tcW w:w="0" w:type="auto"/>
            <w:vMerge w:val="restart"/>
          </w:tcPr>
          <w:p w14:paraId="53E9B55F"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7DFE656"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73944F80"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1276" w:type="dxa"/>
          </w:tcPr>
          <w:p w14:paraId="1BBACEAC" w14:textId="081A2101" w:rsidR="00191A23" w:rsidRDefault="005A1D89" w:rsidP="00191A23">
            <w:pPr>
              <w:tabs>
                <w:tab w:val="left" w:pos="5400"/>
              </w:tabs>
              <w:rPr>
                <w:sz w:val="20"/>
              </w:rPr>
            </w:pPr>
            <w:r>
              <w:rPr>
                <w:sz w:val="20"/>
              </w:rPr>
              <w:t>9</w:t>
            </w:r>
          </w:p>
        </w:tc>
        <w:tc>
          <w:tcPr>
            <w:tcW w:w="3118" w:type="dxa"/>
          </w:tcPr>
          <w:p w14:paraId="1C32FCA1" w14:textId="77777777" w:rsidR="005A1D89" w:rsidRPr="005A1D89" w:rsidRDefault="005A1D89" w:rsidP="005A1D89">
            <w:pPr>
              <w:tabs>
                <w:tab w:val="left" w:pos="5400"/>
              </w:tabs>
              <w:rPr>
                <w:sz w:val="20"/>
              </w:rPr>
            </w:pPr>
            <w:r>
              <w:rPr>
                <w:sz w:val="20"/>
              </w:rPr>
              <w:t>“</w:t>
            </w:r>
            <w:r w:rsidRPr="005A1D89">
              <w:rPr>
                <w:sz w:val="20"/>
              </w:rPr>
              <w:t xml:space="preserve">3.1 Sample </w:t>
            </w:r>
          </w:p>
          <w:p w14:paraId="689768FC" w14:textId="6AA599F0" w:rsidR="00191A23" w:rsidRDefault="005A1D89" w:rsidP="005A1D89">
            <w:pPr>
              <w:tabs>
                <w:tab w:val="left" w:pos="5400"/>
              </w:tabs>
              <w:rPr>
                <w:sz w:val="20"/>
              </w:rPr>
            </w:pPr>
            <w:r w:rsidRPr="005A1D89">
              <w:rPr>
                <w:sz w:val="20"/>
              </w:rPr>
              <w:t>Overall, 16.0% (n= 5,808) of the entire study sample, representing 36,887,003 adults, met criteria for an included SUD within the past 12 months: 659 (11.4%) with ISUDs, representing 4.1 million adults, 828 (14.3%) with CUD, representing 5.1 million adults, and 4,321 with AUD (74.4%), representing 27.7 million adults (Table 1, rows 2-3).</w:t>
            </w:r>
            <w:r>
              <w:rPr>
                <w:sz w:val="20"/>
              </w:rPr>
              <w:t>”</w:t>
            </w:r>
          </w:p>
        </w:tc>
      </w:tr>
      <w:tr w:rsidR="00191A23" w:rsidRPr="0022554A" w14:paraId="578F8C2C" w14:textId="77777777" w:rsidTr="00517788">
        <w:tc>
          <w:tcPr>
            <w:tcW w:w="0" w:type="auto"/>
            <w:vMerge/>
          </w:tcPr>
          <w:p w14:paraId="01131A82"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54EC9F21" w14:textId="77777777" w:rsidR="00191A23" w:rsidRPr="0022554A" w:rsidRDefault="00191A23" w:rsidP="00191A23">
            <w:pPr>
              <w:tabs>
                <w:tab w:val="left" w:pos="5400"/>
              </w:tabs>
              <w:jc w:val="center"/>
              <w:rPr>
                <w:sz w:val="20"/>
              </w:rPr>
            </w:pPr>
          </w:p>
        </w:tc>
        <w:tc>
          <w:tcPr>
            <w:tcW w:w="8328" w:type="dxa"/>
          </w:tcPr>
          <w:p w14:paraId="14A18DC8"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14C8F9F7" w14:textId="41E52B07" w:rsidR="00191A23" w:rsidRDefault="005A1D89" w:rsidP="00191A23">
            <w:pPr>
              <w:tabs>
                <w:tab w:val="left" w:pos="5400"/>
              </w:tabs>
              <w:rPr>
                <w:sz w:val="20"/>
              </w:rPr>
            </w:pPr>
            <w:r>
              <w:rPr>
                <w:sz w:val="20"/>
              </w:rPr>
              <w:t>N/A</w:t>
            </w:r>
          </w:p>
        </w:tc>
        <w:tc>
          <w:tcPr>
            <w:tcW w:w="3118" w:type="dxa"/>
          </w:tcPr>
          <w:p w14:paraId="7D2A3711" w14:textId="2EFE57C2" w:rsidR="00191A23" w:rsidRDefault="005A1D89" w:rsidP="00191A23">
            <w:pPr>
              <w:tabs>
                <w:tab w:val="left" w:pos="5400"/>
              </w:tabs>
              <w:rPr>
                <w:sz w:val="20"/>
              </w:rPr>
            </w:pPr>
            <w:r>
              <w:rPr>
                <w:sz w:val="20"/>
              </w:rPr>
              <w:t>N/A</w:t>
            </w:r>
          </w:p>
        </w:tc>
      </w:tr>
      <w:tr w:rsidR="00191A23" w:rsidRPr="0022554A" w14:paraId="05D15D84" w14:textId="77777777" w:rsidTr="00517788">
        <w:tc>
          <w:tcPr>
            <w:tcW w:w="0" w:type="auto"/>
            <w:vMerge/>
          </w:tcPr>
          <w:p w14:paraId="39015DB5"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474CDE9" w14:textId="77777777" w:rsidR="00191A23" w:rsidRPr="0022554A" w:rsidRDefault="00191A23" w:rsidP="00191A23">
            <w:pPr>
              <w:tabs>
                <w:tab w:val="left" w:pos="5400"/>
              </w:tabs>
              <w:jc w:val="center"/>
              <w:rPr>
                <w:sz w:val="20"/>
              </w:rPr>
            </w:pPr>
          </w:p>
        </w:tc>
        <w:tc>
          <w:tcPr>
            <w:tcW w:w="8328" w:type="dxa"/>
          </w:tcPr>
          <w:p w14:paraId="100C1F5E"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3C1C03B5" w14:textId="0A19B107" w:rsidR="00191A23" w:rsidRDefault="005A1D89" w:rsidP="00191A23">
            <w:pPr>
              <w:tabs>
                <w:tab w:val="left" w:pos="5400"/>
              </w:tabs>
              <w:rPr>
                <w:sz w:val="20"/>
              </w:rPr>
            </w:pPr>
            <w:r>
              <w:rPr>
                <w:sz w:val="20"/>
              </w:rPr>
              <w:t>N/A</w:t>
            </w:r>
          </w:p>
        </w:tc>
        <w:tc>
          <w:tcPr>
            <w:tcW w:w="3118" w:type="dxa"/>
          </w:tcPr>
          <w:p w14:paraId="19C71730" w14:textId="473D20B2" w:rsidR="00191A23" w:rsidRDefault="005A1D89" w:rsidP="00191A23">
            <w:pPr>
              <w:tabs>
                <w:tab w:val="left" w:pos="5400"/>
              </w:tabs>
              <w:rPr>
                <w:sz w:val="20"/>
              </w:rPr>
            </w:pPr>
            <w:r>
              <w:rPr>
                <w:sz w:val="20"/>
              </w:rPr>
              <w:t>N/A</w:t>
            </w:r>
          </w:p>
        </w:tc>
      </w:tr>
      <w:tr w:rsidR="00191A23" w:rsidRPr="0022554A" w14:paraId="56C6E31B" w14:textId="77777777" w:rsidTr="00517788">
        <w:tc>
          <w:tcPr>
            <w:tcW w:w="0" w:type="auto"/>
            <w:vMerge w:val="restart"/>
          </w:tcPr>
          <w:p w14:paraId="4BFD3298"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4B8AE069"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29D00B44"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1276" w:type="dxa"/>
          </w:tcPr>
          <w:p w14:paraId="2D4CF17E" w14:textId="0BBE8090" w:rsidR="00191A23" w:rsidRDefault="005A1D89" w:rsidP="00191A23">
            <w:pPr>
              <w:tabs>
                <w:tab w:val="left" w:pos="5400"/>
              </w:tabs>
              <w:rPr>
                <w:sz w:val="20"/>
              </w:rPr>
            </w:pPr>
            <w:r>
              <w:rPr>
                <w:sz w:val="20"/>
              </w:rPr>
              <w:t>9</w:t>
            </w:r>
          </w:p>
        </w:tc>
        <w:tc>
          <w:tcPr>
            <w:tcW w:w="3118" w:type="dxa"/>
          </w:tcPr>
          <w:p w14:paraId="120E7DB5" w14:textId="77777777" w:rsidR="005A1D89" w:rsidRPr="005A1D89" w:rsidRDefault="005A1D89" w:rsidP="005A1D89">
            <w:pPr>
              <w:tabs>
                <w:tab w:val="left" w:pos="5400"/>
              </w:tabs>
              <w:rPr>
                <w:sz w:val="20"/>
              </w:rPr>
            </w:pPr>
            <w:r>
              <w:rPr>
                <w:sz w:val="20"/>
              </w:rPr>
              <w:t>“</w:t>
            </w:r>
            <w:r w:rsidRPr="005A1D89">
              <w:rPr>
                <w:sz w:val="20"/>
              </w:rPr>
              <w:t>3.2 SUD Legality-Stratified Differences in Background Characteristics and Comorbidities</w:t>
            </w:r>
          </w:p>
          <w:p w14:paraId="7BD934AE" w14:textId="40EB2C7A" w:rsidR="00191A23" w:rsidRDefault="005A1D89" w:rsidP="005A1D89">
            <w:pPr>
              <w:tabs>
                <w:tab w:val="left" w:pos="5400"/>
              </w:tabs>
              <w:rPr>
                <w:sz w:val="20"/>
              </w:rPr>
            </w:pPr>
            <w:r w:rsidRPr="005A1D89">
              <w:rPr>
                <w:sz w:val="20"/>
              </w:rPr>
              <w:t>There were significant differences between pairs of substance groups on many sociodemographic, psychiatric, medical, and behavioral measures (Table 1).</w:t>
            </w:r>
            <w:r>
              <w:rPr>
                <w:sz w:val="20"/>
              </w:rPr>
              <w:t>”</w:t>
            </w:r>
          </w:p>
        </w:tc>
      </w:tr>
      <w:tr w:rsidR="00191A23" w:rsidRPr="0022554A" w14:paraId="0561E7BE" w14:textId="77777777" w:rsidTr="00517788">
        <w:tc>
          <w:tcPr>
            <w:tcW w:w="0" w:type="auto"/>
            <w:vMerge/>
          </w:tcPr>
          <w:p w14:paraId="2703723B"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4A41F8BB" w14:textId="77777777" w:rsidR="00191A23" w:rsidRPr="0022554A" w:rsidRDefault="00191A23" w:rsidP="00191A23">
            <w:pPr>
              <w:tabs>
                <w:tab w:val="left" w:pos="5400"/>
              </w:tabs>
              <w:jc w:val="center"/>
              <w:rPr>
                <w:sz w:val="20"/>
              </w:rPr>
            </w:pPr>
          </w:p>
        </w:tc>
        <w:tc>
          <w:tcPr>
            <w:tcW w:w="8328" w:type="dxa"/>
          </w:tcPr>
          <w:p w14:paraId="5FEFF9B8"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144BF53E" w14:textId="3F3B2CFD" w:rsidR="00191A23" w:rsidRDefault="005A1D89" w:rsidP="00191A23">
            <w:pPr>
              <w:tabs>
                <w:tab w:val="left" w:pos="5400"/>
              </w:tabs>
              <w:rPr>
                <w:sz w:val="20"/>
              </w:rPr>
            </w:pPr>
            <w:r>
              <w:rPr>
                <w:sz w:val="20"/>
              </w:rPr>
              <w:t>N/A</w:t>
            </w:r>
          </w:p>
        </w:tc>
        <w:tc>
          <w:tcPr>
            <w:tcW w:w="3118" w:type="dxa"/>
          </w:tcPr>
          <w:p w14:paraId="410C067E" w14:textId="0690C6D5" w:rsidR="00191A23" w:rsidRDefault="005A1D89" w:rsidP="00191A23">
            <w:pPr>
              <w:tabs>
                <w:tab w:val="left" w:pos="5400"/>
              </w:tabs>
              <w:rPr>
                <w:sz w:val="20"/>
              </w:rPr>
            </w:pPr>
            <w:r>
              <w:rPr>
                <w:sz w:val="20"/>
              </w:rPr>
              <w:t>N/A</w:t>
            </w:r>
          </w:p>
        </w:tc>
      </w:tr>
      <w:tr w:rsidR="005A1D89" w:rsidRPr="0022554A" w14:paraId="24030EC2" w14:textId="77777777" w:rsidTr="00517788">
        <w:tc>
          <w:tcPr>
            <w:tcW w:w="0" w:type="auto"/>
            <w:vMerge/>
          </w:tcPr>
          <w:p w14:paraId="180420F1" w14:textId="77777777" w:rsidR="005A1D89" w:rsidRPr="0022554A" w:rsidRDefault="005A1D89" w:rsidP="005A1D89">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71708AE0" w14:textId="77777777" w:rsidR="005A1D89" w:rsidRPr="0022554A" w:rsidRDefault="005A1D89" w:rsidP="005A1D89">
            <w:pPr>
              <w:tabs>
                <w:tab w:val="left" w:pos="5400"/>
              </w:tabs>
              <w:jc w:val="center"/>
              <w:rPr>
                <w:sz w:val="20"/>
              </w:rPr>
            </w:pPr>
          </w:p>
        </w:tc>
        <w:tc>
          <w:tcPr>
            <w:tcW w:w="8328" w:type="dxa"/>
          </w:tcPr>
          <w:p w14:paraId="058C9E9A" w14:textId="77777777" w:rsidR="005A1D89" w:rsidRPr="0022554A" w:rsidRDefault="005A1D89" w:rsidP="005A1D89">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1276" w:type="dxa"/>
          </w:tcPr>
          <w:p w14:paraId="7EAD2AB8" w14:textId="41A7FFE8" w:rsidR="005A1D89" w:rsidRDefault="005A1D89" w:rsidP="005A1D89">
            <w:pPr>
              <w:tabs>
                <w:tab w:val="left" w:pos="5400"/>
              </w:tabs>
              <w:rPr>
                <w:sz w:val="20"/>
              </w:rPr>
            </w:pPr>
            <w:r>
              <w:rPr>
                <w:sz w:val="20"/>
              </w:rPr>
              <w:t>N/A</w:t>
            </w:r>
          </w:p>
        </w:tc>
        <w:tc>
          <w:tcPr>
            <w:tcW w:w="3118" w:type="dxa"/>
          </w:tcPr>
          <w:p w14:paraId="544CDE90" w14:textId="65113056" w:rsidR="005A1D89" w:rsidRDefault="005A1D89" w:rsidP="005A1D89">
            <w:pPr>
              <w:tabs>
                <w:tab w:val="left" w:pos="5400"/>
              </w:tabs>
              <w:rPr>
                <w:sz w:val="20"/>
              </w:rPr>
            </w:pPr>
            <w:r>
              <w:rPr>
                <w:sz w:val="20"/>
              </w:rPr>
              <w:t>N/A</w:t>
            </w:r>
          </w:p>
        </w:tc>
      </w:tr>
      <w:tr w:rsidR="005A1D89" w:rsidRPr="0022554A" w14:paraId="1EEF84CE" w14:textId="77777777" w:rsidTr="00517788">
        <w:trPr>
          <w:trHeight w:val="295"/>
        </w:trPr>
        <w:tc>
          <w:tcPr>
            <w:tcW w:w="0" w:type="auto"/>
            <w:vMerge w:val="restart"/>
          </w:tcPr>
          <w:p w14:paraId="2459F727" w14:textId="77777777" w:rsidR="005A1D89" w:rsidRPr="0022554A" w:rsidRDefault="005A1D89" w:rsidP="005A1D89">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2A6B625E" w14:textId="77777777" w:rsidR="005A1D89" w:rsidRPr="0022554A" w:rsidRDefault="005A1D89" w:rsidP="005A1D89">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74A989C3" w14:textId="77777777" w:rsidR="005A1D89" w:rsidRPr="0022554A" w:rsidRDefault="005A1D89" w:rsidP="005A1D89">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2716E0F9" w14:textId="503BC72C" w:rsidR="005A1D89" w:rsidRPr="005A1D89" w:rsidRDefault="005A1D89" w:rsidP="005A1D89">
            <w:pPr>
              <w:tabs>
                <w:tab w:val="left" w:pos="5400"/>
              </w:tabs>
              <w:rPr>
                <w:iCs/>
                <w:sz w:val="20"/>
              </w:rPr>
            </w:pPr>
            <w:r>
              <w:rPr>
                <w:sz w:val="20"/>
              </w:rPr>
              <w:t>N/A</w:t>
            </w:r>
          </w:p>
        </w:tc>
        <w:tc>
          <w:tcPr>
            <w:tcW w:w="3118" w:type="dxa"/>
          </w:tcPr>
          <w:p w14:paraId="33C16FEC" w14:textId="2054CE36" w:rsidR="005A1D89" w:rsidRPr="0022554A" w:rsidRDefault="005A1D89" w:rsidP="005A1D89">
            <w:pPr>
              <w:tabs>
                <w:tab w:val="left" w:pos="5400"/>
              </w:tabs>
              <w:rPr>
                <w:i/>
                <w:sz w:val="20"/>
              </w:rPr>
            </w:pPr>
            <w:r>
              <w:rPr>
                <w:sz w:val="20"/>
              </w:rPr>
              <w:t>N/A</w:t>
            </w:r>
          </w:p>
        </w:tc>
      </w:tr>
      <w:bookmarkEnd w:id="71"/>
      <w:bookmarkEnd w:id="72"/>
      <w:tr w:rsidR="005A1D89" w:rsidRPr="0022554A" w14:paraId="6EF034B5" w14:textId="77777777" w:rsidTr="00517788">
        <w:trPr>
          <w:trHeight w:val="294"/>
        </w:trPr>
        <w:tc>
          <w:tcPr>
            <w:tcW w:w="0" w:type="auto"/>
            <w:vMerge/>
          </w:tcPr>
          <w:p w14:paraId="65C6A508" w14:textId="77777777" w:rsidR="005A1D89" w:rsidRPr="0022554A" w:rsidRDefault="005A1D89" w:rsidP="005A1D89">
            <w:pPr>
              <w:tabs>
                <w:tab w:val="left" w:pos="5400"/>
              </w:tabs>
              <w:rPr>
                <w:bCs/>
                <w:sz w:val="20"/>
              </w:rPr>
            </w:pPr>
          </w:p>
        </w:tc>
        <w:tc>
          <w:tcPr>
            <w:tcW w:w="0" w:type="auto"/>
            <w:vMerge/>
          </w:tcPr>
          <w:p w14:paraId="10B607B7" w14:textId="77777777" w:rsidR="005A1D89" w:rsidRPr="0022554A" w:rsidRDefault="005A1D89" w:rsidP="005A1D89">
            <w:pPr>
              <w:tabs>
                <w:tab w:val="left" w:pos="5400"/>
              </w:tabs>
              <w:jc w:val="center"/>
              <w:rPr>
                <w:sz w:val="20"/>
              </w:rPr>
            </w:pPr>
          </w:p>
        </w:tc>
        <w:tc>
          <w:tcPr>
            <w:tcW w:w="8328" w:type="dxa"/>
          </w:tcPr>
          <w:p w14:paraId="3252A8DC" w14:textId="77777777" w:rsidR="005A1D89" w:rsidRPr="0022554A" w:rsidRDefault="005A1D89" w:rsidP="005A1D89">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2824CE4C" w14:textId="68813530" w:rsidR="005A1D89" w:rsidRPr="0022554A" w:rsidRDefault="005A1D89" w:rsidP="005A1D89">
            <w:pPr>
              <w:tabs>
                <w:tab w:val="left" w:pos="5400"/>
              </w:tabs>
              <w:rPr>
                <w:i/>
                <w:sz w:val="20"/>
              </w:rPr>
            </w:pPr>
            <w:r>
              <w:rPr>
                <w:sz w:val="20"/>
              </w:rPr>
              <w:t>N/A</w:t>
            </w:r>
          </w:p>
        </w:tc>
        <w:tc>
          <w:tcPr>
            <w:tcW w:w="3118" w:type="dxa"/>
          </w:tcPr>
          <w:p w14:paraId="270B134D" w14:textId="3FE25AF6" w:rsidR="005A1D89" w:rsidRPr="0022554A" w:rsidRDefault="005A1D89" w:rsidP="005A1D89">
            <w:pPr>
              <w:tabs>
                <w:tab w:val="left" w:pos="5400"/>
              </w:tabs>
              <w:rPr>
                <w:i/>
                <w:sz w:val="20"/>
              </w:rPr>
            </w:pPr>
            <w:r>
              <w:rPr>
                <w:sz w:val="20"/>
              </w:rPr>
              <w:t>N/A</w:t>
            </w:r>
          </w:p>
        </w:tc>
      </w:tr>
      <w:tr w:rsidR="005A1D89" w:rsidRPr="0022554A" w14:paraId="0DDAC05E" w14:textId="77777777" w:rsidTr="00517788">
        <w:trPr>
          <w:trHeight w:val="294"/>
        </w:trPr>
        <w:tc>
          <w:tcPr>
            <w:tcW w:w="0" w:type="auto"/>
            <w:vMerge/>
          </w:tcPr>
          <w:p w14:paraId="1022E564" w14:textId="77777777" w:rsidR="005A1D89" w:rsidRPr="0022554A" w:rsidRDefault="005A1D89" w:rsidP="005A1D89">
            <w:pPr>
              <w:tabs>
                <w:tab w:val="left" w:pos="5400"/>
              </w:tabs>
              <w:rPr>
                <w:bCs/>
                <w:sz w:val="20"/>
              </w:rPr>
            </w:pPr>
          </w:p>
        </w:tc>
        <w:tc>
          <w:tcPr>
            <w:tcW w:w="0" w:type="auto"/>
            <w:vMerge/>
          </w:tcPr>
          <w:p w14:paraId="25C6D484" w14:textId="77777777" w:rsidR="005A1D89" w:rsidRPr="0022554A" w:rsidRDefault="005A1D89" w:rsidP="005A1D89">
            <w:pPr>
              <w:tabs>
                <w:tab w:val="left" w:pos="5400"/>
              </w:tabs>
              <w:jc w:val="center"/>
              <w:rPr>
                <w:sz w:val="20"/>
              </w:rPr>
            </w:pPr>
          </w:p>
        </w:tc>
        <w:tc>
          <w:tcPr>
            <w:tcW w:w="8328" w:type="dxa"/>
          </w:tcPr>
          <w:p w14:paraId="57D3A5B7" w14:textId="77777777" w:rsidR="005A1D89" w:rsidRPr="0022554A" w:rsidRDefault="005A1D89" w:rsidP="005A1D89">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6D894E8B" w14:textId="7F6DF065" w:rsidR="005A1D89" w:rsidRPr="005A1D89" w:rsidRDefault="005A1D89" w:rsidP="005A1D89">
            <w:pPr>
              <w:tabs>
                <w:tab w:val="left" w:pos="5400"/>
              </w:tabs>
              <w:rPr>
                <w:iCs/>
                <w:sz w:val="20"/>
              </w:rPr>
            </w:pPr>
            <w:r w:rsidRPr="005A1D89">
              <w:rPr>
                <w:iCs/>
                <w:sz w:val="20"/>
              </w:rPr>
              <w:t>10</w:t>
            </w:r>
          </w:p>
        </w:tc>
        <w:tc>
          <w:tcPr>
            <w:tcW w:w="3118" w:type="dxa"/>
          </w:tcPr>
          <w:p w14:paraId="47972E5F" w14:textId="6861E324" w:rsidR="005A1D89" w:rsidRPr="005A1D89" w:rsidRDefault="005A1D89" w:rsidP="005A1D89">
            <w:pPr>
              <w:tabs>
                <w:tab w:val="left" w:pos="5400"/>
              </w:tabs>
              <w:rPr>
                <w:iCs/>
                <w:sz w:val="20"/>
              </w:rPr>
            </w:pPr>
            <w:r>
              <w:rPr>
                <w:iCs/>
                <w:sz w:val="20"/>
              </w:rPr>
              <w:t>“</w:t>
            </w:r>
            <w:r w:rsidRPr="005A1D89">
              <w:rPr>
                <w:iCs/>
                <w:sz w:val="20"/>
              </w:rPr>
              <w:t xml:space="preserve">Overall, 627 patients (10.7%), representing 3.8 million adults, were treated for SUDs in the past 12 months, while 5,181 patients </w:t>
            </w:r>
            <w:r w:rsidRPr="005A1D89">
              <w:rPr>
                <w:iCs/>
                <w:sz w:val="20"/>
              </w:rPr>
              <w:lastRenderedPageBreak/>
              <w:t>(89.2%), representing 33.1 million adults, did not receive treatment. Treatment rates varied significantly by legality class of substances of abuse (Table 2): 26.9% of those with past-year ISUDs, representing 1.1 million US adults, received SUD treatment, while just 10.3% of those with past-year CUD (representing 612,389 US adults) and 8.5% of those with past-year AUD (representing 2.1 million US adults) received treatment.</w:t>
            </w:r>
            <w:r>
              <w:rPr>
                <w:iCs/>
                <w:sz w:val="20"/>
              </w:rPr>
              <w:t>”</w:t>
            </w:r>
          </w:p>
        </w:tc>
      </w:tr>
      <w:tr w:rsidR="005A1D89" w:rsidRPr="0022554A" w14:paraId="42040479" w14:textId="77777777" w:rsidTr="00517788">
        <w:tc>
          <w:tcPr>
            <w:tcW w:w="0" w:type="auto"/>
            <w:vMerge w:val="restart"/>
          </w:tcPr>
          <w:p w14:paraId="1C127F10" w14:textId="77777777" w:rsidR="005A1D89" w:rsidRPr="0022554A" w:rsidRDefault="005A1D89" w:rsidP="005A1D89">
            <w:pPr>
              <w:tabs>
                <w:tab w:val="left" w:pos="5400"/>
              </w:tabs>
              <w:rPr>
                <w:bCs/>
                <w:sz w:val="20"/>
              </w:rPr>
            </w:pPr>
            <w:bookmarkStart w:id="74" w:name="italic40" w:colFirst="0" w:colLast="0"/>
            <w:bookmarkStart w:id="75" w:name="bold41" w:colFirst="0" w:colLast="0"/>
            <w:r w:rsidRPr="0022554A">
              <w:rPr>
                <w:bCs/>
                <w:sz w:val="20"/>
              </w:rPr>
              <w:lastRenderedPageBreak/>
              <w:t>Main results</w:t>
            </w:r>
          </w:p>
        </w:tc>
        <w:tc>
          <w:tcPr>
            <w:tcW w:w="0" w:type="auto"/>
            <w:vMerge w:val="restart"/>
          </w:tcPr>
          <w:p w14:paraId="0CA14309" w14:textId="77777777" w:rsidR="005A1D89" w:rsidRPr="0022554A" w:rsidRDefault="005A1D89" w:rsidP="005A1D89">
            <w:pPr>
              <w:tabs>
                <w:tab w:val="left" w:pos="5400"/>
              </w:tabs>
              <w:jc w:val="center"/>
              <w:rPr>
                <w:sz w:val="20"/>
              </w:rPr>
            </w:pPr>
            <w:r w:rsidRPr="0022554A">
              <w:rPr>
                <w:sz w:val="20"/>
              </w:rPr>
              <w:t>16</w:t>
            </w:r>
          </w:p>
        </w:tc>
        <w:tc>
          <w:tcPr>
            <w:tcW w:w="8328" w:type="dxa"/>
          </w:tcPr>
          <w:p w14:paraId="219568EB" w14:textId="77777777" w:rsidR="005A1D89" w:rsidRPr="006149D3" w:rsidRDefault="005A1D89" w:rsidP="005A1D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1276" w:type="dxa"/>
          </w:tcPr>
          <w:p w14:paraId="7BE6BF22" w14:textId="339213AF" w:rsidR="005A1D89" w:rsidRPr="0022554A" w:rsidRDefault="001B652E" w:rsidP="005A1D89">
            <w:pPr>
              <w:tabs>
                <w:tab w:val="left" w:pos="5400"/>
              </w:tabs>
              <w:rPr>
                <w:sz w:val="20"/>
              </w:rPr>
            </w:pPr>
            <w:r>
              <w:rPr>
                <w:sz w:val="20"/>
              </w:rPr>
              <w:t>11</w:t>
            </w:r>
          </w:p>
        </w:tc>
        <w:tc>
          <w:tcPr>
            <w:tcW w:w="3118" w:type="dxa"/>
          </w:tcPr>
          <w:p w14:paraId="3C05C304" w14:textId="77777777" w:rsidR="001B652E" w:rsidRPr="001B652E" w:rsidRDefault="001B652E" w:rsidP="001B652E">
            <w:pPr>
              <w:tabs>
                <w:tab w:val="left" w:pos="5400"/>
              </w:tabs>
              <w:rPr>
                <w:sz w:val="20"/>
              </w:rPr>
            </w:pPr>
            <w:r>
              <w:rPr>
                <w:sz w:val="20"/>
              </w:rPr>
              <w:t>“</w:t>
            </w:r>
            <w:r w:rsidRPr="001B652E">
              <w:rPr>
                <w:sz w:val="20"/>
              </w:rPr>
              <w:t>3.5 Multivariate Group Comparisons on Measures of MHRQOL</w:t>
            </w:r>
          </w:p>
          <w:p w14:paraId="5E3F6B4B" w14:textId="0A940D93" w:rsidR="005A1D89" w:rsidRPr="0022554A" w:rsidRDefault="001B652E" w:rsidP="001B652E">
            <w:pPr>
              <w:tabs>
                <w:tab w:val="left" w:pos="5400"/>
              </w:tabs>
              <w:rPr>
                <w:sz w:val="20"/>
              </w:rPr>
            </w:pPr>
            <w:r w:rsidRPr="001B652E">
              <w:rPr>
                <w:sz w:val="20"/>
              </w:rPr>
              <w:t xml:space="preserve">Multivariable-adjusted comparisons within legality-based groups of likelihood of seeking treatment focused on the independent contribution (or lack thereof) of MHRQOL to the likelihood of seeking treatment net of other factors. Unadjusted regression coefficients are presented in columns 2, 5 and 8 of Table 4 and reflect differences in MHRQOL between in treated and non-treated subgroups within each legality group. In unadjusted bivariable logistic regression, higher MHRQOL is significantly and </w:t>
            </w:r>
            <w:r w:rsidRPr="001B652E">
              <w:rPr>
                <w:sz w:val="20"/>
              </w:rPr>
              <w:lastRenderedPageBreak/>
              <w:t>negatively associated with likelihood of treatment in those with CUD (-4.1% for each additional point of MCS) and AUD (-5.0% for each additional point of MCS), but there was no significant association among those with ISUD (Table 4, Columns 2, 5 and 8).</w:t>
            </w:r>
            <w:r>
              <w:rPr>
                <w:sz w:val="20"/>
              </w:rPr>
              <w:t>”</w:t>
            </w:r>
          </w:p>
        </w:tc>
      </w:tr>
      <w:tr w:rsidR="005A1D89" w:rsidRPr="0022554A" w14:paraId="07260E34" w14:textId="77777777" w:rsidTr="00517788">
        <w:tc>
          <w:tcPr>
            <w:tcW w:w="0" w:type="auto"/>
            <w:vMerge/>
          </w:tcPr>
          <w:p w14:paraId="2F2C62D6" w14:textId="77777777" w:rsidR="005A1D89" w:rsidRPr="0022554A" w:rsidRDefault="005A1D89" w:rsidP="005A1D89">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54D86D27" w14:textId="77777777" w:rsidR="005A1D89" w:rsidRPr="0022554A" w:rsidRDefault="005A1D89" w:rsidP="005A1D89">
            <w:pPr>
              <w:tabs>
                <w:tab w:val="left" w:pos="5400"/>
              </w:tabs>
              <w:jc w:val="center"/>
              <w:rPr>
                <w:sz w:val="20"/>
              </w:rPr>
            </w:pPr>
          </w:p>
        </w:tc>
        <w:tc>
          <w:tcPr>
            <w:tcW w:w="8328" w:type="dxa"/>
          </w:tcPr>
          <w:p w14:paraId="0DE060F7" w14:textId="77777777" w:rsidR="005A1D89" w:rsidRPr="006149D3" w:rsidRDefault="005A1D89" w:rsidP="005A1D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73F49781" w14:textId="629C6BE6" w:rsidR="005A1D89" w:rsidRPr="0022554A" w:rsidRDefault="001B652E" w:rsidP="005A1D89">
            <w:pPr>
              <w:tabs>
                <w:tab w:val="left" w:pos="5400"/>
              </w:tabs>
              <w:rPr>
                <w:sz w:val="20"/>
              </w:rPr>
            </w:pPr>
            <w:r>
              <w:rPr>
                <w:sz w:val="20"/>
              </w:rPr>
              <w:t>11</w:t>
            </w:r>
          </w:p>
        </w:tc>
        <w:tc>
          <w:tcPr>
            <w:tcW w:w="3118" w:type="dxa"/>
          </w:tcPr>
          <w:p w14:paraId="09651D6A" w14:textId="3F6437D5" w:rsidR="005A1D89" w:rsidRPr="0022554A" w:rsidRDefault="001B652E" w:rsidP="005A1D89">
            <w:pPr>
              <w:tabs>
                <w:tab w:val="left" w:pos="5400"/>
              </w:tabs>
              <w:rPr>
                <w:sz w:val="20"/>
              </w:rPr>
            </w:pPr>
            <w:r>
              <w:rPr>
                <w:sz w:val="20"/>
              </w:rPr>
              <w:t>See Table 4</w:t>
            </w:r>
          </w:p>
        </w:tc>
      </w:tr>
      <w:tr w:rsidR="005A1D89" w:rsidRPr="0022554A" w14:paraId="0E7CAC69" w14:textId="77777777" w:rsidTr="00517788">
        <w:tc>
          <w:tcPr>
            <w:tcW w:w="0" w:type="auto"/>
            <w:vMerge/>
          </w:tcPr>
          <w:p w14:paraId="59FB9830" w14:textId="77777777" w:rsidR="005A1D89" w:rsidRPr="0022554A" w:rsidRDefault="005A1D89" w:rsidP="005A1D89">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240A453A" w14:textId="77777777" w:rsidR="005A1D89" w:rsidRPr="0022554A" w:rsidRDefault="005A1D89" w:rsidP="005A1D89">
            <w:pPr>
              <w:tabs>
                <w:tab w:val="left" w:pos="5400"/>
              </w:tabs>
              <w:jc w:val="center"/>
              <w:rPr>
                <w:sz w:val="20"/>
              </w:rPr>
            </w:pPr>
          </w:p>
        </w:tc>
        <w:tc>
          <w:tcPr>
            <w:tcW w:w="8328" w:type="dxa"/>
          </w:tcPr>
          <w:p w14:paraId="390E891A" w14:textId="77777777" w:rsidR="005A1D89" w:rsidRPr="006149D3" w:rsidRDefault="005A1D89" w:rsidP="005A1D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14:paraId="7DAE8BC6" w14:textId="7F143BF5" w:rsidR="005A1D89" w:rsidRPr="0022554A" w:rsidRDefault="001B652E" w:rsidP="005A1D89">
            <w:pPr>
              <w:tabs>
                <w:tab w:val="left" w:pos="5400"/>
              </w:tabs>
              <w:rPr>
                <w:sz w:val="20"/>
              </w:rPr>
            </w:pPr>
            <w:r>
              <w:rPr>
                <w:sz w:val="20"/>
              </w:rPr>
              <w:t>N/A</w:t>
            </w:r>
          </w:p>
        </w:tc>
        <w:tc>
          <w:tcPr>
            <w:tcW w:w="3118" w:type="dxa"/>
          </w:tcPr>
          <w:p w14:paraId="2C352943" w14:textId="43E64BA1" w:rsidR="005A1D89" w:rsidRPr="0022554A" w:rsidRDefault="001B652E" w:rsidP="005A1D89">
            <w:pPr>
              <w:tabs>
                <w:tab w:val="left" w:pos="5400"/>
              </w:tabs>
              <w:rPr>
                <w:sz w:val="20"/>
              </w:rPr>
            </w:pPr>
            <w:r>
              <w:rPr>
                <w:sz w:val="20"/>
              </w:rPr>
              <w:t>N/A</w:t>
            </w:r>
          </w:p>
        </w:tc>
      </w:tr>
    </w:tbl>
    <w:p w14:paraId="5FEEED0B" w14:textId="77777777"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69BE7DB5" w14:textId="77777777" w:rsidTr="00517788">
        <w:tc>
          <w:tcPr>
            <w:tcW w:w="0" w:type="auto"/>
          </w:tcPr>
          <w:p w14:paraId="6C08A1F9"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223ACBA3" w14:textId="77777777" w:rsidR="00191A23" w:rsidRPr="0022554A" w:rsidRDefault="00191A23" w:rsidP="00191A23">
            <w:pPr>
              <w:tabs>
                <w:tab w:val="left" w:pos="5400"/>
              </w:tabs>
              <w:jc w:val="center"/>
              <w:rPr>
                <w:sz w:val="20"/>
              </w:rPr>
            </w:pPr>
            <w:r w:rsidRPr="0022554A">
              <w:rPr>
                <w:sz w:val="20"/>
              </w:rPr>
              <w:t>17</w:t>
            </w:r>
          </w:p>
        </w:tc>
        <w:tc>
          <w:tcPr>
            <w:tcW w:w="8687" w:type="dxa"/>
          </w:tcPr>
          <w:p w14:paraId="44A3018F" w14:textId="77777777" w:rsidR="00191A23" w:rsidRPr="0022554A" w:rsidRDefault="00191A23" w:rsidP="00191A23">
            <w:pPr>
              <w:tabs>
                <w:tab w:val="left" w:pos="5400"/>
              </w:tabs>
              <w:rPr>
                <w:sz w:val="20"/>
              </w:rPr>
            </w:pPr>
            <w:r w:rsidRPr="0022554A">
              <w:rPr>
                <w:sz w:val="20"/>
              </w:rPr>
              <w:t>Report other analyses done—eg analyses of subgroups and interactions, and sensitivity analyses</w:t>
            </w:r>
          </w:p>
        </w:tc>
        <w:tc>
          <w:tcPr>
            <w:tcW w:w="1265" w:type="dxa"/>
          </w:tcPr>
          <w:p w14:paraId="3C7FA085" w14:textId="0081FE72" w:rsidR="00191A23" w:rsidRPr="0022554A" w:rsidRDefault="001B652E" w:rsidP="00191A23">
            <w:pPr>
              <w:tabs>
                <w:tab w:val="left" w:pos="5400"/>
              </w:tabs>
              <w:rPr>
                <w:sz w:val="20"/>
              </w:rPr>
            </w:pPr>
            <w:r>
              <w:rPr>
                <w:sz w:val="20"/>
              </w:rPr>
              <w:t>11</w:t>
            </w:r>
          </w:p>
        </w:tc>
        <w:tc>
          <w:tcPr>
            <w:tcW w:w="3129" w:type="dxa"/>
          </w:tcPr>
          <w:p w14:paraId="016B578E" w14:textId="77777777" w:rsidR="001B652E" w:rsidRPr="001B652E" w:rsidRDefault="001B652E" w:rsidP="001B652E">
            <w:pPr>
              <w:tabs>
                <w:tab w:val="left" w:pos="5400"/>
              </w:tabs>
              <w:rPr>
                <w:sz w:val="20"/>
              </w:rPr>
            </w:pPr>
            <w:r>
              <w:rPr>
                <w:sz w:val="20"/>
              </w:rPr>
              <w:t>“</w:t>
            </w:r>
            <w:r w:rsidRPr="001B652E">
              <w:rPr>
                <w:sz w:val="20"/>
              </w:rPr>
              <w:t>3.5 Multivariate Group Comparisons on Measures of MHRQOL</w:t>
            </w:r>
          </w:p>
          <w:p w14:paraId="073DD26E" w14:textId="58050225" w:rsidR="00191A23" w:rsidRPr="0022554A" w:rsidRDefault="001B652E" w:rsidP="001B652E">
            <w:pPr>
              <w:tabs>
                <w:tab w:val="left" w:pos="5400"/>
              </w:tabs>
              <w:rPr>
                <w:sz w:val="20"/>
              </w:rPr>
            </w:pPr>
            <w:r w:rsidRPr="001B652E">
              <w:rPr>
                <w:sz w:val="20"/>
              </w:rPr>
              <w:t>Multivariable-adjusted comparisons within legality-based groups of likelihood of seeking treatment focused on the independent contribution (or lack thereof) of MHRQOL to the likelihood of seeking treatment net of other factors. Unadjusted regression coefficients are presented in columns 2, 5 and 8 of Table 4 and reflect differences in MHRQOL between in treated and non-treated subgroups within each legality group. In unadjusted bivariable logistic regression, higher MHRQOL is significantly and negatively associated with likelihood of treatment in those with CUD (-4.1% for each additional point of MCS) and AUD (-5.0% for each additional point of MCS), but there was no significant association among those with ISUD (Table 4, Columns 2, 5 and 8)</w:t>
            </w:r>
            <w:r>
              <w:rPr>
                <w:sz w:val="20"/>
              </w:rPr>
              <w:t>…”</w:t>
            </w:r>
          </w:p>
        </w:tc>
      </w:tr>
      <w:tr w:rsidR="00976EE1" w:rsidRPr="0022554A" w14:paraId="54472994" w14:textId="77777777" w:rsidTr="00191A23">
        <w:tc>
          <w:tcPr>
            <w:tcW w:w="14992" w:type="dxa"/>
            <w:gridSpan w:val="5"/>
          </w:tcPr>
          <w:p w14:paraId="4BE967FD"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4831383B" w14:textId="77777777" w:rsidTr="00517788">
        <w:tc>
          <w:tcPr>
            <w:tcW w:w="0" w:type="auto"/>
          </w:tcPr>
          <w:p w14:paraId="4912F658"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7781772A" w14:textId="77777777" w:rsidR="00191A23" w:rsidRPr="0022554A" w:rsidRDefault="00191A23" w:rsidP="00191A23">
            <w:pPr>
              <w:tabs>
                <w:tab w:val="left" w:pos="5400"/>
              </w:tabs>
              <w:jc w:val="center"/>
              <w:rPr>
                <w:sz w:val="20"/>
              </w:rPr>
            </w:pPr>
            <w:r w:rsidRPr="0022554A">
              <w:rPr>
                <w:sz w:val="20"/>
              </w:rPr>
              <w:t>18</w:t>
            </w:r>
          </w:p>
        </w:tc>
        <w:tc>
          <w:tcPr>
            <w:tcW w:w="8687" w:type="dxa"/>
          </w:tcPr>
          <w:p w14:paraId="3CC5875C"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00E6AD11" w14:textId="2CAAB639" w:rsidR="00191A23" w:rsidRPr="0022554A" w:rsidRDefault="001B652E" w:rsidP="00191A23">
            <w:pPr>
              <w:tabs>
                <w:tab w:val="left" w:pos="5400"/>
              </w:tabs>
              <w:rPr>
                <w:sz w:val="20"/>
              </w:rPr>
            </w:pPr>
            <w:r>
              <w:rPr>
                <w:sz w:val="20"/>
              </w:rPr>
              <w:t>13</w:t>
            </w:r>
          </w:p>
        </w:tc>
        <w:tc>
          <w:tcPr>
            <w:tcW w:w="3129" w:type="dxa"/>
          </w:tcPr>
          <w:p w14:paraId="2C8A1415" w14:textId="5448B475" w:rsidR="00191A23" w:rsidRPr="0022554A" w:rsidRDefault="001B652E" w:rsidP="00191A23">
            <w:pPr>
              <w:tabs>
                <w:tab w:val="left" w:pos="5400"/>
              </w:tabs>
              <w:rPr>
                <w:sz w:val="20"/>
              </w:rPr>
            </w:pPr>
            <w:r>
              <w:rPr>
                <w:sz w:val="20"/>
              </w:rPr>
              <w:t>“</w:t>
            </w:r>
            <w:r w:rsidRPr="001B652E">
              <w:rPr>
                <w:sz w:val="20"/>
              </w:rPr>
              <w:t xml:space="preserve">The results revealed, first, significantly greater likelihood of service use among those with </w:t>
            </w:r>
            <w:r w:rsidRPr="001B652E">
              <w:rPr>
                <w:sz w:val="20"/>
              </w:rPr>
              <w:lastRenderedPageBreak/>
              <w:t>ISUDs as compared to partially legal CUD and fully legal AUD and second, significant differences in sociodemographic and clinical characteristics among groups classified by legal status of the substances underlying their SUDs. Third, the results revealed further differences between these groups in individual characteristics associated with treatment use, especially a significant association between lower MHRQOL and treatment use among individuals with the partially legal CUD and entirely legal AUD. In contrast, no significant association was observed between lower MHRQOL and service use among those with ISUDs.</w:t>
            </w:r>
            <w:r>
              <w:rPr>
                <w:sz w:val="20"/>
              </w:rPr>
              <w:t>”</w:t>
            </w:r>
          </w:p>
        </w:tc>
      </w:tr>
      <w:tr w:rsidR="00191A23" w:rsidRPr="0022554A" w14:paraId="22EAA425" w14:textId="77777777" w:rsidTr="00517788">
        <w:tc>
          <w:tcPr>
            <w:tcW w:w="0" w:type="auto"/>
          </w:tcPr>
          <w:p w14:paraId="2347032B"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lastRenderedPageBreak/>
              <w:t>Limitations</w:t>
            </w:r>
          </w:p>
        </w:tc>
        <w:tc>
          <w:tcPr>
            <w:tcW w:w="0" w:type="auto"/>
          </w:tcPr>
          <w:p w14:paraId="76514E9A" w14:textId="77777777" w:rsidR="00191A23" w:rsidRPr="0022554A" w:rsidRDefault="00191A23" w:rsidP="00191A23">
            <w:pPr>
              <w:tabs>
                <w:tab w:val="left" w:pos="5400"/>
              </w:tabs>
              <w:jc w:val="center"/>
              <w:rPr>
                <w:sz w:val="20"/>
              </w:rPr>
            </w:pPr>
            <w:r w:rsidRPr="0022554A">
              <w:rPr>
                <w:sz w:val="20"/>
              </w:rPr>
              <w:t>19</w:t>
            </w:r>
          </w:p>
        </w:tc>
        <w:tc>
          <w:tcPr>
            <w:tcW w:w="8687" w:type="dxa"/>
          </w:tcPr>
          <w:p w14:paraId="28415CD0" w14:textId="77777777"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14:paraId="6E925C92" w14:textId="421EB392" w:rsidR="00191A23" w:rsidRPr="0022554A" w:rsidRDefault="001B652E" w:rsidP="00191A23">
            <w:pPr>
              <w:tabs>
                <w:tab w:val="left" w:pos="5400"/>
              </w:tabs>
              <w:rPr>
                <w:sz w:val="20"/>
              </w:rPr>
            </w:pPr>
            <w:r>
              <w:rPr>
                <w:sz w:val="20"/>
              </w:rPr>
              <w:t>15</w:t>
            </w:r>
          </w:p>
        </w:tc>
        <w:tc>
          <w:tcPr>
            <w:tcW w:w="3129" w:type="dxa"/>
          </w:tcPr>
          <w:p w14:paraId="7FF6320A" w14:textId="2D5D5E1D" w:rsidR="00191A23" w:rsidRPr="0022554A" w:rsidRDefault="001B652E" w:rsidP="00191A23">
            <w:pPr>
              <w:tabs>
                <w:tab w:val="left" w:pos="5400"/>
              </w:tabs>
              <w:rPr>
                <w:sz w:val="20"/>
              </w:rPr>
            </w:pPr>
            <w:r>
              <w:rPr>
                <w:sz w:val="20"/>
              </w:rPr>
              <w:t>“</w:t>
            </w:r>
            <w:r w:rsidRPr="001B652E">
              <w:rPr>
                <w:sz w:val="20"/>
              </w:rPr>
              <w:t>Several limitations of this study deserve comment. First, the most recent available NESARC survey was conducted between 2012 and 2013, and substance use habits, attitudes and socio-economic conditions of the United States population have shifted since this time.</w:t>
            </w:r>
            <w:r>
              <w:rPr>
                <w:sz w:val="20"/>
              </w:rPr>
              <w:t>”</w:t>
            </w:r>
          </w:p>
        </w:tc>
      </w:tr>
      <w:tr w:rsidR="00191A23" w:rsidRPr="0022554A" w14:paraId="4126B550" w14:textId="77777777" w:rsidTr="00517788">
        <w:tc>
          <w:tcPr>
            <w:tcW w:w="0" w:type="auto"/>
          </w:tcPr>
          <w:p w14:paraId="1EA7D252"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273C5414" w14:textId="77777777" w:rsidR="00191A23" w:rsidRPr="0022554A" w:rsidRDefault="00191A23" w:rsidP="00191A23">
            <w:pPr>
              <w:tabs>
                <w:tab w:val="left" w:pos="5400"/>
              </w:tabs>
              <w:jc w:val="center"/>
              <w:rPr>
                <w:sz w:val="20"/>
              </w:rPr>
            </w:pPr>
            <w:r w:rsidRPr="0022554A">
              <w:rPr>
                <w:sz w:val="20"/>
              </w:rPr>
              <w:t>20</w:t>
            </w:r>
          </w:p>
        </w:tc>
        <w:tc>
          <w:tcPr>
            <w:tcW w:w="8687" w:type="dxa"/>
          </w:tcPr>
          <w:p w14:paraId="50725742"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4D8A7091" w14:textId="5EB994C9" w:rsidR="00191A23" w:rsidRPr="0022554A" w:rsidRDefault="001B652E" w:rsidP="00191A23">
            <w:pPr>
              <w:tabs>
                <w:tab w:val="left" w:pos="5400"/>
              </w:tabs>
              <w:rPr>
                <w:sz w:val="20"/>
              </w:rPr>
            </w:pPr>
            <w:r>
              <w:rPr>
                <w:sz w:val="20"/>
              </w:rPr>
              <w:t>16</w:t>
            </w:r>
          </w:p>
        </w:tc>
        <w:tc>
          <w:tcPr>
            <w:tcW w:w="3129" w:type="dxa"/>
          </w:tcPr>
          <w:p w14:paraId="530D529A" w14:textId="697A98F4" w:rsidR="00191A23" w:rsidRPr="0022554A" w:rsidRDefault="001B652E" w:rsidP="00191A23">
            <w:pPr>
              <w:tabs>
                <w:tab w:val="left" w:pos="5400"/>
              </w:tabs>
              <w:rPr>
                <w:sz w:val="20"/>
              </w:rPr>
            </w:pPr>
            <w:r>
              <w:rPr>
                <w:sz w:val="20"/>
              </w:rPr>
              <w:t>“</w:t>
            </w:r>
            <w:r w:rsidRPr="001B652E">
              <w:rPr>
                <w:sz w:val="20"/>
              </w:rPr>
              <w:t xml:space="preserve">Despite these limitations, to our knowledge this is the first study to characterize the differences in proportions and correlates of adults </w:t>
            </w:r>
            <w:r w:rsidRPr="001B652E">
              <w:rPr>
                <w:sz w:val="20"/>
              </w:rPr>
              <w:lastRenderedPageBreak/>
              <w:t>receiving treatment for SUD by the legal status of the substances involved</w:t>
            </w:r>
            <w:r>
              <w:rPr>
                <w:sz w:val="20"/>
              </w:rPr>
              <w:t>…”</w:t>
            </w:r>
          </w:p>
        </w:tc>
      </w:tr>
      <w:tr w:rsidR="00191A23" w:rsidRPr="0022554A" w14:paraId="47AE85C7" w14:textId="77777777" w:rsidTr="00517788">
        <w:tc>
          <w:tcPr>
            <w:tcW w:w="0" w:type="auto"/>
          </w:tcPr>
          <w:p w14:paraId="05068FF7"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lastRenderedPageBreak/>
              <w:t>Generalisability</w:t>
            </w:r>
          </w:p>
        </w:tc>
        <w:tc>
          <w:tcPr>
            <w:tcW w:w="0" w:type="auto"/>
          </w:tcPr>
          <w:p w14:paraId="67CD984C" w14:textId="77777777" w:rsidR="00191A23" w:rsidRPr="0022554A" w:rsidRDefault="00191A23" w:rsidP="00191A23">
            <w:pPr>
              <w:tabs>
                <w:tab w:val="left" w:pos="5400"/>
              </w:tabs>
              <w:jc w:val="center"/>
              <w:rPr>
                <w:sz w:val="20"/>
              </w:rPr>
            </w:pPr>
            <w:r w:rsidRPr="0022554A">
              <w:rPr>
                <w:sz w:val="20"/>
              </w:rPr>
              <w:t>21</w:t>
            </w:r>
          </w:p>
        </w:tc>
        <w:tc>
          <w:tcPr>
            <w:tcW w:w="8687" w:type="dxa"/>
          </w:tcPr>
          <w:p w14:paraId="555883D5"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3FC6759E" w14:textId="76018E37" w:rsidR="00191A23" w:rsidRPr="0022554A" w:rsidRDefault="001B652E" w:rsidP="00191A23">
            <w:pPr>
              <w:tabs>
                <w:tab w:val="left" w:pos="5400"/>
              </w:tabs>
              <w:rPr>
                <w:sz w:val="20"/>
              </w:rPr>
            </w:pPr>
            <w:r>
              <w:rPr>
                <w:sz w:val="20"/>
              </w:rPr>
              <w:t>16</w:t>
            </w:r>
          </w:p>
        </w:tc>
        <w:tc>
          <w:tcPr>
            <w:tcW w:w="3129" w:type="dxa"/>
          </w:tcPr>
          <w:p w14:paraId="3B9B162D" w14:textId="6F26F513" w:rsidR="00191A23" w:rsidRPr="0022554A" w:rsidRDefault="001B652E" w:rsidP="00191A23">
            <w:pPr>
              <w:tabs>
                <w:tab w:val="left" w:pos="5400"/>
              </w:tabs>
              <w:rPr>
                <w:sz w:val="20"/>
              </w:rPr>
            </w:pPr>
            <w:r>
              <w:rPr>
                <w:sz w:val="20"/>
              </w:rPr>
              <w:t>“</w:t>
            </w:r>
            <w:r w:rsidRPr="001B652E">
              <w:rPr>
                <w:sz w:val="20"/>
              </w:rPr>
              <w:t>As legalization progresses, if indeed it does, there may be less latent legal pressure for treatment seeking and a greater need for effective methods of public education on the long-term adverse effects of SUDS to motivate use of treatment, as well as for harm reduction interventions for those who make hazardous, if legal, use of harmful substances.</w:t>
            </w:r>
            <w:r>
              <w:rPr>
                <w:sz w:val="20"/>
              </w:rPr>
              <w:t>”</w:t>
            </w:r>
          </w:p>
        </w:tc>
      </w:tr>
      <w:tr w:rsidR="00191A23" w:rsidRPr="0022554A" w14:paraId="59330E21" w14:textId="77777777" w:rsidTr="00517788">
        <w:tc>
          <w:tcPr>
            <w:tcW w:w="1911" w:type="dxa"/>
            <w:gridSpan w:val="2"/>
          </w:tcPr>
          <w:p w14:paraId="0D4EFD6F"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2A5D5282" w14:textId="77777777" w:rsidR="00191A23" w:rsidRPr="0022554A" w:rsidRDefault="00191A23" w:rsidP="00191A23">
            <w:pPr>
              <w:pStyle w:val="TableSubHead"/>
              <w:tabs>
                <w:tab w:val="left" w:pos="5400"/>
              </w:tabs>
              <w:rPr>
                <w:sz w:val="20"/>
              </w:rPr>
            </w:pPr>
          </w:p>
        </w:tc>
      </w:tr>
      <w:tr w:rsidR="00191A23" w:rsidRPr="0022554A" w14:paraId="72925500" w14:textId="77777777" w:rsidTr="00517788">
        <w:tc>
          <w:tcPr>
            <w:tcW w:w="0" w:type="auto"/>
          </w:tcPr>
          <w:p w14:paraId="16B1FE14"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456D02EE" w14:textId="77777777" w:rsidR="00191A23" w:rsidRPr="0022554A" w:rsidRDefault="00191A23" w:rsidP="00191A23">
            <w:pPr>
              <w:tabs>
                <w:tab w:val="left" w:pos="5400"/>
              </w:tabs>
              <w:jc w:val="center"/>
              <w:rPr>
                <w:sz w:val="20"/>
              </w:rPr>
            </w:pPr>
            <w:r w:rsidRPr="0022554A">
              <w:rPr>
                <w:sz w:val="20"/>
              </w:rPr>
              <w:t>22</w:t>
            </w:r>
          </w:p>
        </w:tc>
        <w:tc>
          <w:tcPr>
            <w:tcW w:w="8687" w:type="dxa"/>
          </w:tcPr>
          <w:p w14:paraId="0216511C"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2D32612F" w14:textId="1A9BBDF6" w:rsidR="00191A23" w:rsidRPr="0022554A" w:rsidRDefault="001B652E" w:rsidP="00191A23">
            <w:pPr>
              <w:tabs>
                <w:tab w:val="left" w:pos="5400"/>
              </w:tabs>
              <w:rPr>
                <w:sz w:val="20"/>
              </w:rPr>
            </w:pPr>
            <w:r>
              <w:rPr>
                <w:sz w:val="20"/>
              </w:rPr>
              <w:t>N/A</w:t>
            </w:r>
          </w:p>
        </w:tc>
        <w:tc>
          <w:tcPr>
            <w:tcW w:w="3129" w:type="dxa"/>
          </w:tcPr>
          <w:p w14:paraId="00C722E5" w14:textId="2F8C299A" w:rsidR="00191A23" w:rsidRPr="0022554A" w:rsidRDefault="001B652E" w:rsidP="00191A23">
            <w:pPr>
              <w:tabs>
                <w:tab w:val="left" w:pos="5400"/>
              </w:tabs>
              <w:rPr>
                <w:sz w:val="20"/>
              </w:rPr>
            </w:pPr>
            <w:r>
              <w:rPr>
                <w:sz w:val="20"/>
              </w:rPr>
              <w:t>N/A</w:t>
            </w:r>
          </w:p>
        </w:tc>
      </w:tr>
      <w:bookmarkEnd w:id="94"/>
      <w:bookmarkEnd w:id="95"/>
    </w:tbl>
    <w:p w14:paraId="72D3C879" w14:textId="77777777" w:rsidR="002602FB" w:rsidRDefault="002602FB" w:rsidP="0022554A">
      <w:pPr>
        <w:pStyle w:val="TableNote"/>
        <w:tabs>
          <w:tab w:val="left" w:pos="5400"/>
        </w:tabs>
        <w:rPr>
          <w:bCs/>
          <w:sz w:val="20"/>
        </w:rPr>
      </w:pPr>
    </w:p>
    <w:p w14:paraId="41BECFDB"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5038CED0" w14:textId="77777777" w:rsidR="00AE2C57" w:rsidRDefault="00AE2C57" w:rsidP="0022554A">
      <w:pPr>
        <w:pStyle w:val="TableNote"/>
        <w:tabs>
          <w:tab w:val="left" w:pos="5400"/>
        </w:tabs>
        <w:rPr>
          <w:sz w:val="20"/>
        </w:rPr>
      </w:pPr>
    </w:p>
    <w:p w14:paraId="2E62DBA1"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38A9E" w14:textId="77777777" w:rsidR="00D97051" w:rsidRDefault="00D97051">
      <w:r>
        <w:separator/>
      </w:r>
    </w:p>
  </w:endnote>
  <w:endnote w:type="continuationSeparator" w:id="0">
    <w:p w14:paraId="6F19A8BA" w14:textId="77777777" w:rsidR="00D97051" w:rsidRDefault="00D97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90365"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34181B"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85FC"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31BAF9A0"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30958" w14:textId="77777777" w:rsidR="00D97051" w:rsidRDefault="00D97051">
      <w:r>
        <w:separator/>
      </w:r>
    </w:p>
  </w:footnote>
  <w:footnote w:type="continuationSeparator" w:id="0">
    <w:p w14:paraId="67462498" w14:textId="77777777" w:rsidR="00D97051" w:rsidRDefault="00D970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311253616">
    <w:abstractNumId w:val="20"/>
  </w:num>
  <w:num w:numId="2" w16cid:durableId="506794757">
    <w:abstractNumId w:val="11"/>
  </w:num>
  <w:num w:numId="3" w16cid:durableId="1721173990">
    <w:abstractNumId w:val="18"/>
  </w:num>
  <w:num w:numId="4" w16cid:durableId="323748164">
    <w:abstractNumId w:val="16"/>
  </w:num>
  <w:num w:numId="5" w16cid:durableId="1408066399">
    <w:abstractNumId w:val="15"/>
  </w:num>
  <w:num w:numId="6" w16cid:durableId="1372608584">
    <w:abstractNumId w:val="19"/>
  </w:num>
  <w:num w:numId="7" w16cid:durableId="1667249821">
    <w:abstractNumId w:val="10"/>
  </w:num>
  <w:num w:numId="8" w16cid:durableId="1342471025">
    <w:abstractNumId w:val="13"/>
  </w:num>
  <w:num w:numId="9" w16cid:durableId="1209341664">
    <w:abstractNumId w:val="9"/>
  </w:num>
  <w:num w:numId="10" w16cid:durableId="1460688333">
    <w:abstractNumId w:val="14"/>
  </w:num>
  <w:num w:numId="11" w16cid:durableId="1320966559">
    <w:abstractNumId w:val="7"/>
  </w:num>
  <w:num w:numId="12" w16cid:durableId="615452818">
    <w:abstractNumId w:val="6"/>
  </w:num>
  <w:num w:numId="13" w16cid:durableId="411706829">
    <w:abstractNumId w:val="5"/>
  </w:num>
  <w:num w:numId="14" w16cid:durableId="479004945">
    <w:abstractNumId w:val="4"/>
  </w:num>
  <w:num w:numId="15" w16cid:durableId="1059404965">
    <w:abstractNumId w:val="8"/>
  </w:num>
  <w:num w:numId="16" w16cid:durableId="586040026">
    <w:abstractNumId w:val="3"/>
  </w:num>
  <w:num w:numId="17" w16cid:durableId="1543665940">
    <w:abstractNumId w:val="2"/>
  </w:num>
  <w:num w:numId="18" w16cid:durableId="726926182">
    <w:abstractNumId w:val="1"/>
  </w:num>
  <w:num w:numId="19" w16cid:durableId="988484579">
    <w:abstractNumId w:val="0"/>
  </w:num>
  <w:num w:numId="20" w16cid:durableId="1587419080">
    <w:abstractNumId w:val="12"/>
  </w:num>
  <w:num w:numId="21" w16cid:durableId="9737573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B652E"/>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A1D89"/>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42CD6"/>
    <w:rsid w:val="00B50DF8"/>
    <w:rsid w:val="00B54EA0"/>
    <w:rsid w:val="00B60EFB"/>
    <w:rsid w:val="00B65366"/>
    <w:rsid w:val="00B77807"/>
    <w:rsid w:val="00B940E9"/>
    <w:rsid w:val="00BA1206"/>
    <w:rsid w:val="00BC7FE6"/>
    <w:rsid w:val="00BD7559"/>
    <w:rsid w:val="00BE3709"/>
    <w:rsid w:val="00C80465"/>
    <w:rsid w:val="00CA489B"/>
    <w:rsid w:val="00CB6CC8"/>
    <w:rsid w:val="00CC4C93"/>
    <w:rsid w:val="00D06691"/>
    <w:rsid w:val="00D120D2"/>
    <w:rsid w:val="00D20D7C"/>
    <w:rsid w:val="00D26FCA"/>
    <w:rsid w:val="00D6407C"/>
    <w:rsid w:val="00D87AF7"/>
    <w:rsid w:val="00D97051"/>
    <w:rsid w:val="00DA120C"/>
    <w:rsid w:val="00DC4BEF"/>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1B454414"/>
  <w15:docId w15:val="{98D07C06-AEE9-4F54-968F-9F9966E7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41</TotalTime>
  <Pages>12</Pages>
  <Words>2535</Words>
  <Characters>14455</Characters>
  <Application>Microsoft Office Word</Application>
  <DocSecurity>0</DocSecurity>
  <Lines>120</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16957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John Havlik</cp:lastModifiedBy>
  <cp:revision>5</cp:revision>
  <cp:lastPrinted>2014-09-01T08:36:00Z</cp:lastPrinted>
  <dcterms:created xsi:type="dcterms:W3CDTF">2014-09-01T14:20:00Z</dcterms:created>
  <dcterms:modified xsi:type="dcterms:W3CDTF">2023-06-24T17:33:00Z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