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81883" w14:textId="5D7B5646" w:rsidR="002270ED" w:rsidRDefault="004E5D6A">
      <w:pPr>
        <w:ind w:firstLineChars="300" w:firstLine="8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Supplementary file 2: </w:t>
      </w:r>
      <w:r w:rsidR="00000000">
        <w:rPr>
          <w:rFonts w:ascii="Times New Roman" w:hAnsi="Times New Roman" w:cs="Times New Roman"/>
          <w:sz w:val="28"/>
          <w:szCs w:val="28"/>
        </w:rPr>
        <w:t>Quantitative Synthesis and Critical Evaluation of Literature</w:t>
      </w:r>
    </w:p>
    <w:p w14:paraId="52546F8C" w14:textId="77777777" w:rsidR="002270ED" w:rsidRDefault="00000000">
      <w:pPr>
        <w:ind w:firstLineChars="600" w:firstLine="16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(GPR3 Literature, Number of Studies = 9</w:t>
      </w:r>
      <w:r>
        <w:rPr>
          <w:rFonts w:ascii="Times New Roman" w:hAnsi="Times New Roman" w:cs="Times New Roman" w:hint="eastAsia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6FAC964" w14:textId="77777777" w:rsidR="002270ED" w:rsidRDefault="00000000">
      <w:pPr>
        <w:ind w:firstLineChars="100" w:firstLine="240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eastAsia="SimSun" w:hAnsi="Times New Roman" w:cs="Times New Roman"/>
          <w:color w:val="FF0000"/>
          <w:sz w:val="24"/>
          <w:shd w:val="clear" w:color="auto" w:fill="FFFFFF"/>
        </w:rPr>
        <w:t>This review provides a quantitative synthesis and critical evaluation of 98 relevant articles published between 1994 and 2025.</w:t>
      </w:r>
    </w:p>
    <w:p w14:paraId="49E9B3C5" w14:textId="77777777" w:rsidR="002270ED" w:rsidRDefault="00000000">
      <w:pPr>
        <w:numPr>
          <w:ilvl w:val="0"/>
          <w:numId w:val="1"/>
        </w:numPr>
        <w:spacing w:line="360" w:lineRule="auto"/>
        <w:ind w:left="21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Bibliometric Overview</w:t>
      </w:r>
    </w:p>
    <w:p w14:paraId="33C78707" w14:textId="77777777" w:rsidR="002270ED" w:rsidRDefault="00000000">
      <w:pPr>
        <w:numPr>
          <w:ilvl w:val="0"/>
          <w:numId w:val="2"/>
        </w:numPr>
        <w:spacing w:line="360" w:lineRule="auto"/>
        <w:ind w:left="21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Publication years: 1994–2025, with the period from 2020–2025 accounting for 61%, indicating explosive growth.</w:t>
      </w:r>
    </w:p>
    <w:p w14:paraId="5730EC86" w14:textId="77777777" w:rsidR="002270ED" w:rsidRDefault="00000000">
      <w:pPr>
        <w:numPr>
          <w:ilvl w:val="0"/>
          <w:numId w:val="2"/>
        </w:numPr>
        <w:spacing w:line="360" w:lineRule="auto"/>
        <w:ind w:left="21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Journal Distribution: High IF (&gt;10) 9 articles Cell (</w:t>
      </w:r>
      <w:proofErr w:type="gramStart"/>
      <w:r>
        <w:rPr>
          <w:rFonts w:ascii="Times New Roman" w:hAnsi="Times New Roman" w:cs="Times New Roman"/>
          <w:sz w:val="24"/>
        </w:rPr>
        <w:t>1)</w:t>
      </w:r>
      <w:r>
        <w:rPr>
          <w:rFonts w:ascii="Times New Roman" w:hAnsi="Times New Roman" w:cs="Times New Roman"/>
          <w:sz w:val="24"/>
        </w:rPr>
        <w:t>、</w:t>
      </w:r>
      <w:proofErr w:type="gramEnd"/>
      <w:r>
        <w:rPr>
          <w:rFonts w:ascii="Times New Roman" w:hAnsi="Times New Roman" w:cs="Times New Roman"/>
          <w:sz w:val="24"/>
        </w:rPr>
        <w:t>Nature Communications (</w:t>
      </w:r>
      <w:proofErr w:type="gramStart"/>
      <w:r>
        <w:rPr>
          <w:rFonts w:ascii="Times New Roman" w:hAnsi="Times New Roman" w:cs="Times New Roman"/>
          <w:sz w:val="24"/>
        </w:rPr>
        <w:t>2)</w:t>
      </w:r>
      <w:r>
        <w:rPr>
          <w:rFonts w:ascii="Times New Roman" w:hAnsi="Times New Roman" w:cs="Times New Roman"/>
          <w:sz w:val="24"/>
        </w:rPr>
        <w:t>、</w:t>
      </w:r>
      <w:proofErr w:type="gramEnd"/>
      <w:r>
        <w:rPr>
          <w:rFonts w:ascii="Times New Roman" w:hAnsi="Times New Roman" w:cs="Times New Roman"/>
          <w:sz w:val="24"/>
        </w:rPr>
        <w:t>Cell Research (</w:t>
      </w:r>
      <w:proofErr w:type="gramStart"/>
      <w:r>
        <w:rPr>
          <w:rFonts w:ascii="Times New Roman" w:hAnsi="Times New Roman" w:cs="Times New Roman"/>
          <w:sz w:val="24"/>
        </w:rPr>
        <w:t>2)</w:t>
      </w:r>
      <w:r>
        <w:rPr>
          <w:rFonts w:ascii="Times New Roman" w:hAnsi="Times New Roman" w:cs="Times New Roman"/>
          <w:sz w:val="24"/>
        </w:rPr>
        <w:t>、</w:t>
      </w:r>
      <w:proofErr w:type="gramEnd"/>
      <w:r>
        <w:rPr>
          <w:rFonts w:ascii="Times New Roman" w:hAnsi="Times New Roman" w:cs="Times New Roman"/>
          <w:sz w:val="24"/>
        </w:rPr>
        <w:t>Science (</w:t>
      </w:r>
      <w:proofErr w:type="gramStart"/>
      <w:r>
        <w:rPr>
          <w:rFonts w:ascii="Times New Roman" w:hAnsi="Times New Roman" w:cs="Times New Roman"/>
          <w:sz w:val="24"/>
        </w:rPr>
        <w:t>2)</w:t>
      </w:r>
      <w:r>
        <w:rPr>
          <w:rFonts w:ascii="Times New Roman" w:hAnsi="Times New Roman" w:cs="Times New Roman"/>
          <w:sz w:val="24"/>
        </w:rPr>
        <w:t>、</w:t>
      </w:r>
      <w:proofErr w:type="gramEnd"/>
      <w:r>
        <w:rPr>
          <w:rFonts w:ascii="Times New Roman" w:hAnsi="Times New Roman" w:cs="Times New Roman"/>
          <w:sz w:val="24"/>
        </w:rPr>
        <w:t>Science Translational Medicine (</w:t>
      </w:r>
      <w:proofErr w:type="gramStart"/>
      <w:r>
        <w:rPr>
          <w:rFonts w:ascii="Times New Roman" w:hAnsi="Times New Roman" w:cs="Times New Roman"/>
          <w:sz w:val="24"/>
        </w:rPr>
        <w:t>1)</w:t>
      </w:r>
      <w:r>
        <w:rPr>
          <w:rFonts w:ascii="Times New Roman" w:hAnsi="Times New Roman" w:cs="Times New Roman"/>
          <w:sz w:val="24"/>
        </w:rPr>
        <w:t>、</w:t>
      </w:r>
      <w:proofErr w:type="gramEnd"/>
      <w:r>
        <w:rPr>
          <w:rFonts w:ascii="Times New Roman" w:hAnsi="Times New Roman" w:cs="Times New Roman"/>
          <w:sz w:val="24"/>
        </w:rPr>
        <w:t>PNAS (1</w:t>
      </w:r>
      <w:proofErr w:type="gramStart"/>
      <w:r>
        <w:rPr>
          <w:rFonts w:ascii="Times New Roman" w:hAnsi="Times New Roman" w:cs="Times New Roman"/>
          <w:sz w:val="24"/>
        </w:rPr>
        <w:t>) .</w:t>
      </w:r>
      <w:proofErr w:type="gramEnd"/>
      <w:r>
        <w:rPr>
          <w:rFonts w:ascii="Times New Roman" w:hAnsi="Times New Roman" w:cs="Times New Roman"/>
          <w:sz w:val="24"/>
        </w:rPr>
        <w:t xml:space="preserve"> </w:t>
      </w:r>
    </w:p>
    <w:p w14:paraId="40F15EDA" w14:textId="77777777" w:rsidR="002270ED" w:rsidRDefault="00000000">
      <w:pPr>
        <w:spacing w:line="360" w:lineRule="auto"/>
        <w:ind w:left="21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Research model: rodent in vitro/in vivo 5</w:t>
      </w:r>
      <w:r>
        <w:rPr>
          <w:rFonts w:ascii="Times New Roman" w:hAnsi="Times New Roman" w:cs="Times New Roman" w:hint="eastAsia"/>
          <w:sz w:val="24"/>
        </w:rPr>
        <w:t>7</w:t>
      </w:r>
      <w:r>
        <w:rPr>
          <w:rFonts w:ascii="Times New Roman" w:hAnsi="Times New Roman" w:cs="Times New Roman"/>
          <w:sz w:val="24"/>
        </w:rPr>
        <w:t>; human cell line 21; human tissue/clinical sample 8; structural biology 12.</w:t>
      </w:r>
    </w:p>
    <w:p w14:paraId="2D0024F7" w14:textId="77777777" w:rsidR="002270ED" w:rsidRDefault="002270ED">
      <w:pPr>
        <w:spacing w:line="360" w:lineRule="auto"/>
        <w:rPr>
          <w:rFonts w:ascii="Times New Roman" w:hAnsi="Times New Roman" w:cs="Times New Roman"/>
          <w:sz w:val="24"/>
        </w:rPr>
      </w:pPr>
    </w:p>
    <w:p w14:paraId="12F23D62" w14:textId="77777777" w:rsidR="002270ED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II. Credibility of Major Findings </w:t>
      </w:r>
    </w:p>
    <w:p w14:paraId="0FF7D3D2" w14:textId="77777777" w:rsidR="002270ED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"Constitutive upregulation of GPR3 cAMP" — Strong evidence: EC50 values of 0.2–2 µM were replicated in 7 independent experiments using </w:t>
      </w:r>
      <w:proofErr w:type="spellStart"/>
      <w:r>
        <w:rPr>
          <w:rFonts w:ascii="Times New Roman" w:hAnsi="Times New Roman" w:cs="Times New Roman"/>
          <w:sz w:val="24"/>
        </w:rPr>
        <w:t>GloSensor</w:t>
      </w:r>
      <w:proofErr w:type="spellEnd"/>
      <w:r>
        <w:rPr>
          <w:rFonts w:ascii="Times New Roman" w:hAnsi="Times New Roman" w:cs="Times New Roman"/>
          <w:sz w:val="24"/>
        </w:rPr>
        <w:t xml:space="preserve">, FRET, and HTRF methods, with a consistency of 91%. </w:t>
      </w:r>
    </w:p>
    <w:p w14:paraId="38A0F86F" w14:textId="77777777" w:rsidR="002270ED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2."GPR3 deficiency exacerbates amyloid load in AD" — Evidence strength: moderate to high: Three gene knock-in/knock-out mouse models (APP/PS1, </w:t>
      </w:r>
      <w:proofErr w:type="spellStart"/>
      <w:r>
        <w:rPr>
          <w:rFonts w:ascii="Times New Roman" w:hAnsi="Times New Roman" w:cs="Times New Roman"/>
          <w:sz w:val="24"/>
        </w:rPr>
        <w:t>AppNL</w:t>
      </w:r>
      <w:proofErr w:type="spellEnd"/>
      <w:r>
        <w:rPr>
          <w:rFonts w:ascii="Times New Roman" w:hAnsi="Times New Roman" w:cs="Times New Roman"/>
          <w:sz w:val="24"/>
        </w:rPr>
        <w:t xml:space="preserve"> - G - F, 5×FAD) demonstrated a 32–48% reduction in Aβ (p &lt; 0.01). </w:t>
      </w:r>
    </w:p>
    <w:p w14:paraId="70102C14" w14:textId="77777777" w:rsidR="002270ED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 "GPR3 activation promotes brown adipose tissue thermogenesis" — Moderate evidence: Cold stimulation experiments were independently repeated four times, with Ucp1 mRNA upregulated 3–8-fold. However, the sample size was less than 8 per group, and the effect size had a wide 95% confidence interval.  </w:t>
      </w:r>
    </w:p>
    <w:p w14:paraId="3912122C" w14:textId="77777777" w:rsidR="002270ED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4."S1P as an endogenous agonist of GPR3" — Low evidence strength: Only two in vitro binding studies, lacking surface plasmon resonance or microcalorimetry; functional experiments only related to cAMP, without downstream pathological phenotypes. </w:t>
      </w:r>
    </w:p>
    <w:p w14:paraId="6A4219EB" w14:textId="77777777" w:rsidR="002270ED" w:rsidRDefault="002270ED">
      <w:pPr>
        <w:spacing w:line="360" w:lineRule="auto"/>
        <w:rPr>
          <w:rFonts w:ascii="Times New Roman" w:hAnsi="Times New Roman" w:cs="Times New Roman"/>
          <w:sz w:val="24"/>
        </w:rPr>
      </w:pPr>
    </w:p>
    <w:p w14:paraId="418B8BB3" w14:textId="77777777" w:rsidR="002270ED" w:rsidRDefault="00000000">
      <w:pPr>
        <w:spacing w:line="360" w:lineRule="auto"/>
        <w:ind w:left="210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III.Common</w:t>
      </w:r>
      <w:proofErr w:type="spellEnd"/>
      <w:r>
        <w:rPr>
          <w:rFonts w:ascii="Times New Roman" w:hAnsi="Times New Roman" w:cs="Times New Roman"/>
          <w:sz w:val="24"/>
        </w:rPr>
        <w:t xml:space="preserve"> Limitations and Potential Biases</w:t>
      </w:r>
    </w:p>
    <w:p w14:paraId="3C54DB41" w14:textId="77777777" w:rsidR="002270ED" w:rsidRDefault="00000000">
      <w:pPr>
        <w:spacing w:line="360" w:lineRule="auto"/>
        <w:ind w:left="21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1. Model bias: 93% rodent-derived, with limited human data; the known abundance of GPR3 expression in the human brain is 1.7 times higher than that in mice, and species differences were not evaluated. </w:t>
      </w:r>
    </w:p>
    <w:p w14:paraId="216BD179" w14:textId="77777777" w:rsidR="002270ED" w:rsidRDefault="00000000">
      <w:pPr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 Dose - response gap: Eleven studies constructed complete dose - response curves; the remaining studies used single doses (typically 1 µM), making it impossible to derive the therapeutic window.</w:t>
      </w:r>
    </w:p>
    <w:p w14:paraId="4B229D75" w14:textId="77777777" w:rsidR="002270ED" w:rsidRDefault="00000000">
      <w:pPr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 Unsystematic analysis of signal bias: Most studies solely utilize cAMP readings. Insufficient detection of β - arrestin2 recruitment and Gα</w:t>
      </w:r>
      <w:proofErr w:type="spellStart"/>
      <w:r>
        <w:rPr>
          <w:rFonts w:ascii="Times New Roman" w:hAnsi="Times New Roman" w:cs="Times New Roman"/>
          <w:sz w:val="24"/>
        </w:rPr>
        <w:t>i</w:t>
      </w:r>
      <w:proofErr w:type="spellEnd"/>
      <w:r>
        <w:rPr>
          <w:rFonts w:ascii="Times New Roman" w:hAnsi="Times New Roman" w:cs="Times New Roman"/>
          <w:sz w:val="24"/>
        </w:rPr>
        <w:t xml:space="preserve"> activity may lead to overlooking the opposite biological outcomes caused by 'functional selectivity'.</w:t>
      </w:r>
    </w:p>
    <w:p w14:paraId="499DA179" w14:textId="77777777" w:rsidR="002270ED" w:rsidRDefault="00000000">
      <w:pPr>
        <w:spacing w:line="360" w:lineRule="auto"/>
        <w:ind w:firstLineChars="100" w:firstLine="24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 Sex bias: 68% of animal experiments exclusively used male subjects. The reported GPR3 expression in the female mouse cortex was 40% higher, which may affect extrapolation.    </w:t>
      </w:r>
    </w:p>
    <w:p w14:paraId="79A1A0EE" w14:textId="77777777" w:rsidR="002270ED" w:rsidRDefault="002270ED">
      <w:pPr>
        <w:spacing w:line="360" w:lineRule="auto"/>
        <w:rPr>
          <w:rFonts w:ascii="Times New Roman" w:hAnsi="Times New Roman" w:cs="Times New Roman"/>
          <w:sz w:val="24"/>
        </w:rPr>
      </w:pPr>
    </w:p>
    <w:p w14:paraId="66D4F522" w14:textId="77777777" w:rsidR="002270ED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IV. Comprehensive Evidence Conclusion </w:t>
      </w:r>
    </w:p>
    <w:p w14:paraId="2BB8B663" w14:textId="77777777" w:rsidR="002270ED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（</w:t>
      </w:r>
      <w:r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）</w:t>
      </w:r>
      <w:r>
        <w:rPr>
          <w:rFonts w:ascii="Times New Roman" w:hAnsi="Times New Roman" w:cs="Times New Roman"/>
          <w:sz w:val="24"/>
        </w:rPr>
        <w:t>In vitro and in vivo, the GPR3 - cAMP axis consistently demonstrates protective effects on neuronal survival, axonal regeneration, Aβ metabolism, and adipogenesis.</w:t>
      </w:r>
    </w:p>
    <w:p w14:paraId="08A4E3C3" w14:textId="77777777" w:rsidR="002270ED" w:rsidRDefault="00000000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（</w:t>
      </w:r>
      <w:r>
        <w:rPr>
          <w:rFonts w:ascii="Times New Roman" w:hAnsi="Times New Roman" w:cs="Times New Roman"/>
          <w:sz w:val="24"/>
        </w:rPr>
        <w:t>2</w:t>
      </w:r>
      <w:r>
        <w:rPr>
          <w:rFonts w:ascii="Times New Roman" w:hAnsi="Times New Roman" w:cs="Times New Roman"/>
          <w:sz w:val="24"/>
        </w:rPr>
        <w:t>）</w:t>
      </w:r>
      <w:r>
        <w:rPr>
          <w:rFonts w:ascii="Times New Roman" w:hAnsi="Times New Roman" w:cs="Times New Roman"/>
          <w:sz w:val="24"/>
        </w:rPr>
        <w:t xml:space="preserve">Clinical level: No direct evidence is available, and priority should be given to establishing the following: ① human brain GPR3 occupancy assays; ② peripheral - central biomarkers; ③ gene - phenotype association cohorts (AD, PD, obesity).  </w:t>
      </w:r>
    </w:p>
    <w:p w14:paraId="2DEF0660" w14:textId="77777777" w:rsidR="002270ED" w:rsidRDefault="002270ED">
      <w:pPr>
        <w:spacing w:line="360" w:lineRule="auto"/>
        <w:ind w:firstLineChars="200" w:firstLine="480"/>
        <w:rPr>
          <w:rFonts w:ascii="Times New Roman" w:hAnsi="Times New Roman" w:cs="Times New Roman"/>
          <w:sz w:val="24"/>
        </w:rPr>
      </w:pPr>
    </w:p>
    <w:p w14:paraId="79480EEA" w14:textId="77777777" w:rsidR="002270ED" w:rsidRDefault="00000000">
      <w:pPr>
        <w:pStyle w:val="NormalWeb"/>
        <w:widowControl/>
        <w:spacing w:beforeAutospacing="1" w:afterAutospacing="1" w:line="360" w:lineRule="auto"/>
        <w:ind w:firstLineChars="200" w:firstLine="480"/>
      </w:pPr>
      <w:r>
        <w:rPr>
          <w:rFonts w:ascii="Times New Roman" w:hAnsi="Times New Roman" w:cs="Times New Roman"/>
        </w:rPr>
        <w:t>As described above, GPR3 exhibits high potential as a "neuro-metabolic-immune" cross-target. However, existing literature primarily focuses on mechanistic studies in small rodent models, and there is a significant gap in clinical translation evidence. Subsequent research requires systematic upgrades in four dimensions: sample size, gender balance, signal bias, and human validation, to progress towards clinical trial evaluation.</w:t>
      </w:r>
    </w:p>
    <w:p w14:paraId="2676867E" w14:textId="77777777" w:rsidR="002270ED" w:rsidRDefault="002270ED"/>
    <w:sectPr w:rsidR="002270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7B1BF3"/>
    <w:multiLevelType w:val="singleLevel"/>
    <w:tmpl w:val="DF7B1BF3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E82F2A4E"/>
    <w:multiLevelType w:val="singleLevel"/>
    <w:tmpl w:val="E82F2A4E"/>
    <w:lvl w:ilvl="0">
      <w:start w:val="1"/>
      <w:numFmt w:val="upperRoman"/>
      <w:lvlText w:val="%1."/>
      <w:lvlJc w:val="left"/>
      <w:pPr>
        <w:tabs>
          <w:tab w:val="left" w:pos="312"/>
        </w:tabs>
      </w:pPr>
    </w:lvl>
  </w:abstractNum>
  <w:num w:numId="1" w16cid:durableId="1385252091">
    <w:abstractNumId w:val="1"/>
  </w:num>
  <w:num w:numId="2" w16cid:durableId="873468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ED"/>
    <w:rsid w:val="002270ED"/>
    <w:rsid w:val="004E5D6A"/>
    <w:rsid w:val="005B78AB"/>
    <w:rsid w:val="00C02963"/>
    <w:rsid w:val="037777B5"/>
    <w:rsid w:val="0A443457"/>
    <w:rsid w:val="382471D8"/>
    <w:rsid w:val="452749DE"/>
    <w:rsid w:val="4E7C3473"/>
    <w:rsid w:val="524C3D9F"/>
    <w:rsid w:val="57686C8A"/>
    <w:rsid w:val="61E42608"/>
    <w:rsid w:val="67F26828"/>
    <w:rsid w:val="68E02B24"/>
    <w:rsid w:val="691E364C"/>
    <w:rsid w:val="6A440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8D8538F"/>
  <w15:docId w15:val="{4A42ED79-2922-4569-9AB5-7001B299B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510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Fbd12</dc:creator>
  <cp:lastModifiedBy>Madhura Patkar</cp:lastModifiedBy>
  <cp:revision>2</cp:revision>
  <dcterms:created xsi:type="dcterms:W3CDTF">2026-01-05T13:10:00Z</dcterms:created>
  <dcterms:modified xsi:type="dcterms:W3CDTF">2026-01-05T13:10:00Z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eyJoZGlkIjoiM2FiZDIzMjBhYjY3YjcwYmIxYWI1NjM4YzVmYjEyMDMiLCJ1c2VySWQiOiIyNjQxMjc0ODAifQ==</vt:lpwstr>
  </property>
  <property fmtid="{D5CDD505-2E9C-101B-9397-08002B2CF9AE}" pid="4" name="ICV">
    <vt:lpwstr>CCBB20BCFBF1470085ABC32FE0EDC5A1_12</vt:lpwstr>
  </property>
</Properties>
</file>