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4EA88A" w14:textId="7A112386" w:rsidR="00135662" w:rsidRPr="009100C4" w:rsidRDefault="00135662" w:rsidP="00513B43">
      <w:pPr>
        <w:spacing w:after="0" w:line="480" w:lineRule="auto"/>
        <w:contextualSpacing/>
        <w:jc w:val="both"/>
        <w:outlineLvl w:val="0"/>
        <w:rPr>
          <w:rFonts w:ascii="Arial" w:hAnsi="Arial" w:cs="Arial"/>
          <w:b/>
        </w:rPr>
      </w:pPr>
      <w:r w:rsidRPr="009100C4">
        <w:rPr>
          <w:rFonts w:ascii="Arial" w:hAnsi="Arial" w:cs="Arial"/>
          <w:b/>
        </w:rPr>
        <w:t>SUPPORTING INFORMATION</w:t>
      </w:r>
    </w:p>
    <w:p w14:paraId="6AB9AE3F" w14:textId="595A0B12" w:rsidR="00135662" w:rsidRPr="009100C4" w:rsidRDefault="00135662" w:rsidP="00513B43">
      <w:pPr>
        <w:spacing w:after="0" w:line="480" w:lineRule="auto"/>
        <w:contextualSpacing/>
        <w:jc w:val="both"/>
        <w:outlineLvl w:val="0"/>
        <w:rPr>
          <w:rFonts w:ascii="Arial" w:hAnsi="Arial" w:cs="Arial"/>
          <w:i/>
        </w:rPr>
      </w:pPr>
      <w:r w:rsidRPr="009100C4">
        <w:rPr>
          <w:rFonts w:ascii="Arial" w:hAnsi="Arial" w:cs="Arial"/>
        </w:rPr>
        <w:t xml:space="preserve">Anderson </w:t>
      </w:r>
      <w:r w:rsidRPr="009100C4">
        <w:rPr>
          <w:rFonts w:ascii="Arial" w:hAnsi="Arial" w:cs="Arial"/>
          <w:i/>
        </w:rPr>
        <w:t>et. al.</w:t>
      </w:r>
    </w:p>
    <w:p w14:paraId="6E679E2F" w14:textId="78706BAA" w:rsidR="00135662" w:rsidRPr="009100C4" w:rsidRDefault="00135662" w:rsidP="00513B43">
      <w:pPr>
        <w:spacing w:after="0" w:line="480" w:lineRule="auto"/>
        <w:contextualSpacing/>
        <w:jc w:val="both"/>
        <w:outlineLvl w:val="0"/>
        <w:rPr>
          <w:rFonts w:ascii="Arial" w:hAnsi="Arial" w:cs="Arial"/>
          <w:b/>
        </w:rPr>
      </w:pPr>
      <w:r w:rsidRPr="009100C4">
        <w:rPr>
          <w:rFonts w:ascii="Arial" w:hAnsi="Arial" w:cs="Arial"/>
          <w:b/>
        </w:rPr>
        <w:t>SI Materials and Methods</w:t>
      </w:r>
    </w:p>
    <w:p w14:paraId="182C5974" w14:textId="65CBD087" w:rsidR="00135662" w:rsidRPr="009100C4" w:rsidRDefault="00135662" w:rsidP="00513B43">
      <w:pPr>
        <w:spacing w:after="0" w:line="480" w:lineRule="auto"/>
        <w:contextualSpacing/>
        <w:jc w:val="both"/>
        <w:outlineLvl w:val="0"/>
        <w:rPr>
          <w:rFonts w:ascii="Arial" w:hAnsi="Arial" w:cs="Arial"/>
        </w:rPr>
      </w:pPr>
      <w:r w:rsidRPr="009100C4">
        <w:rPr>
          <w:rFonts w:ascii="Arial" w:hAnsi="Arial" w:cs="Arial"/>
          <w:b/>
        </w:rPr>
        <w:t>Animals.</w:t>
      </w:r>
      <w:r w:rsidR="00A81234" w:rsidRPr="009100C4">
        <w:rPr>
          <w:rFonts w:ascii="Arial" w:hAnsi="Arial" w:cs="Arial"/>
          <w:b/>
        </w:rPr>
        <w:t xml:space="preserve"> </w:t>
      </w:r>
      <w:r w:rsidR="00A81234" w:rsidRPr="009100C4">
        <w:rPr>
          <w:rFonts w:ascii="Arial" w:hAnsi="Arial" w:cs="Arial"/>
          <w:i/>
        </w:rPr>
        <w:t>Scn1a</w:t>
      </w:r>
      <w:r w:rsidR="00A81234" w:rsidRPr="009100C4">
        <w:rPr>
          <w:rFonts w:ascii="Arial" w:hAnsi="Arial" w:cs="Arial"/>
          <w:vertAlign w:val="superscript"/>
        </w:rPr>
        <w:t>+/-</w:t>
      </w:r>
      <w:r w:rsidR="00A81234" w:rsidRPr="009100C4">
        <w:rPr>
          <w:rFonts w:ascii="Arial" w:hAnsi="Arial" w:cs="Arial"/>
        </w:rPr>
        <w:t xml:space="preserve"> mice were purchased from The Jackson Laboratory (stock 37107-JAX; Bar Harbor, MA, USA) and maintained as a congenic line on the 129</w:t>
      </w:r>
      <w:r w:rsidR="00D41652">
        <w:rPr>
          <w:rFonts w:ascii="Arial" w:hAnsi="Arial" w:cs="Arial"/>
        </w:rPr>
        <w:t>S</w:t>
      </w:r>
      <w:r w:rsidR="00A81234" w:rsidRPr="009100C4">
        <w:rPr>
          <w:rFonts w:ascii="Arial" w:hAnsi="Arial" w:cs="Arial"/>
        </w:rPr>
        <w:t>6/</w:t>
      </w:r>
      <w:proofErr w:type="spellStart"/>
      <w:r w:rsidR="00A81234" w:rsidRPr="009100C4">
        <w:rPr>
          <w:rFonts w:ascii="Arial" w:hAnsi="Arial" w:cs="Arial"/>
        </w:rPr>
        <w:t>SvEvTac</w:t>
      </w:r>
      <w:proofErr w:type="spellEnd"/>
      <w:r w:rsidR="00A81234" w:rsidRPr="009100C4">
        <w:rPr>
          <w:rFonts w:ascii="Arial" w:hAnsi="Arial" w:cs="Arial"/>
        </w:rPr>
        <w:t xml:space="preserve"> background (129.</w:t>
      </w:r>
      <w:r w:rsidR="00A81234" w:rsidRPr="009100C4">
        <w:rPr>
          <w:rFonts w:ascii="Arial" w:hAnsi="Arial" w:cs="Arial"/>
          <w:i/>
        </w:rPr>
        <w:t>Scn1a</w:t>
      </w:r>
      <w:r w:rsidR="00A81234" w:rsidRPr="009100C4">
        <w:rPr>
          <w:rFonts w:ascii="Arial" w:hAnsi="Arial" w:cs="Arial"/>
          <w:vertAlign w:val="superscript"/>
        </w:rPr>
        <w:t>+/-</w:t>
      </w:r>
      <w:r w:rsidR="00A81234" w:rsidRPr="009100C4">
        <w:rPr>
          <w:rFonts w:ascii="Arial" w:hAnsi="Arial" w:cs="Arial"/>
        </w:rPr>
        <w:t>). For experiments, F1 mice were generated by breeding heterozygous 129.</w:t>
      </w:r>
      <w:r w:rsidR="00A81234" w:rsidRPr="009100C4">
        <w:rPr>
          <w:rFonts w:ascii="Arial" w:hAnsi="Arial" w:cs="Arial"/>
          <w:i/>
        </w:rPr>
        <w:t>Scn1a</w:t>
      </w:r>
      <w:r w:rsidR="00A81234" w:rsidRPr="009100C4">
        <w:rPr>
          <w:rFonts w:ascii="Arial" w:hAnsi="Arial" w:cs="Arial"/>
          <w:vertAlign w:val="superscript"/>
        </w:rPr>
        <w:t xml:space="preserve">+/- </w:t>
      </w:r>
      <w:r w:rsidR="00A81234" w:rsidRPr="009100C4">
        <w:rPr>
          <w:rFonts w:ascii="Arial" w:hAnsi="Arial" w:cs="Arial"/>
        </w:rPr>
        <w:t xml:space="preserve">mice with wildtype C57BL/6J (Jackson Laboratory stock 000664; Animal Resources Centre; Canning Vale, Australia). The </w:t>
      </w:r>
      <w:r w:rsidR="00A81234" w:rsidRPr="009100C4">
        <w:rPr>
          <w:rFonts w:ascii="Arial" w:hAnsi="Arial" w:cs="Arial"/>
          <w:i/>
        </w:rPr>
        <w:t>Scn1a</w:t>
      </w:r>
      <w:r w:rsidR="00A81234" w:rsidRPr="009100C4">
        <w:rPr>
          <w:rFonts w:ascii="Arial" w:hAnsi="Arial" w:cs="Arial"/>
        </w:rPr>
        <w:t xml:space="preserve"> genotype was dete</w:t>
      </w:r>
      <w:r w:rsidR="00866261" w:rsidRPr="009100C4">
        <w:rPr>
          <w:rFonts w:ascii="Arial" w:hAnsi="Arial" w:cs="Arial"/>
        </w:rPr>
        <w:t>rmined as previously described</w:t>
      </w:r>
      <w:r w:rsidR="00866261" w:rsidRPr="009100C4">
        <w:rPr>
          <w:rFonts w:ascii="Arial" w:hAnsi="Arial" w:cs="Arial"/>
        </w:rPr>
        <w:fldChar w:fldCharType="begin" w:fldLock="1"/>
      </w:r>
      <w:r w:rsidR="00866261" w:rsidRPr="009100C4">
        <w:rPr>
          <w:rFonts w:ascii="Arial" w:hAnsi="Arial" w:cs="Arial"/>
        </w:rPr>
        <w:instrText>ADDIN CSL_CITATION {"citationItems":[{"id":"ITEM-1","itemData":{"DOI":"10.1111/gbb.12099","ISSN":"16011848","PMID":"24152123","abstract":"Epilepsy is a common neurological disorder affecting approximately 1% of the population. Mutations in voltage-gated sodium channels are responsible for several monogenic epilepsy syndromes. More than 800 mutations in the voltage-gated sodium channel SCN1A have been reported in patients with generalized epilepsy with febrile seizures plus and Dravet syndrome. Heterozygous loss-of-function mutations in SCN1A result in Dravet syndrome, a severe infant-onset epileptic encephalopathy characterized by intractable seizures, developmental delays and increased mortality. A common feature of monogenic epilepsies is variable expressivity among individuals with the same mutation, suggesting that genetic modifiers may influence clinical severity. Mice with heterozygous deletion of Scn1a (Scn1a(+/-) ) model a number of Dravet syndrome features, including spontaneous seizures and premature lethality. Phenotype severity in Scn1a(+/-) mice is strongly dependent on strain background. On the 129S6/SvEvTac strain Scn1a(+/-) mice exhibit no overt phenotype, whereas on the (C57BL/6J × 129S6/SvEvTac)F1 strain Scn1a(+/-) mice exhibit spontaneous seizures and early lethality. To systematically identify loci that influence premature lethality in Scn1a(+/-) mice, we performed genome scans on reciprocal backcrosses. Quantitative trait locus mapping revealed modifier loci on mouse chromosomes 5, 7, 8 and 11. RNA-seq analysis of strain-dependent gene expression, regulation and coding sequence variation provided a list of potential functional candidate genes at each locus. Identification of modifier genes that influence survival in Scn1a(+/-) mice will improve our understanding of the pathophysiology of Dravet syndrome and may suggest novel therapeutic strategies for improved treatment of human patients.","author":[{"dropping-particle":"","family":"Miller","given":"A. R.","non-dropping-particle":"","parse-names":false,"suffix":""},{"dropping-particle":"","family":"Hawkins","given":"N. A.","non-dropping-particle":"","parse-names":false,"suffix":""},{"dropping-particle":"","family":"Mccollom","given":"C. E.","non-dropping-particle":"","parse-names":false,"suffix":""},{"dropping-particle":"","family":"Kearney","given":"J. A.","non-dropping-particle":"","parse-names":false,"suffix":""}],"container-title":"Genes, Brain and Behavior","id":"ITEM-1","issued":{"date-parts":[["2014"]]},"title":"Mapping genetic modifiers of survival in a mouse model of Dravet syndrome","type":"article-journal"},"uris":["http://www.mendeley.com/documents/?uuid=4354b36e-de7b-40be-a475-0742ae9868be"]}],"mendeley":{"formattedCitation":"&lt;sup&gt;1&lt;/sup&gt;","plainTextFormattedCitation":"1","previouslyFormattedCitation":"&lt;sup&gt;1&lt;/sup&gt;"},"properties":{"noteIndex":0},"schema":"https://github.com/citation-style-language/schema/raw/master/csl-citation.json"}</w:instrText>
      </w:r>
      <w:r w:rsidR="00866261" w:rsidRPr="009100C4">
        <w:rPr>
          <w:rFonts w:ascii="Arial" w:hAnsi="Arial" w:cs="Arial"/>
        </w:rPr>
        <w:fldChar w:fldCharType="separate"/>
      </w:r>
      <w:r w:rsidR="00866261" w:rsidRPr="009100C4">
        <w:rPr>
          <w:rFonts w:ascii="Arial" w:hAnsi="Arial" w:cs="Arial"/>
          <w:noProof/>
          <w:vertAlign w:val="superscript"/>
        </w:rPr>
        <w:t>1</w:t>
      </w:r>
      <w:r w:rsidR="00866261" w:rsidRPr="009100C4">
        <w:rPr>
          <w:rFonts w:ascii="Arial" w:hAnsi="Arial" w:cs="Arial"/>
        </w:rPr>
        <w:fldChar w:fldCharType="end"/>
      </w:r>
      <w:r w:rsidR="00866261" w:rsidRPr="009100C4">
        <w:rPr>
          <w:rFonts w:ascii="Arial" w:hAnsi="Arial" w:cs="Arial"/>
        </w:rPr>
        <w:t>.</w:t>
      </w:r>
      <w:r w:rsidR="003B4084" w:rsidRPr="009100C4">
        <w:rPr>
          <w:rFonts w:ascii="Arial" w:hAnsi="Arial" w:cs="Arial"/>
        </w:rPr>
        <w:t xml:space="preserve"> </w:t>
      </w:r>
      <w:r w:rsidR="00A81234" w:rsidRPr="009100C4">
        <w:rPr>
          <w:rFonts w:ascii="Arial" w:hAnsi="Arial" w:cs="Arial"/>
        </w:rPr>
        <w:t xml:space="preserve">Mice were group-housed under a 12 h light/12 h dark cycle with </w:t>
      </w:r>
      <w:r w:rsidR="00A81234" w:rsidRPr="009100C4">
        <w:rPr>
          <w:rFonts w:ascii="Arial" w:hAnsi="Arial" w:cs="Arial"/>
          <w:i/>
        </w:rPr>
        <w:t>ad libitum</w:t>
      </w:r>
      <w:r w:rsidR="00A81234" w:rsidRPr="009100C4">
        <w:rPr>
          <w:rFonts w:ascii="Arial" w:hAnsi="Arial" w:cs="Arial"/>
        </w:rPr>
        <w:t xml:space="preserve"> access to food and water. </w:t>
      </w:r>
    </w:p>
    <w:p w14:paraId="642EC98C" w14:textId="77777777" w:rsidR="003547A9" w:rsidRPr="009100C4" w:rsidRDefault="003547A9" w:rsidP="00513B43">
      <w:pPr>
        <w:spacing w:after="0" w:line="480" w:lineRule="auto"/>
        <w:contextualSpacing/>
        <w:jc w:val="both"/>
        <w:outlineLvl w:val="0"/>
        <w:rPr>
          <w:rFonts w:ascii="Arial" w:hAnsi="Arial" w:cs="Arial"/>
        </w:rPr>
      </w:pPr>
    </w:p>
    <w:p w14:paraId="71F6FD83" w14:textId="3BA8C983" w:rsidR="003547A9" w:rsidRPr="009100C4" w:rsidRDefault="003547A9" w:rsidP="00513B43">
      <w:pPr>
        <w:spacing w:after="0" w:line="480" w:lineRule="auto"/>
        <w:contextualSpacing/>
        <w:jc w:val="both"/>
        <w:outlineLvl w:val="0"/>
        <w:rPr>
          <w:rFonts w:ascii="Arial" w:hAnsi="Arial" w:cs="Arial"/>
        </w:rPr>
      </w:pPr>
      <w:r w:rsidRPr="009100C4">
        <w:rPr>
          <w:rFonts w:ascii="Arial" w:hAnsi="Arial" w:cs="Arial"/>
          <w:b/>
        </w:rPr>
        <w:t>Drugs.</w:t>
      </w:r>
      <w:r w:rsidRPr="009100C4">
        <w:rPr>
          <w:rFonts w:ascii="Arial" w:hAnsi="Arial" w:cs="Arial"/>
        </w:rPr>
        <w:t xml:space="preserve"> Clobazam (Sigma-Aldrich Co.; St. Louis, MO, USA), </w:t>
      </w:r>
      <w:r w:rsidRPr="009100C4">
        <w:rPr>
          <w:rFonts w:ascii="Arial" w:hAnsi="Arial" w:cs="Arial"/>
          <w:i/>
        </w:rPr>
        <w:t>N</w:t>
      </w:r>
      <w:r w:rsidRPr="009100C4">
        <w:rPr>
          <w:rFonts w:ascii="Arial" w:hAnsi="Arial" w:cs="Arial"/>
        </w:rPr>
        <w:t>-desmethylclobazam (</w:t>
      </w:r>
      <w:proofErr w:type="spellStart"/>
      <w:r w:rsidRPr="009100C4">
        <w:rPr>
          <w:rFonts w:ascii="Arial" w:hAnsi="Arial" w:cs="Arial"/>
        </w:rPr>
        <w:t>Novachem</w:t>
      </w:r>
      <w:proofErr w:type="spellEnd"/>
      <w:r w:rsidRPr="009100C4">
        <w:rPr>
          <w:rFonts w:ascii="Arial" w:hAnsi="Arial" w:cs="Arial"/>
        </w:rPr>
        <w:t>; Heidelberg West, Australia) and cannabidiol (THC Pharm; Frankfurt, Germany) were used. For acute administration, drugs were prepared fresh on the day of the experiment. Clobazam was prepared as a solution in vegetable oil (0.1 – 10 mg/kg). CBD was prepared in ethanol</w:t>
      </w:r>
      <w:proofErr w:type="gramStart"/>
      <w:r w:rsidRPr="009100C4">
        <w:rPr>
          <w:rFonts w:ascii="Arial" w:hAnsi="Arial" w:cs="Arial"/>
        </w:rPr>
        <w:t>:Tween</w:t>
      </w:r>
      <w:proofErr w:type="gramEnd"/>
      <w:r w:rsidRPr="009100C4">
        <w:rPr>
          <w:rFonts w:ascii="Arial" w:hAnsi="Arial" w:cs="Arial"/>
        </w:rPr>
        <w:t xml:space="preserve">-80:saline (1:1:18). CBD was a solution at the 12 mg/kg dose and a suspension for the 100 mg/kg dose. Drugs were administered as an </w:t>
      </w:r>
      <w:proofErr w:type="spellStart"/>
      <w:r w:rsidRPr="009100C4">
        <w:rPr>
          <w:rFonts w:ascii="Arial" w:hAnsi="Arial" w:cs="Arial"/>
        </w:rPr>
        <w:t>ip</w:t>
      </w:r>
      <w:proofErr w:type="spellEnd"/>
      <w:r w:rsidRPr="009100C4">
        <w:rPr>
          <w:rFonts w:ascii="Arial" w:hAnsi="Arial" w:cs="Arial"/>
        </w:rPr>
        <w:t xml:space="preserve"> injection in a volume of 10 mL/kg.</w:t>
      </w:r>
    </w:p>
    <w:p w14:paraId="0C232756" w14:textId="77777777" w:rsidR="003547A9" w:rsidRPr="009100C4" w:rsidRDefault="003547A9" w:rsidP="00513B43">
      <w:pPr>
        <w:spacing w:after="0" w:line="480" w:lineRule="auto"/>
        <w:contextualSpacing/>
        <w:jc w:val="both"/>
        <w:outlineLvl w:val="0"/>
        <w:rPr>
          <w:rFonts w:ascii="Arial" w:hAnsi="Arial" w:cs="Arial"/>
        </w:rPr>
      </w:pPr>
    </w:p>
    <w:p w14:paraId="55477411" w14:textId="4AE761B3" w:rsidR="003547A9" w:rsidRPr="009100C4" w:rsidRDefault="003547A9" w:rsidP="00513B43">
      <w:pPr>
        <w:spacing w:after="0" w:line="480" w:lineRule="auto"/>
        <w:contextualSpacing/>
        <w:jc w:val="both"/>
        <w:outlineLvl w:val="0"/>
        <w:rPr>
          <w:rFonts w:ascii="Arial" w:hAnsi="Arial" w:cs="Arial"/>
        </w:rPr>
      </w:pPr>
      <w:r w:rsidRPr="009100C4">
        <w:rPr>
          <w:rFonts w:ascii="Arial" w:hAnsi="Arial" w:cs="Arial"/>
          <w:b/>
        </w:rPr>
        <w:t xml:space="preserve">CYP450 reactions. </w:t>
      </w:r>
      <w:r w:rsidRPr="009100C4">
        <w:rPr>
          <w:rFonts w:ascii="Arial" w:hAnsi="Arial" w:cs="Arial"/>
        </w:rPr>
        <w:t xml:space="preserve">CYP3A4 metabolism of clobazam was performed in 40 µL reaction mixtures consisting of clobazam (0.5 – 100 µM), 100 mM </w:t>
      </w:r>
      <w:proofErr w:type="spellStart"/>
      <w:r w:rsidRPr="009100C4">
        <w:rPr>
          <w:rFonts w:ascii="Arial" w:hAnsi="Arial" w:cs="Arial"/>
        </w:rPr>
        <w:t>Tris</w:t>
      </w:r>
      <w:proofErr w:type="spellEnd"/>
      <w:r w:rsidRPr="009100C4">
        <w:rPr>
          <w:rFonts w:ascii="Arial" w:hAnsi="Arial" w:cs="Arial"/>
        </w:rPr>
        <w:t xml:space="preserve"> buffer, pH 7.4, CBD (0 – 3 µM) and 50 </w:t>
      </w:r>
      <w:proofErr w:type="spellStart"/>
      <w:r w:rsidRPr="009100C4">
        <w:rPr>
          <w:rFonts w:ascii="Arial" w:hAnsi="Arial" w:cs="Arial"/>
        </w:rPr>
        <w:t>nM</w:t>
      </w:r>
      <w:proofErr w:type="spellEnd"/>
      <w:r w:rsidRPr="009100C4">
        <w:rPr>
          <w:rFonts w:ascii="Arial" w:hAnsi="Arial" w:cs="Arial"/>
        </w:rPr>
        <w:t xml:space="preserve"> </w:t>
      </w:r>
      <w:proofErr w:type="spellStart"/>
      <w:r w:rsidRPr="009100C4">
        <w:rPr>
          <w:rFonts w:ascii="Arial" w:hAnsi="Arial" w:cs="Arial"/>
        </w:rPr>
        <w:t>Supersomes</w:t>
      </w:r>
      <w:proofErr w:type="spellEnd"/>
      <w:r w:rsidRPr="009100C4">
        <w:rPr>
          <w:rFonts w:ascii="Arial" w:hAnsi="Arial" w:cs="Arial"/>
        </w:rPr>
        <w:t xml:space="preserve">™ containing CYP3A4 and NADPH-P450 reductase (Corning Incorporated, Corning, NY, USA). Mixtures were </w:t>
      </w:r>
      <w:proofErr w:type="spellStart"/>
      <w:r w:rsidRPr="009100C4">
        <w:rPr>
          <w:rFonts w:ascii="Arial" w:hAnsi="Arial" w:cs="Arial"/>
        </w:rPr>
        <w:t>preincubated</w:t>
      </w:r>
      <w:proofErr w:type="spellEnd"/>
      <w:r w:rsidRPr="009100C4">
        <w:rPr>
          <w:rFonts w:ascii="Arial" w:hAnsi="Arial" w:cs="Arial"/>
        </w:rPr>
        <w:t xml:space="preserve"> at 37 °C for 5 min and the reaction was initiated by the addition of 4 mM NADPH. Reactions </w:t>
      </w:r>
      <w:r w:rsidR="000333E0" w:rsidRPr="009100C4">
        <w:rPr>
          <w:rFonts w:ascii="Arial" w:hAnsi="Arial" w:cs="Arial"/>
        </w:rPr>
        <w:t xml:space="preserve">were then incubated at 37 </w:t>
      </w:r>
      <w:r w:rsidRPr="009100C4">
        <w:rPr>
          <w:rFonts w:ascii="Arial" w:hAnsi="Arial" w:cs="Arial"/>
        </w:rPr>
        <w:t xml:space="preserve">°C for 10 minutes, terminated by the addition of ice-cold acetonitrile (40 µL) and spiked with internal standard (2 µg/mL diazepam, 5 µL). Proteins were removed by centrifugation (14,000 g for 30 min) and supernatants were analyzed by LC-MS/MS as described below. CYP2C19 </w:t>
      </w:r>
      <w:r w:rsidR="00FB7C6F" w:rsidRPr="009100C4">
        <w:rPr>
          <w:rFonts w:ascii="Arial" w:hAnsi="Arial" w:cs="Arial"/>
        </w:rPr>
        <w:t xml:space="preserve">metabolism was </w:t>
      </w:r>
      <w:r w:rsidR="00FB7C6F" w:rsidRPr="009100C4">
        <w:rPr>
          <w:rFonts w:ascii="Arial" w:hAnsi="Arial" w:cs="Arial"/>
        </w:rPr>
        <w:lastRenderedPageBreak/>
        <w:t xml:space="preserve">performed as above except with </w:t>
      </w:r>
      <w:r w:rsidR="00FB7C6F" w:rsidRPr="009100C4">
        <w:rPr>
          <w:rFonts w:ascii="Arial" w:hAnsi="Arial" w:cs="Arial"/>
          <w:i/>
        </w:rPr>
        <w:t>N</w:t>
      </w:r>
      <w:r w:rsidR="00866261" w:rsidRPr="009100C4">
        <w:rPr>
          <w:rFonts w:ascii="Arial" w:hAnsi="Arial" w:cs="Arial"/>
          <w:i/>
        </w:rPr>
        <w:t>-</w:t>
      </w:r>
      <w:r w:rsidR="00FB7C6F" w:rsidRPr="009100C4">
        <w:rPr>
          <w:rFonts w:ascii="Arial" w:hAnsi="Arial" w:cs="Arial"/>
        </w:rPr>
        <w:t xml:space="preserve">CLB </w:t>
      </w:r>
      <w:r w:rsidR="00866261" w:rsidRPr="009100C4">
        <w:rPr>
          <w:rFonts w:ascii="Arial" w:hAnsi="Arial" w:cs="Arial"/>
        </w:rPr>
        <w:t>(0.5 – 100 µM)</w:t>
      </w:r>
      <w:r w:rsidR="00FB7C6F" w:rsidRPr="009100C4">
        <w:rPr>
          <w:rFonts w:ascii="Arial" w:hAnsi="Arial" w:cs="Arial"/>
        </w:rPr>
        <w:t xml:space="preserve"> and CYP2C19 instead of clobazam and CYP3A4, respectively</w:t>
      </w:r>
      <w:r w:rsidR="0080377C">
        <w:rPr>
          <w:rFonts w:ascii="Arial" w:hAnsi="Arial" w:cs="Arial"/>
        </w:rPr>
        <w:t>, with an incubation time of</w:t>
      </w:r>
      <w:r w:rsidR="00FB7C6F" w:rsidRPr="009100C4">
        <w:rPr>
          <w:rFonts w:ascii="Arial" w:hAnsi="Arial" w:cs="Arial"/>
        </w:rPr>
        <w:t xml:space="preserve"> 30 min. Clobazam and </w:t>
      </w:r>
      <w:r w:rsidR="00FB7C6F" w:rsidRPr="009100C4">
        <w:rPr>
          <w:rFonts w:ascii="Arial" w:hAnsi="Arial" w:cs="Arial"/>
          <w:i/>
        </w:rPr>
        <w:t>N</w:t>
      </w:r>
      <w:r w:rsidR="00866261" w:rsidRPr="009100C4">
        <w:rPr>
          <w:rFonts w:ascii="Arial" w:hAnsi="Arial" w:cs="Arial"/>
          <w:i/>
        </w:rPr>
        <w:t>-</w:t>
      </w:r>
      <w:r w:rsidR="00FB7C6F" w:rsidRPr="009100C4">
        <w:rPr>
          <w:rFonts w:ascii="Arial" w:hAnsi="Arial" w:cs="Arial"/>
        </w:rPr>
        <w:t>CLB stocks were made in DMSO and CBD stocks in methanol. Final concentr</w:t>
      </w:r>
      <w:r w:rsidR="003A00B2" w:rsidRPr="009100C4">
        <w:rPr>
          <w:rFonts w:ascii="Arial" w:hAnsi="Arial" w:cs="Arial"/>
        </w:rPr>
        <w:t xml:space="preserve">ation of solvents was less than 0.1% </w:t>
      </w:r>
      <w:r w:rsidR="00FB7C6F" w:rsidRPr="009100C4">
        <w:rPr>
          <w:rFonts w:ascii="Arial" w:hAnsi="Arial" w:cs="Arial"/>
        </w:rPr>
        <w:t>(v/v). Kinetic parameters, K</w:t>
      </w:r>
      <w:r w:rsidR="00FB7C6F" w:rsidRPr="009100C4">
        <w:rPr>
          <w:rFonts w:ascii="Arial" w:hAnsi="Arial" w:cs="Arial"/>
          <w:vertAlign w:val="subscript"/>
        </w:rPr>
        <w:t>M</w:t>
      </w:r>
      <w:r w:rsidR="00FB7C6F" w:rsidRPr="009100C4">
        <w:rPr>
          <w:rFonts w:ascii="Arial" w:hAnsi="Arial" w:cs="Arial"/>
        </w:rPr>
        <w:t xml:space="preserve"> and </w:t>
      </w:r>
      <w:proofErr w:type="spellStart"/>
      <w:r w:rsidR="00FB7C6F" w:rsidRPr="009100C4">
        <w:rPr>
          <w:rFonts w:ascii="Arial" w:hAnsi="Arial" w:cs="Arial"/>
        </w:rPr>
        <w:t>k</w:t>
      </w:r>
      <w:r w:rsidR="00FB7C6F" w:rsidRPr="009100C4">
        <w:rPr>
          <w:rFonts w:ascii="Arial" w:hAnsi="Arial" w:cs="Arial"/>
          <w:vertAlign w:val="subscript"/>
        </w:rPr>
        <w:t>cat</w:t>
      </w:r>
      <w:proofErr w:type="spellEnd"/>
      <w:r w:rsidR="00FB7C6F" w:rsidRPr="009100C4">
        <w:rPr>
          <w:rFonts w:ascii="Arial" w:hAnsi="Arial" w:cs="Arial"/>
        </w:rPr>
        <w:t xml:space="preserve">, were calculated using nonlinear regression of the </w:t>
      </w:r>
      <w:proofErr w:type="spellStart"/>
      <w:r w:rsidR="00FB7C6F" w:rsidRPr="009100C4">
        <w:rPr>
          <w:rFonts w:ascii="Arial" w:hAnsi="Arial" w:cs="Arial"/>
        </w:rPr>
        <w:t>Michaelis-Menten</w:t>
      </w:r>
      <w:proofErr w:type="spellEnd"/>
      <w:r w:rsidR="00FB7C6F" w:rsidRPr="009100C4">
        <w:rPr>
          <w:rFonts w:ascii="Arial" w:hAnsi="Arial" w:cs="Arial"/>
        </w:rPr>
        <w:t xml:space="preserve"> equation in </w:t>
      </w:r>
      <w:proofErr w:type="spellStart"/>
      <w:r w:rsidR="00FB7C6F" w:rsidRPr="009100C4">
        <w:rPr>
          <w:rFonts w:ascii="Arial" w:hAnsi="Arial" w:cs="Arial"/>
        </w:rPr>
        <w:t>GraphPad</w:t>
      </w:r>
      <w:proofErr w:type="spellEnd"/>
      <w:r w:rsidR="00FB7C6F" w:rsidRPr="009100C4">
        <w:rPr>
          <w:rFonts w:ascii="Arial" w:hAnsi="Arial" w:cs="Arial"/>
        </w:rPr>
        <w:t xml:space="preserve"> Prism 7.0 (La Jolla, CA, USA) to a plot of substrate concentration against velocity. K</w:t>
      </w:r>
      <w:r w:rsidR="00FB7C6F" w:rsidRPr="009100C4">
        <w:rPr>
          <w:rFonts w:ascii="Arial" w:hAnsi="Arial" w:cs="Arial"/>
          <w:vertAlign w:val="subscript"/>
        </w:rPr>
        <w:t>i</w:t>
      </w:r>
      <w:r w:rsidR="00FB7C6F" w:rsidRPr="009100C4">
        <w:rPr>
          <w:rFonts w:ascii="Arial" w:hAnsi="Arial" w:cs="Arial"/>
        </w:rPr>
        <w:t xml:space="preserve"> values were calculated from substrate-velocity curves in the presence of several concentrations of CBD using </w:t>
      </w:r>
      <w:proofErr w:type="spellStart"/>
      <w:r w:rsidR="00FB7C6F" w:rsidRPr="009100C4">
        <w:rPr>
          <w:rFonts w:ascii="Arial" w:hAnsi="Arial" w:cs="Arial"/>
        </w:rPr>
        <w:t>GraphPad</w:t>
      </w:r>
      <w:proofErr w:type="spellEnd"/>
      <w:r w:rsidR="00FB7C6F" w:rsidRPr="009100C4">
        <w:rPr>
          <w:rFonts w:ascii="Arial" w:hAnsi="Arial" w:cs="Arial"/>
        </w:rPr>
        <w:t xml:space="preserve"> Prism.</w:t>
      </w:r>
    </w:p>
    <w:p w14:paraId="6775B6C1" w14:textId="77777777" w:rsidR="000333E0" w:rsidRPr="009100C4" w:rsidRDefault="000333E0" w:rsidP="00513B43">
      <w:pPr>
        <w:spacing w:after="0" w:line="480" w:lineRule="auto"/>
        <w:contextualSpacing/>
        <w:jc w:val="both"/>
        <w:outlineLvl w:val="0"/>
        <w:rPr>
          <w:rFonts w:ascii="Arial" w:hAnsi="Arial" w:cs="Arial"/>
        </w:rPr>
      </w:pPr>
    </w:p>
    <w:p w14:paraId="29F0FF87" w14:textId="369D0429" w:rsidR="000333E0" w:rsidRPr="009100C4" w:rsidRDefault="000333E0" w:rsidP="00513B43">
      <w:pPr>
        <w:spacing w:after="0" w:line="480" w:lineRule="auto"/>
        <w:contextualSpacing/>
        <w:jc w:val="both"/>
        <w:outlineLvl w:val="0"/>
        <w:rPr>
          <w:rFonts w:ascii="Arial" w:hAnsi="Arial" w:cs="Arial"/>
        </w:rPr>
      </w:pPr>
      <w:r w:rsidRPr="009100C4">
        <w:rPr>
          <w:rFonts w:ascii="Arial" w:hAnsi="Arial" w:cs="Arial"/>
          <w:b/>
        </w:rPr>
        <w:t xml:space="preserve">Pharmacokinetic analysis. </w:t>
      </w:r>
      <w:r w:rsidRPr="009100C4">
        <w:rPr>
          <w:rFonts w:ascii="Arial" w:hAnsi="Arial" w:cs="Arial"/>
        </w:rPr>
        <w:t xml:space="preserve">Wildtype mice (postnatal day 21-28, P21-28) received an </w:t>
      </w:r>
      <w:proofErr w:type="spellStart"/>
      <w:r w:rsidRPr="009100C4">
        <w:rPr>
          <w:rFonts w:ascii="Arial" w:hAnsi="Arial" w:cs="Arial"/>
        </w:rPr>
        <w:t>ip</w:t>
      </w:r>
      <w:proofErr w:type="spellEnd"/>
      <w:r w:rsidRPr="009100C4">
        <w:rPr>
          <w:rFonts w:ascii="Arial" w:hAnsi="Arial" w:cs="Arial"/>
        </w:rPr>
        <w:t xml:space="preserve"> injection of 12 mg/kg CBD and were returned to home cage for 45 minutes. Mice then received an </w:t>
      </w:r>
      <w:proofErr w:type="spellStart"/>
      <w:r w:rsidRPr="009100C4">
        <w:rPr>
          <w:rFonts w:ascii="Arial" w:hAnsi="Arial" w:cs="Arial"/>
        </w:rPr>
        <w:t>ip</w:t>
      </w:r>
      <w:proofErr w:type="spellEnd"/>
      <w:r w:rsidRPr="009100C4">
        <w:rPr>
          <w:rFonts w:ascii="Arial" w:hAnsi="Arial" w:cs="Arial"/>
        </w:rPr>
        <w:t xml:space="preserve"> injection of 5 mg/kg clobazam. At selected time points following the clobazam injection (5 min – 24 h), mice were anesthetized with isoflurane, whole blood was collected by cardiac puncture and brains were harvested. Plasma was isolated by centrifugation (9000 g for 10 min, 4 °C) and stored at -80 °C until assayed by LC-MS/MS described below. Clobazam and </w:t>
      </w:r>
      <w:r w:rsidRPr="009100C4">
        <w:rPr>
          <w:rFonts w:ascii="Arial" w:hAnsi="Arial" w:cs="Arial"/>
          <w:i/>
        </w:rPr>
        <w:t>N</w:t>
      </w:r>
      <w:r w:rsidR="00866261" w:rsidRPr="009100C4">
        <w:rPr>
          <w:rFonts w:ascii="Arial" w:hAnsi="Arial" w:cs="Arial"/>
          <w:i/>
        </w:rPr>
        <w:t>-</w:t>
      </w:r>
      <w:r w:rsidRPr="009100C4">
        <w:rPr>
          <w:rFonts w:ascii="Arial" w:hAnsi="Arial" w:cs="Arial"/>
        </w:rPr>
        <w:t xml:space="preserve">CLB concentrations at each time point were averaged and pharmacokinetic parameters were calculated in plasma and brain by a two-compartment model (peritoneum and blood). Two exponential decay functions, each with a separate time constant, were used to model diffusion from peritoneum into blood and diffusion from blood. </w:t>
      </w:r>
      <w:r w:rsidR="00140D54" w:rsidRPr="009100C4">
        <w:rPr>
          <w:rFonts w:ascii="Arial" w:hAnsi="Arial" w:cs="Arial"/>
        </w:rPr>
        <w:t>The pharmacokinetic measurements were fit to:</w:t>
      </w:r>
    </w:p>
    <w:p w14:paraId="783799D5" w14:textId="541C721D" w:rsidR="00140D54" w:rsidRPr="009100C4" w:rsidRDefault="00140D54" w:rsidP="0060470C">
      <w:pPr>
        <w:spacing w:after="0" w:line="480" w:lineRule="auto"/>
        <w:contextualSpacing/>
        <w:jc w:val="center"/>
        <w:outlineLvl w:val="0"/>
        <w:rPr>
          <w:rFonts w:ascii="Arial" w:hAnsi="Arial" w:cs="Arial"/>
        </w:rPr>
      </w:pPr>
      <w:r w:rsidRPr="009100C4">
        <w:rPr>
          <w:rFonts w:ascii="Arial" w:hAnsi="Arial" w:cs="Arial"/>
        </w:rPr>
        <w:t xml:space="preserve">Concentration = </w:t>
      </w:r>
      <w:proofErr w:type="spellStart"/>
      <w:r w:rsidRPr="009100C4">
        <w:rPr>
          <w:rFonts w:ascii="Arial" w:hAnsi="Arial" w:cs="Arial"/>
        </w:rPr>
        <w:t>C</w:t>
      </w:r>
      <w:r w:rsidRPr="009100C4">
        <w:rPr>
          <w:rFonts w:ascii="Arial" w:hAnsi="Arial" w:cs="Arial"/>
          <w:vertAlign w:val="subscript"/>
        </w:rPr>
        <w:t>max</w:t>
      </w:r>
      <w:proofErr w:type="spellEnd"/>
      <w:r w:rsidRPr="009100C4">
        <w:rPr>
          <w:rFonts w:ascii="Arial" w:hAnsi="Arial" w:cs="Arial"/>
          <w:vertAlign w:val="subscript"/>
        </w:rPr>
        <w:t xml:space="preserve"> </w:t>
      </w:r>
      <w:r w:rsidRPr="009100C4">
        <w:rPr>
          <w:rFonts w:ascii="Arial" w:hAnsi="Arial" w:cs="Arial"/>
        </w:rPr>
        <w:t>(1-e</w:t>
      </w:r>
      <w:r w:rsidRPr="009100C4">
        <w:rPr>
          <w:rFonts w:ascii="Arial" w:hAnsi="Arial" w:cs="Arial"/>
          <w:vertAlign w:val="superscript"/>
        </w:rPr>
        <w:t>-λ</w:t>
      </w:r>
      <w:r w:rsidR="009C05BA" w:rsidRPr="009100C4">
        <w:rPr>
          <w:rFonts w:ascii="Arial" w:hAnsi="Arial" w:cs="Arial"/>
          <w:vertAlign w:val="superscript"/>
        </w:rPr>
        <w:t>o</w:t>
      </w:r>
      <w:r w:rsidRPr="009100C4">
        <w:rPr>
          <w:rFonts w:ascii="Arial" w:hAnsi="Arial" w:cs="Arial"/>
          <w:vertAlign w:val="superscript"/>
        </w:rPr>
        <w:t>t</w:t>
      </w:r>
      <w:r w:rsidRPr="009100C4">
        <w:rPr>
          <w:rFonts w:ascii="Arial" w:hAnsi="Arial" w:cs="Arial"/>
        </w:rPr>
        <w:t>)</w:t>
      </w:r>
      <w:r w:rsidR="009C05BA" w:rsidRPr="009100C4">
        <w:rPr>
          <w:rFonts w:ascii="Arial" w:hAnsi="Arial" w:cs="Arial"/>
        </w:rPr>
        <w:t>(</w:t>
      </w:r>
      <w:r w:rsidR="0060470C" w:rsidRPr="009100C4">
        <w:rPr>
          <w:rFonts w:ascii="Arial" w:hAnsi="Arial" w:cs="Arial"/>
        </w:rPr>
        <w:t>e</w:t>
      </w:r>
      <w:r w:rsidR="0060470C" w:rsidRPr="009100C4">
        <w:rPr>
          <w:rFonts w:ascii="Arial" w:hAnsi="Arial" w:cs="Arial"/>
          <w:vertAlign w:val="superscript"/>
        </w:rPr>
        <w:t>-λ1t</w:t>
      </w:r>
      <w:r w:rsidR="0060470C" w:rsidRPr="009100C4">
        <w:rPr>
          <w:rFonts w:ascii="Arial" w:hAnsi="Arial" w:cs="Arial"/>
        </w:rPr>
        <w:t>)</w:t>
      </w:r>
    </w:p>
    <w:p w14:paraId="6252B0C1" w14:textId="752702FF" w:rsidR="0060470C" w:rsidRPr="009100C4" w:rsidRDefault="0060470C" w:rsidP="00513B43">
      <w:pPr>
        <w:spacing w:after="0" w:line="480" w:lineRule="auto"/>
        <w:contextualSpacing/>
        <w:jc w:val="both"/>
        <w:outlineLvl w:val="0"/>
        <w:rPr>
          <w:rFonts w:ascii="Arial" w:hAnsi="Arial" w:cs="Arial"/>
        </w:rPr>
      </w:pPr>
      <w:r w:rsidRPr="009100C4">
        <w:rPr>
          <w:rFonts w:ascii="Arial" w:hAnsi="Arial" w:cs="Arial"/>
        </w:rPr>
        <w:t xml:space="preserve">Where </w:t>
      </w:r>
      <w:proofErr w:type="spellStart"/>
      <w:r w:rsidRPr="009100C4">
        <w:rPr>
          <w:rFonts w:ascii="Arial" w:hAnsi="Arial" w:cs="Arial"/>
        </w:rPr>
        <w:t>C</w:t>
      </w:r>
      <w:r w:rsidRPr="009100C4">
        <w:rPr>
          <w:rFonts w:ascii="Arial" w:hAnsi="Arial" w:cs="Arial"/>
          <w:vertAlign w:val="subscript"/>
        </w:rPr>
        <w:t>max</w:t>
      </w:r>
      <w:proofErr w:type="spellEnd"/>
      <w:r w:rsidRPr="009100C4">
        <w:rPr>
          <w:rFonts w:ascii="Arial" w:hAnsi="Arial" w:cs="Arial"/>
        </w:rPr>
        <w:t xml:space="preserve"> is the maximum concentration, t is time from injection, and λ</w:t>
      </w:r>
      <w:r w:rsidRPr="009100C4">
        <w:rPr>
          <w:rFonts w:ascii="Arial" w:hAnsi="Arial" w:cs="Arial"/>
          <w:vertAlign w:val="subscript"/>
        </w:rPr>
        <w:t>0</w:t>
      </w:r>
      <w:r w:rsidRPr="009100C4">
        <w:rPr>
          <w:rFonts w:ascii="Arial" w:hAnsi="Arial" w:cs="Arial"/>
        </w:rPr>
        <w:t xml:space="preserve"> and λ</w:t>
      </w:r>
      <w:r w:rsidRPr="009100C4">
        <w:rPr>
          <w:rFonts w:ascii="Arial" w:hAnsi="Arial" w:cs="Arial"/>
          <w:vertAlign w:val="subscript"/>
        </w:rPr>
        <w:t xml:space="preserve">1 </w:t>
      </w:r>
      <w:r w:rsidRPr="009100C4">
        <w:rPr>
          <w:rFonts w:ascii="Arial" w:hAnsi="Arial" w:cs="Arial"/>
        </w:rPr>
        <w:t>are decay constants for diffusion from the peritoneum and blood, respectively. The curve was fit using the Pyt</w:t>
      </w:r>
      <w:r w:rsidR="00626498">
        <w:rPr>
          <w:rFonts w:ascii="Arial" w:hAnsi="Arial" w:cs="Arial"/>
        </w:rPr>
        <w:t>h</w:t>
      </w:r>
      <w:r w:rsidRPr="009100C4">
        <w:rPr>
          <w:rFonts w:ascii="Arial" w:hAnsi="Arial" w:cs="Arial"/>
        </w:rPr>
        <w:t>on Scipy</w:t>
      </w:r>
      <w:r w:rsidR="00C00BB4">
        <w:rPr>
          <w:rFonts w:ascii="Arial" w:hAnsi="Arial" w:cs="Arial"/>
        </w:rPr>
        <w:fldChar w:fldCharType="begin" w:fldLock="1"/>
      </w:r>
      <w:r w:rsidR="00C00BB4">
        <w:rPr>
          <w:rFonts w:ascii="Arial" w:hAnsi="Arial" w:cs="Arial"/>
        </w:rPr>
        <w:instrText>ADDIN CSL_CITATION {"citationItems":[{"id":"ITEM-1","itemData":{"abstract":"SciPy (pronounced “Sigh Pie”) is a Python-based ecosystem of open-source software for mathematics, science, and engineering. In particular, these are some of the core packages:","author":[{"dropping-particle":"","family":"Jones","given":"Eric","non-dropping-particle":"","parse-names":false,"suffix":""},{"dropping-particle":"","family":"Oliphant","given":"Travis","non-dropping-particle":"","parse-names":false,"suffix":""},{"dropping-particle":"","family":"Peterson","given":"Pearu","non-dropping-particle":"","parse-names":false,"suffix":""},{"dropping-particle":"","family":"Others","given":"","non-dropping-particle":"","parse-names":false,"suffix":""}],"container-title":"SciPy: Open source scientific tools for Python2","id":"ITEM-1","issued":{"date-parts":[["2001"]]},"title":"SciPy.org","type":"webpage"},"uris":["http://www.mendeley.com/documents/?uuid=eef80a01-5472-4176-90e4-70092f338a26"]}],"mendeley":{"formattedCitation":"&lt;sup&gt;2&lt;/sup&gt;","plainTextFormattedCitation":"2"},"properties":{"noteIndex":0},"schema":"https://github.com/citation-style-language/schema/raw/master/csl-citation.json"}</w:instrText>
      </w:r>
      <w:r w:rsidR="00C00BB4">
        <w:rPr>
          <w:rFonts w:ascii="Arial" w:hAnsi="Arial" w:cs="Arial"/>
        </w:rPr>
        <w:fldChar w:fldCharType="separate"/>
      </w:r>
      <w:r w:rsidR="00C00BB4" w:rsidRPr="00C00BB4">
        <w:rPr>
          <w:rFonts w:ascii="Arial" w:hAnsi="Arial" w:cs="Arial"/>
          <w:noProof/>
          <w:vertAlign w:val="superscript"/>
        </w:rPr>
        <w:t>2</w:t>
      </w:r>
      <w:r w:rsidR="00C00BB4">
        <w:rPr>
          <w:rFonts w:ascii="Arial" w:hAnsi="Arial" w:cs="Arial"/>
        </w:rPr>
        <w:fldChar w:fldCharType="end"/>
      </w:r>
      <w:r w:rsidRPr="009100C4">
        <w:rPr>
          <w:rFonts w:ascii="Arial" w:hAnsi="Arial" w:cs="Arial"/>
        </w:rPr>
        <w:t xml:space="preserve"> library ‘</w:t>
      </w:r>
      <w:proofErr w:type="spellStart"/>
      <w:r w:rsidRPr="009100C4">
        <w:rPr>
          <w:rFonts w:ascii="Arial" w:hAnsi="Arial" w:cs="Arial"/>
        </w:rPr>
        <w:t>curve_fit</w:t>
      </w:r>
      <w:proofErr w:type="spellEnd"/>
      <w:r w:rsidRPr="009100C4">
        <w:rPr>
          <w:rFonts w:ascii="Arial" w:hAnsi="Arial" w:cs="Arial"/>
        </w:rPr>
        <w:t xml:space="preserve">’ function, with maximum iterations limited to 2000, initial guesses for </w:t>
      </w:r>
      <w:proofErr w:type="spellStart"/>
      <w:r w:rsidRPr="009100C4">
        <w:rPr>
          <w:rFonts w:ascii="Arial" w:hAnsi="Arial" w:cs="Arial"/>
        </w:rPr>
        <w:t>C</w:t>
      </w:r>
      <w:r w:rsidRPr="009100C4">
        <w:rPr>
          <w:rFonts w:ascii="Arial" w:hAnsi="Arial" w:cs="Arial"/>
          <w:vertAlign w:val="subscript"/>
        </w:rPr>
        <w:t>max</w:t>
      </w:r>
      <w:proofErr w:type="spellEnd"/>
      <w:r w:rsidRPr="009100C4">
        <w:rPr>
          <w:rFonts w:ascii="Arial" w:hAnsi="Arial" w:cs="Arial"/>
        </w:rPr>
        <w:t xml:space="preserve"> as the maximum measured concentration, λ</w:t>
      </w:r>
      <w:r w:rsidRPr="009100C4">
        <w:rPr>
          <w:rFonts w:ascii="Arial" w:hAnsi="Arial" w:cs="Arial"/>
          <w:vertAlign w:val="subscript"/>
        </w:rPr>
        <w:t>0</w:t>
      </w:r>
      <w:r w:rsidRPr="009100C4">
        <w:rPr>
          <w:rFonts w:ascii="Arial" w:hAnsi="Arial" w:cs="Arial"/>
        </w:rPr>
        <w:t xml:space="preserve"> = 0.002 and λ</w:t>
      </w:r>
      <w:r w:rsidRPr="009100C4">
        <w:rPr>
          <w:rFonts w:ascii="Arial" w:hAnsi="Arial" w:cs="Arial"/>
          <w:vertAlign w:val="subscript"/>
        </w:rPr>
        <w:t xml:space="preserve">1 = </w:t>
      </w:r>
      <w:r w:rsidRPr="009100C4">
        <w:rPr>
          <w:rFonts w:ascii="Arial" w:hAnsi="Arial" w:cs="Arial"/>
        </w:rPr>
        <w:t>0.01.</w:t>
      </w:r>
      <w:r w:rsidRPr="009100C4">
        <w:rPr>
          <w:rFonts w:ascii="Arial" w:hAnsi="Arial" w:cs="Arial"/>
          <w:vertAlign w:val="subscript"/>
        </w:rPr>
        <w:t xml:space="preserve"> </w:t>
      </w:r>
      <w:r w:rsidRPr="009100C4">
        <w:rPr>
          <w:rFonts w:ascii="Arial" w:hAnsi="Arial" w:cs="Arial"/>
        </w:rPr>
        <w:t>Total drug exposure (area under concentration-time curve, AUC) was calculated from the curve fit. Elimi</w:t>
      </w:r>
      <w:r w:rsidR="00305E5E">
        <w:rPr>
          <w:rFonts w:ascii="Arial" w:hAnsi="Arial" w:cs="Arial"/>
        </w:rPr>
        <w:t>n</w:t>
      </w:r>
      <w:r w:rsidRPr="009100C4">
        <w:rPr>
          <w:rFonts w:ascii="Arial" w:hAnsi="Arial" w:cs="Arial"/>
        </w:rPr>
        <w:t xml:space="preserve">ation rate </w:t>
      </w:r>
      <w:r w:rsidRPr="009100C4">
        <w:rPr>
          <w:rFonts w:ascii="Arial" w:hAnsi="Arial" w:cs="Arial"/>
        </w:rPr>
        <w:lastRenderedPageBreak/>
        <w:t>constant (</w:t>
      </w:r>
      <w:proofErr w:type="spellStart"/>
      <w:r w:rsidRPr="009100C4">
        <w:rPr>
          <w:rFonts w:ascii="Arial" w:hAnsi="Arial" w:cs="Arial"/>
        </w:rPr>
        <w:t>k</w:t>
      </w:r>
      <w:r w:rsidRPr="009100C4">
        <w:rPr>
          <w:rFonts w:ascii="Arial" w:hAnsi="Arial" w:cs="Arial"/>
          <w:vertAlign w:val="subscript"/>
        </w:rPr>
        <w:t>e</w:t>
      </w:r>
      <w:proofErr w:type="spellEnd"/>
      <w:r w:rsidRPr="009100C4">
        <w:rPr>
          <w:rFonts w:ascii="Arial" w:hAnsi="Arial" w:cs="Arial"/>
        </w:rPr>
        <w:t>) used to calculate t</w:t>
      </w:r>
      <w:r w:rsidRPr="009100C4">
        <w:rPr>
          <w:rFonts w:ascii="Arial" w:hAnsi="Arial" w:cs="Arial"/>
          <w:vertAlign w:val="subscript"/>
        </w:rPr>
        <w:t xml:space="preserve">1/2 </w:t>
      </w:r>
      <w:r w:rsidRPr="009100C4">
        <w:rPr>
          <w:rFonts w:ascii="Arial" w:hAnsi="Arial" w:cs="Arial"/>
        </w:rPr>
        <w:t xml:space="preserve">was determined by linear regression of the terminal component of the concentration-time curve using </w:t>
      </w:r>
      <w:proofErr w:type="spellStart"/>
      <w:r w:rsidRPr="009100C4">
        <w:rPr>
          <w:rFonts w:ascii="Arial" w:hAnsi="Arial" w:cs="Arial"/>
        </w:rPr>
        <w:t>GraphPad</w:t>
      </w:r>
      <w:proofErr w:type="spellEnd"/>
      <w:r w:rsidRPr="009100C4">
        <w:rPr>
          <w:rFonts w:ascii="Arial" w:hAnsi="Arial" w:cs="Arial"/>
        </w:rPr>
        <w:t xml:space="preserve"> Prism. </w:t>
      </w:r>
    </w:p>
    <w:p w14:paraId="7E6D02BA" w14:textId="77777777" w:rsidR="00826E3E" w:rsidRPr="009100C4" w:rsidRDefault="00826E3E" w:rsidP="00513B43">
      <w:pPr>
        <w:spacing w:after="0" w:line="480" w:lineRule="auto"/>
        <w:contextualSpacing/>
        <w:jc w:val="both"/>
        <w:outlineLvl w:val="0"/>
        <w:rPr>
          <w:rFonts w:ascii="Arial" w:hAnsi="Arial" w:cs="Arial"/>
        </w:rPr>
      </w:pPr>
    </w:p>
    <w:p w14:paraId="370E83BF" w14:textId="2A2B6CEF" w:rsidR="00826E3E" w:rsidRPr="009100C4" w:rsidRDefault="00826E3E" w:rsidP="00513B43">
      <w:pPr>
        <w:spacing w:after="0" w:line="480" w:lineRule="auto"/>
        <w:contextualSpacing/>
        <w:jc w:val="both"/>
        <w:outlineLvl w:val="0"/>
        <w:rPr>
          <w:rFonts w:ascii="Arial" w:hAnsi="Arial" w:cs="Arial"/>
        </w:rPr>
      </w:pPr>
      <w:r w:rsidRPr="009100C4">
        <w:rPr>
          <w:rFonts w:ascii="Arial" w:hAnsi="Arial" w:cs="Arial"/>
          <w:b/>
        </w:rPr>
        <w:t xml:space="preserve">Hyperthermia-induced seizures. </w:t>
      </w:r>
      <w:r w:rsidRPr="009100C4">
        <w:rPr>
          <w:rFonts w:ascii="Arial" w:hAnsi="Arial" w:cs="Arial"/>
        </w:rPr>
        <w:t xml:space="preserve"> Hyperthermia-induced seizure experiments were conducted on male and female </w:t>
      </w:r>
      <w:r w:rsidRPr="009100C4">
        <w:rPr>
          <w:rFonts w:ascii="Arial" w:hAnsi="Arial" w:cs="Arial"/>
          <w:i/>
        </w:rPr>
        <w:t>Scn1a</w:t>
      </w:r>
      <w:r w:rsidRPr="009100C4">
        <w:rPr>
          <w:rFonts w:ascii="Arial" w:hAnsi="Arial" w:cs="Arial"/>
          <w:vertAlign w:val="superscript"/>
        </w:rPr>
        <w:t>+/-</w:t>
      </w:r>
      <w:r w:rsidRPr="009100C4">
        <w:rPr>
          <w:rFonts w:ascii="Arial" w:hAnsi="Arial" w:cs="Arial"/>
        </w:rPr>
        <w:t xml:space="preserve"> mice at </w:t>
      </w:r>
      <w:r w:rsidR="00866261" w:rsidRPr="009100C4">
        <w:rPr>
          <w:rFonts w:ascii="Arial" w:hAnsi="Arial" w:cs="Arial"/>
        </w:rPr>
        <w:t>P14-16 as previously described</w:t>
      </w:r>
      <w:r w:rsidR="00866261" w:rsidRPr="009100C4">
        <w:rPr>
          <w:rFonts w:ascii="Arial" w:hAnsi="Arial" w:cs="Arial"/>
        </w:rPr>
        <w:fldChar w:fldCharType="begin" w:fldLock="1"/>
      </w:r>
      <w:r w:rsidR="00C00BB4">
        <w:rPr>
          <w:rFonts w:ascii="Arial" w:hAnsi="Arial" w:cs="Arial"/>
        </w:rPr>
        <w:instrText>ADDIN CSL_CITATION {"citationItems":[{"id":"ITEM-1","itemData":{"DOI":"10.1371/journal.pgen.1006398","ISBN":"1553-7404 (Electronic)\r1553-7390 (Linking)","ISSN":"15537404","PMID":"27768696","abstract":"&lt;title&gt;Author Summary&lt;/title&gt; &lt;p&gt;Epilepsy is a neurological disorder affecting approximately 3 million Americans and 1% of the worldwide population. Approximately 70% of patients diagnosed with epilepsy have a genetic basis for their disease. The same genetic mutation can result in epilepsy with varying clinical severity in some individuals. This suggests that additional factors modify the effect of the primary mutation, resulting in the differences observed. Mouse models of epilepsy also exhibit variable severity depending on the inbred strain background. This is a useful model system that enables us to determine other genetic factors that influence phenotype presentation. This study investigates a mouse model of Dravet syndrome. Similar to Dravet syndrome patients, the mice experience a variety of seizure types and have increased risk for premature death. Interestingly, the Dravet syndrome phenotype is completely masked on one mouse strain background. Through a series of genetic and pharmacological techniques we were able to identify a gene that is likely responsible for the strain-dependent phenotype difference of Dravet mice. Identifying genes that modify diseases can help predict patient outcomes and suggest new therapies for the treatment of epilepsy.&lt;/p&gt;","author":[{"dropping-particle":"","family":"Hawkins","given":"Nicole A.","non-dropping-particle":"","parse-names":false,"suffix":""},{"dropping-particle":"","family":"Zachwieja","given":"Nicole J.","non-dropping-particle":"","parse-names":false,"suffix":""},{"dropping-particle":"","family":"Miller","given":"Alison R.","non-dropping-particle":"","parse-names":false,"suffix":""},{"dropping-particle":"","family":"Anderson","given":"Lyndsey L.","non-dropping-particle":"","parse-names":false,"suffix":""},{"dropping-particle":"","family":"Kearney","given":"Jennifer A.","non-dropping-particle":"","parse-names":false,"suffix":""}],"container-title":"PLoS Genetics","id":"ITEM-1","issued":{"date-parts":[["2016"]]},"title":"Fine Mapping of a Dravet Syndrome Modifier Locus on Mouse Chromosome 5 and Candidate Gene Analysis by RNA-Seq","type":"article-journal"},"uris":["http://www.mendeley.com/documents/?uuid=d15980ca-535e-4a5e-a54e-cb604c2ac733"]},{"id":"ITEM-2","itemData":{"DOI":"10.1002/acn3.413","ISBN":"3125034892","ISSN":"23289503","PMID":"28491900","abstract":"OBJECTIVE Epilepsy is a common neurological disorder that affects 1% of the population. Approximately, 30% of individuals with epilepsy are refractory to treatment, highlighting the need for novel therapies. Conventional anticonvulsant screening relies predominantly on induced seizure models. However, these models may not be etiologically relevant for genetic epilepsies. Mutations in SCN1A are a common cause of Dravet Syndrome, a severe epileptic encephalopathy. Dravet syndrome typically begins in infancy with seizures provoked by fever and then progresses to include afebrile pleomorphic seizure types. Affected children respond poorly to available anticonvulsants. Scn1a(+/-) heterozygous knockout mice recapitulate features of Dravet syndrome and provide a potential screening platform to investigate novel therapeutics. In this study, we conducted a screening of conventional anticonvulsants in Scn1a(+/-) mice to establish assays that most closely correlate with human response data. METHODS On the basis of clinical response data from a large, single center, retrospective survey of Dravet syndrome case records, we selected nine drugs for screening in Scn1a(+/-) mice to determine which phenotypic measures correlate best with human therapeutic response. We evaluated several screening paradigms and incorporated pharmacokinetic monitoring to establish drug exposure levels. RESULTS Scn1a(+/-) mice exhibited responses to anticonvulsant treatment similar to those observed clinically. Sodium channel blockers were not effective or exacerbated seizures in Scn1a(+/-) mice. Overall, clobazam was the most effective anticonvulsant in Scn1a(+/-) mice, consistent with its effect in Dravet syndrome. INTERPRETATION Genetic models of spontaneous epilepsy provide alternative screening platforms and may augment the AED development process. In this study, we established an effective screening platform that pharmacologically validated Scn1a(+/-) mice for preclinical screening of potential Dravet syndrome therapeutics.","author":[{"dropping-particle":"","family":"Hawkins","given":"Nicole A.","non-dropping-particle":"","parse-names":false,"suffix":""},{"dropping-particle":"","family":"Anderson","given":"Lyndsey L.","non-dropping-particle":"","parse-names":false,"suffix":""},{"dropping-particle":"","family":"Gertler","given":"Tracy S.","non-dropping-particle":"","parse-names":false,"suffix":""},{"dropping-particle":"","family":"Laux","given":"Linda","non-dropping-particle":"","parse-names":false,"suffix":""},{"dropping-particle":"","family":"George","given":"Alfred L.","non-dropping-particle":"","parse-names":false,"suffix":""},{"dropping-particle":"","family":"Kearney","given":"Jennifer A.","non-dropping-particle":"","parse-names":false,"suffix":""}],"container-title":"Annals of Clinical and Translational Neurology","id":"ITEM-2","issued":{"date-parts":[["2017"]]},"title":"Screening of conventional anticonvulsants in a genetic mouse model of epilepsy","type":"article-journal"},"uris":["http://www.mendeley.com/documents/?uuid=f78380f9-8809-4c34-bf5a-90da8eeb29ef"]}],"mendeley":{"formattedCitation":"&lt;sup&gt;3,4&lt;/sup&gt;","plainTextFormattedCitation":"3,4","previouslyFormattedCitation":"&lt;sup&gt;2,3&lt;/sup&gt;"},"properties":{"noteIndex":0},"schema":"https://github.com/citation-style-language/schema/raw/master/csl-citation.json"}</w:instrText>
      </w:r>
      <w:r w:rsidR="00866261" w:rsidRPr="009100C4">
        <w:rPr>
          <w:rFonts w:ascii="Arial" w:hAnsi="Arial" w:cs="Arial"/>
        </w:rPr>
        <w:fldChar w:fldCharType="separate"/>
      </w:r>
      <w:r w:rsidR="00C00BB4" w:rsidRPr="00C00BB4">
        <w:rPr>
          <w:rFonts w:ascii="Arial" w:hAnsi="Arial" w:cs="Arial"/>
          <w:noProof/>
          <w:vertAlign w:val="superscript"/>
        </w:rPr>
        <w:t>3,4</w:t>
      </w:r>
      <w:r w:rsidR="00866261" w:rsidRPr="009100C4">
        <w:rPr>
          <w:rFonts w:ascii="Arial" w:hAnsi="Arial" w:cs="Arial"/>
        </w:rPr>
        <w:fldChar w:fldCharType="end"/>
      </w:r>
      <w:r w:rsidR="00866261" w:rsidRPr="009100C4">
        <w:rPr>
          <w:rFonts w:ascii="Arial" w:hAnsi="Arial" w:cs="Arial"/>
        </w:rPr>
        <w:t>.</w:t>
      </w:r>
      <w:r w:rsidRPr="009100C4">
        <w:rPr>
          <w:rFonts w:ascii="Arial" w:hAnsi="Arial" w:cs="Arial"/>
        </w:rPr>
        <w:t xml:space="preserve"> Briefly, mice were injected </w:t>
      </w:r>
      <w:proofErr w:type="spellStart"/>
      <w:r w:rsidRPr="009100C4">
        <w:rPr>
          <w:rFonts w:ascii="Arial" w:hAnsi="Arial" w:cs="Arial"/>
        </w:rPr>
        <w:t>ip</w:t>
      </w:r>
      <w:proofErr w:type="spellEnd"/>
      <w:r w:rsidRPr="009100C4">
        <w:rPr>
          <w:rFonts w:ascii="Arial" w:hAnsi="Arial" w:cs="Arial"/>
        </w:rPr>
        <w:t xml:space="preserve"> with vehicle or CBD (12 mg/kg or 100 mg/kg) and returned to home ca</w:t>
      </w:r>
      <w:r w:rsidR="00C638C0" w:rsidRPr="009100C4">
        <w:rPr>
          <w:rFonts w:ascii="Arial" w:hAnsi="Arial" w:cs="Arial"/>
        </w:rPr>
        <w:t>ge for 30 minutes. Pretreatment time was based on time t</w:t>
      </w:r>
      <w:r w:rsidR="00866261" w:rsidRPr="009100C4">
        <w:rPr>
          <w:rFonts w:ascii="Arial" w:hAnsi="Arial" w:cs="Arial"/>
        </w:rPr>
        <w:t>o peak CBD brain concentration</w:t>
      </w:r>
      <w:r w:rsidR="00866261" w:rsidRPr="009100C4">
        <w:rPr>
          <w:rFonts w:ascii="Arial" w:hAnsi="Arial" w:cs="Arial"/>
        </w:rPr>
        <w:fldChar w:fldCharType="begin" w:fldLock="1"/>
      </w:r>
      <w:r w:rsidR="00C00BB4">
        <w:rPr>
          <w:rFonts w:ascii="Arial" w:hAnsi="Arial" w:cs="Arial"/>
        </w:rPr>
        <w:instrText>ADDIN CSL_CITATION {"citationItems":[{"id":"ITEM-1","itemData":{"DOI":"10.1007/s00213-011-2415-0","ISSN":"00333158","abstract":"RATIONALE: Phytocannabinoids are useful therapeutics for multiple applications including treatments of constipation, malaria, rheumatism, alleviation of intraocular pressure, emesis, anxiety and some neurological and neurodegenerative disorders. Consistent with these medicinal properties, extracted cannabinoids have recently gained much interest in research, and some are currently in advanced stages of clinical testing. Other constituents of Cannabis sativa, the hemp plant, however, remain relatively unexplored in vivo. These include cannabidiol (CBD), cannabidivarine (CBDV), Δ(9)-tetrahydrocannabivarin (Δ(9)-THCV) and cannabigerol (CBG).\\n\\nOBJECTIVES AND METHODS: We here determined pharmacokinetic profiles of the above phytocannabinoids after acute single-dose intraperitoneal and oral administration in mice and rats. The pharmacodynamic-pharmacokinetic relationship of CBD (120 mg/kg, ip and oral) was further assessed using a marble burying test in mice.\\n\\nRESULTS: All phytocannabinoids readily penetrated the blood-brain barrier and solutol, despite producing moderate behavioural anomalies, led to higher brain penetration than cremophor after oral, but not intraperitoneal exposure. In mice, cremophor-based intraperitoneal administration always attained higher plasma and brain concentrations, independent of substance given. In rats, oral administration offered higher brain concentrations for CBD (120 mg/kg) and CBDV (60 mg/kg), but not for Δ(9)-THCV (30 mg/kg) and CBG (120 mg/kg), for which the intraperitoneal route was more effective. CBD inhibited obsessive-compulsive behaviour in a time-dependent manner matching its pharmacokinetic profile.\\n\\nCONCLUSIONS: These data provide important information on the brain and plasma exposure of new phytocannabinoids and guidance for the most efficacious administration route and time points for determination of drug effects under in vivo conditions.","author":[{"dropping-particle":"","family":"Deiana","given":"Serena","non-dropping-particle":"","parse-names":false,"suffix":""},{"dropping-particle":"","family":"Watanabe","given":"Akihito","non-dropping-particle":"","parse-names":false,"suffix":""},{"dropping-particle":"","family":"Yamasaki","given":"Yuki","non-dropping-particle":"","parse-names":false,"suffix":""},{"dropping-particle":"","family":"Amada","given":"Naoki","non-dropping-particle":"","parse-names":false,"suffix":""},{"dropping-particle":"","family":"Arthur","given":"Marlene","non-dropping-particle":"","parse-names":false,"suffix":""},{"dropping-particle":"","family":"Fleming","given":"Shona","non-dropping-particle":"","parse-names":false,"suffix":""},{"dropping-particle":"","family":"Woodcock","given":"Hilary","non-dropping-particle":"","parse-names":false,"suffix":""},{"dropping-particle":"","family":"Dorward","given":"Patricia","non-dropping-particle":"","parse-names":false,"suffix":""},{"dropping-particle":"","family":"Pigliacampo","given":"Barbara","non-dropping-particle":"","parse-names":false,"suffix":""},{"dropping-particle":"","family":"Close","given":"Steve","non-dropping-particle":"","parse-names":false,"suffix":""},{"dropping-particle":"","family":"Platt","given":"Bettina","non-dropping-particle":"","parse-names":false,"suffix":""},{"dropping-particle":"","family":"Riedel","given":"Gernot","non-dropping-particle":"","parse-names":false,"suffix":""}],"container-title":"Psychopharmacology","id":"ITEM-1","issued":{"date-parts":[["2012"]]},"title":"Plasma and brain pharmacokinetic profile of cannabidiol (CBD), cannabidivarine (CBDV), Δ 9-tetrahydrocannabivarin (THCV) and cannabigerol (CBG) in rats and mice following oral and intraperitoneal administration and CBD action on obsessive-compulsive behav","type":"article-journal"},"uris":["http://www.mendeley.com/documents/?uuid=d2f9cd97-1696-4a3a-a892-5d9f94fa7513"]}],"mendeley":{"formattedCitation":"&lt;sup&gt;5&lt;/sup&gt;","plainTextFormattedCitation":"5","previouslyFormattedCitation":"&lt;sup&gt;4&lt;/sup&gt;"},"properties":{"noteIndex":0},"schema":"https://github.com/citation-style-language/schema/raw/master/csl-citation.json"}</w:instrText>
      </w:r>
      <w:r w:rsidR="00866261" w:rsidRPr="009100C4">
        <w:rPr>
          <w:rFonts w:ascii="Arial" w:hAnsi="Arial" w:cs="Arial"/>
        </w:rPr>
        <w:fldChar w:fldCharType="separate"/>
      </w:r>
      <w:r w:rsidR="00C00BB4" w:rsidRPr="00C00BB4">
        <w:rPr>
          <w:rFonts w:ascii="Arial" w:hAnsi="Arial" w:cs="Arial"/>
          <w:noProof/>
          <w:vertAlign w:val="superscript"/>
        </w:rPr>
        <w:t>5</w:t>
      </w:r>
      <w:r w:rsidR="00866261" w:rsidRPr="009100C4">
        <w:rPr>
          <w:rFonts w:ascii="Arial" w:hAnsi="Arial" w:cs="Arial"/>
        </w:rPr>
        <w:fldChar w:fldCharType="end"/>
      </w:r>
      <w:r w:rsidR="00866261" w:rsidRPr="009100C4">
        <w:rPr>
          <w:rFonts w:ascii="Arial" w:hAnsi="Arial" w:cs="Arial"/>
        </w:rPr>
        <w:t>.</w:t>
      </w:r>
      <w:r w:rsidR="00C638C0" w:rsidRPr="009100C4">
        <w:rPr>
          <w:rFonts w:ascii="Arial" w:hAnsi="Arial" w:cs="Arial"/>
        </w:rPr>
        <w:t xml:space="preserve"> Mice then received an </w:t>
      </w:r>
      <w:proofErr w:type="spellStart"/>
      <w:r w:rsidR="00C638C0" w:rsidRPr="009100C4">
        <w:rPr>
          <w:rFonts w:ascii="Arial" w:hAnsi="Arial" w:cs="Arial"/>
        </w:rPr>
        <w:t>ip</w:t>
      </w:r>
      <w:proofErr w:type="spellEnd"/>
      <w:r w:rsidR="00C638C0" w:rsidRPr="009100C4">
        <w:rPr>
          <w:rFonts w:ascii="Arial" w:hAnsi="Arial" w:cs="Arial"/>
        </w:rPr>
        <w:t xml:space="preserve"> injection of vehicle or clobazam (0.1 – 10 mg/kg) and returned to the home cage for 15 minutes before acclimation to the temperature probe and initiation of hyperthermia protocol. Mouse core body temperature was elevated 0.5 °C every 2 min until the onset of first clonic convulsion with loss of posture or until 42.5 °C was reached. Mice that reached 42.5 °C were held at temperature for 3 minutes and were considered seizure-free if no seizure occurred during the hold. Following the hyperthermia-induced seizure protocol, plasma and brain samples were isolated and stored at -80 °C until assayed. Seizure threshold temperatures were compared using Mantel-Cox </w:t>
      </w:r>
      <w:proofErr w:type="spellStart"/>
      <w:r w:rsidR="00C638C0" w:rsidRPr="009100C4">
        <w:rPr>
          <w:rFonts w:ascii="Arial" w:hAnsi="Arial" w:cs="Arial"/>
        </w:rPr>
        <w:t>logrank</w:t>
      </w:r>
      <w:proofErr w:type="spellEnd"/>
      <w:r w:rsidR="00C638C0" w:rsidRPr="009100C4">
        <w:rPr>
          <w:rFonts w:ascii="Arial" w:hAnsi="Arial" w:cs="Arial"/>
        </w:rPr>
        <w:t xml:space="preserve"> test and </w:t>
      </w:r>
      <w:r w:rsidR="00C638C0" w:rsidRPr="009100C4">
        <w:rPr>
          <w:rFonts w:ascii="Arial" w:hAnsi="Arial" w:cs="Arial"/>
          <w:i/>
        </w:rPr>
        <w:t xml:space="preserve">p </w:t>
      </w:r>
      <w:r w:rsidR="00C638C0" w:rsidRPr="009100C4">
        <w:rPr>
          <w:rFonts w:ascii="Arial" w:hAnsi="Arial" w:cs="Arial"/>
        </w:rPr>
        <w:t>&lt; 0.05 was considered statistically significant.</w:t>
      </w:r>
    </w:p>
    <w:p w14:paraId="75962EA7" w14:textId="77777777" w:rsidR="00C638C0" w:rsidRPr="009100C4" w:rsidRDefault="00C638C0" w:rsidP="00513B43">
      <w:pPr>
        <w:spacing w:after="0" w:line="480" w:lineRule="auto"/>
        <w:contextualSpacing/>
        <w:jc w:val="both"/>
        <w:outlineLvl w:val="0"/>
        <w:rPr>
          <w:rFonts w:ascii="Arial" w:hAnsi="Arial" w:cs="Arial"/>
        </w:rPr>
      </w:pPr>
    </w:p>
    <w:p w14:paraId="22E4DBA0" w14:textId="570BB5F7" w:rsidR="00C638C0" w:rsidRPr="009100C4" w:rsidRDefault="00C638C0" w:rsidP="00513B43">
      <w:pPr>
        <w:spacing w:after="0" w:line="480" w:lineRule="auto"/>
        <w:contextualSpacing/>
        <w:jc w:val="both"/>
        <w:outlineLvl w:val="0"/>
        <w:rPr>
          <w:rFonts w:ascii="Arial" w:hAnsi="Arial" w:cs="Arial"/>
        </w:rPr>
      </w:pPr>
      <w:r w:rsidRPr="009100C4">
        <w:rPr>
          <w:rFonts w:ascii="Arial" w:hAnsi="Arial" w:cs="Arial"/>
          <w:b/>
        </w:rPr>
        <w:t xml:space="preserve">Spontaneous seizures and survival. </w:t>
      </w:r>
      <w:r w:rsidRPr="009100C4">
        <w:rPr>
          <w:rFonts w:ascii="Arial" w:hAnsi="Arial" w:cs="Arial"/>
        </w:rPr>
        <w:t xml:space="preserve">Male and female </w:t>
      </w:r>
      <w:r w:rsidRPr="009100C4">
        <w:rPr>
          <w:rFonts w:ascii="Arial" w:hAnsi="Arial" w:cs="Arial"/>
          <w:i/>
        </w:rPr>
        <w:t>Scn1a</w:t>
      </w:r>
      <w:r w:rsidRPr="009100C4">
        <w:rPr>
          <w:rFonts w:ascii="Arial" w:hAnsi="Arial" w:cs="Arial"/>
          <w:vertAlign w:val="superscript"/>
        </w:rPr>
        <w:t>+/-</w:t>
      </w:r>
      <w:r w:rsidRPr="009100C4">
        <w:rPr>
          <w:rFonts w:ascii="Arial" w:hAnsi="Arial" w:cs="Arial"/>
        </w:rPr>
        <w:t xml:space="preserve"> mice were exposed to a single hyperthermia-induced seizure event </w:t>
      </w:r>
      <w:r w:rsidR="00866261" w:rsidRPr="009100C4">
        <w:rPr>
          <w:rFonts w:ascii="Arial" w:hAnsi="Arial" w:cs="Arial"/>
        </w:rPr>
        <w:t>at P18 as described previously</w:t>
      </w:r>
      <w:r w:rsidR="00866261" w:rsidRPr="009100C4">
        <w:rPr>
          <w:rFonts w:ascii="Arial" w:hAnsi="Arial" w:cs="Arial"/>
        </w:rPr>
        <w:fldChar w:fldCharType="begin" w:fldLock="1"/>
      </w:r>
      <w:r w:rsidR="00C00BB4">
        <w:rPr>
          <w:rFonts w:ascii="Arial" w:hAnsi="Arial" w:cs="Arial"/>
        </w:rPr>
        <w:instrText>ADDIN CSL_CITATION {"citationItems":[{"id":"ITEM-1","itemData":{"DOI":"10.1002/acn3.413","ISBN":"3125034892","ISSN":"23289503","PMID":"28491900","abstract":"OBJECTIVE Epilepsy is a common neurological disorder that affects 1% of the population. Approximately, 30% of individuals with epilepsy are refractory to treatment, highlighting the need for novel therapies. Conventional anticonvulsant screening relies predominantly on induced seizure models. However, these models may not be etiologically relevant for genetic epilepsies. Mutations in SCN1A are a common cause of Dravet Syndrome, a severe epileptic encephalopathy. Dravet syndrome typically begins in infancy with seizures provoked by fever and then progresses to include afebrile pleomorphic seizure types. Affected children respond poorly to available anticonvulsants. Scn1a(+/-) heterozygous knockout mice recapitulate features of Dravet syndrome and provide a potential screening platform to investigate novel therapeutics. In this study, we conducted a screening of conventional anticonvulsants in Scn1a(+/-) mice to establish assays that most closely correlate with human response data. METHODS On the basis of clinical response data from a large, single center, retrospective survey of Dravet syndrome case records, we selected nine drugs for screening in Scn1a(+/-) mice to determine which phenotypic measures correlate best with human therapeutic response. We evaluated several screening paradigms and incorporated pharmacokinetic monitoring to establish drug exposure levels. RESULTS Scn1a(+/-) mice exhibited responses to anticonvulsant treatment similar to those observed clinically. Sodium channel blockers were not effective or exacerbated seizures in Scn1a(+/-) mice. Overall, clobazam was the most effective anticonvulsant in Scn1a(+/-) mice, consistent with its effect in Dravet syndrome. INTERPRETATION Genetic models of spontaneous epilepsy provide alternative screening platforms and may augment the AED development process. In this study, we established an effective screening platform that pharmacologically validated Scn1a(+/-) mice for preclinical screening of potential Dravet syndrome therapeutics.","author":[{"dropping-particle":"","family":"Hawkins","given":"Nicole A.","non-dropping-particle":"","parse-names":false,"suffix":""},{"dropping-particle":"","family":"Anderson","given":"Lyndsey L.","non-dropping-particle":"","parse-names":false,"suffix":""},{"dropping-particle":"","family":"Gertler","given":"Tracy S.","non-dropping-particle":"","parse-names":false,"suffix":""},{"dropping-particle":"","family":"Laux","given":"Linda","non-dropping-particle":"","parse-names":false,"suffix":""},{"dropping-particle":"","family":"George","given":"Alfred L.","non-dropping-particle":"","parse-names":false,"suffix":""},{"dropping-particle":"","family":"Kearney","given":"Jennifer A.","non-dropping-particle":"","parse-names":false,"suffix":""}],"container-title":"Annals of Clinical and Translational Neurology","id":"ITEM-1","issued":{"date-parts":[["2017"]]},"title":"Screening of conventional anticonvulsants in a genetic mouse model of epilepsy","type":"article-journal"},"uris":["http://www.mendeley.com/documents/?uuid=f78380f9-8809-4c34-bf5a-90da8eeb29ef"]}],"mendeley":{"formattedCitation":"&lt;sup&gt;4&lt;/sup&gt;","plainTextFormattedCitation":"4","previouslyFormattedCitation":"&lt;sup&gt;3&lt;/sup&gt;"},"properties":{"noteIndex":0},"schema":"https://github.com/citation-style-language/schema/raw/master/csl-citation.json"}</w:instrText>
      </w:r>
      <w:r w:rsidR="00866261" w:rsidRPr="009100C4">
        <w:rPr>
          <w:rFonts w:ascii="Arial" w:hAnsi="Arial" w:cs="Arial"/>
        </w:rPr>
        <w:fldChar w:fldCharType="separate"/>
      </w:r>
      <w:r w:rsidR="00C00BB4" w:rsidRPr="00C00BB4">
        <w:rPr>
          <w:rFonts w:ascii="Arial" w:hAnsi="Arial" w:cs="Arial"/>
          <w:noProof/>
          <w:vertAlign w:val="superscript"/>
        </w:rPr>
        <w:t>4</w:t>
      </w:r>
      <w:r w:rsidR="00866261" w:rsidRPr="009100C4">
        <w:rPr>
          <w:rFonts w:ascii="Arial" w:hAnsi="Arial" w:cs="Arial"/>
        </w:rPr>
        <w:fldChar w:fldCharType="end"/>
      </w:r>
      <w:r w:rsidR="00866261" w:rsidRPr="009100C4">
        <w:rPr>
          <w:rFonts w:ascii="Arial" w:hAnsi="Arial" w:cs="Arial"/>
        </w:rPr>
        <w:t>.</w:t>
      </w:r>
      <w:r w:rsidRPr="009100C4">
        <w:rPr>
          <w:rFonts w:ascii="Arial" w:hAnsi="Arial" w:cs="Arial"/>
        </w:rPr>
        <w:t xml:space="preserve"> Following the thermally-induced seizure, mice were randomly assigned to drug treatment groups (untreated, clobazam, CBD or clobazam plus CBD). Drugs were administered orally through supplementation in chow. Drugs were formulated in house using R&amp;M Standard Diet (Specialty Feeds; Glen Forrest, Australia) irradiated powder with the following formulations: 80 mg clobazam/kg chow, 3500 mg CBD/kg chow and 80 mg clobazam plus 3500 mg CBD/kg chow. </w:t>
      </w:r>
      <w:bookmarkStart w:id="0" w:name="_GoBack"/>
      <w:bookmarkEnd w:id="0"/>
      <w:r w:rsidRPr="009100C4">
        <w:rPr>
          <w:rFonts w:ascii="Arial" w:hAnsi="Arial" w:cs="Arial"/>
        </w:rPr>
        <w:t>Continuous video recording from 12:00 on P19 through 24:00 on P21 was captured using</w:t>
      </w:r>
      <w:r w:rsidR="00B63261" w:rsidRPr="009100C4">
        <w:rPr>
          <w:rFonts w:ascii="Arial" w:hAnsi="Arial" w:cs="Arial"/>
        </w:rPr>
        <w:t xml:space="preserve"> a day/night camera with an infrared lens (Samsung SCB5003, Tamron 13F604IRSQ). The </w:t>
      </w:r>
      <w:proofErr w:type="gramStart"/>
      <w:r w:rsidR="00B63261" w:rsidRPr="009100C4">
        <w:rPr>
          <w:rFonts w:ascii="Arial" w:hAnsi="Arial" w:cs="Arial"/>
        </w:rPr>
        <w:t>number of spontaneous generalized tonic-clonic seizures (GTCS) in this 60 h recording session were</w:t>
      </w:r>
      <w:proofErr w:type="gramEnd"/>
      <w:r w:rsidR="00B63261" w:rsidRPr="009100C4">
        <w:rPr>
          <w:rFonts w:ascii="Arial" w:hAnsi="Arial" w:cs="Arial"/>
        </w:rPr>
        <w:t xml:space="preserve"> quantified offline </w:t>
      </w:r>
      <w:r w:rsidR="00B63261" w:rsidRPr="009100C4">
        <w:rPr>
          <w:rFonts w:ascii="Arial" w:hAnsi="Arial" w:cs="Arial"/>
        </w:rPr>
        <w:lastRenderedPageBreak/>
        <w:t xml:space="preserve">by an observer blinded to treatment. Mice continued drug treatment to P30 to monitor survival. Statistical comparisons were made using Fisher’s exact test (proportion or mice seizure-free) and Mantel-Cox </w:t>
      </w:r>
      <w:proofErr w:type="spellStart"/>
      <w:r w:rsidR="00B63261" w:rsidRPr="009100C4">
        <w:rPr>
          <w:rFonts w:ascii="Arial" w:hAnsi="Arial" w:cs="Arial"/>
        </w:rPr>
        <w:t>logrank</w:t>
      </w:r>
      <w:proofErr w:type="spellEnd"/>
      <w:r w:rsidR="00B63261" w:rsidRPr="009100C4">
        <w:rPr>
          <w:rFonts w:ascii="Arial" w:hAnsi="Arial" w:cs="Arial"/>
        </w:rPr>
        <w:t xml:space="preserve"> test (survival) and </w:t>
      </w:r>
      <w:r w:rsidR="00B63261" w:rsidRPr="009100C4">
        <w:rPr>
          <w:rFonts w:ascii="Arial" w:hAnsi="Arial" w:cs="Arial"/>
          <w:i/>
        </w:rPr>
        <w:t xml:space="preserve">p </w:t>
      </w:r>
      <w:r w:rsidR="00B63261" w:rsidRPr="009100C4">
        <w:rPr>
          <w:rFonts w:ascii="Arial" w:hAnsi="Arial" w:cs="Arial"/>
        </w:rPr>
        <w:t>&lt; 0.05 was considered statistically significant.</w:t>
      </w:r>
    </w:p>
    <w:p w14:paraId="1A5C17D1" w14:textId="77777777" w:rsidR="00682BAC" w:rsidRPr="009100C4" w:rsidRDefault="00682BAC" w:rsidP="00513B43">
      <w:pPr>
        <w:spacing w:after="0" w:line="480" w:lineRule="auto"/>
        <w:contextualSpacing/>
        <w:jc w:val="both"/>
        <w:outlineLvl w:val="0"/>
        <w:rPr>
          <w:rFonts w:ascii="Arial" w:hAnsi="Arial" w:cs="Arial"/>
        </w:rPr>
      </w:pPr>
    </w:p>
    <w:p w14:paraId="5A0A65B8" w14:textId="41619F62" w:rsidR="00682BAC" w:rsidRPr="009100C4" w:rsidRDefault="00682BAC" w:rsidP="00513B43">
      <w:pPr>
        <w:spacing w:after="0" w:line="480" w:lineRule="auto"/>
        <w:contextualSpacing/>
        <w:jc w:val="both"/>
        <w:outlineLvl w:val="0"/>
        <w:rPr>
          <w:rFonts w:ascii="Arial" w:hAnsi="Arial" w:cs="Arial"/>
        </w:rPr>
      </w:pPr>
      <w:r w:rsidRPr="009100C4">
        <w:rPr>
          <w:rFonts w:ascii="Arial" w:hAnsi="Arial" w:cs="Arial"/>
          <w:b/>
        </w:rPr>
        <w:t xml:space="preserve">Analytical. </w:t>
      </w:r>
      <w:r w:rsidRPr="009100C4">
        <w:rPr>
          <w:rFonts w:ascii="Arial" w:hAnsi="Arial" w:cs="Arial"/>
        </w:rPr>
        <w:t xml:space="preserve">Clobazam, </w:t>
      </w:r>
      <w:r w:rsidRPr="009100C4">
        <w:rPr>
          <w:rFonts w:ascii="Arial" w:hAnsi="Arial" w:cs="Arial"/>
          <w:i/>
        </w:rPr>
        <w:t>N</w:t>
      </w:r>
      <w:r w:rsidR="00866261" w:rsidRPr="009100C4">
        <w:rPr>
          <w:rFonts w:ascii="Arial" w:hAnsi="Arial" w:cs="Arial"/>
          <w:i/>
        </w:rPr>
        <w:t>-</w:t>
      </w:r>
      <w:r w:rsidRPr="009100C4">
        <w:rPr>
          <w:rFonts w:ascii="Arial" w:hAnsi="Arial" w:cs="Arial"/>
        </w:rPr>
        <w:t xml:space="preserve">CLB and CBD in plasma and brain were assayed by LC-MS/MS. Plasma samples (50 µL) were spiked with internal standard (2 µg/mL diazepam, 5 µL) and extraction was achieved by vortex-mixing with 4x volume of acetonitrile. The organic layer was isolated by centrifugation (4000 g for 10 min, 4 °C) and evaporated to dryness </w:t>
      </w:r>
      <w:r w:rsidR="00E22C0F">
        <w:rPr>
          <w:rFonts w:ascii="Arial" w:hAnsi="Arial" w:cs="Arial"/>
        </w:rPr>
        <w:t xml:space="preserve">with </w:t>
      </w:r>
      <w:proofErr w:type="gramStart"/>
      <w:r w:rsidR="00E22C0F">
        <w:rPr>
          <w:rFonts w:ascii="Arial" w:hAnsi="Arial" w:cs="Arial"/>
        </w:rPr>
        <w:t>N</w:t>
      </w:r>
      <w:r w:rsidR="00E22C0F">
        <w:rPr>
          <w:rFonts w:ascii="Arial" w:hAnsi="Arial" w:cs="Arial"/>
          <w:vertAlign w:val="subscript"/>
        </w:rPr>
        <w:t>2(</w:t>
      </w:r>
      <w:proofErr w:type="gramEnd"/>
      <w:r w:rsidR="00E22C0F">
        <w:rPr>
          <w:rFonts w:ascii="Arial" w:hAnsi="Arial" w:cs="Arial"/>
          <w:vertAlign w:val="subscript"/>
        </w:rPr>
        <w:t>g)</w:t>
      </w:r>
      <w:r w:rsidRPr="009100C4">
        <w:rPr>
          <w:rFonts w:ascii="Arial" w:hAnsi="Arial" w:cs="Arial"/>
        </w:rPr>
        <w:t xml:space="preserve">. Samples were reconstituted in methanol and 0.1% formic acid in water (150:250, v/v) for solid-liquid extraction with methyl </w:t>
      </w:r>
      <w:proofErr w:type="spellStart"/>
      <w:r w:rsidRPr="009100C4">
        <w:rPr>
          <w:rFonts w:ascii="Arial" w:hAnsi="Arial" w:cs="Arial"/>
        </w:rPr>
        <w:t>tert</w:t>
      </w:r>
      <w:proofErr w:type="spellEnd"/>
      <w:r w:rsidRPr="009100C4">
        <w:rPr>
          <w:rFonts w:ascii="Arial" w:hAnsi="Arial" w:cs="Arial"/>
        </w:rPr>
        <w:t xml:space="preserve">-butyl ether using </w:t>
      </w:r>
      <w:proofErr w:type="spellStart"/>
      <w:r w:rsidRPr="009100C4">
        <w:rPr>
          <w:rFonts w:ascii="Arial" w:hAnsi="Arial" w:cs="Arial"/>
        </w:rPr>
        <w:t>Biotage</w:t>
      </w:r>
      <w:proofErr w:type="spellEnd"/>
      <w:r w:rsidRPr="009100C4">
        <w:rPr>
          <w:rFonts w:ascii="Arial" w:hAnsi="Arial" w:cs="Arial"/>
        </w:rPr>
        <w:t xml:space="preserve"> </w:t>
      </w:r>
      <w:proofErr w:type="spellStart"/>
      <w:r w:rsidRPr="009100C4">
        <w:rPr>
          <w:rFonts w:ascii="Arial" w:hAnsi="Arial" w:cs="Arial"/>
        </w:rPr>
        <w:t>Isolute</w:t>
      </w:r>
      <w:proofErr w:type="spellEnd"/>
      <w:r w:rsidRPr="009100C4">
        <w:rPr>
          <w:rFonts w:ascii="Arial" w:hAnsi="Arial" w:cs="Arial"/>
        </w:rPr>
        <w:t xml:space="preserve"> SLE+ columns (Uppsala, Sweden). Samples were evaporated to dryness with </w:t>
      </w:r>
      <w:r w:rsidR="00E22C0F">
        <w:rPr>
          <w:rFonts w:ascii="Arial" w:hAnsi="Arial" w:cs="Arial"/>
        </w:rPr>
        <w:t>N</w:t>
      </w:r>
      <w:r w:rsidR="00E22C0F">
        <w:rPr>
          <w:rFonts w:ascii="Arial" w:hAnsi="Arial" w:cs="Arial"/>
          <w:vertAlign w:val="subscript"/>
        </w:rPr>
        <w:t>2(g)</w:t>
      </w:r>
      <w:r w:rsidRPr="009100C4">
        <w:rPr>
          <w:rFonts w:ascii="Arial" w:hAnsi="Arial" w:cs="Arial"/>
        </w:rPr>
        <w:t xml:space="preserve"> and reconstituted in acetonitrile and 0.1% formic acid in water (1:1.5, v/v) for analysis. Brain samples were prepared as above with minor modifications. Briefly, ½ brain was homogenized in phosphate buffered saline (15x, w/v). Homogenates were centrifuged (20,000 g for 30 min, 4 °C) and supernatant (67 mg brain/mL) was spiked with diazepam (10 </w:t>
      </w:r>
      <w:r w:rsidR="00394578" w:rsidRPr="009100C4">
        <w:rPr>
          <w:rFonts w:ascii="Arial" w:hAnsi="Arial" w:cs="Arial"/>
        </w:rPr>
        <w:t>µg/mL, 10 µL). Extraction was achieved by vortex-mixing with 3x volume of acetonitrile. The organic layer was isolated by centrifugation (20,000 g for 15 min, 4 °C)</w:t>
      </w:r>
      <w:r w:rsidRPr="009100C4">
        <w:rPr>
          <w:rFonts w:ascii="Arial" w:hAnsi="Arial" w:cs="Arial"/>
        </w:rPr>
        <w:t xml:space="preserve"> </w:t>
      </w:r>
      <w:r w:rsidR="00394578" w:rsidRPr="009100C4">
        <w:rPr>
          <w:rFonts w:ascii="Arial" w:hAnsi="Arial" w:cs="Arial"/>
        </w:rPr>
        <w:t xml:space="preserve">and evaporated to dryness. Samples were reconstituted in ice-cold acetonitrile (2 mL) and centrifuged (14,000 g for 30 min, 4 °C). The supernatant was evaporated to dryness and reconstituted for solid-liquid extraction as above. Samples were evaporated to dryness and reconstituted in acetonitrile and 0.1% formic acid in water (1:1, v/v) for analysis. Samples were assayed by LC-MS/MS using a Shimadzu </w:t>
      </w:r>
      <w:proofErr w:type="spellStart"/>
      <w:r w:rsidR="00394578" w:rsidRPr="009100C4">
        <w:rPr>
          <w:rFonts w:ascii="Arial" w:hAnsi="Arial" w:cs="Arial"/>
        </w:rPr>
        <w:t>Nexera</w:t>
      </w:r>
      <w:proofErr w:type="spellEnd"/>
      <w:r w:rsidR="00394578" w:rsidRPr="009100C4">
        <w:rPr>
          <w:rFonts w:ascii="Arial" w:hAnsi="Arial" w:cs="Arial"/>
        </w:rPr>
        <w:t xml:space="preserve"> ultra-high performance liquid chromatograph coupled to a Shimadzu 8030 triple quadrupole mass spectrometer (Shimadzu Corp.; Kyoto, </w:t>
      </w:r>
      <w:r w:rsidR="00866261" w:rsidRPr="009100C4">
        <w:rPr>
          <w:rFonts w:ascii="Arial" w:hAnsi="Arial" w:cs="Arial"/>
        </w:rPr>
        <w:t>Japan).</w:t>
      </w:r>
      <w:r w:rsidR="00394578" w:rsidRPr="009100C4">
        <w:rPr>
          <w:rFonts w:ascii="Arial" w:hAnsi="Arial" w:cs="Arial"/>
        </w:rPr>
        <w:t xml:space="preserve"> The mass spectrometer was operated in positive electrospray ionization mode with multiple reaction monitoring with the following mass transition pairs: </w:t>
      </w:r>
      <w:r w:rsidR="00394578" w:rsidRPr="009100C4">
        <w:rPr>
          <w:rFonts w:ascii="Arial" w:hAnsi="Arial" w:cs="Arial"/>
          <w:i/>
        </w:rPr>
        <w:t>m/z</w:t>
      </w:r>
      <w:r w:rsidR="00394578" w:rsidRPr="009100C4">
        <w:rPr>
          <w:rFonts w:ascii="Arial" w:hAnsi="Arial" w:cs="Arial"/>
        </w:rPr>
        <w:t xml:space="preserve"> 301.0 &gt; 259.05 (clobazam), 287.2 &gt; 245.1 (</w:t>
      </w:r>
      <w:r w:rsidR="00394578" w:rsidRPr="009100C4">
        <w:rPr>
          <w:rFonts w:ascii="Arial" w:hAnsi="Arial" w:cs="Arial"/>
          <w:i/>
        </w:rPr>
        <w:t>N</w:t>
      </w:r>
      <w:r w:rsidR="00866261" w:rsidRPr="009100C4">
        <w:rPr>
          <w:rFonts w:ascii="Arial" w:hAnsi="Arial" w:cs="Arial"/>
          <w:i/>
        </w:rPr>
        <w:t>-</w:t>
      </w:r>
      <w:r w:rsidR="00394578" w:rsidRPr="009100C4">
        <w:rPr>
          <w:rFonts w:ascii="Arial" w:hAnsi="Arial" w:cs="Arial"/>
        </w:rPr>
        <w:t xml:space="preserve">CLB), 315.3 &gt; 193.15 (CBD) and 284.6 &gt; 257.0 (diazepam). </w:t>
      </w:r>
      <w:r w:rsidR="00394578" w:rsidRPr="009100C4">
        <w:rPr>
          <w:rFonts w:ascii="Arial" w:hAnsi="Arial" w:cs="Arial"/>
        </w:rPr>
        <w:lastRenderedPageBreak/>
        <w:t xml:space="preserve">Quantification was achieved by comparing experimental samples to standards prepared with known amounts of drug. </w:t>
      </w:r>
    </w:p>
    <w:p w14:paraId="505EDE1E" w14:textId="77777777" w:rsidR="0001152B" w:rsidRPr="009100C4" w:rsidRDefault="0001152B" w:rsidP="00513B43">
      <w:pPr>
        <w:spacing w:after="0" w:line="480" w:lineRule="auto"/>
        <w:contextualSpacing/>
        <w:jc w:val="both"/>
        <w:outlineLvl w:val="0"/>
        <w:rPr>
          <w:rFonts w:ascii="Arial" w:hAnsi="Arial" w:cs="Arial"/>
        </w:rPr>
      </w:pPr>
    </w:p>
    <w:p w14:paraId="25A47F31" w14:textId="1E797366" w:rsidR="00135662" w:rsidRPr="009100C4" w:rsidRDefault="0001152B" w:rsidP="00513B43">
      <w:pPr>
        <w:spacing w:after="0" w:line="480" w:lineRule="auto"/>
        <w:contextualSpacing/>
        <w:jc w:val="both"/>
        <w:outlineLvl w:val="0"/>
        <w:rPr>
          <w:rFonts w:ascii="Arial" w:hAnsi="Arial" w:cs="Arial"/>
        </w:rPr>
      </w:pPr>
      <w:r w:rsidRPr="009100C4">
        <w:rPr>
          <w:rFonts w:ascii="Arial" w:hAnsi="Arial" w:cs="Arial"/>
          <w:b/>
        </w:rPr>
        <w:t xml:space="preserve">Two-electrode voltage-clamp recording. </w:t>
      </w:r>
      <w:r w:rsidRPr="009100C4">
        <w:rPr>
          <w:rFonts w:ascii="Arial" w:hAnsi="Arial" w:cs="Arial"/>
        </w:rPr>
        <w:t xml:space="preserve"> Cell</w:t>
      </w:r>
      <w:r w:rsidR="00BC3E39" w:rsidRPr="009100C4">
        <w:rPr>
          <w:rFonts w:ascii="Arial" w:hAnsi="Arial" w:cs="Arial"/>
        </w:rPr>
        <w:t xml:space="preserve"> currents were recorded from </w:t>
      </w:r>
      <w:proofErr w:type="spellStart"/>
      <w:r w:rsidR="00BC3E39" w:rsidRPr="009100C4">
        <w:rPr>
          <w:rFonts w:ascii="Arial" w:hAnsi="Arial" w:cs="Arial"/>
          <w:i/>
        </w:rPr>
        <w:t>Xenopus</w:t>
      </w:r>
      <w:proofErr w:type="spellEnd"/>
      <w:r w:rsidR="00BC3E39" w:rsidRPr="009100C4">
        <w:rPr>
          <w:rFonts w:ascii="Arial" w:hAnsi="Arial" w:cs="Arial"/>
          <w:i/>
        </w:rPr>
        <w:t xml:space="preserve"> </w:t>
      </w:r>
      <w:proofErr w:type="spellStart"/>
      <w:r w:rsidR="00BC3E39" w:rsidRPr="009100C4">
        <w:rPr>
          <w:rFonts w:ascii="Arial" w:hAnsi="Arial" w:cs="Arial"/>
          <w:i/>
        </w:rPr>
        <w:t>leavis</w:t>
      </w:r>
      <w:proofErr w:type="spellEnd"/>
      <w:r w:rsidR="00BC3E39" w:rsidRPr="009100C4">
        <w:rPr>
          <w:rFonts w:ascii="Arial" w:hAnsi="Arial" w:cs="Arial"/>
        </w:rPr>
        <w:t xml:space="preserve"> oocytes expressing the concatenated γ2-β2-α1-β2-α1 GABA receptor using two-electrode voltage-clamp. The concatenated construct was generated as previously described and 2 ng of </w:t>
      </w:r>
      <w:proofErr w:type="spellStart"/>
      <w:r w:rsidR="00BC3E39" w:rsidRPr="009100C4">
        <w:rPr>
          <w:rFonts w:ascii="Arial" w:hAnsi="Arial" w:cs="Arial"/>
        </w:rPr>
        <w:t>cRNA</w:t>
      </w:r>
      <w:proofErr w:type="spellEnd"/>
      <w:r w:rsidR="00BC3E39" w:rsidRPr="009100C4">
        <w:rPr>
          <w:rFonts w:ascii="Arial" w:hAnsi="Arial" w:cs="Arial"/>
        </w:rPr>
        <w:t xml:space="preserve"> was injected per oocyte</w:t>
      </w:r>
      <w:r w:rsidR="00967B40" w:rsidRPr="009100C4">
        <w:rPr>
          <w:rFonts w:ascii="Arial" w:hAnsi="Arial" w:cs="Arial"/>
        </w:rPr>
        <w:fldChar w:fldCharType="begin" w:fldLock="1"/>
      </w:r>
      <w:r w:rsidR="00C00BB4">
        <w:rPr>
          <w:rFonts w:ascii="Arial" w:hAnsi="Arial" w:cs="Arial"/>
        </w:rPr>
        <w:instrText>ADDIN CSL_CITATION {"citationItems":[{"id":"ITEM-1","itemData":{"DOI":"10.1085/jgp.201812133","ISSN":"0022-1295","PMID":"30988061","abstract":"&lt;p&gt; γ-aminobutyric acid type A receptors (GABA &lt;sub&gt;A&lt;/sub&gt; Rs), the major inhibitory neurotransmitter receptors in the mammalian central nervous system, are arguably the most challenging member of the pentameric Cys-loop receptors to study due to their heteromeric structure. When two or more subunits are expressed together in heterologous systems, receptors of variable subunit type, ratio, and orientation can form, precluding accurate interpretation of data from functional studies. Subunit concatenation is a technique that involves the linking of individual subunits and in theory allows the precise control of the uniformity of expressed receptors. In reality, the resulting concatemers from widely used constructs are flexible in their orientation and may therefore assemble with themselves or free GABA &lt;sub&gt;A&lt;/sub&gt; R subunits in unexpected ways. In this study, we examine functional responses of receptors from existing concatenated constructs and describe refinements necessary to allow expression of uniform receptor populations. We find that dimers from two commonly used concatenated constructs, β-23-α and α-10-β, assemble readily in both the clockwise and the counterclockwise orientations when coexpressed with free subunits. Furthermore, we show that concatemers formed from new tetrameric α-10-β-α-β and α-10-β-α-γ constructs also assemble in both orientations with free subunits to give canonical αβγ receptors. To restrict linker flexibility, we systematically shorten linker lengths of dimeric and pentameric constructs and find optimized constructs that direct the assembly of GABA &lt;sub&gt;A&lt;/sub&gt; Rs only in one orientation, thus eliminating the ambiguity associated with previously described concatemers. Based on our data, we revisit some noncanonical GABA &lt;sub&gt;A&lt;/sub&gt; R configurations proposed in recent years and explain how the use of some concatenated constructs may have led to wrong conclusions. Our results help clarify current contradictions in the literature regarding GABA &lt;sub&gt;A&lt;/sub&gt; R subunit stoichiometry and arrangement. The lessons learned from this study may guide future efforts in understanding other related heteromeric receptors. &lt;/p&gt;","author":[{"dropping-particle":"","family":"Liao","given":"Vivian Wan Yu","non-dropping-particle":"","parse-names":false,"suffix":""},{"dropping-particle":"","family":"Chua","given":"Han Chow","non-dropping-particle":"","parse-names":false,"suffix":""},{"dropping-particle":"","family":"Kowal","given":"Natalia Magdalena","non-dropping-particle":"","parse-names":false,"suffix":""},{"dropping-particle":"","family":"Chebib","given":"Mary","non-dropping-particle":"","parse-names":false,"suffix":""},{"dropping-particle":"","family":"Balle","given":"Thomas","non-dropping-particle":"","parse-names":false,"suffix":""},{"dropping-particle":"","family":"Ahring","given":"Philip Kiær","non-dropping-particle":"","parse-names":false,"suffix":""}],"container-title":"The Journal of General Physiology","id":"ITEM-1","issued":{"date-parts":[["2019","4","15"]]},"page":"jgp.201812133","title":"Concatenated γ-aminobutyric acid type A receptors revisited: Finding order in chaos","type":"article-journal"},"uris":["http://www.mendeley.com/documents/?uuid=63dfd1d2-c40d-3dd3-b1bb-d361dc654a55"]}],"mendeley":{"formattedCitation":"&lt;sup&gt;6&lt;/sup&gt;","plainTextFormattedCitation":"6","previouslyFormattedCitation":"&lt;sup&gt;5&lt;/sup&gt;"},"properties":{"noteIndex":0},"schema":"https://github.com/citation-style-language/schema/raw/master/csl-citation.json"}</w:instrText>
      </w:r>
      <w:r w:rsidR="00967B40" w:rsidRPr="009100C4">
        <w:rPr>
          <w:rFonts w:ascii="Arial" w:hAnsi="Arial" w:cs="Arial"/>
        </w:rPr>
        <w:fldChar w:fldCharType="separate"/>
      </w:r>
      <w:r w:rsidR="00C00BB4" w:rsidRPr="00C00BB4">
        <w:rPr>
          <w:rFonts w:ascii="Arial" w:hAnsi="Arial" w:cs="Arial"/>
          <w:noProof/>
          <w:vertAlign w:val="superscript"/>
        </w:rPr>
        <w:t>6</w:t>
      </w:r>
      <w:r w:rsidR="00967B40" w:rsidRPr="009100C4">
        <w:rPr>
          <w:rFonts w:ascii="Arial" w:hAnsi="Arial" w:cs="Arial"/>
        </w:rPr>
        <w:fldChar w:fldCharType="end"/>
      </w:r>
      <w:r w:rsidR="00BC3E39" w:rsidRPr="009100C4">
        <w:rPr>
          <w:rFonts w:ascii="Arial" w:hAnsi="Arial" w:cs="Arial"/>
        </w:rPr>
        <w:t xml:space="preserve">. Cells were incubated for 2-4 days on an oscillator at 18 °C in ND96 solution (mM: </w:t>
      </w:r>
      <w:proofErr w:type="spellStart"/>
      <w:r w:rsidR="00BC3E39" w:rsidRPr="009100C4">
        <w:rPr>
          <w:rFonts w:ascii="Arial" w:hAnsi="Arial" w:cs="Arial"/>
        </w:rPr>
        <w:t>NaCl</w:t>
      </w:r>
      <w:proofErr w:type="spellEnd"/>
      <w:r w:rsidR="00BC3E39" w:rsidRPr="009100C4">
        <w:rPr>
          <w:rFonts w:ascii="Arial" w:hAnsi="Arial" w:cs="Arial"/>
        </w:rPr>
        <w:t xml:space="preserve">, 96; </w:t>
      </w:r>
      <w:proofErr w:type="spellStart"/>
      <w:r w:rsidR="00BC3E39" w:rsidRPr="009100C4">
        <w:rPr>
          <w:rFonts w:ascii="Arial" w:hAnsi="Arial" w:cs="Arial"/>
        </w:rPr>
        <w:t>KCl</w:t>
      </w:r>
      <w:proofErr w:type="spellEnd"/>
      <w:r w:rsidR="00BC3E39" w:rsidRPr="009100C4">
        <w:rPr>
          <w:rFonts w:ascii="Arial" w:hAnsi="Arial" w:cs="Arial"/>
        </w:rPr>
        <w:t>, 2; MgCl</w:t>
      </w:r>
      <w:r w:rsidR="00BC3E39" w:rsidRPr="009100C4">
        <w:rPr>
          <w:rFonts w:ascii="Arial" w:hAnsi="Arial" w:cs="Arial"/>
          <w:vertAlign w:val="subscript"/>
        </w:rPr>
        <w:t>2</w:t>
      </w:r>
      <w:r w:rsidR="00BC3E39" w:rsidRPr="009100C4">
        <w:rPr>
          <w:rFonts w:ascii="Arial" w:hAnsi="Arial" w:cs="Arial"/>
        </w:rPr>
        <w:t>, 1; CaCl</w:t>
      </w:r>
      <w:r w:rsidR="00BC3E39" w:rsidRPr="009100C4">
        <w:rPr>
          <w:rFonts w:ascii="Arial" w:hAnsi="Arial" w:cs="Arial"/>
          <w:vertAlign w:val="subscript"/>
        </w:rPr>
        <w:t>2</w:t>
      </w:r>
      <w:r w:rsidR="00BC3E39" w:rsidRPr="009100C4">
        <w:rPr>
          <w:rFonts w:ascii="Arial" w:hAnsi="Arial" w:cs="Arial"/>
        </w:rPr>
        <w:t>, 1.8; HEPES, 5; pH 7.4)</w:t>
      </w:r>
      <w:r w:rsidR="00293739" w:rsidRPr="009100C4">
        <w:rPr>
          <w:rFonts w:ascii="Arial" w:hAnsi="Arial" w:cs="Arial"/>
        </w:rPr>
        <w:t xml:space="preserve"> supplemented with 2.5 mM pyruvate, 0.5 mM theophylline and 50 µg/mL gentamycin. Cell currents were recorded using the two-electrode voltage-clamp method as previously described</w:t>
      </w:r>
      <w:r w:rsidR="00967B40" w:rsidRPr="009100C4">
        <w:rPr>
          <w:rFonts w:ascii="Arial" w:hAnsi="Arial" w:cs="Arial"/>
        </w:rPr>
        <w:fldChar w:fldCharType="begin" w:fldLock="1"/>
      </w:r>
      <w:r w:rsidR="00C00BB4">
        <w:rPr>
          <w:rFonts w:ascii="Arial" w:hAnsi="Arial" w:cs="Arial"/>
        </w:rPr>
        <w:instrText>ADDIN CSL_CITATION {"citationItems":[{"id":"ITEM-1","itemData":{"DOI":"10.1371/journal.pone.0141359","ISSN":"1932-6203","PMID":"26496640","abstract":"2'-Methoxy-6-methylflavone (2'MeO6MF) is an anxiolytic flavonoid which has been shown to display GABAA receptor (GABAAR) β2/3-subunit selectivity, a pharmacological profile similar to that of the general anaesthetic etomidate. Electrophysiological studies suggest that the full agonist action of 2'MeO6MF at α2β3γ2L GABAARs may mediate the flavonoid's in vivo effects. However, we found variations in the relative efficacy of 2'MeO6MF (2'MeO6MF-elicited current responses normalised to the maximal GABA response) at α2β3γ2L GABAARs due to the presence of mixed receptor populations. To understand which receptor subpopulation(s) underlie the variations observed, we conducted a systematic investigation of 2'MeO6MF activity at all receptor combinations that could theoretically form (α2, β3, γ2L, α2β3, α2γ2L, β3γ2L and α2β3γ2L) in Xenopus oocytes using the two-electrode voltage clamp technique. We found that 2'MeO6MF activated non-α-containing β3γ2L receptors. In an attempt to establish the optimal conditions to express a uniform population of these receptors, we found that varying the relative amounts of β3:γ2L subunit mRNAs resulted in differences in the level of constitutive activity, the GABA concentration-response relationships, and the relative efficacy of 2'MeO6MF activation. Like 2'MeO6MF, general anaesthetics such as etomidate and propofol also showed distinct levels of relative efficacy across different injection ratios. Based on these results, we infer that β3γ2L receptors may form with different subunit stoichiometries, resulting in the complex pharmacology observed across different injection ratios. Moreover, the discovery that GABA and etomidate have direct actions at the α-lacking β3γ2L receptors raises questions about the structural requirements for their respective binding sites at GABAARs.","author":[{"dropping-particle":"","family":"Chua","given":"Han Chow","non-dropping-particle":"","parse-names":false,"suffix":""},{"dropping-particle":"","family":"Absalom","given":"Nathan L.","non-dropping-particle":"","parse-names":false,"suffix":""},{"dropping-particle":"","family":"Hanrahan","given":"Jane R.","non-dropping-particle":"","parse-names":false,"suffix":""},{"dropping-particle":"","family":"Viswas","given":"Raja","non-dropping-particle":"","parse-names":false,"suffix":""},{"dropping-particle":"","family":"Chebib","given":"Mary","non-dropping-particle":"","parse-names":false,"suffix":""}],"container-title":"PLOS ONE","editor":[{"dropping-particle":"","family":"Rudolph","given":"Uwe","non-dropping-particle":"","parse-names":false,"suffix":""}],"id":"ITEM-1","issue":"10","issued":{"date-parts":[["2015","10","23"]]},"page":"e0141359","title":"The Direct Actions of GABA, 2’-Methoxy-6-Methylflavone and General Anaesthetics at β3γ2L GABAA Receptors: Evidence for Receptors with Different Subunit Stoichiometries","type":"article-journal","volume":"10"},"uris":["http://www.mendeley.com/documents/?uuid=a208ba82-f9e3-3e15-8b46-6420efbdefeb"]}],"mendeley":{"formattedCitation":"&lt;sup&gt;7&lt;/sup&gt;","plainTextFormattedCitation":"7","previouslyFormattedCitation":"&lt;sup&gt;6&lt;/sup&gt;"},"properties":{"noteIndex":0},"schema":"https://github.com/citation-style-language/schema/raw/master/csl-citation.json"}</w:instrText>
      </w:r>
      <w:r w:rsidR="00967B40" w:rsidRPr="009100C4">
        <w:rPr>
          <w:rFonts w:ascii="Arial" w:hAnsi="Arial" w:cs="Arial"/>
        </w:rPr>
        <w:fldChar w:fldCharType="separate"/>
      </w:r>
      <w:r w:rsidR="00C00BB4" w:rsidRPr="00C00BB4">
        <w:rPr>
          <w:rFonts w:ascii="Arial" w:hAnsi="Arial" w:cs="Arial"/>
          <w:noProof/>
          <w:vertAlign w:val="superscript"/>
        </w:rPr>
        <w:t>7</w:t>
      </w:r>
      <w:r w:rsidR="00967B40" w:rsidRPr="009100C4">
        <w:rPr>
          <w:rFonts w:ascii="Arial" w:hAnsi="Arial" w:cs="Arial"/>
        </w:rPr>
        <w:fldChar w:fldCharType="end"/>
      </w:r>
      <w:r w:rsidR="00293739" w:rsidRPr="009100C4">
        <w:rPr>
          <w:rFonts w:ascii="Arial" w:hAnsi="Arial" w:cs="Arial"/>
        </w:rPr>
        <w:t>. For modulation experiments, GABA (15 µM) was applied three times as a reference and currents were normalized to the mean current of the last two GABA applications. A washout period of 7-12 min was performed between GABA applications to prevent effects from desensitization. Where CBD was co-applied with GABA, CBD was pre-incubated for 60 s. GABA applications wee performed in the order shown in the r</w:t>
      </w:r>
      <w:r w:rsidR="00866261" w:rsidRPr="009100C4">
        <w:rPr>
          <w:rFonts w:ascii="Arial" w:hAnsi="Arial" w:cs="Arial"/>
        </w:rPr>
        <w:t>epresentative data figure (Fig. 4</w:t>
      </w:r>
      <w:r w:rsidR="00293739" w:rsidRPr="009100C4">
        <w:rPr>
          <w:rFonts w:ascii="Arial" w:hAnsi="Arial" w:cs="Arial"/>
        </w:rPr>
        <w:t>). All experiments were performed over a minimum of two different batches of oocytes. Data was acquired at 1 kHz and converted to 10 Hz offline</w:t>
      </w:r>
      <w:r w:rsidR="008A7A5B" w:rsidRPr="009100C4">
        <w:rPr>
          <w:rFonts w:ascii="Arial" w:hAnsi="Arial" w:cs="Arial"/>
        </w:rPr>
        <w:t xml:space="preserve"> to display representative traces. For concentration-response curves, the percent modulation by clobazam or CBD was derived by the equation:</w:t>
      </w:r>
    </w:p>
    <w:p w14:paraId="467BF427" w14:textId="40B940F4" w:rsidR="008A7A5B" w:rsidRPr="009100C4" w:rsidRDefault="008A7A5B" w:rsidP="008A7A5B">
      <w:pPr>
        <w:spacing w:after="0" w:line="480" w:lineRule="auto"/>
        <w:contextualSpacing/>
        <w:jc w:val="center"/>
        <w:outlineLvl w:val="0"/>
        <w:rPr>
          <w:rFonts w:ascii="Arial" w:hAnsi="Arial" w:cs="Arial"/>
        </w:rPr>
      </w:pPr>
      <w:r w:rsidRPr="009100C4">
        <w:rPr>
          <w:rFonts w:ascii="Arial" w:hAnsi="Arial" w:cs="Arial"/>
        </w:rPr>
        <w:t>Percent modulation = 100 * (</w:t>
      </w:r>
      <w:proofErr w:type="spellStart"/>
      <w:r w:rsidRPr="009100C4">
        <w:rPr>
          <w:rFonts w:ascii="Arial" w:hAnsi="Arial" w:cs="Arial"/>
        </w:rPr>
        <w:t>I</w:t>
      </w:r>
      <w:r w:rsidRPr="009100C4">
        <w:rPr>
          <w:rFonts w:ascii="Arial" w:hAnsi="Arial" w:cs="Arial"/>
          <w:vertAlign w:val="subscript"/>
        </w:rPr>
        <w:t>drug</w:t>
      </w:r>
      <w:proofErr w:type="spellEnd"/>
      <w:r w:rsidRPr="009100C4">
        <w:rPr>
          <w:rFonts w:ascii="Arial" w:hAnsi="Arial" w:cs="Arial"/>
        </w:rPr>
        <w:t xml:space="preserve"> – I</w:t>
      </w:r>
      <w:r w:rsidRPr="009100C4">
        <w:rPr>
          <w:rFonts w:ascii="Arial" w:hAnsi="Arial" w:cs="Arial"/>
          <w:vertAlign w:val="subscript"/>
        </w:rPr>
        <w:t>15 µM GABA</w:t>
      </w:r>
      <w:r w:rsidRPr="009100C4">
        <w:rPr>
          <w:rFonts w:ascii="Arial" w:hAnsi="Arial" w:cs="Arial"/>
        </w:rPr>
        <w:t>) / (I</w:t>
      </w:r>
      <w:r w:rsidRPr="009100C4">
        <w:rPr>
          <w:rFonts w:ascii="Arial" w:hAnsi="Arial" w:cs="Arial"/>
          <w:vertAlign w:val="subscript"/>
        </w:rPr>
        <w:t>GABA</w:t>
      </w:r>
      <w:r w:rsidRPr="009100C4">
        <w:rPr>
          <w:rFonts w:ascii="Arial" w:hAnsi="Arial" w:cs="Arial"/>
        </w:rPr>
        <w:t>)</w:t>
      </w:r>
    </w:p>
    <w:p w14:paraId="1DFDBA11" w14:textId="422CC898" w:rsidR="008A7A5B" w:rsidRPr="009100C4" w:rsidRDefault="008A7A5B" w:rsidP="00513B43">
      <w:pPr>
        <w:spacing w:after="0" w:line="480" w:lineRule="auto"/>
        <w:contextualSpacing/>
        <w:jc w:val="both"/>
        <w:outlineLvl w:val="0"/>
        <w:rPr>
          <w:rFonts w:ascii="Arial" w:hAnsi="Arial" w:cs="Arial"/>
        </w:rPr>
      </w:pPr>
      <w:r w:rsidRPr="009100C4">
        <w:rPr>
          <w:rFonts w:ascii="Arial" w:hAnsi="Arial" w:cs="Arial"/>
        </w:rPr>
        <w:t xml:space="preserve">This data was then fit to the Hill equation using </w:t>
      </w:r>
      <w:proofErr w:type="spellStart"/>
      <w:r w:rsidRPr="009100C4">
        <w:rPr>
          <w:rFonts w:ascii="Arial" w:hAnsi="Arial" w:cs="Arial"/>
        </w:rPr>
        <w:t>GraphPad</w:t>
      </w:r>
      <w:proofErr w:type="spellEnd"/>
      <w:r w:rsidRPr="009100C4">
        <w:rPr>
          <w:rFonts w:ascii="Arial" w:hAnsi="Arial" w:cs="Arial"/>
        </w:rPr>
        <w:t xml:space="preserve"> Prism to determine I</w:t>
      </w:r>
      <w:r w:rsidRPr="009100C4">
        <w:rPr>
          <w:rFonts w:ascii="Arial" w:hAnsi="Arial" w:cs="Arial"/>
          <w:vertAlign w:val="subscript"/>
        </w:rPr>
        <w:t>max</w:t>
      </w:r>
      <w:r w:rsidRPr="009100C4">
        <w:rPr>
          <w:rFonts w:ascii="Arial" w:hAnsi="Arial" w:cs="Arial"/>
        </w:rPr>
        <w:t xml:space="preserve"> and EC</w:t>
      </w:r>
      <w:r w:rsidRPr="009100C4">
        <w:rPr>
          <w:rFonts w:ascii="Arial" w:hAnsi="Arial" w:cs="Arial"/>
          <w:vertAlign w:val="subscript"/>
        </w:rPr>
        <w:t>50</w:t>
      </w:r>
      <w:r w:rsidRPr="009100C4">
        <w:rPr>
          <w:rFonts w:ascii="Arial" w:hAnsi="Arial" w:cs="Arial"/>
        </w:rPr>
        <w:t xml:space="preserve"> values. Statist</w:t>
      </w:r>
      <w:r w:rsidR="00866261" w:rsidRPr="009100C4">
        <w:rPr>
          <w:rFonts w:ascii="Arial" w:hAnsi="Arial" w:cs="Arial"/>
        </w:rPr>
        <w:t xml:space="preserve">ical comparisons were made using a paired one-way ANOVA followed by </w:t>
      </w:r>
      <w:proofErr w:type="spellStart"/>
      <w:r w:rsidR="00866261" w:rsidRPr="009100C4">
        <w:rPr>
          <w:rFonts w:ascii="Arial" w:hAnsi="Arial" w:cs="Arial"/>
        </w:rPr>
        <w:t>Dunnett’s</w:t>
      </w:r>
      <w:proofErr w:type="spellEnd"/>
      <w:r w:rsidR="00866261" w:rsidRPr="009100C4">
        <w:rPr>
          <w:rFonts w:ascii="Arial" w:hAnsi="Arial" w:cs="Arial"/>
        </w:rPr>
        <w:t xml:space="preserve"> post-hoc test.</w:t>
      </w:r>
    </w:p>
    <w:p w14:paraId="32B03219" w14:textId="77777777" w:rsidR="00135662" w:rsidRPr="009100C4" w:rsidRDefault="00135662" w:rsidP="00513B43">
      <w:pPr>
        <w:spacing w:after="0" w:line="480" w:lineRule="auto"/>
        <w:contextualSpacing/>
        <w:jc w:val="both"/>
        <w:outlineLvl w:val="0"/>
        <w:rPr>
          <w:rFonts w:ascii="Arial" w:hAnsi="Arial" w:cs="Arial"/>
          <w:b/>
        </w:rPr>
      </w:pPr>
    </w:p>
    <w:p w14:paraId="2C7EC4DF" w14:textId="77777777" w:rsidR="00135662" w:rsidRPr="009100C4" w:rsidRDefault="00135662" w:rsidP="00513B43">
      <w:pPr>
        <w:spacing w:after="0" w:line="480" w:lineRule="auto"/>
        <w:contextualSpacing/>
        <w:jc w:val="both"/>
        <w:outlineLvl w:val="0"/>
        <w:rPr>
          <w:rFonts w:ascii="Arial" w:hAnsi="Arial" w:cs="Arial"/>
          <w:b/>
        </w:rPr>
      </w:pPr>
    </w:p>
    <w:p w14:paraId="1653660C" w14:textId="77777777" w:rsidR="00135662" w:rsidRPr="009100C4" w:rsidRDefault="00135662" w:rsidP="00513B43">
      <w:pPr>
        <w:spacing w:after="0" w:line="480" w:lineRule="auto"/>
        <w:contextualSpacing/>
        <w:jc w:val="both"/>
        <w:outlineLvl w:val="0"/>
        <w:rPr>
          <w:rFonts w:ascii="Arial" w:hAnsi="Arial" w:cs="Arial"/>
          <w:b/>
        </w:rPr>
      </w:pPr>
    </w:p>
    <w:p w14:paraId="187E9555" w14:textId="77777777" w:rsidR="00135662" w:rsidRPr="009100C4" w:rsidRDefault="00135662" w:rsidP="00513B43">
      <w:pPr>
        <w:spacing w:after="0" w:line="480" w:lineRule="auto"/>
        <w:contextualSpacing/>
        <w:jc w:val="both"/>
        <w:outlineLvl w:val="0"/>
        <w:rPr>
          <w:rFonts w:ascii="Arial" w:hAnsi="Arial" w:cs="Arial"/>
          <w:b/>
        </w:rPr>
      </w:pPr>
    </w:p>
    <w:tbl>
      <w:tblPr>
        <w:tblW w:w="6741" w:type="dxa"/>
        <w:tblInd w:w="93" w:type="dxa"/>
        <w:tblLook w:val="04A0" w:firstRow="1" w:lastRow="0" w:firstColumn="1" w:lastColumn="0" w:noHBand="0" w:noVBand="1"/>
      </w:tblPr>
      <w:tblGrid>
        <w:gridCol w:w="3813"/>
        <w:gridCol w:w="1367"/>
        <w:gridCol w:w="1561"/>
      </w:tblGrid>
      <w:tr w:rsidR="009100C4" w:rsidRPr="009100C4" w14:paraId="23B9F186" w14:textId="77777777" w:rsidTr="009100C4">
        <w:trPr>
          <w:trHeight w:val="240"/>
        </w:trPr>
        <w:tc>
          <w:tcPr>
            <w:tcW w:w="6741" w:type="dxa"/>
            <w:gridSpan w:val="3"/>
            <w:tcBorders>
              <w:top w:val="nil"/>
              <w:left w:val="nil"/>
              <w:bottom w:val="single" w:sz="4" w:space="0" w:color="auto"/>
              <w:right w:val="nil"/>
            </w:tcBorders>
            <w:shd w:val="clear" w:color="auto" w:fill="auto"/>
            <w:noWrap/>
            <w:vAlign w:val="bottom"/>
            <w:hideMark/>
          </w:tcPr>
          <w:p w14:paraId="1DB429F2"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lastRenderedPageBreak/>
              <w:t>Supporting Table 1. Kinetic characteristics for CYP450 metabolism</w:t>
            </w:r>
          </w:p>
        </w:tc>
      </w:tr>
      <w:tr w:rsidR="009100C4" w:rsidRPr="009100C4" w14:paraId="7E6AB68B" w14:textId="77777777" w:rsidTr="009100C4">
        <w:trPr>
          <w:trHeight w:val="240"/>
        </w:trPr>
        <w:tc>
          <w:tcPr>
            <w:tcW w:w="3813" w:type="dxa"/>
            <w:tcBorders>
              <w:top w:val="nil"/>
              <w:left w:val="nil"/>
              <w:bottom w:val="single" w:sz="4" w:space="0" w:color="auto"/>
              <w:right w:val="nil"/>
            </w:tcBorders>
            <w:shd w:val="clear" w:color="auto" w:fill="auto"/>
            <w:noWrap/>
            <w:vAlign w:val="bottom"/>
            <w:hideMark/>
          </w:tcPr>
          <w:p w14:paraId="2F735588"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 </w:t>
            </w:r>
          </w:p>
        </w:tc>
        <w:tc>
          <w:tcPr>
            <w:tcW w:w="1367" w:type="dxa"/>
            <w:tcBorders>
              <w:top w:val="nil"/>
              <w:left w:val="nil"/>
              <w:bottom w:val="single" w:sz="4" w:space="0" w:color="auto"/>
              <w:right w:val="nil"/>
            </w:tcBorders>
            <w:shd w:val="clear" w:color="auto" w:fill="auto"/>
            <w:noWrap/>
            <w:vAlign w:val="bottom"/>
            <w:hideMark/>
          </w:tcPr>
          <w:p w14:paraId="76A5108E"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Clobazam</w:t>
            </w:r>
          </w:p>
        </w:tc>
        <w:tc>
          <w:tcPr>
            <w:tcW w:w="1561" w:type="dxa"/>
            <w:tcBorders>
              <w:top w:val="nil"/>
              <w:left w:val="nil"/>
              <w:bottom w:val="single" w:sz="4" w:space="0" w:color="auto"/>
              <w:right w:val="nil"/>
            </w:tcBorders>
            <w:shd w:val="clear" w:color="auto" w:fill="auto"/>
            <w:noWrap/>
            <w:vAlign w:val="bottom"/>
            <w:hideMark/>
          </w:tcPr>
          <w:p w14:paraId="357902BC"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r w:rsidRPr="009100C4">
              <w:rPr>
                <w:rFonts w:ascii="Arial" w:eastAsia="Times New Roman" w:hAnsi="Arial" w:cs="Arial"/>
                <w:b/>
                <w:bCs/>
                <w:i/>
                <w:iCs/>
                <w:color w:val="000000"/>
                <w:sz w:val="20"/>
                <w:szCs w:val="20"/>
                <w:lang w:val="en-AU"/>
              </w:rPr>
              <w:t>N</w:t>
            </w:r>
            <w:r w:rsidRPr="009100C4">
              <w:rPr>
                <w:rFonts w:ascii="Arial" w:eastAsia="Times New Roman" w:hAnsi="Arial" w:cs="Arial"/>
                <w:b/>
                <w:bCs/>
                <w:color w:val="000000"/>
                <w:sz w:val="20"/>
                <w:szCs w:val="20"/>
                <w:lang w:val="en-AU"/>
              </w:rPr>
              <w:t>CLB</w:t>
            </w:r>
          </w:p>
        </w:tc>
      </w:tr>
      <w:tr w:rsidR="009100C4" w:rsidRPr="009100C4" w14:paraId="32CA64D3" w14:textId="77777777" w:rsidTr="009100C4">
        <w:trPr>
          <w:trHeight w:val="240"/>
        </w:trPr>
        <w:tc>
          <w:tcPr>
            <w:tcW w:w="3813" w:type="dxa"/>
            <w:tcBorders>
              <w:top w:val="nil"/>
              <w:left w:val="nil"/>
              <w:bottom w:val="nil"/>
              <w:right w:val="nil"/>
            </w:tcBorders>
            <w:shd w:val="clear" w:color="auto" w:fill="auto"/>
            <w:noWrap/>
            <w:vAlign w:val="bottom"/>
            <w:hideMark/>
          </w:tcPr>
          <w:p w14:paraId="5EE9E0F0"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p>
        </w:tc>
        <w:tc>
          <w:tcPr>
            <w:tcW w:w="1367" w:type="dxa"/>
            <w:tcBorders>
              <w:top w:val="nil"/>
              <w:left w:val="nil"/>
              <w:bottom w:val="nil"/>
              <w:right w:val="nil"/>
            </w:tcBorders>
            <w:shd w:val="clear" w:color="auto" w:fill="auto"/>
            <w:noWrap/>
            <w:vAlign w:val="bottom"/>
            <w:hideMark/>
          </w:tcPr>
          <w:p w14:paraId="4D674D80"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p>
        </w:tc>
        <w:tc>
          <w:tcPr>
            <w:tcW w:w="1561" w:type="dxa"/>
            <w:tcBorders>
              <w:top w:val="nil"/>
              <w:left w:val="nil"/>
              <w:bottom w:val="nil"/>
              <w:right w:val="nil"/>
            </w:tcBorders>
            <w:shd w:val="clear" w:color="auto" w:fill="auto"/>
            <w:noWrap/>
            <w:vAlign w:val="bottom"/>
            <w:hideMark/>
          </w:tcPr>
          <w:p w14:paraId="0F14FA13"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p>
        </w:tc>
      </w:tr>
      <w:tr w:rsidR="009100C4" w:rsidRPr="009100C4" w14:paraId="522CBCC6" w14:textId="77777777" w:rsidTr="009100C4">
        <w:trPr>
          <w:trHeight w:val="240"/>
        </w:trPr>
        <w:tc>
          <w:tcPr>
            <w:tcW w:w="3813" w:type="dxa"/>
            <w:tcBorders>
              <w:top w:val="nil"/>
              <w:left w:val="nil"/>
              <w:bottom w:val="nil"/>
              <w:right w:val="nil"/>
            </w:tcBorders>
            <w:shd w:val="clear" w:color="auto" w:fill="auto"/>
            <w:noWrap/>
            <w:vAlign w:val="bottom"/>
            <w:hideMark/>
          </w:tcPr>
          <w:p w14:paraId="198AB5CA"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CYP450</w:t>
            </w:r>
          </w:p>
        </w:tc>
        <w:tc>
          <w:tcPr>
            <w:tcW w:w="1367" w:type="dxa"/>
            <w:tcBorders>
              <w:top w:val="nil"/>
              <w:left w:val="nil"/>
              <w:bottom w:val="nil"/>
              <w:right w:val="nil"/>
            </w:tcBorders>
            <w:shd w:val="clear" w:color="auto" w:fill="auto"/>
            <w:noWrap/>
            <w:vAlign w:val="bottom"/>
            <w:hideMark/>
          </w:tcPr>
          <w:p w14:paraId="796CD6A1"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CYP3A4</w:t>
            </w:r>
          </w:p>
        </w:tc>
        <w:tc>
          <w:tcPr>
            <w:tcW w:w="1561" w:type="dxa"/>
            <w:tcBorders>
              <w:top w:val="nil"/>
              <w:left w:val="nil"/>
              <w:bottom w:val="nil"/>
              <w:right w:val="nil"/>
            </w:tcBorders>
            <w:shd w:val="clear" w:color="auto" w:fill="auto"/>
            <w:noWrap/>
            <w:vAlign w:val="bottom"/>
            <w:hideMark/>
          </w:tcPr>
          <w:p w14:paraId="5F72CCEE"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CYP2C19</w:t>
            </w:r>
          </w:p>
        </w:tc>
      </w:tr>
      <w:tr w:rsidR="009100C4" w:rsidRPr="009100C4" w14:paraId="6A21D8C7" w14:textId="77777777" w:rsidTr="009100C4">
        <w:trPr>
          <w:trHeight w:val="240"/>
        </w:trPr>
        <w:tc>
          <w:tcPr>
            <w:tcW w:w="3813" w:type="dxa"/>
            <w:tcBorders>
              <w:top w:val="nil"/>
              <w:left w:val="nil"/>
              <w:bottom w:val="nil"/>
              <w:right w:val="nil"/>
            </w:tcBorders>
            <w:shd w:val="clear" w:color="auto" w:fill="auto"/>
            <w:noWrap/>
            <w:vAlign w:val="bottom"/>
            <w:hideMark/>
          </w:tcPr>
          <w:p w14:paraId="1952CA81"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Metabolite</w:t>
            </w:r>
          </w:p>
        </w:tc>
        <w:tc>
          <w:tcPr>
            <w:tcW w:w="1367" w:type="dxa"/>
            <w:tcBorders>
              <w:top w:val="nil"/>
              <w:left w:val="nil"/>
              <w:bottom w:val="nil"/>
              <w:right w:val="nil"/>
            </w:tcBorders>
            <w:shd w:val="clear" w:color="auto" w:fill="auto"/>
            <w:noWrap/>
            <w:vAlign w:val="bottom"/>
            <w:hideMark/>
          </w:tcPr>
          <w:p w14:paraId="182F70C9" w14:textId="77777777" w:rsidR="009100C4" w:rsidRPr="009100C4" w:rsidRDefault="009100C4" w:rsidP="009100C4">
            <w:pPr>
              <w:spacing w:after="0" w:line="240" w:lineRule="auto"/>
              <w:jc w:val="center"/>
              <w:rPr>
                <w:rFonts w:ascii="Arial" w:eastAsia="Times New Roman" w:hAnsi="Arial" w:cs="Arial"/>
                <w:i/>
                <w:iCs/>
                <w:color w:val="000000"/>
                <w:sz w:val="20"/>
                <w:szCs w:val="20"/>
                <w:lang w:val="en-AU"/>
              </w:rPr>
            </w:pPr>
            <w:r w:rsidRPr="009100C4">
              <w:rPr>
                <w:rFonts w:ascii="Arial" w:eastAsia="Times New Roman" w:hAnsi="Arial" w:cs="Arial"/>
                <w:i/>
                <w:iCs/>
                <w:color w:val="000000"/>
                <w:sz w:val="20"/>
                <w:szCs w:val="20"/>
                <w:lang w:val="en-AU"/>
              </w:rPr>
              <w:t>N-</w:t>
            </w:r>
            <w:r w:rsidRPr="009100C4">
              <w:rPr>
                <w:rFonts w:ascii="Arial" w:eastAsia="Times New Roman" w:hAnsi="Arial" w:cs="Arial"/>
                <w:color w:val="000000"/>
                <w:sz w:val="20"/>
                <w:szCs w:val="20"/>
                <w:lang w:val="en-AU"/>
              </w:rPr>
              <w:t>CLB</w:t>
            </w:r>
          </w:p>
        </w:tc>
        <w:tc>
          <w:tcPr>
            <w:tcW w:w="1561" w:type="dxa"/>
            <w:tcBorders>
              <w:top w:val="nil"/>
              <w:left w:val="nil"/>
              <w:bottom w:val="nil"/>
              <w:right w:val="nil"/>
            </w:tcBorders>
            <w:shd w:val="clear" w:color="auto" w:fill="auto"/>
            <w:noWrap/>
            <w:vAlign w:val="bottom"/>
            <w:hideMark/>
          </w:tcPr>
          <w:p w14:paraId="6F069227"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4-OH-</w:t>
            </w:r>
            <w:r w:rsidRPr="009100C4">
              <w:rPr>
                <w:rFonts w:ascii="Arial" w:eastAsia="Times New Roman" w:hAnsi="Arial" w:cs="Arial"/>
                <w:i/>
                <w:iCs/>
                <w:color w:val="000000"/>
                <w:sz w:val="20"/>
                <w:szCs w:val="20"/>
                <w:lang w:val="en-AU"/>
              </w:rPr>
              <w:t>N-</w:t>
            </w:r>
            <w:r w:rsidRPr="009100C4">
              <w:rPr>
                <w:rFonts w:ascii="Arial" w:eastAsia="Times New Roman" w:hAnsi="Arial" w:cs="Arial"/>
                <w:color w:val="000000"/>
                <w:sz w:val="20"/>
                <w:szCs w:val="20"/>
                <w:lang w:val="en-AU"/>
              </w:rPr>
              <w:t>CLB</w:t>
            </w:r>
          </w:p>
        </w:tc>
      </w:tr>
      <w:tr w:rsidR="009100C4" w:rsidRPr="009100C4" w14:paraId="7E52F839" w14:textId="77777777" w:rsidTr="009100C4">
        <w:trPr>
          <w:trHeight w:val="240"/>
        </w:trPr>
        <w:tc>
          <w:tcPr>
            <w:tcW w:w="3813" w:type="dxa"/>
            <w:tcBorders>
              <w:top w:val="nil"/>
              <w:left w:val="nil"/>
              <w:bottom w:val="nil"/>
              <w:right w:val="nil"/>
            </w:tcBorders>
            <w:shd w:val="clear" w:color="auto" w:fill="auto"/>
            <w:noWrap/>
            <w:vAlign w:val="bottom"/>
            <w:hideMark/>
          </w:tcPr>
          <w:p w14:paraId="2F8638D0"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 xml:space="preserve"> K</w:t>
            </w:r>
            <w:r w:rsidRPr="009100C4">
              <w:rPr>
                <w:rFonts w:ascii="Arial" w:eastAsia="Times New Roman" w:hAnsi="Arial" w:cs="Arial"/>
                <w:b/>
                <w:bCs/>
                <w:color w:val="000000"/>
                <w:sz w:val="20"/>
                <w:szCs w:val="20"/>
                <w:vertAlign w:val="subscript"/>
                <w:lang w:val="en-AU"/>
              </w:rPr>
              <w:t xml:space="preserve">M </w:t>
            </w:r>
            <w:r w:rsidRPr="009100C4">
              <w:rPr>
                <w:rFonts w:ascii="Arial" w:eastAsia="Times New Roman" w:hAnsi="Arial" w:cs="Arial"/>
                <w:b/>
                <w:bCs/>
                <w:color w:val="000000"/>
                <w:sz w:val="20"/>
                <w:szCs w:val="20"/>
                <w:lang w:val="en-AU"/>
              </w:rPr>
              <w:t>(µM)</w:t>
            </w:r>
          </w:p>
        </w:tc>
        <w:tc>
          <w:tcPr>
            <w:tcW w:w="1367" w:type="dxa"/>
            <w:tcBorders>
              <w:top w:val="nil"/>
              <w:left w:val="nil"/>
              <w:bottom w:val="nil"/>
              <w:right w:val="nil"/>
            </w:tcBorders>
            <w:shd w:val="clear" w:color="auto" w:fill="auto"/>
            <w:noWrap/>
            <w:vAlign w:val="bottom"/>
            <w:hideMark/>
          </w:tcPr>
          <w:p w14:paraId="4B3E5A54"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25 ± 4</w:t>
            </w:r>
          </w:p>
        </w:tc>
        <w:tc>
          <w:tcPr>
            <w:tcW w:w="1561" w:type="dxa"/>
            <w:tcBorders>
              <w:top w:val="nil"/>
              <w:left w:val="nil"/>
              <w:bottom w:val="nil"/>
              <w:right w:val="nil"/>
            </w:tcBorders>
            <w:shd w:val="clear" w:color="auto" w:fill="auto"/>
            <w:noWrap/>
            <w:vAlign w:val="bottom"/>
            <w:hideMark/>
          </w:tcPr>
          <w:p w14:paraId="321C2F65"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28 ± 7</w:t>
            </w:r>
          </w:p>
        </w:tc>
      </w:tr>
      <w:tr w:rsidR="009100C4" w:rsidRPr="009100C4" w14:paraId="03447ADE" w14:textId="77777777" w:rsidTr="009100C4">
        <w:trPr>
          <w:trHeight w:val="240"/>
        </w:trPr>
        <w:tc>
          <w:tcPr>
            <w:tcW w:w="3813" w:type="dxa"/>
            <w:tcBorders>
              <w:top w:val="nil"/>
              <w:left w:val="nil"/>
              <w:bottom w:val="nil"/>
              <w:right w:val="nil"/>
            </w:tcBorders>
            <w:shd w:val="clear" w:color="auto" w:fill="auto"/>
            <w:noWrap/>
            <w:vAlign w:val="bottom"/>
            <w:hideMark/>
          </w:tcPr>
          <w:p w14:paraId="5009AE4C"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 xml:space="preserve"> V</w:t>
            </w:r>
            <w:r w:rsidRPr="009100C4">
              <w:rPr>
                <w:rFonts w:ascii="Arial" w:eastAsia="Times New Roman" w:hAnsi="Arial" w:cs="Arial"/>
                <w:b/>
                <w:bCs/>
                <w:color w:val="000000"/>
                <w:sz w:val="20"/>
                <w:szCs w:val="20"/>
                <w:vertAlign w:val="subscript"/>
                <w:lang w:val="en-AU"/>
              </w:rPr>
              <w:t xml:space="preserve">max </w:t>
            </w:r>
            <w:r w:rsidRPr="009100C4">
              <w:rPr>
                <w:rFonts w:ascii="Arial" w:eastAsia="Times New Roman" w:hAnsi="Arial" w:cs="Arial"/>
                <w:b/>
                <w:bCs/>
                <w:color w:val="000000"/>
                <w:sz w:val="20"/>
                <w:szCs w:val="20"/>
                <w:lang w:val="en-AU"/>
              </w:rPr>
              <w:t>(</w:t>
            </w:r>
            <w:proofErr w:type="spellStart"/>
            <w:r w:rsidRPr="009100C4">
              <w:rPr>
                <w:rFonts w:ascii="Arial" w:eastAsia="Times New Roman" w:hAnsi="Arial" w:cs="Arial"/>
                <w:b/>
                <w:bCs/>
                <w:color w:val="000000"/>
                <w:sz w:val="20"/>
                <w:szCs w:val="20"/>
                <w:lang w:val="en-AU"/>
              </w:rPr>
              <w:t>pmol</w:t>
            </w:r>
            <w:proofErr w:type="spellEnd"/>
            <w:r w:rsidRPr="009100C4">
              <w:rPr>
                <w:rFonts w:ascii="Arial" w:eastAsia="Times New Roman" w:hAnsi="Arial" w:cs="Arial"/>
                <w:b/>
                <w:bCs/>
                <w:color w:val="000000"/>
                <w:sz w:val="20"/>
                <w:szCs w:val="20"/>
                <w:lang w:val="en-AU"/>
              </w:rPr>
              <w:t>/min/</w:t>
            </w:r>
            <w:proofErr w:type="spellStart"/>
            <w:r w:rsidRPr="009100C4">
              <w:rPr>
                <w:rFonts w:ascii="Arial" w:eastAsia="Times New Roman" w:hAnsi="Arial" w:cs="Arial"/>
                <w:b/>
                <w:bCs/>
                <w:color w:val="000000"/>
                <w:sz w:val="20"/>
                <w:szCs w:val="20"/>
                <w:lang w:val="en-AU"/>
              </w:rPr>
              <w:t>pmol</w:t>
            </w:r>
            <w:proofErr w:type="spellEnd"/>
            <w:r w:rsidRPr="009100C4">
              <w:rPr>
                <w:rFonts w:ascii="Arial" w:eastAsia="Times New Roman" w:hAnsi="Arial" w:cs="Arial"/>
                <w:b/>
                <w:bCs/>
                <w:color w:val="000000"/>
                <w:sz w:val="20"/>
                <w:szCs w:val="20"/>
                <w:lang w:val="en-AU"/>
              </w:rPr>
              <w:t xml:space="preserve"> CYP450)</w:t>
            </w:r>
          </w:p>
        </w:tc>
        <w:tc>
          <w:tcPr>
            <w:tcW w:w="1367" w:type="dxa"/>
            <w:tcBorders>
              <w:top w:val="nil"/>
              <w:left w:val="nil"/>
              <w:bottom w:val="nil"/>
              <w:right w:val="nil"/>
            </w:tcBorders>
            <w:shd w:val="clear" w:color="auto" w:fill="auto"/>
            <w:noWrap/>
            <w:vAlign w:val="bottom"/>
            <w:hideMark/>
          </w:tcPr>
          <w:p w14:paraId="1E7082BC"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4.9 ± 0.2</w:t>
            </w:r>
          </w:p>
        </w:tc>
        <w:tc>
          <w:tcPr>
            <w:tcW w:w="1561" w:type="dxa"/>
            <w:tcBorders>
              <w:top w:val="nil"/>
              <w:left w:val="nil"/>
              <w:bottom w:val="nil"/>
              <w:right w:val="nil"/>
            </w:tcBorders>
            <w:shd w:val="clear" w:color="auto" w:fill="auto"/>
            <w:noWrap/>
            <w:vAlign w:val="bottom"/>
            <w:hideMark/>
          </w:tcPr>
          <w:p w14:paraId="5D543A11"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0.30 ± 0.04</w:t>
            </w:r>
          </w:p>
        </w:tc>
      </w:tr>
      <w:tr w:rsidR="009100C4" w:rsidRPr="009100C4" w14:paraId="3956565C" w14:textId="77777777" w:rsidTr="009100C4">
        <w:trPr>
          <w:trHeight w:val="240"/>
        </w:trPr>
        <w:tc>
          <w:tcPr>
            <w:tcW w:w="3813" w:type="dxa"/>
            <w:tcBorders>
              <w:top w:val="nil"/>
              <w:left w:val="nil"/>
              <w:bottom w:val="nil"/>
              <w:right w:val="nil"/>
            </w:tcBorders>
            <w:shd w:val="clear" w:color="auto" w:fill="auto"/>
            <w:noWrap/>
            <w:vAlign w:val="bottom"/>
            <w:hideMark/>
          </w:tcPr>
          <w:p w14:paraId="752A3E35" w14:textId="77777777" w:rsidR="009100C4" w:rsidRPr="009100C4" w:rsidRDefault="009100C4" w:rsidP="009100C4">
            <w:pPr>
              <w:spacing w:after="0" w:line="240" w:lineRule="auto"/>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Apparent K</w:t>
            </w:r>
            <w:r w:rsidRPr="009100C4">
              <w:rPr>
                <w:rFonts w:ascii="Arial" w:eastAsia="Times New Roman" w:hAnsi="Arial" w:cs="Arial"/>
                <w:b/>
                <w:bCs/>
                <w:color w:val="000000"/>
                <w:sz w:val="20"/>
                <w:szCs w:val="20"/>
                <w:vertAlign w:val="subscript"/>
                <w:lang w:val="en-AU"/>
              </w:rPr>
              <w:t xml:space="preserve">i </w:t>
            </w:r>
            <w:r w:rsidRPr="009100C4">
              <w:rPr>
                <w:rFonts w:ascii="Arial" w:eastAsia="Times New Roman" w:hAnsi="Arial" w:cs="Arial"/>
                <w:b/>
                <w:bCs/>
                <w:color w:val="000000"/>
                <w:sz w:val="20"/>
                <w:szCs w:val="20"/>
                <w:lang w:val="en-AU"/>
              </w:rPr>
              <w:t>CBD (µM)</w:t>
            </w:r>
          </w:p>
        </w:tc>
        <w:tc>
          <w:tcPr>
            <w:tcW w:w="1367" w:type="dxa"/>
            <w:tcBorders>
              <w:top w:val="nil"/>
              <w:left w:val="nil"/>
              <w:bottom w:val="nil"/>
              <w:right w:val="nil"/>
            </w:tcBorders>
            <w:shd w:val="clear" w:color="auto" w:fill="auto"/>
            <w:noWrap/>
            <w:vAlign w:val="bottom"/>
            <w:hideMark/>
          </w:tcPr>
          <w:p w14:paraId="70A173DC"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0.14 ± 0.02</w:t>
            </w:r>
          </w:p>
        </w:tc>
        <w:tc>
          <w:tcPr>
            <w:tcW w:w="1561" w:type="dxa"/>
            <w:tcBorders>
              <w:top w:val="nil"/>
              <w:left w:val="nil"/>
              <w:bottom w:val="nil"/>
              <w:right w:val="nil"/>
            </w:tcBorders>
            <w:shd w:val="clear" w:color="auto" w:fill="auto"/>
            <w:noWrap/>
            <w:vAlign w:val="bottom"/>
            <w:hideMark/>
          </w:tcPr>
          <w:p w14:paraId="7CE6B262"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2.6 ± 0.6</w:t>
            </w:r>
          </w:p>
        </w:tc>
      </w:tr>
      <w:tr w:rsidR="009100C4" w:rsidRPr="009100C4" w14:paraId="711B1F1B" w14:textId="77777777" w:rsidTr="009100C4">
        <w:trPr>
          <w:trHeight w:val="240"/>
        </w:trPr>
        <w:tc>
          <w:tcPr>
            <w:tcW w:w="3813" w:type="dxa"/>
            <w:tcBorders>
              <w:top w:val="nil"/>
              <w:left w:val="nil"/>
              <w:bottom w:val="single" w:sz="4" w:space="0" w:color="auto"/>
              <w:right w:val="nil"/>
            </w:tcBorders>
            <w:shd w:val="clear" w:color="auto" w:fill="auto"/>
            <w:noWrap/>
            <w:vAlign w:val="bottom"/>
            <w:hideMark/>
          </w:tcPr>
          <w:p w14:paraId="403BCB88"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 </w:t>
            </w:r>
          </w:p>
        </w:tc>
        <w:tc>
          <w:tcPr>
            <w:tcW w:w="1367" w:type="dxa"/>
            <w:tcBorders>
              <w:top w:val="nil"/>
              <w:left w:val="nil"/>
              <w:bottom w:val="single" w:sz="4" w:space="0" w:color="auto"/>
              <w:right w:val="nil"/>
            </w:tcBorders>
            <w:shd w:val="clear" w:color="auto" w:fill="auto"/>
            <w:noWrap/>
            <w:vAlign w:val="bottom"/>
            <w:hideMark/>
          </w:tcPr>
          <w:p w14:paraId="50FBFE84" w14:textId="77777777" w:rsidR="009100C4" w:rsidRPr="009100C4" w:rsidRDefault="009100C4" w:rsidP="009100C4">
            <w:pPr>
              <w:spacing w:after="0" w:line="240" w:lineRule="auto"/>
              <w:jc w:val="center"/>
              <w:rPr>
                <w:rFonts w:ascii="Arial" w:eastAsia="Times New Roman" w:hAnsi="Arial" w:cs="Arial"/>
                <w:b/>
                <w:bCs/>
                <w:color w:val="000000"/>
                <w:sz w:val="20"/>
                <w:szCs w:val="20"/>
                <w:lang w:val="en-AU"/>
              </w:rPr>
            </w:pPr>
            <w:r w:rsidRPr="009100C4">
              <w:rPr>
                <w:rFonts w:ascii="Arial" w:eastAsia="Times New Roman" w:hAnsi="Arial" w:cs="Arial"/>
                <w:b/>
                <w:bCs/>
                <w:color w:val="000000"/>
                <w:sz w:val="20"/>
                <w:szCs w:val="20"/>
                <w:lang w:val="en-AU"/>
              </w:rPr>
              <w:t> </w:t>
            </w:r>
          </w:p>
        </w:tc>
        <w:tc>
          <w:tcPr>
            <w:tcW w:w="1561" w:type="dxa"/>
            <w:tcBorders>
              <w:top w:val="nil"/>
              <w:left w:val="nil"/>
              <w:bottom w:val="single" w:sz="4" w:space="0" w:color="auto"/>
              <w:right w:val="nil"/>
            </w:tcBorders>
            <w:shd w:val="clear" w:color="auto" w:fill="auto"/>
            <w:noWrap/>
            <w:vAlign w:val="bottom"/>
            <w:hideMark/>
          </w:tcPr>
          <w:p w14:paraId="6E5FED2F" w14:textId="77777777" w:rsidR="009100C4" w:rsidRPr="009100C4" w:rsidRDefault="009100C4" w:rsidP="009100C4">
            <w:pPr>
              <w:spacing w:after="0" w:line="240" w:lineRule="auto"/>
              <w:jc w:val="center"/>
              <w:rPr>
                <w:rFonts w:ascii="Arial" w:eastAsia="Times New Roman" w:hAnsi="Arial" w:cs="Arial"/>
                <w:color w:val="000000"/>
                <w:sz w:val="20"/>
                <w:szCs w:val="20"/>
                <w:lang w:val="en-AU"/>
              </w:rPr>
            </w:pPr>
            <w:r w:rsidRPr="009100C4">
              <w:rPr>
                <w:rFonts w:ascii="Arial" w:eastAsia="Times New Roman" w:hAnsi="Arial" w:cs="Arial"/>
                <w:color w:val="000000"/>
                <w:sz w:val="20"/>
                <w:szCs w:val="20"/>
                <w:lang w:val="en-AU"/>
              </w:rPr>
              <w:t> </w:t>
            </w:r>
          </w:p>
        </w:tc>
      </w:tr>
    </w:tbl>
    <w:p w14:paraId="6D366645" w14:textId="16353844" w:rsidR="00135662" w:rsidRPr="009100C4" w:rsidRDefault="00135662" w:rsidP="00513B43">
      <w:pPr>
        <w:spacing w:after="0" w:line="480" w:lineRule="auto"/>
        <w:contextualSpacing/>
        <w:jc w:val="both"/>
        <w:outlineLvl w:val="0"/>
        <w:rPr>
          <w:rFonts w:ascii="Arial" w:hAnsi="Arial" w:cs="Arial"/>
          <w:b/>
        </w:rPr>
      </w:pPr>
    </w:p>
    <w:p w14:paraId="149C96B9" w14:textId="77777777" w:rsidR="006466E1" w:rsidRPr="009100C4" w:rsidRDefault="006466E1" w:rsidP="00513B43">
      <w:pPr>
        <w:spacing w:after="0" w:line="480" w:lineRule="auto"/>
        <w:contextualSpacing/>
        <w:jc w:val="both"/>
        <w:outlineLvl w:val="0"/>
        <w:rPr>
          <w:rFonts w:ascii="Arial" w:hAnsi="Arial" w:cs="Arial"/>
          <w:b/>
        </w:rPr>
      </w:pPr>
    </w:p>
    <w:p w14:paraId="564EEAFB" w14:textId="64E5690B" w:rsidR="006466E1" w:rsidRPr="00CF2AD2" w:rsidRDefault="00CF2AD2" w:rsidP="00513B43">
      <w:pPr>
        <w:spacing w:after="0" w:line="480" w:lineRule="auto"/>
        <w:contextualSpacing/>
        <w:jc w:val="both"/>
        <w:outlineLvl w:val="0"/>
        <w:rPr>
          <w:rFonts w:ascii="Arial" w:hAnsi="Arial" w:cs="Arial"/>
          <w:b/>
          <w:sz w:val="44"/>
        </w:rPr>
      </w:pPr>
      <w:r w:rsidRPr="00CF2AD2">
        <w:rPr>
          <w:rFonts w:ascii="Arial" w:hAnsi="Arial" w:cs="Arial"/>
          <w:b/>
          <w:sz w:val="44"/>
        </w:rPr>
        <w:t>A</w:t>
      </w:r>
      <w:r w:rsidR="004406A0">
        <w:rPr>
          <w:rFonts w:ascii="Arial" w:hAnsi="Arial" w:cs="Arial"/>
          <w:b/>
          <w:sz w:val="44"/>
        </w:rPr>
        <w:tab/>
      </w:r>
      <w:r w:rsidR="004406A0">
        <w:rPr>
          <w:rFonts w:ascii="Arial" w:hAnsi="Arial" w:cs="Arial"/>
          <w:b/>
          <w:sz w:val="44"/>
        </w:rPr>
        <w:tab/>
      </w:r>
      <w:r w:rsidR="004406A0">
        <w:rPr>
          <w:rFonts w:ascii="Arial" w:hAnsi="Arial" w:cs="Arial"/>
          <w:b/>
          <w:sz w:val="44"/>
        </w:rPr>
        <w:tab/>
      </w:r>
      <w:r w:rsidR="004406A0">
        <w:rPr>
          <w:rFonts w:ascii="Arial" w:hAnsi="Arial" w:cs="Arial"/>
          <w:b/>
          <w:sz w:val="44"/>
        </w:rPr>
        <w:tab/>
      </w:r>
      <w:r w:rsidR="004406A0">
        <w:rPr>
          <w:rFonts w:ascii="Arial" w:hAnsi="Arial" w:cs="Arial"/>
          <w:b/>
          <w:sz w:val="44"/>
        </w:rPr>
        <w:tab/>
      </w:r>
      <w:r w:rsidR="004406A0">
        <w:rPr>
          <w:rFonts w:ascii="Arial" w:hAnsi="Arial" w:cs="Arial"/>
          <w:b/>
          <w:sz w:val="44"/>
        </w:rPr>
        <w:tab/>
        <w:t xml:space="preserve">   </w:t>
      </w:r>
      <w:r>
        <w:rPr>
          <w:rFonts w:ascii="Arial" w:hAnsi="Arial" w:cs="Arial"/>
          <w:b/>
          <w:sz w:val="44"/>
        </w:rPr>
        <w:t>B</w:t>
      </w:r>
    </w:p>
    <w:p w14:paraId="2C998CBB" w14:textId="1AED9A94" w:rsidR="006466E1" w:rsidRPr="009100C4" w:rsidRDefault="004406A0" w:rsidP="00513B43">
      <w:pPr>
        <w:spacing w:after="0" w:line="480" w:lineRule="auto"/>
        <w:contextualSpacing/>
        <w:jc w:val="both"/>
        <w:outlineLvl w:val="0"/>
        <w:rPr>
          <w:rFonts w:ascii="Arial" w:hAnsi="Arial" w:cs="Arial"/>
          <w:b/>
        </w:rPr>
      </w:pPr>
      <w:r w:rsidRPr="004406A0">
        <w:rPr>
          <w:rFonts w:ascii="Arial" w:hAnsi="Arial" w:cs="Arial"/>
          <w:b/>
          <w:noProof/>
        </w:rPr>
        <w:drawing>
          <wp:inline distT="0" distB="0" distL="0" distR="0" wp14:anchorId="284FE9DF" wp14:editId="1CCBDC24">
            <wp:extent cx="2980022" cy="2675467"/>
            <wp:effectExtent l="0" t="0" r="0" b="0"/>
            <wp:docPr id="4" name="Picture 3" descr="1 - CB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 - CBD.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980935" cy="2676287"/>
                    </a:xfrm>
                    <a:prstGeom prst="rect">
                      <a:avLst/>
                    </a:prstGeom>
                  </pic:spPr>
                </pic:pic>
              </a:graphicData>
            </a:graphic>
          </wp:inline>
        </w:drawing>
      </w:r>
      <w:r w:rsidR="00007D98">
        <w:rPr>
          <w:rFonts w:ascii="Arial" w:hAnsi="Arial" w:cs="Arial"/>
          <w:b/>
          <w:noProof/>
        </w:rPr>
        <mc:AlternateContent>
          <mc:Choice Requires="wps">
            <w:drawing>
              <wp:anchor distT="0" distB="0" distL="114300" distR="114300" simplePos="0" relativeHeight="251661312" behindDoc="0" locked="0" layoutInCell="1" allowOverlap="1" wp14:anchorId="29E79879" wp14:editId="1D7BFC44">
                <wp:simplePos x="0" y="0"/>
                <wp:positionH relativeFrom="column">
                  <wp:posOffset>0</wp:posOffset>
                </wp:positionH>
                <wp:positionV relativeFrom="paragraph">
                  <wp:posOffset>67310</wp:posOffset>
                </wp:positionV>
                <wp:extent cx="2971800" cy="2743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971800" cy="2743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B497A8" w14:textId="57304F9D" w:rsidR="00CF725E" w:rsidRDefault="00CF725E">
                            <w:r>
                              <w:rPr>
                                <w:noProof/>
                              </w:rPr>
                              <w:drawing>
                                <wp:inline distT="0" distB="0" distL="0" distR="0" wp14:anchorId="7BF54635" wp14:editId="79EF2010">
                                  <wp:extent cx="2650067" cy="2573909"/>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0067" cy="25739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0;margin-top:5.3pt;width:234pt;height:3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" filled="f" stroked="f">
                <v:textbox>
                  <w:txbxContent>
                    <w:p w14:paraId="10B497A8" w14:textId="57304F9D" w:rsidR="00CF725E" w:rsidRDefault="00CF725E">
                      <w:r>
                        <w:rPr>
                          <w:noProof/>
                        </w:rPr>
                        <w:drawing>
                          <wp:inline distT="0" distB="0" distL="0" distR="0" wp14:anchorId="7BF54635" wp14:editId="79EF2010">
                            <wp:extent cx="2650067" cy="2573909"/>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0067" cy="2573909"/>
                                    </a:xfrm>
                                    <a:prstGeom prst="rect">
                                      <a:avLst/>
                                    </a:prstGeom>
                                    <a:noFill/>
                                    <a:ln>
                                      <a:noFill/>
                                    </a:ln>
                                  </pic:spPr>
                                </pic:pic>
                              </a:graphicData>
                            </a:graphic>
                          </wp:inline>
                        </w:drawing>
                      </w:r>
                    </w:p>
                  </w:txbxContent>
                </v:textbox>
                <w10:wrap type="square"/>
              </v:shape>
            </w:pict>
          </mc:Fallback>
        </mc:AlternateContent>
      </w:r>
    </w:p>
    <w:p w14:paraId="540FC225" w14:textId="47A916B6" w:rsidR="006466E1" w:rsidRPr="00007D98" w:rsidRDefault="004E1B25" w:rsidP="0085013B">
      <w:pPr>
        <w:spacing w:line="360" w:lineRule="auto"/>
        <w:contextualSpacing/>
        <w:jc w:val="both"/>
        <w:rPr>
          <w:rFonts w:ascii="Arial" w:hAnsi="Arial" w:cstheme="majorHAnsi"/>
        </w:rPr>
      </w:pPr>
      <w:r w:rsidRPr="009100C4">
        <w:rPr>
          <w:rFonts w:ascii="Arial" w:hAnsi="Arial" w:cs="Arial"/>
          <w:b/>
        </w:rPr>
        <w:t xml:space="preserve">Supporting Figure </w:t>
      </w:r>
      <w:r w:rsidR="00586B19">
        <w:rPr>
          <w:rFonts w:ascii="Arial" w:hAnsi="Arial" w:cs="Arial"/>
          <w:b/>
        </w:rPr>
        <w:t>1</w:t>
      </w:r>
      <w:r w:rsidR="006466E1" w:rsidRPr="009100C4">
        <w:rPr>
          <w:rFonts w:ascii="Arial" w:hAnsi="Arial" w:cs="Arial"/>
          <w:b/>
        </w:rPr>
        <w:t>.</w:t>
      </w:r>
      <w:r w:rsidR="0085013B" w:rsidRPr="009100C4">
        <w:rPr>
          <w:rFonts w:ascii="Arial" w:hAnsi="Arial" w:cstheme="majorHAnsi"/>
        </w:rPr>
        <w:t xml:space="preserve"> </w:t>
      </w:r>
      <w:r w:rsidR="0085013B" w:rsidRPr="009100C4">
        <w:rPr>
          <w:rFonts w:ascii="Arial" w:hAnsi="Arial" w:cstheme="majorHAnsi"/>
          <w:b/>
        </w:rPr>
        <w:t xml:space="preserve">CBD had no effect on hyperthermia-induced seizures in </w:t>
      </w:r>
      <w:r w:rsidR="0085013B" w:rsidRPr="009100C4">
        <w:rPr>
          <w:rFonts w:ascii="Arial" w:hAnsi="Arial" w:cstheme="majorHAnsi"/>
          <w:b/>
          <w:i/>
        </w:rPr>
        <w:t>Scn1a</w:t>
      </w:r>
      <w:r w:rsidR="0085013B" w:rsidRPr="009100C4">
        <w:rPr>
          <w:rFonts w:ascii="Arial" w:hAnsi="Arial" w:cstheme="majorHAnsi"/>
          <w:b/>
          <w:vertAlign w:val="superscript"/>
        </w:rPr>
        <w:t xml:space="preserve">+/- </w:t>
      </w:r>
      <w:r w:rsidR="0085013B" w:rsidRPr="009100C4">
        <w:rPr>
          <w:rFonts w:ascii="Arial" w:hAnsi="Arial" w:cstheme="majorHAnsi"/>
          <w:b/>
        </w:rPr>
        <w:t>mice.</w:t>
      </w:r>
      <w:r w:rsidR="0085013B" w:rsidRPr="009100C4">
        <w:rPr>
          <w:rFonts w:ascii="Arial" w:hAnsi="Arial" w:cstheme="majorHAnsi"/>
        </w:rPr>
        <w:t xml:space="preserve"> (</w:t>
      </w:r>
      <w:r w:rsidR="0085013B" w:rsidRPr="009100C4">
        <w:rPr>
          <w:rFonts w:ascii="Arial" w:hAnsi="Arial" w:cstheme="majorHAnsi"/>
          <w:b/>
        </w:rPr>
        <w:t>A</w:t>
      </w:r>
      <w:r w:rsidR="0085013B" w:rsidRPr="009100C4">
        <w:rPr>
          <w:rFonts w:ascii="Arial" w:hAnsi="Arial" w:cstheme="majorHAnsi"/>
        </w:rPr>
        <w:t xml:space="preserve">) </w:t>
      </w:r>
      <w:r w:rsidR="004406A0" w:rsidRPr="00007D98">
        <w:rPr>
          <w:rFonts w:ascii="Arial" w:hAnsi="Arial" w:cstheme="majorHAnsi"/>
        </w:rPr>
        <w:t xml:space="preserve">Average </w:t>
      </w:r>
      <w:r w:rsidR="004406A0">
        <w:rPr>
          <w:rFonts w:ascii="Arial" w:hAnsi="Arial" w:cstheme="majorHAnsi"/>
        </w:rPr>
        <w:t>CBD</w:t>
      </w:r>
      <w:r w:rsidR="004406A0" w:rsidRPr="00007D98">
        <w:rPr>
          <w:rFonts w:ascii="Arial" w:hAnsi="Arial" w:cstheme="majorHAnsi"/>
        </w:rPr>
        <w:t xml:space="preserve"> plasma concentrations in </w:t>
      </w:r>
      <w:r w:rsidR="004406A0" w:rsidRPr="00007D98">
        <w:rPr>
          <w:rFonts w:ascii="Arial" w:hAnsi="Arial" w:cstheme="majorHAnsi"/>
          <w:i/>
        </w:rPr>
        <w:t>Scn1a</w:t>
      </w:r>
      <w:r w:rsidR="004406A0" w:rsidRPr="00007D98">
        <w:rPr>
          <w:rFonts w:ascii="Arial" w:hAnsi="Arial" w:cstheme="majorHAnsi"/>
          <w:vertAlign w:val="superscript"/>
        </w:rPr>
        <w:t xml:space="preserve">+/- </w:t>
      </w:r>
      <w:r w:rsidR="004406A0" w:rsidRPr="00007D98">
        <w:rPr>
          <w:rFonts w:ascii="Arial" w:hAnsi="Arial" w:cstheme="majorHAnsi"/>
        </w:rPr>
        <w:t xml:space="preserve">mice treated with clobazam only (white </w:t>
      </w:r>
      <w:r w:rsidR="004406A0">
        <w:rPr>
          <w:rFonts w:ascii="Arial" w:hAnsi="Arial" w:cstheme="majorHAnsi"/>
        </w:rPr>
        <w:t>symbols</w:t>
      </w:r>
      <w:r w:rsidR="004406A0" w:rsidRPr="00007D98">
        <w:rPr>
          <w:rFonts w:ascii="Arial" w:hAnsi="Arial" w:cstheme="majorHAnsi"/>
        </w:rPr>
        <w:t xml:space="preserve">) or clobazam and CBD (12 mg/kg)(grey </w:t>
      </w:r>
      <w:r w:rsidR="004406A0">
        <w:rPr>
          <w:rFonts w:ascii="Arial" w:hAnsi="Arial" w:cstheme="majorHAnsi"/>
        </w:rPr>
        <w:t>symbols). Error bars represent SEM, with n=5-6 per treatment group. (</w:t>
      </w:r>
      <w:r w:rsidR="004406A0">
        <w:rPr>
          <w:rFonts w:ascii="Arial" w:hAnsi="Arial" w:cstheme="majorHAnsi"/>
          <w:b/>
        </w:rPr>
        <w:t>B</w:t>
      </w:r>
      <w:r w:rsidR="004406A0">
        <w:rPr>
          <w:rFonts w:ascii="Arial" w:hAnsi="Arial" w:cstheme="majorHAnsi"/>
        </w:rPr>
        <w:t xml:space="preserve">) </w:t>
      </w:r>
      <w:r w:rsidR="0085013B" w:rsidRPr="009100C4">
        <w:rPr>
          <w:rFonts w:ascii="Arial" w:hAnsi="Arial" w:cstheme="majorHAnsi"/>
        </w:rPr>
        <w:t xml:space="preserve">Temperature threshold of individual mice for GTCS induced following acute treatment of vehicle or 12 mg/kg CBD. The average temperatures of seizure induction are depicted by the bars and error bars represent SEM, with n = 15-17 per treatment group. </w:t>
      </w:r>
    </w:p>
    <w:p w14:paraId="183AD405" w14:textId="77777777" w:rsidR="007D118B" w:rsidRDefault="007D118B" w:rsidP="0085013B">
      <w:pPr>
        <w:spacing w:line="360" w:lineRule="auto"/>
        <w:contextualSpacing/>
        <w:jc w:val="both"/>
        <w:rPr>
          <w:rFonts w:ascii="Arial" w:hAnsi="Arial" w:cs="Arial"/>
          <w:b/>
        </w:rPr>
      </w:pPr>
    </w:p>
    <w:p w14:paraId="23E476D8" w14:textId="77777777" w:rsidR="007D118B" w:rsidRDefault="007D118B" w:rsidP="0085013B">
      <w:pPr>
        <w:spacing w:line="360" w:lineRule="auto"/>
        <w:contextualSpacing/>
        <w:jc w:val="both"/>
        <w:rPr>
          <w:rFonts w:ascii="Arial" w:hAnsi="Arial" w:cs="Arial"/>
          <w:b/>
        </w:rPr>
      </w:pPr>
      <w:r>
        <w:rPr>
          <w:rFonts w:ascii="Arial" w:hAnsi="Arial" w:cs="Arial"/>
          <w:b/>
        </w:rPr>
        <w:t xml:space="preserve">  </w:t>
      </w:r>
    </w:p>
    <w:p w14:paraId="12971A6B" w14:textId="77777777" w:rsidR="007D118B" w:rsidRDefault="007D118B" w:rsidP="0085013B">
      <w:pPr>
        <w:spacing w:line="360" w:lineRule="auto"/>
        <w:contextualSpacing/>
        <w:jc w:val="both"/>
        <w:rPr>
          <w:rFonts w:ascii="Arial" w:hAnsi="Arial" w:cs="Arial"/>
          <w:b/>
        </w:rPr>
      </w:pPr>
    </w:p>
    <w:p w14:paraId="49DD46D9" w14:textId="28873161" w:rsidR="007D118B" w:rsidRDefault="007D118B" w:rsidP="0085013B">
      <w:pPr>
        <w:spacing w:line="360" w:lineRule="auto"/>
        <w:contextualSpacing/>
        <w:jc w:val="both"/>
        <w:rPr>
          <w:rFonts w:ascii="Arial" w:hAnsi="Arial" w:cs="Arial"/>
          <w:b/>
        </w:rPr>
      </w:pPr>
    </w:p>
    <w:p w14:paraId="48F3D3B7" w14:textId="77777777" w:rsidR="007D118B" w:rsidRDefault="007D118B" w:rsidP="0085013B">
      <w:pPr>
        <w:spacing w:line="360" w:lineRule="auto"/>
        <w:contextualSpacing/>
        <w:jc w:val="both"/>
        <w:rPr>
          <w:rFonts w:ascii="Arial" w:hAnsi="Arial" w:cs="Arial"/>
          <w:b/>
        </w:rPr>
      </w:pPr>
    </w:p>
    <w:p w14:paraId="3375F460" w14:textId="04F27DF8" w:rsidR="005931BF" w:rsidRPr="00CF2AD2" w:rsidRDefault="005931BF" w:rsidP="005931BF">
      <w:pPr>
        <w:spacing w:after="0" w:line="480" w:lineRule="auto"/>
        <w:contextualSpacing/>
        <w:jc w:val="both"/>
        <w:outlineLvl w:val="0"/>
        <w:rPr>
          <w:rFonts w:ascii="Arial" w:hAnsi="Arial" w:cs="Arial"/>
          <w:b/>
          <w:sz w:val="44"/>
        </w:rPr>
      </w:pPr>
      <w:r w:rsidRPr="00CF2AD2">
        <w:rPr>
          <w:rFonts w:ascii="Arial" w:hAnsi="Arial" w:cs="Arial"/>
          <w:b/>
          <w:sz w:val="44"/>
        </w:rPr>
        <w:t>A</w:t>
      </w:r>
      <w:r>
        <w:rPr>
          <w:rFonts w:ascii="Arial" w:hAnsi="Arial" w:cs="Arial"/>
          <w:b/>
          <w:sz w:val="44"/>
        </w:rPr>
        <w:tab/>
      </w:r>
      <w:r>
        <w:rPr>
          <w:rFonts w:ascii="Arial" w:hAnsi="Arial" w:cs="Arial"/>
          <w:b/>
          <w:sz w:val="44"/>
        </w:rPr>
        <w:tab/>
      </w:r>
      <w:r>
        <w:rPr>
          <w:rFonts w:ascii="Arial" w:hAnsi="Arial" w:cs="Arial"/>
          <w:b/>
          <w:sz w:val="44"/>
        </w:rPr>
        <w:tab/>
      </w:r>
      <w:r>
        <w:rPr>
          <w:rFonts w:ascii="Arial" w:hAnsi="Arial" w:cs="Arial"/>
          <w:b/>
          <w:sz w:val="44"/>
        </w:rPr>
        <w:tab/>
        <w:t xml:space="preserve">    B</w:t>
      </w:r>
    </w:p>
    <w:p w14:paraId="643EE8E4" w14:textId="77777777" w:rsidR="00F54C97" w:rsidRDefault="00F54C97" w:rsidP="00513B43">
      <w:pPr>
        <w:spacing w:after="0" w:line="480" w:lineRule="auto"/>
        <w:contextualSpacing/>
        <w:jc w:val="both"/>
        <w:outlineLvl w:val="0"/>
        <w:rPr>
          <w:rFonts w:ascii="Arial" w:hAnsi="Arial" w:cs="Arial"/>
          <w:b/>
        </w:rPr>
      </w:pPr>
    </w:p>
    <w:p w14:paraId="5C796504" w14:textId="1A89A70E" w:rsidR="00F54C97" w:rsidRDefault="00F54C97" w:rsidP="00513B43">
      <w:pPr>
        <w:spacing w:after="0" w:line="480" w:lineRule="auto"/>
        <w:contextualSpacing/>
        <w:jc w:val="both"/>
        <w:outlineLvl w:val="0"/>
        <w:rPr>
          <w:rFonts w:ascii="Arial" w:hAnsi="Arial" w:cs="Arial"/>
          <w:b/>
        </w:rPr>
      </w:pPr>
      <w:r w:rsidRPr="009100C4">
        <w:rPr>
          <w:rFonts w:ascii="Arial" w:hAnsi="Arial" w:cs="Arial"/>
          <w:b/>
          <w:noProof/>
        </w:rPr>
        <w:drawing>
          <wp:inline distT="0" distB="0" distL="0" distR="0" wp14:anchorId="2DDA8533" wp14:editId="3334C973">
            <wp:extent cx="5303520" cy="259054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3520" cy="2590546"/>
                    </a:xfrm>
                    <a:prstGeom prst="rect">
                      <a:avLst/>
                    </a:prstGeom>
                    <a:noFill/>
                    <a:ln>
                      <a:noFill/>
                    </a:ln>
                  </pic:spPr>
                </pic:pic>
              </a:graphicData>
            </a:graphic>
          </wp:inline>
        </w:drawing>
      </w:r>
    </w:p>
    <w:p w14:paraId="08A56C9B" w14:textId="77777777" w:rsidR="00F54C97" w:rsidRDefault="00F54C97" w:rsidP="00513B43">
      <w:pPr>
        <w:spacing w:after="0" w:line="480" w:lineRule="auto"/>
        <w:contextualSpacing/>
        <w:jc w:val="both"/>
        <w:outlineLvl w:val="0"/>
        <w:rPr>
          <w:rFonts w:ascii="Arial" w:hAnsi="Arial" w:cs="Arial"/>
          <w:b/>
        </w:rPr>
      </w:pPr>
    </w:p>
    <w:p w14:paraId="141331C2" w14:textId="75A692BA" w:rsidR="006466E1" w:rsidRPr="009100C4" w:rsidRDefault="00601AB1" w:rsidP="00513B43">
      <w:pPr>
        <w:spacing w:after="0" w:line="480" w:lineRule="auto"/>
        <w:contextualSpacing/>
        <w:jc w:val="both"/>
        <w:outlineLvl w:val="0"/>
        <w:rPr>
          <w:rFonts w:ascii="Arial" w:hAnsi="Arial" w:cs="Arial"/>
          <w:b/>
        </w:rPr>
      </w:pPr>
      <w:r>
        <w:rPr>
          <w:rFonts w:ascii="Arial" w:hAnsi="Arial" w:cs="Arial"/>
          <w:b/>
        </w:rPr>
        <w:t xml:space="preserve">Supporting Figure </w:t>
      </w:r>
      <w:r w:rsidR="005931BF">
        <w:rPr>
          <w:rFonts w:ascii="Arial" w:hAnsi="Arial" w:cs="Arial"/>
          <w:b/>
        </w:rPr>
        <w:t>2</w:t>
      </w:r>
      <w:r w:rsidR="004637B8" w:rsidRPr="009100C4">
        <w:rPr>
          <w:rFonts w:ascii="Arial" w:hAnsi="Arial" w:cs="Arial"/>
          <w:b/>
        </w:rPr>
        <w:t>.</w:t>
      </w:r>
      <w:r w:rsidR="007E6E6C" w:rsidRPr="009100C4">
        <w:rPr>
          <w:rFonts w:ascii="Arial" w:hAnsi="Arial" w:cs="Arial"/>
          <w:b/>
        </w:rPr>
        <w:t xml:space="preserve"> </w:t>
      </w:r>
      <w:r w:rsidR="007E6E6C" w:rsidRPr="009100C4">
        <w:rPr>
          <w:rFonts w:ascii="Arial" w:hAnsi="Arial" w:cs="Arial"/>
        </w:rPr>
        <w:t>(</w:t>
      </w:r>
      <w:r w:rsidR="007E6E6C" w:rsidRPr="009100C4">
        <w:rPr>
          <w:rFonts w:ascii="Arial" w:hAnsi="Arial" w:cs="Arial"/>
          <w:b/>
        </w:rPr>
        <w:t>A</w:t>
      </w:r>
      <w:r w:rsidR="007E6E6C" w:rsidRPr="009100C4">
        <w:rPr>
          <w:rFonts w:ascii="Arial" w:hAnsi="Arial" w:cs="Arial"/>
        </w:rPr>
        <w:t>) Estimated open probability of receptors. Currents have been normalized to 3 mM GABA. Data are shown as mean ± SEM, with n = 5 per group. (</w:t>
      </w:r>
      <w:r w:rsidR="007E6E6C" w:rsidRPr="009100C4">
        <w:rPr>
          <w:rFonts w:ascii="Arial" w:hAnsi="Arial" w:cs="Arial"/>
          <w:b/>
        </w:rPr>
        <w:t>B</w:t>
      </w:r>
      <w:r w:rsidR="007E6E6C" w:rsidRPr="009100C4">
        <w:rPr>
          <w:rFonts w:ascii="Arial" w:hAnsi="Arial" w:cs="Arial"/>
        </w:rPr>
        <w:t>) Concentration-response curves for CBD of currents evoked by 15 µM GABA (black) or 10 µM GABA with 1 µM clobazam (grey) at GABA</w:t>
      </w:r>
      <w:r w:rsidR="007E6E6C" w:rsidRPr="009100C4">
        <w:rPr>
          <w:rFonts w:ascii="Arial" w:hAnsi="Arial" w:cs="Arial"/>
          <w:vertAlign w:val="subscript"/>
        </w:rPr>
        <w:t>A</w:t>
      </w:r>
      <w:r w:rsidR="007E6E6C" w:rsidRPr="009100C4">
        <w:rPr>
          <w:rFonts w:ascii="Arial" w:hAnsi="Arial" w:cs="Arial"/>
        </w:rPr>
        <w:t xml:space="preserve"> receptor. Data are shown as mean ± SEM fit to the Hill equation, with n = 4 per group.</w:t>
      </w:r>
    </w:p>
    <w:p w14:paraId="17A3BCC4" w14:textId="77777777" w:rsidR="00967B40" w:rsidRPr="009100C4" w:rsidRDefault="00967B40" w:rsidP="00513B43">
      <w:pPr>
        <w:spacing w:after="0" w:line="480" w:lineRule="auto"/>
        <w:contextualSpacing/>
        <w:jc w:val="both"/>
        <w:outlineLvl w:val="0"/>
        <w:rPr>
          <w:rFonts w:ascii="Arial" w:hAnsi="Arial" w:cs="Arial"/>
          <w:b/>
        </w:rPr>
      </w:pPr>
    </w:p>
    <w:p w14:paraId="7F8D7BAC" w14:textId="18FE6D41" w:rsidR="00967B40" w:rsidRPr="009100C4" w:rsidRDefault="00967B40" w:rsidP="00513B43">
      <w:pPr>
        <w:spacing w:after="0" w:line="480" w:lineRule="auto"/>
        <w:contextualSpacing/>
        <w:jc w:val="both"/>
        <w:outlineLvl w:val="0"/>
        <w:rPr>
          <w:rFonts w:ascii="Arial" w:hAnsi="Arial" w:cs="Arial"/>
          <w:b/>
        </w:rPr>
      </w:pPr>
      <w:r w:rsidRPr="009100C4">
        <w:rPr>
          <w:rFonts w:ascii="Arial" w:hAnsi="Arial" w:cs="Arial"/>
          <w:b/>
        </w:rPr>
        <w:t>REFERENCES</w:t>
      </w:r>
    </w:p>
    <w:p w14:paraId="4CFD8976" w14:textId="3F0C945B" w:rsidR="00C00BB4" w:rsidRPr="00C00BB4" w:rsidRDefault="00967B40" w:rsidP="00C00BB4">
      <w:pPr>
        <w:widowControl w:val="0"/>
        <w:autoSpaceDE w:val="0"/>
        <w:autoSpaceDN w:val="0"/>
        <w:adjustRightInd w:val="0"/>
        <w:spacing w:after="0" w:line="480" w:lineRule="auto"/>
        <w:ind w:left="640" w:hanging="640"/>
        <w:rPr>
          <w:rFonts w:ascii="Arial" w:hAnsi="Arial"/>
          <w:noProof/>
          <w:szCs w:val="24"/>
        </w:rPr>
      </w:pPr>
      <w:r w:rsidRPr="009100C4">
        <w:rPr>
          <w:rFonts w:ascii="Arial" w:hAnsi="Arial" w:cs="Arial"/>
          <w:b/>
        </w:rPr>
        <w:fldChar w:fldCharType="begin" w:fldLock="1"/>
      </w:r>
      <w:r w:rsidRPr="009100C4">
        <w:rPr>
          <w:rFonts w:ascii="Arial" w:hAnsi="Arial" w:cs="Arial"/>
          <w:b/>
        </w:rPr>
        <w:instrText xml:space="preserve">ADDIN Mendeley Bibliography CSL_BIBLIOGRAPHY </w:instrText>
      </w:r>
      <w:r w:rsidRPr="009100C4">
        <w:rPr>
          <w:rFonts w:ascii="Arial" w:hAnsi="Arial" w:cs="Arial"/>
          <w:b/>
        </w:rPr>
        <w:fldChar w:fldCharType="separate"/>
      </w:r>
      <w:r w:rsidR="00C00BB4" w:rsidRPr="00C00BB4">
        <w:rPr>
          <w:rFonts w:ascii="Arial" w:hAnsi="Arial"/>
          <w:noProof/>
          <w:szCs w:val="24"/>
        </w:rPr>
        <w:t xml:space="preserve">1. </w:t>
      </w:r>
      <w:r w:rsidR="00C00BB4" w:rsidRPr="00C00BB4">
        <w:rPr>
          <w:rFonts w:ascii="Arial" w:hAnsi="Arial"/>
          <w:noProof/>
          <w:szCs w:val="24"/>
        </w:rPr>
        <w:tab/>
        <w:t xml:space="preserve">Miller AR, Hawkins NA, Mccollom CE, Kearney JA. Mapping genetic modifiers of survival in a mouse model of Dravet syndrome. </w:t>
      </w:r>
      <w:r w:rsidR="00C00BB4" w:rsidRPr="00C00BB4">
        <w:rPr>
          <w:rFonts w:ascii="Arial" w:hAnsi="Arial"/>
          <w:i/>
          <w:iCs/>
          <w:noProof/>
          <w:szCs w:val="24"/>
        </w:rPr>
        <w:t>Genes, Brain Behav</w:t>
      </w:r>
      <w:r w:rsidR="00C00BB4" w:rsidRPr="00C00BB4">
        <w:rPr>
          <w:rFonts w:ascii="Arial" w:hAnsi="Arial"/>
          <w:noProof/>
          <w:szCs w:val="24"/>
        </w:rPr>
        <w:t>. 2014. doi:10.1111/gbb.12099</w:t>
      </w:r>
    </w:p>
    <w:p w14:paraId="358F40D2" w14:textId="282FD9DD" w:rsidR="00C00BB4" w:rsidRPr="00C00BB4" w:rsidRDefault="00C00BB4" w:rsidP="00C00BB4">
      <w:pPr>
        <w:widowControl w:val="0"/>
        <w:autoSpaceDE w:val="0"/>
        <w:autoSpaceDN w:val="0"/>
        <w:adjustRightInd w:val="0"/>
        <w:spacing w:after="0" w:line="480" w:lineRule="auto"/>
        <w:ind w:left="640" w:hanging="640"/>
        <w:rPr>
          <w:rFonts w:ascii="Arial" w:hAnsi="Arial"/>
          <w:noProof/>
          <w:szCs w:val="24"/>
        </w:rPr>
      </w:pPr>
      <w:r w:rsidRPr="00C00BB4">
        <w:rPr>
          <w:rFonts w:ascii="Arial" w:hAnsi="Arial"/>
          <w:noProof/>
          <w:szCs w:val="24"/>
        </w:rPr>
        <w:t xml:space="preserve">2. </w:t>
      </w:r>
      <w:r w:rsidRPr="00C00BB4">
        <w:rPr>
          <w:rFonts w:ascii="Arial" w:hAnsi="Arial"/>
          <w:noProof/>
          <w:szCs w:val="24"/>
        </w:rPr>
        <w:tab/>
        <w:t>Jones E, Oliphant T, Peterson P, Others. SciPy.org. SciPy: Open source scientific tools for Python2.</w:t>
      </w:r>
      <w:r w:rsidR="00270FCC">
        <w:rPr>
          <w:rFonts w:ascii="Arial" w:hAnsi="Arial"/>
          <w:noProof/>
          <w:szCs w:val="24"/>
        </w:rPr>
        <w:t>2001.</w:t>
      </w:r>
    </w:p>
    <w:p w14:paraId="53B680AB" w14:textId="77777777" w:rsidR="00C00BB4" w:rsidRPr="00C00BB4" w:rsidRDefault="00C00BB4" w:rsidP="00C00BB4">
      <w:pPr>
        <w:widowControl w:val="0"/>
        <w:autoSpaceDE w:val="0"/>
        <w:autoSpaceDN w:val="0"/>
        <w:adjustRightInd w:val="0"/>
        <w:spacing w:after="0" w:line="480" w:lineRule="auto"/>
        <w:ind w:left="640" w:hanging="640"/>
        <w:rPr>
          <w:rFonts w:ascii="Arial" w:hAnsi="Arial"/>
          <w:noProof/>
          <w:szCs w:val="24"/>
        </w:rPr>
      </w:pPr>
      <w:r w:rsidRPr="00C00BB4">
        <w:rPr>
          <w:rFonts w:ascii="Arial" w:hAnsi="Arial"/>
          <w:noProof/>
          <w:szCs w:val="24"/>
        </w:rPr>
        <w:lastRenderedPageBreak/>
        <w:t xml:space="preserve">3. </w:t>
      </w:r>
      <w:r w:rsidRPr="00C00BB4">
        <w:rPr>
          <w:rFonts w:ascii="Arial" w:hAnsi="Arial"/>
          <w:noProof/>
          <w:szCs w:val="24"/>
        </w:rPr>
        <w:tab/>
        <w:t xml:space="preserve">Hawkins NA, Zachwieja NJ, Miller AR, Anderson LL, Kearney JA. Fine Mapping of a Dravet Syndrome Modifier Locus on Mouse Chromosome 5 and Candidate Gene Analysis by RNA-Seq. </w:t>
      </w:r>
      <w:r w:rsidRPr="00C00BB4">
        <w:rPr>
          <w:rFonts w:ascii="Arial" w:hAnsi="Arial"/>
          <w:i/>
          <w:iCs/>
          <w:noProof/>
          <w:szCs w:val="24"/>
        </w:rPr>
        <w:t>PLoS Genet</w:t>
      </w:r>
      <w:r w:rsidRPr="00C00BB4">
        <w:rPr>
          <w:rFonts w:ascii="Arial" w:hAnsi="Arial"/>
          <w:noProof/>
          <w:szCs w:val="24"/>
        </w:rPr>
        <w:t>. 2016. doi:10.1371/journal.pgen.1006398</w:t>
      </w:r>
    </w:p>
    <w:p w14:paraId="1B730BCC" w14:textId="77777777" w:rsidR="00C00BB4" w:rsidRPr="00C00BB4" w:rsidRDefault="00C00BB4" w:rsidP="00C00BB4">
      <w:pPr>
        <w:widowControl w:val="0"/>
        <w:autoSpaceDE w:val="0"/>
        <w:autoSpaceDN w:val="0"/>
        <w:adjustRightInd w:val="0"/>
        <w:spacing w:after="0" w:line="480" w:lineRule="auto"/>
        <w:ind w:left="640" w:hanging="640"/>
        <w:rPr>
          <w:rFonts w:ascii="Arial" w:hAnsi="Arial"/>
          <w:noProof/>
          <w:szCs w:val="24"/>
        </w:rPr>
      </w:pPr>
      <w:r w:rsidRPr="00C00BB4">
        <w:rPr>
          <w:rFonts w:ascii="Arial" w:hAnsi="Arial"/>
          <w:noProof/>
          <w:szCs w:val="24"/>
        </w:rPr>
        <w:t xml:space="preserve">4. </w:t>
      </w:r>
      <w:r w:rsidRPr="00C00BB4">
        <w:rPr>
          <w:rFonts w:ascii="Arial" w:hAnsi="Arial"/>
          <w:noProof/>
          <w:szCs w:val="24"/>
        </w:rPr>
        <w:tab/>
        <w:t xml:space="preserve">Hawkins NA, Anderson LL, Gertler TS, Laux L, George AL, Kearney JA. Screening of conventional anticonvulsants in a genetic mouse model of epilepsy. </w:t>
      </w:r>
      <w:r w:rsidRPr="00C00BB4">
        <w:rPr>
          <w:rFonts w:ascii="Arial" w:hAnsi="Arial"/>
          <w:i/>
          <w:iCs/>
          <w:noProof/>
          <w:szCs w:val="24"/>
        </w:rPr>
        <w:t>Ann Clin Transl Neurol</w:t>
      </w:r>
      <w:r w:rsidRPr="00C00BB4">
        <w:rPr>
          <w:rFonts w:ascii="Arial" w:hAnsi="Arial"/>
          <w:noProof/>
          <w:szCs w:val="24"/>
        </w:rPr>
        <w:t>. 2017. doi:10.1002/acn3.413</w:t>
      </w:r>
    </w:p>
    <w:p w14:paraId="27984543" w14:textId="77777777" w:rsidR="00C00BB4" w:rsidRPr="00C00BB4" w:rsidRDefault="00C00BB4" w:rsidP="00C00BB4">
      <w:pPr>
        <w:widowControl w:val="0"/>
        <w:autoSpaceDE w:val="0"/>
        <w:autoSpaceDN w:val="0"/>
        <w:adjustRightInd w:val="0"/>
        <w:spacing w:after="0" w:line="480" w:lineRule="auto"/>
        <w:ind w:left="640" w:hanging="640"/>
        <w:rPr>
          <w:rFonts w:ascii="Arial" w:hAnsi="Arial"/>
          <w:noProof/>
          <w:szCs w:val="24"/>
        </w:rPr>
      </w:pPr>
      <w:r w:rsidRPr="00C00BB4">
        <w:rPr>
          <w:rFonts w:ascii="Arial" w:hAnsi="Arial"/>
          <w:noProof/>
          <w:szCs w:val="24"/>
        </w:rPr>
        <w:t xml:space="preserve">5. </w:t>
      </w:r>
      <w:r w:rsidRPr="00C00BB4">
        <w:rPr>
          <w:rFonts w:ascii="Arial" w:hAnsi="Arial"/>
          <w:noProof/>
          <w:szCs w:val="24"/>
        </w:rPr>
        <w:tab/>
        <w:t xml:space="preserve">Deiana S, Watanabe A, Yamasaki Y, et al. Plasma and brain pharmacokinetic profile of cannabidiol (CBD), cannabidivarine (CBDV), Δ 9-tetrahydrocannabivarin (THCV) and cannabigerol (CBG) in rats and mice following oral and intraperitoneal administration and CBD action on obsessive-compulsive behav. </w:t>
      </w:r>
      <w:r w:rsidRPr="00C00BB4">
        <w:rPr>
          <w:rFonts w:ascii="Arial" w:hAnsi="Arial"/>
          <w:i/>
          <w:iCs/>
          <w:noProof/>
          <w:szCs w:val="24"/>
        </w:rPr>
        <w:t>Psychopharmacology (Berl)</w:t>
      </w:r>
      <w:r w:rsidRPr="00C00BB4">
        <w:rPr>
          <w:rFonts w:ascii="Arial" w:hAnsi="Arial"/>
          <w:noProof/>
          <w:szCs w:val="24"/>
        </w:rPr>
        <w:t>. 2012. doi:10.1007/s00213-011-2415-0</w:t>
      </w:r>
    </w:p>
    <w:p w14:paraId="17A5DF01" w14:textId="77777777" w:rsidR="00C00BB4" w:rsidRPr="00C00BB4" w:rsidRDefault="00C00BB4" w:rsidP="00C00BB4">
      <w:pPr>
        <w:widowControl w:val="0"/>
        <w:autoSpaceDE w:val="0"/>
        <w:autoSpaceDN w:val="0"/>
        <w:adjustRightInd w:val="0"/>
        <w:spacing w:after="0" w:line="480" w:lineRule="auto"/>
        <w:ind w:left="640" w:hanging="640"/>
        <w:rPr>
          <w:rFonts w:ascii="Arial" w:hAnsi="Arial"/>
          <w:noProof/>
          <w:szCs w:val="24"/>
        </w:rPr>
      </w:pPr>
      <w:r w:rsidRPr="00C00BB4">
        <w:rPr>
          <w:rFonts w:ascii="Arial" w:hAnsi="Arial"/>
          <w:noProof/>
          <w:szCs w:val="24"/>
        </w:rPr>
        <w:t xml:space="preserve">6. </w:t>
      </w:r>
      <w:r w:rsidRPr="00C00BB4">
        <w:rPr>
          <w:rFonts w:ascii="Arial" w:hAnsi="Arial"/>
          <w:noProof/>
          <w:szCs w:val="24"/>
        </w:rPr>
        <w:tab/>
        <w:t xml:space="preserve">Liao VWY, Chua HC, Kowal NM, Chebib M, Balle T, Ahring PK. Concatenated γ-aminobutyric acid type A receptors revisited: Finding order in chaos. </w:t>
      </w:r>
      <w:r w:rsidRPr="00C00BB4">
        <w:rPr>
          <w:rFonts w:ascii="Arial" w:hAnsi="Arial"/>
          <w:i/>
          <w:iCs/>
          <w:noProof/>
          <w:szCs w:val="24"/>
        </w:rPr>
        <w:t>J Gen Physiol</w:t>
      </w:r>
      <w:r w:rsidRPr="00C00BB4">
        <w:rPr>
          <w:rFonts w:ascii="Arial" w:hAnsi="Arial"/>
          <w:noProof/>
          <w:szCs w:val="24"/>
        </w:rPr>
        <w:t>. April 2019:jgp.201812133. doi:10.1085/jgp.201812133</w:t>
      </w:r>
    </w:p>
    <w:p w14:paraId="5168DDAA" w14:textId="77777777" w:rsidR="00C00BB4" w:rsidRPr="00C00BB4" w:rsidRDefault="00C00BB4" w:rsidP="00C00BB4">
      <w:pPr>
        <w:widowControl w:val="0"/>
        <w:autoSpaceDE w:val="0"/>
        <w:autoSpaceDN w:val="0"/>
        <w:adjustRightInd w:val="0"/>
        <w:spacing w:after="0" w:line="480" w:lineRule="auto"/>
        <w:ind w:left="640" w:hanging="640"/>
        <w:rPr>
          <w:rFonts w:ascii="Arial" w:hAnsi="Arial"/>
          <w:noProof/>
        </w:rPr>
      </w:pPr>
      <w:r w:rsidRPr="00C00BB4">
        <w:rPr>
          <w:rFonts w:ascii="Arial" w:hAnsi="Arial"/>
          <w:noProof/>
          <w:szCs w:val="24"/>
        </w:rPr>
        <w:t xml:space="preserve">7. </w:t>
      </w:r>
      <w:r w:rsidRPr="00C00BB4">
        <w:rPr>
          <w:rFonts w:ascii="Arial" w:hAnsi="Arial"/>
          <w:noProof/>
          <w:szCs w:val="24"/>
        </w:rPr>
        <w:tab/>
        <w:t xml:space="preserve">Chua HC, Absalom NL, Hanrahan JR, Viswas R, Chebib M. The Direct Actions of GABA, 2’-Methoxy-6-Methylflavone and General Anaesthetics at β3γ2L GABAA Receptors: Evidence for Receptors with Different Subunit Stoichiometries. Rudolph U, ed. </w:t>
      </w:r>
      <w:r w:rsidRPr="00C00BB4">
        <w:rPr>
          <w:rFonts w:ascii="Arial" w:hAnsi="Arial"/>
          <w:i/>
          <w:iCs/>
          <w:noProof/>
          <w:szCs w:val="24"/>
        </w:rPr>
        <w:t>PLoS One</w:t>
      </w:r>
      <w:r w:rsidRPr="00C00BB4">
        <w:rPr>
          <w:rFonts w:ascii="Arial" w:hAnsi="Arial"/>
          <w:noProof/>
          <w:szCs w:val="24"/>
        </w:rPr>
        <w:t>. 2015;10(10):e0141359. doi:10.1371/journal.pone.0141359</w:t>
      </w:r>
    </w:p>
    <w:p w14:paraId="71CE78D5" w14:textId="344CD776" w:rsidR="00967B40" w:rsidRDefault="00967B40" w:rsidP="00C00BB4">
      <w:pPr>
        <w:widowControl w:val="0"/>
        <w:autoSpaceDE w:val="0"/>
        <w:autoSpaceDN w:val="0"/>
        <w:adjustRightInd w:val="0"/>
        <w:spacing w:after="0" w:line="480" w:lineRule="auto"/>
        <w:ind w:left="640" w:hanging="640"/>
        <w:rPr>
          <w:rFonts w:ascii="Arial" w:hAnsi="Arial" w:cs="Arial"/>
          <w:b/>
        </w:rPr>
      </w:pPr>
      <w:r w:rsidRPr="009100C4">
        <w:rPr>
          <w:rFonts w:ascii="Arial" w:hAnsi="Arial" w:cs="Arial"/>
          <w:b/>
        </w:rPr>
        <w:fldChar w:fldCharType="end"/>
      </w:r>
    </w:p>
    <w:sectPr w:rsidR="00967B40" w:rsidSect="00C64B16">
      <w:footerReference w:type="default" r:id="rId13"/>
      <w:pgSz w:w="12240" w:h="15840" w:code="1"/>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935C95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1D34D" w14:textId="77777777" w:rsidR="00CF725E" w:rsidRDefault="00CF725E" w:rsidP="00C64B16">
      <w:pPr>
        <w:spacing w:after="0" w:line="240" w:lineRule="auto"/>
      </w:pPr>
      <w:r>
        <w:separator/>
      </w:r>
    </w:p>
  </w:endnote>
  <w:endnote w:type="continuationSeparator" w:id="0">
    <w:p w14:paraId="34A68DA6" w14:textId="77777777" w:rsidR="00CF725E" w:rsidRDefault="00CF725E" w:rsidP="00C6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9216D" w14:textId="77777777" w:rsidR="00CF725E" w:rsidRPr="00C64B16" w:rsidRDefault="00CF725E" w:rsidP="007D498E">
    <w:pPr>
      <w:pStyle w:val="Header"/>
      <w:jc w:val="right"/>
      <w:rPr>
        <w:rFonts w:ascii="Arial" w:hAnsi="Arial" w:cs="Arial"/>
        <w:i/>
        <w:sz w:val="20"/>
      </w:rPr>
    </w:pPr>
    <w:r w:rsidRPr="00C64B16">
      <w:rPr>
        <w:rFonts w:ascii="Arial" w:hAnsi="Arial" w:cs="Arial"/>
        <w:i/>
        <w:sz w:val="20"/>
      </w:rPr>
      <w:t xml:space="preserve">Anderson, et al., page </w:t>
    </w:r>
    <w:r w:rsidRPr="00C64B16">
      <w:rPr>
        <w:rFonts w:ascii="Arial" w:hAnsi="Arial" w:cs="Arial"/>
        <w:i/>
        <w:sz w:val="20"/>
      </w:rPr>
      <w:fldChar w:fldCharType="begin"/>
    </w:r>
    <w:r w:rsidRPr="00C64B16">
      <w:rPr>
        <w:rFonts w:ascii="Arial" w:hAnsi="Arial" w:cs="Arial"/>
        <w:i/>
        <w:sz w:val="20"/>
      </w:rPr>
      <w:instrText xml:space="preserve"> PAGE   \* MERGEFORMAT </w:instrText>
    </w:r>
    <w:r w:rsidRPr="00C64B16">
      <w:rPr>
        <w:rFonts w:ascii="Arial" w:hAnsi="Arial" w:cs="Arial"/>
        <w:i/>
        <w:sz w:val="20"/>
      </w:rPr>
      <w:fldChar w:fldCharType="separate"/>
    </w:r>
    <w:r w:rsidR="00D41652">
      <w:rPr>
        <w:rFonts w:ascii="Arial" w:hAnsi="Arial" w:cs="Arial"/>
        <w:i/>
        <w:noProof/>
        <w:sz w:val="20"/>
      </w:rPr>
      <w:t>4</w:t>
    </w:r>
    <w:r w:rsidRPr="00C64B16">
      <w:rPr>
        <w:rFonts w:ascii="Arial" w:hAnsi="Arial" w:cs="Arial"/>
        <w:i/>
        <w:noProof/>
        <w:sz w:val="20"/>
      </w:rPr>
      <w:fldChar w:fldCharType="end"/>
    </w:r>
  </w:p>
  <w:p w14:paraId="3AC44517" w14:textId="77777777" w:rsidR="00CF725E" w:rsidRDefault="00CF725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BAFE2" w14:textId="77777777" w:rsidR="00CF725E" w:rsidRDefault="00CF725E" w:rsidP="00C64B16">
      <w:pPr>
        <w:spacing w:after="0" w:line="240" w:lineRule="auto"/>
      </w:pPr>
      <w:r>
        <w:separator/>
      </w:r>
    </w:p>
  </w:footnote>
  <w:footnote w:type="continuationSeparator" w:id="0">
    <w:p w14:paraId="3ABE92EC" w14:textId="77777777" w:rsidR="00CF725E" w:rsidRDefault="00CF725E" w:rsidP="00C64B1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126C"/>
    <w:multiLevelType w:val="hybridMultilevel"/>
    <w:tmpl w:val="82488494"/>
    <w:lvl w:ilvl="0" w:tplc="1B9C986A">
      <w:start w:val="1"/>
      <w:numFmt w:val="decimal"/>
      <w:lvlText w:val="(%1)"/>
      <w:lvlJc w:val="left"/>
      <w:pPr>
        <w:ind w:left="1080" w:hanging="360"/>
      </w:pPr>
      <w:rPr>
        <w:rFonts w:hint="default"/>
        <w:b/>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73743C4"/>
    <w:multiLevelType w:val="multilevel"/>
    <w:tmpl w:val="D4D69C2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7961AF"/>
    <w:multiLevelType w:val="multilevel"/>
    <w:tmpl w:val="9372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wis martin">
    <w15:presenceInfo w15:providerId="None" w15:userId="lewis mart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Genetics&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0szfw5bewxs9e9xtkvzvp1ze9dr2a9wz2f&quot;&gt;ALG Lab Refs&lt;record-ids&gt;&lt;item&gt;3064&lt;/item&gt;&lt;item&gt;3553&lt;/item&gt;&lt;item&gt;4675&lt;/item&gt;&lt;item&gt;4723&lt;/item&gt;&lt;item&gt;5144&lt;/item&gt;&lt;item&gt;5327&lt;/item&gt;&lt;item&gt;5965&lt;/item&gt;&lt;item&gt;5986&lt;/item&gt;&lt;item&gt;5987&lt;/item&gt;&lt;item&gt;6028&lt;/item&gt;&lt;item&gt;6029&lt;/item&gt;&lt;item&gt;6033&lt;/item&gt;&lt;item&gt;6062&lt;/item&gt;&lt;item&gt;6063&lt;/item&gt;&lt;item&gt;6064&lt;/item&gt;&lt;item&gt;6065&lt;/item&gt;&lt;item&gt;6066&lt;/item&gt;&lt;item&gt;6067&lt;/item&gt;&lt;item&gt;6068&lt;/item&gt;&lt;item&gt;6069&lt;/item&gt;&lt;item&gt;6070&lt;/item&gt;&lt;item&gt;6071&lt;/item&gt;&lt;item&gt;6072&lt;/item&gt;&lt;item&gt;6073&lt;/item&gt;&lt;/record-ids&gt;&lt;/item&gt;&lt;/Libraries&gt;"/>
    <w:docVar w:name="REFMGR.InstantFormat" w:val="&lt;InstantFormat&gt;&lt;Enabled&gt;0&lt;/Enabled&gt;&lt;ScanUnformatted&gt;1&lt;/ScanUnformatted&gt;&lt;ScanChanges&gt;1&lt;/ScanChanges&gt;&lt;/InstantFormat&gt;"/>
    <w:docVar w:name="REFMGR.Layout" w:val="&lt;Layout&gt;&lt;StartingRefnum&gt;Nature&lt;/StartingRefnum&gt;&lt;FontName&gt;Arial&lt;/FontName&gt;&lt;FontSize&gt;11&lt;/FontSize&gt;&lt;ReflistTitle&gt;&lt;/ReflistTitle&gt;&lt;SpaceAfter&gt;1&lt;/SpaceAfter&gt;&lt;ReflistOrder&gt;0&lt;/ReflistOrder&gt;&lt;CitationOrder&gt;0&lt;/CitationOrder&gt;&lt;NumberReferences&gt;1&lt;/NumberReferences&gt;&lt;FirstLineIndent&gt;0&lt;/FirstLineIndent&gt;&lt;HangingIndent&gt;0&lt;/HangingIndent&gt;&lt;LineSpacing&gt;0&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alg lab refs&lt;/item&gt;&lt;/Libraries&gt;&lt;/Databases&gt;"/>
  </w:docVars>
  <w:rsids>
    <w:rsidRoot w:val="005B6DF8"/>
    <w:rsid w:val="00003064"/>
    <w:rsid w:val="000055A1"/>
    <w:rsid w:val="00006969"/>
    <w:rsid w:val="00007110"/>
    <w:rsid w:val="00007D98"/>
    <w:rsid w:val="00010054"/>
    <w:rsid w:val="000101DF"/>
    <w:rsid w:val="000102A2"/>
    <w:rsid w:val="0001152B"/>
    <w:rsid w:val="00012D81"/>
    <w:rsid w:val="000140FB"/>
    <w:rsid w:val="0001452F"/>
    <w:rsid w:val="0001602F"/>
    <w:rsid w:val="00017736"/>
    <w:rsid w:val="000241B6"/>
    <w:rsid w:val="00025073"/>
    <w:rsid w:val="00025EB5"/>
    <w:rsid w:val="0003056A"/>
    <w:rsid w:val="00031352"/>
    <w:rsid w:val="00033305"/>
    <w:rsid w:val="000333E0"/>
    <w:rsid w:val="000336E5"/>
    <w:rsid w:val="000339A6"/>
    <w:rsid w:val="000348D9"/>
    <w:rsid w:val="000352D1"/>
    <w:rsid w:val="00035A6C"/>
    <w:rsid w:val="00037164"/>
    <w:rsid w:val="00040657"/>
    <w:rsid w:val="00041503"/>
    <w:rsid w:val="00041C1B"/>
    <w:rsid w:val="0004237D"/>
    <w:rsid w:val="00044AFD"/>
    <w:rsid w:val="0004771B"/>
    <w:rsid w:val="000509B9"/>
    <w:rsid w:val="000516E7"/>
    <w:rsid w:val="00055E27"/>
    <w:rsid w:val="00057A3B"/>
    <w:rsid w:val="00057D1C"/>
    <w:rsid w:val="00061FA1"/>
    <w:rsid w:val="00062787"/>
    <w:rsid w:val="00062ABB"/>
    <w:rsid w:val="00065BB4"/>
    <w:rsid w:val="00066432"/>
    <w:rsid w:val="00067730"/>
    <w:rsid w:val="0007396C"/>
    <w:rsid w:val="00074FFC"/>
    <w:rsid w:val="0007597C"/>
    <w:rsid w:val="00075A65"/>
    <w:rsid w:val="00075EF2"/>
    <w:rsid w:val="00075F75"/>
    <w:rsid w:val="00077C1E"/>
    <w:rsid w:val="0008030E"/>
    <w:rsid w:val="000821E6"/>
    <w:rsid w:val="00082C41"/>
    <w:rsid w:val="00083664"/>
    <w:rsid w:val="00083899"/>
    <w:rsid w:val="00084175"/>
    <w:rsid w:val="00084C32"/>
    <w:rsid w:val="00084DD8"/>
    <w:rsid w:val="0008523A"/>
    <w:rsid w:val="00085341"/>
    <w:rsid w:val="00085405"/>
    <w:rsid w:val="0008604D"/>
    <w:rsid w:val="00086BC4"/>
    <w:rsid w:val="00086CB4"/>
    <w:rsid w:val="00091E5B"/>
    <w:rsid w:val="00091FB7"/>
    <w:rsid w:val="0009347E"/>
    <w:rsid w:val="000943F2"/>
    <w:rsid w:val="00095A0D"/>
    <w:rsid w:val="00095E72"/>
    <w:rsid w:val="00096A79"/>
    <w:rsid w:val="00097537"/>
    <w:rsid w:val="00097624"/>
    <w:rsid w:val="000A0213"/>
    <w:rsid w:val="000A25A3"/>
    <w:rsid w:val="000A4144"/>
    <w:rsid w:val="000A4839"/>
    <w:rsid w:val="000A5524"/>
    <w:rsid w:val="000A5DA0"/>
    <w:rsid w:val="000A60C2"/>
    <w:rsid w:val="000A653D"/>
    <w:rsid w:val="000A6722"/>
    <w:rsid w:val="000B15F4"/>
    <w:rsid w:val="000B16AE"/>
    <w:rsid w:val="000B1A97"/>
    <w:rsid w:val="000B2698"/>
    <w:rsid w:val="000B375F"/>
    <w:rsid w:val="000B3DA1"/>
    <w:rsid w:val="000B3E8D"/>
    <w:rsid w:val="000B4244"/>
    <w:rsid w:val="000B48C9"/>
    <w:rsid w:val="000B4A1A"/>
    <w:rsid w:val="000B60E3"/>
    <w:rsid w:val="000B71A3"/>
    <w:rsid w:val="000C1699"/>
    <w:rsid w:val="000C2A88"/>
    <w:rsid w:val="000C3E0D"/>
    <w:rsid w:val="000C40A0"/>
    <w:rsid w:val="000C6E0C"/>
    <w:rsid w:val="000C79EB"/>
    <w:rsid w:val="000D1075"/>
    <w:rsid w:val="000D1625"/>
    <w:rsid w:val="000D328A"/>
    <w:rsid w:val="000D38F7"/>
    <w:rsid w:val="000D3DF8"/>
    <w:rsid w:val="000D3F55"/>
    <w:rsid w:val="000D4299"/>
    <w:rsid w:val="000D45B7"/>
    <w:rsid w:val="000D6091"/>
    <w:rsid w:val="000D615B"/>
    <w:rsid w:val="000D63F0"/>
    <w:rsid w:val="000D6C9F"/>
    <w:rsid w:val="000E0CBB"/>
    <w:rsid w:val="000E14AE"/>
    <w:rsid w:val="000E21D1"/>
    <w:rsid w:val="000E2DEA"/>
    <w:rsid w:val="000E3216"/>
    <w:rsid w:val="000E3D95"/>
    <w:rsid w:val="000E457F"/>
    <w:rsid w:val="000E4918"/>
    <w:rsid w:val="000E4D4D"/>
    <w:rsid w:val="000E5AC4"/>
    <w:rsid w:val="000E5D4B"/>
    <w:rsid w:val="000E5F22"/>
    <w:rsid w:val="000E6A27"/>
    <w:rsid w:val="000E6FDF"/>
    <w:rsid w:val="000E72F9"/>
    <w:rsid w:val="000F0B80"/>
    <w:rsid w:val="000F0BC5"/>
    <w:rsid w:val="000F1695"/>
    <w:rsid w:val="000F3215"/>
    <w:rsid w:val="000F3890"/>
    <w:rsid w:val="000F4DD1"/>
    <w:rsid w:val="000F4F05"/>
    <w:rsid w:val="000F53FA"/>
    <w:rsid w:val="000F5457"/>
    <w:rsid w:val="000F6A5F"/>
    <w:rsid w:val="000F6E85"/>
    <w:rsid w:val="00101CB6"/>
    <w:rsid w:val="001030AB"/>
    <w:rsid w:val="00103647"/>
    <w:rsid w:val="00103715"/>
    <w:rsid w:val="00104E32"/>
    <w:rsid w:val="001051F4"/>
    <w:rsid w:val="0010662F"/>
    <w:rsid w:val="00106F9A"/>
    <w:rsid w:val="00107191"/>
    <w:rsid w:val="0010753D"/>
    <w:rsid w:val="00107A7A"/>
    <w:rsid w:val="00107F75"/>
    <w:rsid w:val="001118D1"/>
    <w:rsid w:val="00111C4A"/>
    <w:rsid w:val="00111D81"/>
    <w:rsid w:val="001127B8"/>
    <w:rsid w:val="00113F27"/>
    <w:rsid w:val="00115D6C"/>
    <w:rsid w:val="00116D2C"/>
    <w:rsid w:val="00116F38"/>
    <w:rsid w:val="00117477"/>
    <w:rsid w:val="001207DE"/>
    <w:rsid w:val="00120B19"/>
    <w:rsid w:val="001211C6"/>
    <w:rsid w:val="001235E1"/>
    <w:rsid w:val="00124C53"/>
    <w:rsid w:val="00124C8E"/>
    <w:rsid w:val="00125C8C"/>
    <w:rsid w:val="00130553"/>
    <w:rsid w:val="0013196A"/>
    <w:rsid w:val="001324A8"/>
    <w:rsid w:val="00133855"/>
    <w:rsid w:val="00135438"/>
    <w:rsid w:val="00135662"/>
    <w:rsid w:val="00140D54"/>
    <w:rsid w:val="00141B8E"/>
    <w:rsid w:val="001437AD"/>
    <w:rsid w:val="0014532E"/>
    <w:rsid w:val="00145837"/>
    <w:rsid w:val="00145C0A"/>
    <w:rsid w:val="00146DCF"/>
    <w:rsid w:val="00146F33"/>
    <w:rsid w:val="00146FB1"/>
    <w:rsid w:val="00147B80"/>
    <w:rsid w:val="00147C2C"/>
    <w:rsid w:val="00151543"/>
    <w:rsid w:val="00155856"/>
    <w:rsid w:val="00156D82"/>
    <w:rsid w:val="00157D77"/>
    <w:rsid w:val="0016057B"/>
    <w:rsid w:val="00162AD2"/>
    <w:rsid w:val="00162E1A"/>
    <w:rsid w:val="00163290"/>
    <w:rsid w:val="00163451"/>
    <w:rsid w:val="00163F9E"/>
    <w:rsid w:val="00165EDE"/>
    <w:rsid w:val="0016783D"/>
    <w:rsid w:val="001705F2"/>
    <w:rsid w:val="0017104F"/>
    <w:rsid w:val="0017109A"/>
    <w:rsid w:val="0017135E"/>
    <w:rsid w:val="00171806"/>
    <w:rsid w:val="00172312"/>
    <w:rsid w:val="00175050"/>
    <w:rsid w:val="0017506D"/>
    <w:rsid w:val="00175F29"/>
    <w:rsid w:val="0017666B"/>
    <w:rsid w:val="001773D4"/>
    <w:rsid w:val="00177DBB"/>
    <w:rsid w:val="00183EAD"/>
    <w:rsid w:val="00184769"/>
    <w:rsid w:val="0018553A"/>
    <w:rsid w:val="00185657"/>
    <w:rsid w:val="0018650D"/>
    <w:rsid w:val="001866DB"/>
    <w:rsid w:val="00190B0C"/>
    <w:rsid w:val="00192BB1"/>
    <w:rsid w:val="00192C8D"/>
    <w:rsid w:val="001946FA"/>
    <w:rsid w:val="0019591C"/>
    <w:rsid w:val="00195B91"/>
    <w:rsid w:val="001964F0"/>
    <w:rsid w:val="001965DB"/>
    <w:rsid w:val="00197C85"/>
    <w:rsid w:val="001A1E0B"/>
    <w:rsid w:val="001A2C04"/>
    <w:rsid w:val="001A3448"/>
    <w:rsid w:val="001A4F37"/>
    <w:rsid w:val="001A5423"/>
    <w:rsid w:val="001B1079"/>
    <w:rsid w:val="001B15F3"/>
    <w:rsid w:val="001B1E69"/>
    <w:rsid w:val="001B5993"/>
    <w:rsid w:val="001B7AC1"/>
    <w:rsid w:val="001C0969"/>
    <w:rsid w:val="001C163D"/>
    <w:rsid w:val="001C1EEC"/>
    <w:rsid w:val="001C2515"/>
    <w:rsid w:val="001C5E12"/>
    <w:rsid w:val="001D0709"/>
    <w:rsid w:val="001D1FB7"/>
    <w:rsid w:val="001D3430"/>
    <w:rsid w:val="001D3A5F"/>
    <w:rsid w:val="001D3CE5"/>
    <w:rsid w:val="001D42DA"/>
    <w:rsid w:val="001D637D"/>
    <w:rsid w:val="001D6C80"/>
    <w:rsid w:val="001E00DA"/>
    <w:rsid w:val="001E049F"/>
    <w:rsid w:val="001E0A9D"/>
    <w:rsid w:val="001E0BB1"/>
    <w:rsid w:val="001E1CD7"/>
    <w:rsid w:val="001E339B"/>
    <w:rsid w:val="001E3B95"/>
    <w:rsid w:val="001E4679"/>
    <w:rsid w:val="001E4786"/>
    <w:rsid w:val="001E4F95"/>
    <w:rsid w:val="001E63A9"/>
    <w:rsid w:val="001E69A4"/>
    <w:rsid w:val="001E78E7"/>
    <w:rsid w:val="001F05CC"/>
    <w:rsid w:val="001F1FC5"/>
    <w:rsid w:val="001F2BB2"/>
    <w:rsid w:val="001F4B98"/>
    <w:rsid w:val="001F51B3"/>
    <w:rsid w:val="001F583D"/>
    <w:rsid w:val="001F7DB3"/>
    <w:rsid w:val="0020124A"/>
    <w:rsid w:val="00201F4C"/>
    <w:rsid w:val="002031B0"/>
    <w:rsid w:val="002035D0"/>
    <w:rsid w:val="002048B3"/>
    <w:rsid w:val="00207357"/>
    <w:rsid w:val="002107B6"/>
    <w:rsid w:val="00211F28"/>
    <w:rsid w:val="00212445"/>
    <w:rsid w:val="002153E5"/>
    <w:rsid w:val="002153EE"/>
    <w:rsid w:val="00217390"/>
    <w:rsid w:val="00221437"/>
    <w:rsid w:val="002222E7"/>
    <w:rsid w:val="0022473C"/>
    <w:rsid w:val="00225610"/>
    <w:rsid w:val="00225782"/>
    <w:rsid w:val="00226422"/>
    <w:rsid w:val="002269F6"/>
    <w:rsid w:val="00232D8C"/>
    <w:rsid w:val="0023518E"/>
    <w:rsid w:val="0023659B"/>
    <w:rsid w:val="00236B8A"/>
    <w:rsid w:val="00237E8A"/>
    <w:rsid w:val="00240763"/>
    <w:rsid w:val="00241E5C"/>
    <w:rsid w:val="00242170"/>
    <w:rsid w:val="002422B5"/>
    <w:rsid w:val="002467CD"/>
    <w:rsid w:val="00247F9F"/>
    <w:rsid w:val="00251541"/>
    <w:rsid w:val="002529A6"/>
    <w:rsid w:val="00253241"/>
    <w:rsid w:val="00254BA0"/>
    <w:rsid w:val="00255024"/>
    <w:rsid w:val="00255A9B"/>
    <w:rsid w:val="00256243"/>
    <w:rsid w:val="0025751A"/>
    <w:rsid w:val="00260B34"/>
    <w:rsid w:val="00261F2C"/>
    <w:rsid w:val="002623BC"/>
    <w:rsid w:val="00264D0E"/>
    <w:rsid w:val="002658EF"/>
    <w:rsid w:val="0026696B"/>
    <w:rsid w:val="00267CB7"/>
    <w:rsid w:val="00270FCC"/>
    <w:rsid w:val="002720E1"/>
    <w:rsid w:val="00272731"/>
    <w:rsid w:val="0027385A"/>
    <w:rsid w:val="00275425"/>
    <w:rsid w:val="00277219"/>
    <w:rsid w:val="00277F13"/>
    <w:rsid w:val="002803E4"/>
    <w:rsid w:val="00280CB1"/>
    <w:rsid w:val="0028181B"/>
    <w:rsid w:val="00282C3C"/>
    <w:rsid w:val="00282D57"/>
    <w:rsid w:val="0028301C"/>
    <w:rsid w:val="002845CD"/>
    <w:rsid w:val="00284B67"/>
    <w:rsid w:val="00285AE8"/>
    <w:rsid w:val="00290EA1"/>
    <w:rsid w:val="0029109A"/>
    <w:rsid w:val="00291E38"/>
    <w:rsid w:val="00291FF1"/>
    <w:rsid w:val="00293739"/>
    <w:rsid w:val="002941E1"/>
    <w:rsid w:val="002958C8"/>
    <w:rsid w:val="00296378"/>
    <w:rsid w:val="0029656F"/>
    <w:rsid w:val="0029707E"/>
    <w:rsid w:val="002A0C16"/>
    <w:rsid w:val="002A13FD"/>
    <w:rsid w:val="002A15F3"/>
    <w:rsid w:val="002A16EA"/>
    <w:rsid w:val="002A174C"/>
    <w:rsid w:val="002A4B66"/>
    <w:rsid w:val="002A7422"/>
    <w:rsid w:val="002A7E3E"/>
    <w:rsid w:val="002A7F8B"/>
    <w:rsid w:val="002B1082"/>
    <w:rsid w:val="002B1D72"/>
    <w:rsid w:val="002B1EF3"/>
    <w:rsid w:val="002B39BA"/>
    <w:rsid w:val="002B5BCA"/>
    <w:rsid w:val="002B5E9E"/>
    <w:rsid w:val="002B6354"/>
    <w:rsid w:val="002B798E"/>
    <w:rsid w:val="002B7C22"/>
    <w:rsid w:val="002B7C79"/>
    <w:rsid w:val="002C007D"/>
    <w:rsid w:val="002C05C7"/>
    <w:rsid w:val="002C1A0B"/>
    <w:rsid w:val="002C1DE7"/>
    <w:rsid w:val="002C294E"/>
    <w:rsid w:val="002C2F47"/>
    <w:rsid w:val="002C3EA3"/>
    <w:rsid w:val="002C437A"/>
    <w:rsid w:val="002C650C"/>
    <w:rsid w:val="002C662C"/>
    <w:rsid w:val="002D0006"/>
    <w:rsid w:val="002D0454"/>
    <w:rsid w:val="002D124B"/>
    <w:rsid w:val="002D1746"/>
    <w:rsid w:val="002D18DA"/>
    <w:rsid w:val="002D1CDB"/>
    <w:rsid w:val="002D255B"/>
    <w:rsid w:val="002D26C6"/>
    <w:rsid w:val="002D2D0E"/>
    <w:rsid w:val="002D4934"/>
    <w:rsid w:val="002D4E09"/>
    <w:rsid w:val="002D50FE"/>
    <w:rsid w:val="002D526E"/>
    <w:rsid w:val="002E11F5"/>
    <w:rsid w:val="002E44E9"/>
    <w:rsid w:val="002E5237"/>
    <w:rsid w:val="002E5B82"/>
    <w:rsid w:val="002E6DBB"/>
    <w:rsid w:val="002F1F2E"/>
    <w:rsid w:val="002F3D3F"/>
    <w:rsid w:val="002F3D41"/>
    <w:rsid w:val="002F4C1F"/>
    <w:rsid w:val="002F58E0"/>
    <w:rsid w:val="002F74C8"/>
    <w:rsid w:val="002F7A8B"/>
    <w:rsid w:val="00301382"/>
    <w:rsid w:val="003024B4"/>
    <w:rsid w:val="003056C8"/>
    <w:rsid w:val="00305E5E"/>
    <w:rsid w:val="00305F80"/>
    <w:rsid w:val="003077FB"/>
    <w:rsid w:val="003106A9"/>
    <w:rsid w:val="00311098"/>
    <w:rsid w:val="003131B3"/>
    <w:rsid w:val="00313503"/>
    <w:rsid w:val="0031371B"/>
    <w:rsid w:val="00314790"/>
    <w:rsid w:val="00314CDF"/>
    <w:rsid w:val="00316004"/>
    <w:rsid w:val="00316642"/>
    <w:rsid w:val="00317A3B"/>
    <w:rsid w:val="00317A7B"/>
    <w:rsid w:val="00320C89"/>
    <w:rsid w:val="003231C5"/>
    <w:rsid w:val="00323C1E"/>
    <w:rsid w:val="003247D3"/>
    <w:rsid w:val="00327219"/>
    <w:rsid w:val="00330998"/>
    <w:rsid w:val="0033192F"/>
    <w:rsid w:val="0033229D"/>
    <w:rsid w:val="0033270F"/>
    <w:rsid w:val="00333736"/>
    <w:rsid w:val="00334406"/>
    <w:rsid w:val="00334532"/>
    <w:rsid w:val="00334BA0"/>
    <w:rsid w:val="00335885"/>
    <w:rsid w:val="003358EB"/>
    <w:rsid w:val="00337091"/>
    <w:rsid w:val="00337682"/>
    <w:rsid w:val="003419D7"/>
    <w:rsid w:val="003446F5"/>
    <w:rsid w:val="0034605C"/>
    <w:rsid w:val="00346359"/>
    <w:rsid w:val="00346E93"/>
    <w:rsid w:val="00347AF3"/>
    <w:rsid w:val="00350023"/>
    <w:rsid w:val="00350F18"/>
    <w:rsid w:val="00351F73"/>
    <w:rsid w:val="00352013"/>
    <w:rsid w:val="003522FA"/>
    <w:rsid w:val="003533E9"/>
    <w:rsid w:val="0035370F"/>
    <w:rsid w:val="003538F1"/>
    <w:rsid w:val="00353B54"/>
    <w:rsid w:val="003547A9"/>
    <w:rsid w:val="00355E03"/>
    <w:rsid w:val="003610A0"/>
    <w:rsid w:val="0036124F"/>
    <w:rsid w:val="003620D9"/>
    <w:rsid w:val="00362BAD"/>
    <w:rsid w:val="00362C4A"/>
    <w:rsid w:val="00362E03"/>
    <w:rsid w:val="00363296"/>
    <w:rsid w:val="00364D6B"/>
    <w:rsid w:val="00364F30"/>
    <w:rsid w:val="00364FB6"/>
    <w:rsid w:val="00365A95"/>
    <w:rsid w:val="003679F4"/>
    <w:rsid w:val="003701DD"/>
    <w:rsid w:val="0037064B"/>
    <w:rsid w:val="00371700"/>
    <w:rsid w:val="003737C7"/>
    <w:rsid w:val="00375BA0"/>
    <w:rsid w:val="00376F26"/>
    <w:rsid w:val="0038255A"/>
    <w:rsid w:val="00385330"/>
    <w:rsid w:val="003866A7"/>
    <w:rsid w:val="003867EE"/>
    <w:rsid w:val="00387785"/>
    <w:rsid w:val="003878B1"/>
    <w:rsid w:val="0039023E"/>
    <w:rsid w:val="0039069A"/>
    <w:rsid w:val="0039081C"/>
    <w:rsid w:val="00390A12"/>
    <w:rsid w:val="00392513"/>
    <w:rsid w:val="003929A4"/>
    <w:rsid w:val="00393D86"/>
    <w:rsid w:val="00394578"/>
    <w:rsid w:val="003946FA"/>
    <w:rsid w:val="0039737A"/>
    <w:rsid w:val="003975FC"/>
    <w:rsid w:val="003976AC"/>
    <w:rsid w:val="00397E65"/>
    <w:rsid w:val="003A00B2"/>
    <w:rsid w:val="003A0787"/>
    <w:rsid w:val="003A1782"/>
    <w:rsid w:val="003A4365"/>
    <w:rsid w:val="003A6567"/>
    <w:rsid w:val="003A7281"/>
    <w:rsid w:val="003A7A72"/>
    <w:rsid w:val="003B0BD3"/>
    <w:rsid w:val="003B11C2"/>
    <w:rsid w:val="003B156A"/>
    <w:rsid w:val="003B2A42"/>
    <w:rsid w:val="003B3A81"/>
    <w:rsid w:val="003B4084"/>
    <w:rsid w:val="003B511F"/>
    <w:rsid w:val="003B5800"/>
    <w:rsid w:val="003B64DD"/>
    <w:rsid w:val="003C06AA"/>
    <w:rsid w:val="003C276A"/>
    <w:rsid w:val="003C3085"/>
    <w:rsid w:val="003C3D45"/>
    <w:rsid w:val="003C41D7"/>
    <w:rsid w:val="003C49AB"/>
    <w:rsid w:val="003C54ED"/>
    <w:rsid w:val="003C6CDF"/>
    <w:rsid w:val="003C7570"/>
    <w:rsid w:val="003C7D5C"/>
    <w:rsid w:val="003C7F13"/>
    <w:rsid w:val="003C7FD8"/>
    <w:rsid w:val="003D1AEF"/>
    <w:rsid w:val="003D1D4D"/>
    <w:rsid w:val="003D2161"/>
    <w:rsid w:val="003D29FC"/>
    <w:rsid w:val="003D3458"/>
    <w:rsid w:val="003D377E"/>
    <w:rsid w:val="003D5327"/>
    <w:rsid w:val="003D6295"/>
    <w:rsid w:val="003D7A0E"/>
    <w:rsid w:val="003E125D"/>
    <w:rsid w:val="003E17FA"/>
    <w:rsid w:val="003E413E"/>
    <w:rsid w:val="003E5E5F"/>
    <w:rsid w:val="003E683A"/>
    <w:rsid w:val="003E7AB5"/>
    <w:rsid w:val="003F00C8"/>
    <w:rsid w:val="003F123E"/>
    <w:rsid w:val="003F1582"/>
    <w:rsid w:val="003F2600"/>
    <w:rsid w:val="003F262A"/>
    <w:rsid w:val="003F2661"/>
    <w:rsid w:val="003F2D1B"/>
    <w:rsid w:val="003F3E7A"/>
    <w:rsid w:val="003F3EFE"/>
    <w:rsid w:val="003F561F"/>
    <w:rsid w:val="003F5DDF"/>
    <w:rsid w:val="003F60EC"/>
    <w:rsid w:val="0040022C"/>
    <w:rsid w:val="004002F3"/>
    <w:rsid w:val="00402A7A"/>
    <w:rsid w:val="00404783"/>
    <w:rsid w:val="004060A4"/>
    <w:rsid w:val="00406373"/>
    <w:rsid w:val="00407042"/>
    <w:rsid w:val="004071FD"/>
    <w:rsid w:val="00407565"/>
    <w:rsid w:val="004106E1"/>
    <w:rsid w:val="00411462"/>
    <w:rsid w:val="0041175C"/>
    <w:rsid w:val="00411B49"/>
    <w:rsid w:val="00411D80"/>
    <w:rsid w:val="004120FF"/>
    <w:rsid w:val="0041271C"/>
    <w:rsid w:val="00413568"/>
    <w:rsid w:val="004159A4"/>
    <w:rsid w:val="00415F63"/>
    <w:rsid w:val="00415FB6"/>
    <w:rsid w:val="00416221"/>
    <w:rsid w:val="00416780"/>
    <w:rsid w:val="0041697B"/>
    <w:rsid w:val="00417415"/>
    <w:rsid w:val="0041791A"/>
    <w:rsid w:val="00417A39"/>
    <w:rsid w:val="00423D52"/>
    <w:rsid w:val="00424AC6"/>
    <w:rsid w:val="00425328"/>
    <w:rsid w:val="00426E19"/>
    <w:rsid w:val="00427229"/>
    <w:rsid w:val="00427DAF"/>
    <w:rsid w:val="0043077E"/>
    <w:rsid w:val="0043295D"/>
    <w:rsid w:val="00433411"/>
    <w:rsid w:val="004338B3"/>
    <w:rsid w:val="004357A0"/>
    <w:rsid w:val="00437946"/>
    <w:rsid w:val="0044000F"/>
    <w:rsid w:val="004406A0"/>
    <w:rsid w:val="00440F00"/>
    <w:rsid w:val="0044219E"/>
    <w:rsid w:val="004432CB"/>
    <w:rsid w:val="00443DCD"/>
    <w:rsid w:val="004452A7"/>
    <w:rsid w:val="00445C0D"/>
    <w:rsid w:val="00445F56"/>
    <w:rsid w:val="00446BCC"/>
    <w:rsid w:val="00451B08"/>
    <w:rsid w:val="00452A2F"/>
    <w:rsid w:val="00452EA8"/>
    <w:rsid w:val="00453C1E"/>
    <w:rsid w:val="004544B1"/>
    <w:rsid w:val="0045463C"/>
    <w:rsid w:val="00455389"/>
    <w:rsid w:val="00456FC5"/>
    <w:rsid w:val="00457EB4"/>
    <w:rsid w:val="0046088B"/>
    <w:rsid w:val="00460B69"/>
    <w:rsid w:val="004614A3"/>
    <w:rsid w:val="004637B8"/>
    <w:rsid w:val="00463AE0"/>
    <w:rsid w:val="004642B3"/>
    <w:rsid w:val="00465A55"/>
    <w:rsid w:val="00465F56"/>
    <w:rsid w:val="0046672B"/>
    <w:rsid w:val="004667A5"/>
    <w:rsid w:val="00466CB0"/>
    <w:rsid w:val="00467965"/>
    <w:rsid w:val="00467DB9"/>
    <w:rsid w:val="00470374"/>
    <w:rsid w:val="00472977"/>
    <w:rsid w:val="004731D1"/>
    <w:rsid w:val="00473773"/>
    <w:rsid w:val="00473E47"/>
    <w:rsid w:val="00474112"/>
    <w:rsid w:val="00474512"/>
    <w:rsid w:val="0047587B"/>
    <w:rsid w:val="00475F95"/>
    <w:rsid w:val="00476D7D"/>
    <w:rsid w:val="004807E7"/>
    <w:rsid w:val="004815FE"/>
    <w:rsid w:val="00481BAD"/>
    <w:rsid w:val="00481D50"/>
    <w:rsid w:val="0048271B"/>
    <w:rsid w:val="00484E13"/>
    <w:rsid w:val="00487A64"/>
    <w:rsid w:val="00490CF4"/>
    <w:rsid w:val="00492449"/>
    <w:rsid w:val="004936F0"/>
    <w:rsid w:val="00494CFA"/>
    <w:rsid w:val="0049506F"/>
    <w:rsid w:val="004952CE"/>
    <w:rsid w:val="00496C3A"/>
    <w:rsid w:val="00496C9D"/>
    <w:rsid w:val="00497873"/>
    <w:rsid w:val="004979F2"/>
    <w:rsid w:val="00497A76"/>
    <w:rsid w:val="004A0965"/>
    <w:rsid w:val="004A11E8"/>
    <w:rsid w:val="004A2955"/>
    <w:rsid w:val="004A3C90"/>
    <w:rsid w:val="004A6B5F"/>
    <w:rsid w:val="004A6F33"/>
    <w:rsid w:val="004A7E8E"/>
    <w:rsid w:val="004A7EFA"/>
    <w:rsid w:val="004B000C"/>
    <w:rsid w:val="004B099F"/>
    <w:rsid w:val="004B0E0E"/>
    <w:rsid w:val="004B1319"/>
    <w:rsid w:val="004B2174"/>
    <w:rsid w:val="004B25F8"/>
    <w:rsid w:val="004B592F"/>
    <w:rsid w:val="004B6244"/>
    <w:rsid w:val="004B65F4"/>
    <w:rsid w:val="004B77D9"/>
    <w:rsid w:val="004C1700"/>
    <w:rsid w:val="004C2BA5"/>
    <w:rsid w:val="004C3F33"/>
    <w:rsid w:val="004C65CC"/>
    <w:rsid w:val="004D24B6"/>
    <w:rsid w:val="004D2593"/>
    <w:rsid w:val="004D3675"/>
    <w:rsid w:val="004D4182"/>
    <w:rsid w:val="004D486C"/>
    <w:rsid w:val="004D6CF8"/>
    <w:rsid w:val="004D73BE"/>
    <w:rsid w:val="004E1955"/>
    <w:rsid w:val="004E1B25"/>
    <w:rsid w:val="004E2142"/>
    <w:rsid w:val="004E27A7"/>
    <w:rsid w:val="004E27A8"/>
    <w:rsid w:val="004E5BF9"/>
    <w:rsid w:val="004E6173"/>
    <w:rsid w:val="004E6D2C"/>
    <w:rsid w:val="004E7950"/>
    <w:rsid w:val="004E79AD"/>
    <w:rsid w:val="004F0FDE"/>
    <w:rsid w:val="004F3DB1"/>
    <w:rsid w:val="004F602D"/>
    <w:rsid w:val="005003BA"/>
    <w:rsid w:val="00501094"/>
    <w:rsid w:val="00502FCC"/>
    <w:rsid w:val="0050495E"/>
    <w:rsid w:val="00504D99"/>
    <w:rsid w:val="00505C8F"/>
    <w:rsid w:val="0050682F"/>
    <w:rsid w:val="00510633"/>
    <w:rsid w:val="00510F6B"/>
    <w:rsid w:val="00511305"/>
    <w:rsid w:val="0051208F"/>
    <w:rsid w:val="00512E8E"/>
    <w:rsid w:val="00513B43"/>
    <w:rsid w:val="00513C29"/>
    <w:rsid w:val="005154E4"/>
    <w:rsid w:val="0051664C"/>
    <w:rsid w:val="00517023"/>
    <w:rsid w:val="00517436"/>
    <w:rsid w:val="005201CC"/>
    <w:rsid w:val="005211E4"/>
    <w:rsid w:val="0052257A"/>
    <w:rsid w:val="005234FB"/>
    <w:rsid w:val="005240F8"/>
    <w:rsid w:val="005252F0"/>
    <w:rsid w:val="00525C41"/>
    <w:rsid w:val="0052682C"/>
    <w:rsid w:val="00526927"/>
    <w:rsid w:val="00530258"/>
    <w:rsid w:val="00531D75"/>
    <w:rsid w:val="005341A1"/>
    <w:rsid w:val="0053450D"/>
    <w:rsid w:val="00534B44"/>
    <w:rsid w:val="00536788"/>
    <w:rsid w:val="00536A93"/>
    <w:rsid w:val="00536FBD"/>
    <w:rsid w:val="005371F8"/>
    <w:rsid w:val="00537435"/>
    <w:rsid w:val="00540D39"/>
    <w:rsid w:val="00540E7E"/>
    <w:rsid w:val="00541AF0"/>
    <w:rsid w:val="005435BC"/>
    <w:rsid w:val="00543DE8"/>
    <w:rsid w:val="00544C7E"/>
    <w:rsid w:val="00544E97"/>
    <w:rsid w:val="00544ECB"/>
    <w:rsid w:val="0054586B"/>
    <w:rsid w:val="005502EA"/>
    <w:rsid w:val="00551761"/>
    <w:rsid w:val="005542D6"/>
    <w:rsid w:val="00555567"/>
    <w:rsid w:val="005607FD"/>
    <w:rsid w:val="005611F5"/>
    <w:rsid w:val="005659B0"/>
    <w:rsid w:val="005661E8"/>
    <w:rsid w:val="0056644B"/>
    <w:rsid w:val="00570165"/>
    <w:rsid w:val="005715E8"/>
    <w:rsid w:val="00572113"/>
    <w:rsid w:val="00573785"/>
    <w:rsid w:val="00574A7C"/>
    <w:rsid w:val="00574B34"/>
    <w:rsid w:val="005758E5"/>
    <w:rsid w:val="00576B44"/>
    <w:rsid w:val="00577588"/>
    <w:rsid w:val="00582C3D"/>
    <w:rsid w:val="00583F98"/>
    <w:rsid w:val="00584A85"/>
    <w:rsid w:val="00584D8F"/>
    <w:rsid w:val="005851D7"/>
    <w:rsid w:val="00586ADD"/>
    <w:rsid w:val="00586B19"/>
    <w:rsid w:val="00587226"/>
    <w:rsid w:val="00591985"/>
    <w:rsid w:val="00591DDC"/>
    <w:rsid w:val="00592FFE"/>
    <w:rsid w:val="005931BF"/>
    <w:rsid w:val="005948D9"/>
    <w:rsid w:val="00594B1C"/>
    <w:rsid w:val="00594B9A"/>
    <w:rsid w:val="00594E04"/>
    <w:rsid w:val="00594E35"/>
    <w:rsid w:val="00594F53"/>
    <w:rsid w:val="00596CE7"/>
    <w:rsid w:val="00597360"/>
    <w:rsid w:val="0059790B"/>
    <w:rsid w:val="00597A12"/>
    <w:rsid w:val="005A256C"/>
    <w:rsid w:val="005A3317"/>
    <w:rsid w:val="005A36E9"/>
    <w:rsid w:val="005A5377"/>
    <w:rsid w:val="005A6563"/>
    <w:rsid w:val="005B1A6E"/>
    <w:rsid w:val="005B1C97"/>
    <w:rsid w:val="005B21BE"/>
    <w:rsid w:val="005B4036"/>
    <w:rsid w:val="005B4904"/>
    <w:rsid w:val="005B4D0C"/>
    <w:rsid w:val="005B500A"/>
    <w:rsid w:val="005B6DF8"/>
    <w:rsid w:val="005B73BD"/>
    <w:rsid w:val="005B78A0"/>
    <w:rsid w:val="005C3385"/>
    <w:rsid w:val="005C3514"/>
    <w:rsid w:val="005C3E82"/>
    <w:rsid w:val="005D14E4"/>
    <w:rsid w:val="005D152A"/>
    <w:rsid w:val="005D18C8"/>
    <w:rsid w:val="005D209A"/>
    <w:rsid w:val="005D3135"/>
    <w:rsid w:val="005D3BB2"/>
    <w:rsid w:val="005D4031"/>
    <w:rsid w:val="005D4E1F"/>
    <w:rsid w:val="005D50C9"/>
    <w:rsid w:val="005D75AD"/>
    <w:rsid w:val="005E07AC"/>
    <w:rsid w:val="005E17EF"/>
    <w:rsid w:val="005E20B7"/>
    <w:rsid w:val="005E34A5"/>
    <w:rsid w:val="005E3D5E"/>
    <w:rsid w:val="005E57F0"/>
    <w:rsid w:val="005E5ED3"/>
    <w:rsid w:val="005E6455"/>
    <w:rsid w:val="005E780B"/>
    <w:rsid w:val="005F0146"/>
    <w:rsid w:val="005F024F"/>
    <w:rsid w:val="005F0C8B"/>
    <w:rsid w:val="005F0DD9"/>
    <w:rsid w:val="005F2081"/>
    <w:rsid w:val="005F2CF6"/>
    <w:rsid w:val="005F3A60"/>
    <w:rsid w:val="005F4143"/>
    <w:rsid w:val="005F438A"/>
    <w:rsid w:val="005F4BDB"/>
    <w:rsid w:val="005F5CF5"/>
    <w:rsid w:val="005F7715"/>
    <w:rsid w:val="00601426"/>
    <w:rsid w:val="00601853"/>
    <w:rsid w:val="00601AB1"/>
    <w:rsid w:val="0060274E"/>
    <w:rsid w:val="00604164"/>
    <w:rsid w:val="0060470C"/>
    <w:rsid w:val="00604719"/>
    <w:rsid w:val="006051A2"/>
    <w:rsid w:val="00606739"/>
    <w:rsid w:val="00607810"/>
    <w:rsid w:val="0061090B"/>
    <w:rsid w:val="00612CA3"/>
    <w:rsid w:val="00613BFD"/>
    <w:rsid w:val="006141A8"/>
    <w:rsid w:val="006141FE"/>
    <w:rsid w:val="0061470B"/>
    <w:rsid w:val="006147AF"/>
    <w:rsid w:val="00614A4E"/>
    <w:rsid w:val="00616933"/>
    <w:rsid w:val="006172E1"/>
    <w:rsid w:val="00617C5F"/>
    <w:rsid w:val="0062127E"/>
    <w:rsid w:val="00621643"/>
    <w:rsid w:val="006220D3"/>
    <w:rsid w:val="00622234"/>
    <w:rsid w:val="006230DC"/>
    <w:rsid w:val="00623FC3"/>
    <w:rsid w:val="0062403D"/>
    <w:rsid w:val="00624091"/>
    <w:rsid w:val="00625442"/>
    <w:rsid w:val="00626498"/>
    <w:rsid w:val="00627DDC"/>
    <w:rsid w:val="006305CB"/>
    <w:rsid w:val="00630A2A"/>
    <w:rsid w:val="00630FF4"/>
    <w:rsid w:val="00633D4B"/>
    <w:rsid w:val="0063764E"/>
    <w:rsid w:val="00637B9C"/>
    <w:rsid w:val="00640C12"/>
    <w:rsid w:val="00640F35"/>
    <w:rsid w:val="006411B6"/>
    <w:rsid w:val="00641741"/>
    <w:rsid w:val="006435D2"/>
    <w:rsid w:val="00644879"/>
    <w:rsid w:val="00645BDD"/>
    <w:rsid w:val="006466E1"/>
    <w:rsid w:val="00647EFC"/>
    <w:rsid w:val="006507D5"/>
    <w:rsid w:val="006517EE"/>
    <w:rsid w:val="006543DC"/>
    <w:rsid w:val="0065538E"/>
    <w:rsid w:val="00656A11"/>
    <w:rsid w:val="006575CF"/>
    <w:rsid w:val="00663137"/>
    <w:rsid w:val="00663463"/>
    <w:rsid w:val="00664588"/>
    <w:rsid w:val="00664D2C"/>
    <w:rsid w:val="00664E28"/>
    <w:rsid w:val="00666196"/>
    <w:rsid w:val="00670D3F"/>
    <w:rsid w:val="00671A06"/>
    <w:rsid w:val="006721F5"/>
    <w:rsid w:val="006734D4"/>
    <w:rsid w:val="006736ED"/>
    <w:rsid w:val="00674A5D"/>
    <w:rsid w:val="00676B78"/>
    <w:rsid w:val="00677410"/>
    <w:rsid w:val="00680014"/>
    <w:rsid w:val="00680A84"/>
    <w:rsid w:val="00682BAC"/>
    <w:rsid w:val="00685EF3"/>
    <w:rsid w:val="00692C31"/>
    <w:rsid w:val="0069315A"/>
    <w:rsid w:val="0069340E"/>
    <w:rsid w:val="0069446F"/>
    <w:rsid w:val="0069481F"/>
    <w:rsid w:val="00694893"/>
    <w:rsid w:val="006967E2"/>
    <w:rsid w:val="006974AE"/>
    <w:rsid w:val="00697664"/>
    <w:rsid w:val="006A0172"/>
    <w:rsid w:val="006A0A99"/>
    <w:rsid w:val="006A44AE"/>
    <w:rsid w:val="006A56A0"/>
    <w:rsid w:val="006A6207"/>
    <w:rsid w:val="006A66A5"/>
    <w:rsid w:val="006A7241"/>
    <w:rsid w:val="006A7AE3"/>
    <w:rsid w:val="006B0476"/>
    <w:rsid w:val="006B1A84"/>
    <w:rsid w:val="006B2432"/>
    <w:rsid w:val="006B2707"/>
    <w:rsid w:val="006B33F2"/>
    <w:rsid w:val="006B5363"/>
    <w:rsid w:val="006C20A5"/>
    <w:rsid w:val="006C4056"/>
    <w:rsid w:val="006C5CD1"/>
    <w:rsid w:val="006D01A5"/>
    <w:rsid w:val="006D1496"/>
    <w:rsid w:val="006D42FC"/>
    <w:rsid w:val="006D4D84"/>
    <w:rsid w:val="006D5266"/>
    <w:rsid w:val="006D5CCC"/>
    <w:rsid w:val="006D768F"/>
    <w:rsid w:val="006D77E9"/>
    <w:rsid w:val="006D7F5D"/>
    <w:rsid w:val="006E087D"/>
    <w:rsid w:val="006E1FF9"/>
    <w:rsid w:val="006E2841"/>
    <w:rsid w:val="006E3827"/>
    <w:rsid w:val="006E38CF"/>
    <w:rsid w:val="006E3B94"/>
    <w:rsid w:val="006E511E"/>
    <w:rsid w:val="006E592D"/>
    <w:rsid w:val="006E767A"/>
    <w:rsid w:val="006F0DBC"/>
    <w:rsid w:val="006F32AE"/>
    <w:rsid w:val="006F387B"/>
    <w:rsid w:val="006F3E17"/>
    <w:rsid w:val="006F41FD"/>
    <w:rsid w:val="006F4690"/>
    <w:rsid w:val="006F4BDD"/>
    <w:rsid w:val="006F6281"/>
    <w:rsid w:val="006F7548"/>
    <w:rsid w:val="00701005"/>
    <w:rsid w:val="007013A2"/>
    <w:rsid w:val="007014E3"/>
    <w:rsid w:val="00701CAB"/>
    <w:rsid w:val="00702646"/>
    <w:rsid w:val="00702709"/>
    <w:rsid w:val="00702E00"/>
    <w:rsid w:val="00703B70"/>
    <w:rsid w:val="00703BF9"/>
    <w:rsid w:val="00703C8C"/>
    <w:rsid w:val="0070468C"/>
    <w:rsid w:val="007046F8"/>
    <w:rsid w:val="00704AE2"/>
    <w:rsid w:val="007050F4"/>
    <w:rsid w:val="0070714C"/>
    <w:rsid w:val="0070782A"/>
    <w:rsid w:val="00711799"/>
    <w:rsid w:val="00712F63"/>
    <w:rsid w:val="00713502"/>
    <w:rsid w:val="00714050"/>
    <w:rsid w:val="007143D2"/>
    <w:rsid w:val="00715B61"/>
    <w:rsid w:val="00717E9A"/>
    <w:rsid w:val="00720227"/>
    <w:rsid w:val="007203C4"/>
    <w:rsid w:val="007204E8"/>
    <w:rsid w:val="00720ACF"/>
    <w:rsid w:val="00721429"/>
    <w:rsid w:val="00722D2A"/>
    <w:rsid w:val="007249E4"/>
    <w:rsid w:val="00726230"/>
    <w:rsid w:val="007263BE"/>
    <w:rsid w:val="00726F89"/>
    <w:rsid w:val="00727D9C"/>
    <w:rsid w:val="007304B5"/>
    <w:rsid w:val="00731AF9"/>
    <w:rsid w:val="00731E2D"/>
    <w:rsid w:val="00732B50"/>
    <w:rsid w:val="00733D8C"/>
    <w:rsid w:val="007342B2"/>
    <w:rsid w:val="007351CC"/>
    <w:rsid w:val="007357E7"/>
    <w:rsid w:val="00736B99"/>
    <w:rsid w:val="0073750D"/>
    <w:rsid w:val="00740790"/>
    <w:rsid w:val="0074104D"/>
    <w:rsid w:val="00742147"/>
    <w:rsid w:val="007424B3"/>
    <w:rsid w:val="00743BA5"/>
    <w:rsid w:val="00745C8E"/>
    <w:rsid w:val="00746B96"/>
    <w:rsid w:val="00747780"/>
    <w:rsid w:val="00751A49"/>
    <w:rsid w:val="00751AE6"/>
    <w:rsid w:val="00751E08"/>
    <w:rsid w:val="00752B80"/>
    <w:rsid w:val="00752CB1"/>
    <w:rsid w:val="0075490D"/>
    <w:rsid w:val="00754A9F"/>
    <w:rsid w:val="00755FA0"/>
    <w:rsid w:val="00760E1E"/>
    <w:rsid w:val="007621BF"/>
    <w:rsid w:val="00764A4B"/>
    <w:rsid w:val="00765C38"/>
    <w:rsid w:val="00766C31"/>
    <w:rsid w:val="007711D7"/>
    <w:rsid w:val="00771332"/>
    <w:rsid w:val="007723BC"/>
    <w:rsid w:val="00774FC7"/>
    <w:rsid w:val="00775A5D"/>
    <w:rsid w:val="00775C09"/>
    <w:rsid w:val="0077624E"/>
    <w:rsid w:val="00776834"/>
    <w:rsid w:val="0077743E"/>
    <w:rsid w:val="007830EF"/>
    <w:rsid w:val="0078442D"/>
    <w:rsid w:val="00786064"/>
    <w:rsid w:val="00786FB7"/>
    <w:rsid w:val="007871B0"/>
    <w:rsid w:val="00790DBF"/>
    <w:rsid w:val="007911B9"/>
    <w:rsid w:val="00791416"/>
    <w:rsid w:val="0079146C"/>
    <w:rsid w:val="007922E4"/>
    <w:rsid w:val="007934E1"/>
    <w:rsid w:val="007971ED"/>
    <w:rsid w:val="00797365"/>
    <w:rsid w:val="007A0B47"/>
    <w:rsid w:val="007A0CBF"/>
    <w:rsid w:val="007A1684"/>
    <w:rsid w:val="007A27CE"/>
    <w:rsid w:val="007A41F2"/>
    <w:rsid w:val="007A64E1"/>
    <w:rsid w:val="007A77EC"/>
    <w:rsid w:val="007A7D33"/>
    <w:rsid w:val="007B0427"/>
    <w:rsid w:val="007B094E"/>
    <w:rsid w:val="007B27F3"/>
    <w:rsid w:val="007B2AAA"/>
    <w:rsid w:val="007B3E5E"/>
    <w:rsid w:val="007B408E"/>
    <w:rsid w:val="007B537E"/>
    <w:rsid w:val="007B6BA7"/>
    <w:rsid w:val="007C183E"/>
    <w:rsid w:val="007C1D56"/>
    <w:rsid w:val="007C3592"/>
    <w:rsid w:val="007C3837"/>
    <w:rsid w:val="007C619A"/>
    <w:rsid w:val="007C671E"/>
    <w:rsid w:val="007C7478"/>
    <w:rsid w:val="007C7840"/>
    <w:rsid w:val="007D118B"/>
    <w:rsid w:val="007D1503"/>
    <w:rsid w:val="007D1699"/>
    <w:rsid w:val="007D498E"/>
    <w:rsid w:val="007D75B9"/>
    <w:rsid w:val="007D76A3"/>
    <w:rsid w:val="007E068B"/>
    <w:rsid w:val="007E08F5"/>
    <w:rsid w:val="007E0C9A"/>
    <w:rsid w:val="007E17E8"/>
    <w:rsid w:val="007E1DDE"/>
    <w:rsid w:val="007E5864"/>
    <w:rsid w:val="007E6B83"/>
    <w:rsid w:val="007E6D83"/>
    <w:rsid w:val="007E6E6C"/>
    <w:rsid w:val="007E6FD9"/>
    <w:rsid w:val="007F006F"/>
    <w:rsid w:val="007F09C0"/>
    <w:rsid w:val="007F23DB"/>
    <w:rsid w:val="007F2934"/>
    <w:rsid w:val="007F42B0"/>
    <w:rsid w:val="007F48C5"/>
    <w:rsid w:val="007F4D2C"/>
    <w:rsid w:val="007F60A3"/>
    <w:rsid w:val="007F6FD9"/>
    <w:rsid w:val="007F740F"/>
    <w:rsid w:val="007F7A34"/>
    <w:rsid w:val="007F7FE1"/>
    <w:rsid w:val="008006CE"/>
    <w:rsid w:val="0080377C"/>
    <w:rsid w:val="008044D6"/>
    <w:rsid w:val="00805513"/>
    <w:rsid w:val="0080562C"/>
    <w:rsid w:val="0080590B"/>
    <w:rsid w:val="00805EA8"/>
    <w:rsid w:val="008063D4"/>
    <w:rsid w:val="00806F0C"/>
    <w:rsid w:val="00807FFC"/>
    <w:rsid w:val="0081330D"/>
    <w:rsid w:val="00813B7B"/>
    <w:rsid w:val="00815885"/>
    <w:rsid w:val="00816EAC"/>
    <w:rsid w:val="0082000A"/>
    <w:rsid w:val="00820387"/>
    <w:rsid w:val="008207EF"/>
    <w:rsid w:val="00820813"/>
    <w:rsid w:val="0082142D"/>
    <w:rsid w:val="008232C3"/>
    <w:rsid w:val="00824025"/>
    <w:rsid w:val="00824586"/>
    <w:rsid w:val="00824BCF"/>
    <w:rsid w:val="00826E3E"/>
    <w:rsid w:val="00827A44"/>
    <w:rsid w:val="00827F14"/>
    <w:rsid w:val="00831D8B"/>
    <w:rsid w:val="00833F4D"/>
    <w:rsid w:val="008341EB"/>
    <w:rsid w:val="0083483D"/>
    <w:rsid w:val="00834EC2"/>
    <w:rsid w:val="008357B6"/>
    <w:rsid w:val="00837501"/>
    <w:rsid w:val="00840273"/>
    <w:rsid w:val="00841BA6"/>
    <w:rsid w:val="00842E25"/>
    <w:rsid w:val="0084345F"/>
    <w:rsid w:val="00843466"/>
    <w:rsid w:val="0084371F"/>
    <w:rsid w:val="00844AE8"/>
    <w:rsid w:val="008450DE"/>
    <w:rsid w:val="008452D2"/>
    <w:rsid w:val="00845E5C"/>
    <w:rsid w:val="008463FD"/>
    <w:rsid w:val="008466CC"/>
    <w:rsid w:val="00846A57"/>
    <w:rsid w:val="0084736C"/>
    <w:rsid w:val="00847FCA"/>
    <w:rsid w:val="0085013B"/>
    <w:rsid w:val="008508BC"/>
    <w:rsid w:val="00851024"/>
    <w:rsid w:val="00851BC9"/>
    <w:rsid w:val="00852273"/>
    <w:rsid w:val="008536DA"/>
    <w:rsid w:val="00853A4E"/>
    <w:rsid w:val="00853EF9"/>
    <w:rsid w:val="00854001"/>
    <w:rsid w:val="0085530C"/>
    <w:rsid w:val="00855FCA"/>
    <w:rsid w:val="008578CD"/>
    <w:rsid w:val="00861F75"/>
    <w:rsid w:val="0086297C"/>
    <w:rsid w:val="00863FBE"/>
    <w:rsid w:val="00866261"/>
    <w:rsid w:val="00866D97"/>
    <w:rsid w:val="0086703E"/>
    <w:rsid w:val="008672B3"/>
    <w:rsid w:val="008704A8"/>
    <w:rsid w:val="008738D3"/>
    <w:rsid w:val="00873ADF"/>
    <w:rsid w:val="00874034"/>
    <w:rsid w:val="008740B3"/>
    <w:rsid w:val="00877265"/>
    <w:rsid w:val="00877A80"/>
    <w:rsid w:val="008806A1"/>
    <w:rsid w:val="00881025"/>
    <w:rsid w:val="00884B1A"/>
    <w:rsid w:val="0088529C"/>
    <w:rsid w:val="00887FAB"/>
    <w:rsid w:val="00890269"/>
    <w:rsid w:val="00890990"/>
    <w:rsid w:val="00891816"/>
    <w:rsid w:val="00894B74"/>
    <w:rsid w:val="00895276"/>
    <w:rsid w:val="00896581"/>
    <w:rsid w:val="00897256"/>
    <w:rsid w:val="008973B1"/>
    <w:rsid w:val="008A0AAB"/>
    <w:rsid w:val="008A0BEE"/>
    <w:rsid w:val="008A1C63"/>
    <w:rsid w:val="008A379A"/>
    <w:rsid w:val="008A3EC1"/>
    <w:rsid w:val="008A4FDA"/>
    <w:rsid w:val="008A5808"/>
    <w:rsid w:val="008A7A5B"/>
    <w:rsid w:val="008B03E3"/>
    <w:rsid w:val="008B0FB0"/>
    <w:rsid w:val="008B15FE"/>
    <w:rsid w:val="008B1A0E"/>
    <w:rsid w:val="008B23A9"/>
    <w:rsid w:val="008B3202"/>
    <w:rsid w:val="008B39BD"/>
    <w:rsid w:val="008B419B"/>
    <w:rsid w:val="008B52CF"/>
    <w:rsid w:val="008B6E78"/>
    <w:rsid w:val="008B7957"/>
    <w:rsid w:val="008B7D7B"/>
    <w:rsid w:val="008C0146"/>
    <w:rsid w:val="008C0E59"/>
    <w:rsid w:val="008C17FC"/>
    <w:rsid w:val="008C1F66"/>
    <w:rsid w:val="008C3BED"/>
    <w:rsid w:val="008C48EF"/>
    <w:rsid w:val="008C4BBF"/>
    <w:rsid w:val="008C5655"/>
    <w:rsid w:val="008C60A4"/>
    <w:rsid w:val="008C61C6"/>
    <w:rsid w:val="008C68F3"/>
    <w:rsid w:val="008D08B0"/>
    <w:rsid w:val="008D0FE0"/>
    <w:rsid w:val="008D2540"/>
    <w:rsid w:val="008D33FC"/>
    <w:rsid w:val="008D3F23"/>
    <w:rsid w:val="008D4299"/>
    <w:rsid w:val="008D42EC"/>
    <w:rsid w:val="008D4445"/>
    <w:rsid w:val="008D6A8C"/>
    <w:rsid w:val="008E15B9"/>
    <w:rsid w:val="008E17BD"/>
    <w:rsid w:val="008E61B2"/>
    <w:rsid w:val="008F0E4F"/>
    <w:rsid w:val="008F174E"/>
    <w:rsid w:val="008F1EA4"/>
    <w:rsid w:val="008F4871"/>
    <w:rsid w:val="008F67E2"/>
    <w:rsid w:val="008F71C5"/>
    <w:rsid w:val="008F79A6"/>
    <w:rsid w:val="00900F6E"/>
    <w:rsid w:val="00901302"/>
    <w:rsid w:val="00902218"/>
    <w:rsid w:val="00902DD2"/>
    <w:rsid w:val="0090321B"/>
    <w:rsid w:val="00903FBF"/>
    <w:rsid w:val="00905B39"/>
    <w:rsid w:val="00906271"/>
    <w:rsid w:val="00906342"/>
    <w:rsid w:val="009100C4"/>
    <w:rsid w:val="00910606"/>
    <w:rsid w:val="00910FEF"/>
    <w:rsid w:val="009128CD"/>
    <w:rsid w:val="009130C3"/>
    <w:rsid w:val="009134C5"/>
    <w:rsid w:val="009162AC"/>
    <w:rsid w:val="00916B9F"/>
    <w:rsid w:val="00920089"/>
    <w:rsid w:val="009210D4"/>
    <w:rsid w:val="00921C17"/>
    <w:rsid w:val="00922E6C"/>
    <w:rsid w:val="009236B1"/>
    <w:rsid w:val="0092556F"/>
    <w:rsid w:val="0092603A"/>
    <w:rsid w:val="00927370"/>
    <w:rsid w:val="00930A0B"/>
    <w:rsid w:val="009312B6"/>
    <w:rsid w:val="00931DFF"/>
    <w:rsid w:val="0093230A"/>
    <w:rsid w:val="0093237F"/>
    <w:rsid w:val="00932E14"/>
    <w:rsid w:val="00933283"/>
    <w:rsid w:val="00933948"/>
    <w:rsid w:val="00933DB1"/>
    <w:rsid w:val="00934311"/>
    <w:rsid w:val="0093438C"/>
    <w:rsid w:val="009347B5"/>
    <w:rsid w:val="009347B6"/>
    <w:rsid w:val="00934FFF"/>
    <w:rsid w:val="009355DB"/>
    <w:rsid w:val="00935CAF"/>
    <w:rsid w:val="00937DEA"/>
    <w:rsid w:val="00937E2F"/>
    <w:rsid w:val="009400AA"/>
    <w:rsid w:val="00941712"/>
    <w:rsid w:val="00941C93"/>
    <w:rsid w:val="00941F91"/>
    <w:rsid w:val="0094206C"/>
    <w:rsid w:val="00942AE6"/>
    <w:rsid w:val="0094387D"/>
    <w:rsid w:val="00944840"/>
    <w:rsid w:val="00944F3E"/>
    <w:rsid w:val="009470AC"/>
    <w:rsid w:val="009472ED"/>
    <w:rsid w:val="009501C6"/>
    <w:rsid w:val="00950296"/>
    <w:rsid w:val="009509E4"/>
    <w:rsid w:val="0095154D"/>
    <w:rsid w:val="00954BB0"/>
    <w:rsid w:val="009550BB"/>
    <w:rsid w:val="00957BDB"/>
    <w:rsid w:val="00957CD4"/>
    <w:rsid w:val="009624E1"/>
    <w:rsid w:val="00963623"/>
    <w:rsid w:val="00963ABD"/>
    <w:rsid w:val="009640F1"/>
    <w:rsid w:val="00964DE8"/>
    <w:rsid w:val="00967B40"/>
    <w:rsid w:val="00972066"/>
    <w:rsid w:val="009749D8"/>
    <w:rsid w:val="00976AC9"/>
    <w:rsid w:val="00976D99"/>
    <w:rsid w:val="0097779F"/>
    <w:rsid w:val="009835C9"/>
    <w:rsid w:val="0098381D"/>
    <w:rsid w:val="0098766F"/>
    <w:rsid w:val="00987A26"/>
    <w:rsid w:val="00990B7F"/>
    <w:rsid w:val="00990E50"/>
    <w:rsid w:val="00991C9D"/>
    <w:rsid w:val="00992333"/>
    <w:rsid w:val="00992522"/>
    <w:rsid w:val="00992AA9"/>
    <w:rsid w:val="00992AF8"/>
    <w:rsid w:val="00994F3A"/>
    <w:rsid w:val="00996901"/>
    <w:rsid w:val="00996954"/>
    <w:rsid w:val="00997075"/>
    <w:rsid w:val="00997228"/>
    <w:rsid w:val="009975D6"/>
    <w:rsid w:val="00997769"/>
    <w:rsid w:val="009978E7"/>
    <w:rsid w:val="009979AC"/>
    <w:rsid w:val="009A061B"/>
    <w:rsid w:val="009A1E31"/>
    <w:rsid w:val="009A2221"/>
    <w:rsid w:val="009A28F2"/>
    <w:rsid w:val="009A41DC"/>
    <w:rsid w:val="009A50B4"/>
    <w:rsid w:val="009A5459"/>
    <w:rsid w:val="009A7B2A"/>
    <w:rsid w:val="009B0F17"/>
    <w:rsid w:val="009B1179"/>
    <w:rsid w:val="009B147E"/>
    <w:rsid w:val="009B155A"/>
    <w:rsid w:val="009B398C"/>
    <w:rsid w:val="009B422D"/>
    <w:rsid w:val="009B4504"/>
    <w:rsid w:val="009B48A2"/>
    <w:rsid w:val="009B7980"/>
    <w:rsid w:val="009C05BA"/>
    <w:rsid w:val="009C3152"/>
    <w:rsid w:val="009C4B42"/>
    <w:rsid w:val="009C64F4"/>
    <w:rsid w:val="009C68B8"/>
    <w:rsid w:val="009C7139"/>
    <w:rsid w:val="009C7413"/>
    <w:rsid w:val="009D1782"/>
    <w:rsid w:val="009D4AFC"/>
    <w:rsid w:val="009D5124"/>
    <w:rsid w:val="009D5924"/>
    <w:rsid w:val="009D5C26"/>
    <w:rsid w:val="009D71D6"/>
    <w:rsid w:val="009E2335"/>
    <w:rsid w:val="009E2BB7"/>
    <w:rsid w:val="009E3D07"/>
    <w:rsid w:val="009E6B9D"/>
    <w:rsid w:val="009F1092"/>
    <w:rsid w:val="009F14C8"/>
    <w:rsid w:val="009F19C8"/>
    <w:rsid w:val="009F1DC9"/>
    <w:rsid w:val="009F21EC"/>
    <w:rsid w:val="009F3BFD"/>
    <w:rsid w:val="009F3EB2"/>
    <w:rsid w:val="00A00651"/>
    <w:rsid w:val="00A024E8"/>
    <w:rsid w:val="00A02896"/>
    <w:rsid w:val="00A03115"/>
    <w:rsid w:val="00A03260"/>
    <w:rsid w:val="00A06A24"/>
    <w:rsid w:val="00A10192"/>
    <w:rsid w:val="00A11ADB"/>
    <w:rsid w:val="00A12705"/>
    <w:rsid w:val="00A139F5"/>
    <w:rsid w:val="00A1596C"/>
    <w:rsid w:val="00A16008"/>
    <w:rsid w:val="00A16ABD"/>
    <w:rsid w:val="00A16D86"/>
    <w:rsid w:val="00A17053"/>
    <w:rsid w:val="00A207A2"/>
    <w:rsid w:val="00A2575F"/>
    <w:rsid w:val="00A264A6"/>
    <w:rsid w:val="00A26CEC"/>
    <w:rsid w:val="00A2754D"/>
    <w:rsid w:val="00A2762B"/>
    <w:rsid w:val="00A32D29"/>
    <w:rsid w:val="00A34D8A"/>
    <w:rsid w:val="00A34E40"/>
    <w:rsid w:val="00A359C9"/>
    <w:rsid w:val="00A37AA0"/>
    <w:rsid w:val="00A40797"/>
    <w:rsid w:val="00A407A0"/>
    <w:rsid w:val="00A41E38"/>
    <w:rsid w:val="00A42C0C"/>
    <w:rsid w:val="00A45F45"/>
    <w:rsid w:val="00A4686B"/>
    <w:rsid w:val="00A46ED9"/>
    <w:rsid w:val="00A47860"/>
    <w:rsid w:val="00A5012D"/>
    <w:rsid w:val="00A5018C"/>
    <w:rsid w:val="00A50A62"/>
    <w:rsid w:val="00A53A94"/>
    <w:rsid w:val="00A552B5"/>
    <w:rsid w:val="00A57322"/>
    <w:rsid w:val="00A60BA0"/>
    <w:rsid w:val="00A612B0"/>
    <w:rsid w:val="00A6140B"/>
    <w:rsid w:val="00A61DF6"/>
    <w:rsid w:val="00A63A41"/>
    <w:rsid w:val="00A63B27"/>
    <w:rsid w:val="00A63B6F"/>
    <w:rsid w:val="00A64DB9"/>
    <w:rsid w:val="00A65001"/>
    <w:rsid w:val="00A65219"/>
    <w:rsid w:val="00A65A96"/>
    <w:rsid w:val="00A66B34"/>
    <w:rsid w:val="00A66CD6"/>
    <w:rsid w:val="00A67E83"/>
    <w:rsid w:val="00A72305"/>
    <w:rsid w:val="00A739C5"/>
    <w:rsid w:val="00A740BA"/>
    <w:rsid w:val="00A75DB0"/>
    <w:rsid w:val="00A81234"/>
    <w:rsid w:val="00A813B2"/>
    <w:rsid w:val="00A81411"/>
    <w:rsid w:val="00A81A04"/>
    <w:rsid w:val="00A82020"/>
    <w:rsid w:val="00A82677"/>
    <w:rsid w:val="00A83AEB"/>
    <w:rsid w:val="00A83CA9"/>
    <w:rsid w:val="00A84569"/>
    <w:rsid w:val="00A85581"/>
    <w:rsid w:val="00A86078"/>
    <w:rsid w:val="00A876FD"/>
    <w:rsid w:val="00A877FD"/>
    <w:rsid w:val="00A87B2B"/>
    <w:rsid w:val="00A9026B"/>
    <w:rsid w:val="00A92157"/>
    <w:rsid w:val="00A922A9"/>
    <w:rsid w:val="00A947AA"/>
    <w:rsid w:val="00A9487A"/>
    <w:rsid w:val="00A94D33"/>
    <w:rsid w:val="00A95D18"/>
    <w:rsid w:val="00AA10C6"/>
    <w:rsid w:val="00AA225C"/>
    <w:rsid w:val="00AA2613"/>
    <w:rsid w:val="00AA2BDA"/>
    <w:rsid w:val="00AA2FB2"/>
    <w:rsid w:val="00AA3246"/>
    <w:rsid w:val="00AA6016"/>
    <w:rsid w:val="00AB07C5"/>
    <w:rsid w:val="00AB1C54"/>
    <w:rsid w:val="00AB227F"/>
    <w:rsid w:val="00AB2768"/>
    <w:rsid w:val="00AB39C2"/>
    <w:rsid w:val="00AB40B8"/>
    <w:rsid w:val="00AB548E"/>
    <w:rsid w:val="00AB54D1"/>
    <w:rsid w:val="00AB55B1"/>
    <w:rsid w:val="00AB730E"/>
    <w:rsid w:val="00AC10EE"/>
    <w:rsid w:val="00AC13CB"/>
    <w:rsid w:val="00AC2D4B"/>
    <w:rsid w:val="00AC2FB6"/>
    <w:rsid w:val="00AC50BE"/>
    <w:rsid w:val="00AC54F4"/>
    <w:rsid w:val="00AC5A3E"/>
    <w:rsid w:val="00AC7D60"/>
    <w:rsid w:val="00AD1184"/>
    <w:rsid w:val="00AD242A"/>
    <w:rsid w:val="00AD4D38"/>
    <w:rsid w:val="00AD5108"/>
    <w:rsid w:val="00AD5398"/>
    <w:rsid w:val="00AD7470"/>
    <w:rsid w:val="00AD7D16"/>
    <w:rsid w:val="00AE118E"/>
    <w:rsid w:val="00AE2CE8"/>
    <w:rsid w:val="00AE351B"/>
    <w:rsid w:val="00AE3D11"/>
    <w:rsid w:val="00AE430E"/>
    <w:rsid w:val="00AE4506"/>
    <w:rsid w:val="00AE470D"/>
    <w:rsid w:val="00AE5445"/>
    <w:rsid w:val="00AF0350"/>
    <w:rsid w:val="00AF0505"/>
    <w:rsid w:val="00AF0FBC"/>
    <w:rsid w:val="00AF1C2E"/>
    <w:rsid w:val="00AF3262"/>
    <w:rsid w:val="00AF477B"/>
    <w:rsid w:val="00AF4D27"/>
    <w:rsid w:val="00AF5665"/>
    <w:rsid w:val="00AF7CEE"/>
    <w:rsid w:val="00B01A3A"/>
    <w:rsid w:val="00B03D33"/>
    <w:rsid w:val="00B0451D"/>
    <w:rsid w:val="00B046DE"/>
    <w:rsid w:val="00B04790"/>
    <w:rsid w:val="00B04B0D"/>
    <w:rsid w:val="00B056E7"/>
    <w:rsid w:val="00B05915"/>
    <w:rsid w:val="00B05FBD"/>
    <w:rsid w:val="00B0715E"/>
    <w:rsid w:val="00B10061"/>
    <w:rsid w:val="00B103D0"/>
    <w:rsid w:val="00B10775"/>
    <w:rsid w:val="00B10B1A"/>
    <w:rsid w:val="00B10D3B"/>
    <w:rsid w:val="00B11530"/>
    <w:rsid w:val="00B12784"/>
    <w:rsid w:val="00B137BA"/>
    <w:rsid w:val="00B1423F"/>
    <w:rsid w:val="00B14805"/>
    <w:rsid w:val="00B167CE"/>
    <w:rsid w:val="00B201E7"/>
    <w:rsid w:val="00B20CC0"/>
    <w:rsid w:val="00B23FB6"/>
    <w:rsid w:val="00B24E3F"/>
    <w:rsid w:val="00B24F11"/>
    <w:rsid w:val="00B255D0"/>
    <w:rsid w:val="00B26310"/>
    <w:rsid w:val="00B26B89"/>
    <w:rsid w:val="00B278DA"/>
    <w:rsid w:val="00B303B0"/>
    <w:rsid w:val="00B30B21"/>
    <w:rsid w:val="00B30C87"/>
    <w:rsid w:val="00B31B94"/>
    <w:rsid w:val="00B31C55"/>
    <w:rsid w:val="00B32855"/>
    <w:rsid w:val="00B334FA"/>
    <w:rsid w:val="00B33778"/>
    <w:rsid w:val="00B34BCC"/>
    <w:rsid w:val="00B35D2C"/>
    <w:rsid w:val="00B35E7B"/>
    <w:rsid w:val="00B36CB7"/>
    <w:rsid w:val="00B40EAE"/>
    <w:rsid w:val="00B4202A"/>
    <w:rsid w:val="00B420BD"/>
    <w:rsid w:val="00B436D8"/>
    <w:rsid w:val="00B4471C"/>
    <w:rsid w:val="00B449AD"/>
    <w:rsid w:val="00B455D7"/>
    <w:rsid w:val="00B467F2"/>
    <w:rsid w:val="00B46CDC"/>
    <w:rsid w:val="00B470A4"/>
    <w:rsid w:val="00B47182"/>
    <w:rsid w:val="00B50356"/>
    <w:rsid w:val="00B51257"/>
    <w:rsid w:val="00B53024"/>
    <w:rsid w:val="00B5332A"/>
    <w:rsid w:val="00B533F9"/>
    <w:rsid w:val="00B53B92"/>
    <w:rsid w:val="00B542A9"/>
    <w:rsid w:val="00B553DA"/>
    <w:rsid w:val="00B56374"/>
    <w:rsid w:val="00B57508"/>
    <w:rsid w:val="00B5797E"/>
    <w:rsid w:val="00B60DD7"/>
    <w:rsid w:val="00B61006"/>
    <w:rsid w:val="00B63261"/>
    <w:rsid w:val="00B633DA"/>
    <w:rsid w:val="00B649FC"/>
    <w:rsid w:val="00B64B06"/>
    <w:rsid w:val="00B65A4E"/>
    <w:rsid w:val="00B65B05"/>
    <w:rsid w:val="00B6635B"/>
    <w:rsid w:val="00B71837"/>
    <w:rsid w:val="00B72808"/>
    <w:rsid w:val="00B7366C"/>
    <w:rsid w:val="00B73733"/>
    <w:rsid w:val="00B7407B"/>
    <w:rsid w:val="00B74459"/>
    <w:rsid w:val="00B74FE2"/>
    <w:rsid w:val="00B76B16"/>
    <w:rsid w:val="00B80EEC"/>
    <w:rsid w:val="00B8119E"/>
    <w:rsid w:val="00B8196B"/>
    <w:rsid w:val="00B82DF7"/>
    <w:rsid w:val="00B85120"/>
    <w:rsid w:val="00B864AE"/>
    <w:rsid w:val="00B905E6"/>
    <w:rsid w:val="00B944C8"/>
    <w:rsid w:val="00B958DB"/>
    <w:rsid w:val="00B966C2"/>
    <w:rsid w:val="00B96BF0"/>
    <w:rsid w:val="00B974E7"/>
    <w:rsid w:val="00BA0517"/>
    <w:rsid w:val="00BA053B"/>
    <w:rsid w:val="00BA06BC"/>
    <w:rsid w:val="00BA0AD8"/>
    <w:rsid w:val="00BA4297"/>
    <w:rsid w:val="00BB0D14"/>
    <w:rsid w:val="00BB0FFA"/>
    <w:rsid w:val="00BB23A3"/>
    <w:rsid w:val="00BB2403"/>
    <w:rsid w:val="00BB2B20"/>
    <w:rsid w:val="00BB597A"/>
    <w:rsid w:val="00BB5F07"/>
    <w:rsid w:val="00BB6CA9"/>
    <w:rsid w:val="00BC1043"/>
    <w:rsid w:val="00BC1577"/>
    <w:rsid w:val="00BC2854"/>
    <w:rsid w:val="00BC31F6"/>
    <w:rsid w:val="00BC34A3"/>
    <w:rsid w:val="00BC3E39"/>
    <w:rsid w:val="00BC4FD5"/>
    <w:rsid w:val="00BC6838"/>
    <w:rsid w:val="00BC7339"/>
    <w:rsid w:val="00BD2ACA"/>
    <w:rsid w:val="00BD3535"/>
    <w:rsid w:val="00BD438D"/>
    <w:rsid w:val="00BD478A"/>
    <w:rsid w:val="00BD4BDF"/>
    <w:rsid w:val="00BD4DC9"/>
    <w:rsid w:val="00BD4F96"/>
    <w:rsid w:val="00BD55B9"/>
    <w:rsid w:val="00BD6B48"/>
    <w:rsid w:val="00BD757F"/>
    <w:rsid w:val="00BE1431"/>
    <w:rsid w:val="00BE1D8E"/>
    <w:rsid w:val="00BE24CC"/>
    <w:rsid w:val="00BE5078"/>
    <w:rsid w:val="00BE6C32"/>
    <w:rsid w:val="00BF00A0"/>
    <w:rsid w:val="00BF1657"/>
    <w:rsid w:val="00BF257D"/>
    <w:rsid w:val="00BF2D5E"/>
    <w:rsid w:val="00BF40CE"/>
    <w:rsid w:val="00BF53E8"/>
    <w:rsid w:val="00BF6C67"/>
    <w:rsid w:val="00BF76AC"/>
    <w:rsid w:val="00BF77DE"/>
    <w:rsid w:val="00BF7CA4"/>
    <w:rsid w:val="00BF7F2B"/>
    <w:rsid w:val="00C00BB4"/>
    <w:rsid w:val="00C01A17"/>
    <w:rsid w:val="00C01B3B"/>
    <w:rsid w:val="00C01E1F"/>
    <w:rsid w:val="00C02ACB"/>
    <w:rsid w:val="00C0385C"/>
    <w:rsid w:val="00C03DFE"/>
    <w:rsid w:val="00C049B9"/>
    <w:rsid w:val="00C05023"/>
    <w:rsid w:val="00C05B59"/>
    <w:rsid w:val="00C0682C"/>
    <w:rsid w:val="00C06BBC"/>
    <w:rsid w:val="00C0734D"/>
    <w:rsid w:val="00C1037D"/>
    <w:rsid w:val="00C1112E"/>
    <w:rsid w:val="00C11B8B"/>
    <w:rsid w:val="00C13F2A"/>
    <w:rsid w:val="00C14503"/>
    <w:rsid w:val="00C14664"/>
    <w:rsid w:val="00C158FA"/>
    <w:rsid w:val="00C17417"/>
    <w:rsid w:val="00C17D03"/>
    <w:rsid w:val="00C219ED"/>
    <w:rsid w:val="00C22187"/>
    <w:rsid w:val="00C237B3"/>
    <w:rsid w:val="00C27D75"/>
    <w:rsid w:val="00C3010A"/>
    <w:rsid w:val="00C30172"/>
    <w:rsid w:val="00C306EA"/>
    <w:rsid w:val="00C3294B"/>
    <w:rsid w:val="00C32AA4"/>
    <w:rsid w:val="00C34393"/>
    <w:rsid w:val="00C35F77"/>
    <w:rsid w:val="00C36D59"/>
    <w:rsid w:val="00C37342"/>
    <w:rsid w:val="00C4038F"/>
    <w:rsid w:val="00C43B2E"/>
    <w:rsid w:val="00C4502C"/>
    <w:rsid w:val="00C45F2D"/>
    <w:rsid w:val="00C47EE7"/>
    <w:rsid w:val="00C50356"/>
    <w:rsid w:val="00C50E8D"/>
    <w:rsid w:val="00C5142A"/>
    <w:rsid w:val="00C52031"/>
    <w:rsid w:val="00C54476"/>
    <w:rsid w:val="00C559A1"/>
    <w:rsid w:val="00C55F10"/>
    <w:rsid w:val="00C56287"/>
    <w:rsid w:val="00C57172"/>
    <w:rsid w:val="00C602D0"/>
    <w:rsid w:val="00C61F01"/>
    <w:rsid w:val="00C622FD"/>
    <w:rsid w:val="00C63241"/>
    <w:rsid w:val="00C638C0"/>
    <w:rsid w:val="00C63C79"/>
    <w:rsid w:val="00C63DE6"/>
    <w:rsid w:val="00C64B16"/>
    <w:rsid w:val="00C674CA"/>
    <w:rsid w:val="00C7002B"/>
    <w:rsid w:val="00C70357"/>
    <w:rsid w:val="00C73C78"/>
    <w:rsid w:val="00C74839"/>
    <w:rsid w:val="00C7573A"/>
    <w:rsid w:val="00C80D1E"/>
    <w:rsid w:val="00C834C4"/>
    <w:rsid w:val="00C8398B"/>
    <w:rsid w:val="00C83A2F"/>
    <w:rsid w:val="00C853AD"/>
    <w:rsid w:val="00C85FBE"/>
    <w:rsid w:val="00C8617D"/>
    <w:rsid w:val="00C866FD"/>
    <w:rsid w:val="00C86F25"/>
    <w:rsid w:val="00C86FF6"/>
    <w:rsid w:val="00C90660"/>
    <w:rsid w:val="00C95F02"/>
    <w:rsid w:val="00C960C3"/>
    <w:rsid w:val="00C97471"/>
    <w:rsid w:val="00C977C1"/>
    <w:rsid w:val="00CA11C0"/>
    <w:rsid w:val="00CA31A3"/>
    <w:rsid w:val="00CA38ED"/>
    <w:rsid w:val="00CA515F"/>
    <w:rsid w:val="00CA5BF3"/>
    <w:rsid w:val="00CA7BFE"/>
    <w:rsid w:val="00CB0E5D"/>
    <w:rsid w:val="00CB1F6E"/>
    <w:rsid w:val="00CB238F"/>
    <w:rsid w:val="00CB2BC7"/>
    <w:rsid w:val="00CB3C55"/>
    <w:rsid w:val="00CB442A"/>
    <w:rsid w:val="00CB67AB"/>
    <w:rsid w:val="00CC050B"/>
    <w:rsid w:val="00CC1328"/>
    <w:rsid w:val="00CC26EB"/>
    <w:rsid w:val="00CC3421"/>
    <w:rsid w:val="00CC345F"/>
    <w:rsid w:val="00CC4F7D"/>
    <w:rsid w:val="00CC74B6"/>
    <w:rsid w:val="00CC7D31"/>
    <w:rsid w:val="00CC7EAA"/>
    <w:rsid w:val="00CD1D9A"/>
    <w:rsid w:val="00CD26E2"/>
    <w:rsid w:val="00CD4C0D"/>
    <w:rsid w:val="00CD4DF3"/>
    <w:rsid w:val="00CD4DF5"/>
    <w:rsid w:val="00CD5A5A"/>
    <w:rsid w:val="00CD6B2B"/>
    <w:rsid w:val="00CD759A"/>
    <w:rsid w:val="00CD763B"/>
    <w:rsid w:val="00CE0061"/>
    <w:rsid w:val="00CE0086"/>
    <w:rsid w:val="00CE05A2"/>
    <w:rsid w:val="00CE0815"/>
    <w:rsid w:val="00CE16F2"/>
    <w:rsid w:val="00CE385C"/>
    <w:rsid w:val="00CE5637"/>
    <w:rsid w:val="00CE5774"/>
    <w:rsid w:val="00CE5DD5"/>
    <w:rsid w:val="00CE701E"/>
    <w:rsid w:val="00CF0188"/>
    <w:rsid w:val="00CF02AC"/>
    <w:rsid w:val="00CF0756"/>
    <w:rsid w:val="00CF2A31"/>
    <w:rsid w:val="00CF2AD2"/>
    <w:rsid w:val="00CF4CF5"/>
    <w:rsid w:val="00CF5CAF"/>
    <w:rsid w:val="00CF725E"/>
    <w:rsid w:val="00CF765C"/>
    <w:rsid w:val="00D00B31"/>
    <w:rsid w:val="00D01ECA"/>
    <w:rsid w:val="00D02AFA"/>
    <w:rsid w:val="00D02C05"/>
    <w:rsid w:val="00D0525C"/>
    <w:rsid w:val="00D05370"/>
    <w:rsid w:val="00D06365"/>
    <w:rsid w:val="00D0734B"/>
    <w:rsid w:val="00D1146A"/>
    <w:rsid w:val="00D11B99"/>
    <w:rsid w:val="00D1264A"/>
    <w:rsid w:val="00D12FCD"/>
    <w:rsid w:val="00D1323F"/>
    <w:rsid w:val="00D13289"/>
    <w:rsid w:val="00D141C7"/>
    <w:rsid w:val="00D16826"/>
    <w:rsid w:val="00D20047"/>
    <w:rsid w:val="00D204E5"/>
    <w:rsid w:val="00D20577"/>
    <w:rsid w:val="00D206A0"/>
    <w:rsid w:val="00D209B5"/>
    <w:rsid w:val="00D215C0"/>
    <w:rsid w:val="00D21F9C"/>
    <w:rsid w:val="00D22757"/>
    <w:rsid w:val="00D22D4B"/>
    <w:rsid w:val="00D236FB"/>
    <w:rsid w:val="00D23DA2"/>
    <w:rsid w:val="00D24B82"/>
    <w:rsid w:val="00D260F1"/>
    <w:rsid w:val="00D26902"/>
    <w:rsid w:val="00D26A29"/>
    <w:rsid w:val="00D31B99"/>
    <w:rsid w:val="00D3208D"/>
    <w:rsid w:val="00D32971"/>
    <w:rsid w:val="00D330E5"/>
    <w:rsid w:val="00D352C2"/>
    <w:rsid w:val="00D37772"/>
    <w:rsid w:val="00D41652"/>
    <w:rsid w:val="00D43A2E"/>
    <w:rsid w:val="00D4480D"/>
    <w:rsid w:val="00D45E70"/>
    <w:rsid w:val="00D45E78"/>
    <w:rsid w:val="00D4639D"/>
    <w:rsid w:val="00D47689"/>
    <w:rsid w:val="00D478E7"/>
    <w:rsid w:val="00D522B5"/>
    <w:rsid w:val="00D53EF7"/>
    <w:rsid w:val="00D54D06"/>
    <w:rsid w:val="00D5574E"/>
    <w:rsid w:val="00D55931"/>
    <w:rsid w:val="00D566D4"/>
    <w:rsid w:val="00D56B72"/>
    <w:rsid w:val="00D56DBE"/>
    <w:rsid w:val="00D577B0"/>
    <w:rsid w:val="00D605F7"/>
    <w:rsid w:val="00D61054"/>
    <w:rsid w:val="00D65944"/>
    <w:rsid w:val="00D6606F"/>
    <w:rsid w:val="00D6623B"/>
    <w:rsid w:val="00D66810"/>
    <w:rsid w:val="00D66953"/>
    <w:rsid w:val="00D712AC"/>
    <w:rsid w:val="00D7179A"/>
    <w:rsid w:val="00D72367"/>
    <w:rsid w:val="00D74660"/>
    <w:rsid w:val="00D75079"/>
    <w:rsid w:val="00D760EA"/>
    <w:rsid w:val="00D76541"/>
    <w:rsid w:val="00D80BA3"/>
    <w:rsid w:val="00D80D59"/>
    <w:rsid w:val="00D81BDE"/>
    <w:rsid w:val="00D81C60"/>
    <w:rsid w:val="00D82222"/>
    <w:rsid w:val="00D85233"/>
    <w:rsid w:val="00D85909"/>
    <w:rsid w:val="00D85F35"/>
    <w:rsid w:val="00D86979"/>
    <w:rsid w:val="00D86B20"/>
    <w:rsid w:val="00D87E52"/>
    <w:rsid w:val="00D909BC"/>
    <w:rsid w:val="00D90EDB"/>
    <w:rsid w:val="00D9196F"/>
    <w:rsid w:val="00D923A7"/>
    <w:rsid w:val="00D92E5B"/>
    <w:rsid w:val="00D94AE0"/>
    <w:rsid w:val="00D9590F"/>
    <w:rsid w:val="00D95E1E"/>
    <w:rsid w:val="00D9635D"/>
    <w:rsid w:val="00D96647"/>
    <w:rsid w:val="00DA0CB8"/>
    <w:rsid w:val="00DA0CEE"/>
    <w:rsid w:val="00DA2E9C"/>
    <w:rsid w:val="00DA3DDB"/>
    <w:rsid w:val="00DA4734"/>
    <w:rsid w:val="00DA5DA8"/>
    <w:rsid w:val="00DB0BDE"/>
    <w:rsid w:val="00DB25DE"/>
    <w:rsid w:val="00DB2636"/>
    <w:rsid w:val="00DB3493"/>
    <w:rsid w:val="00DB3DEB"/>
    <w:rsid w:val="00DB5629"/>
    <w:rsid w:val="00DB6150"/>
    <w:rsid w:val="00DB6356"/>
    <w:rsid w:val="00DB702D"/>
    <w:rsid w:val="00DB7260"/>
    <w:rsid w:val="00DB737E"/>
    <w:rsid w:val="00DB73CC"/>
    <w:rsid w:val="00DB7CE9"/>
    <w:rsid w:val="00DB7D60"/>
    <w:rsid w:val="00DB7D8C"/>
    <w:rsid w:val="00DC141C"/>
    <w:rsid w:val="00DC15D1"/>
    <w:rsid w:val="00DC240C"/>
    <w:rsid w:val="00DC2DA7"/>
    <w:rsid w:val="00DC683C"/>
    <w:rsid w:val="00DD090A"/>
    <w:rsid w:val="00DD1DAB"/>
    <w:rsid w:val="00DD3507"/>
    <w:rsid w:val="00DD3985"/>
    <w:rsid w:val="00DD3DB2"/>
    <w:rsid w:val="00DD43D4"/>
    <w:rsid w:val="00DD6562"/>
    <w:rsid w:val="00DE0167"/>
    <w:rsid w:val="00DE2F00"/>
    <w:rsid w:val="00DE2F60"/>
    <w:rsid w:val="00DE3A63"/>
    <w:rsid w:val="00DE5ED2"/>
    <w:rsid w:val="00DE61D1"/>
    <w:rsid w:val="00DE68B7"/>
    <w:rsid w:val="00DE6CE8"/>
    <w:rsid w:val="00DE73D5"/>
    <w:rsid w:val="00DF1EC4"/>
    <w:rsid w:val="00DF205A"/>
    <w:rsid w:val="00DF39DC"/>
    <w:rsid w:val="00DF48FD"/>
    <w:rsid w:val="00DF64B9"/>
    <w:rsid w:val="00DF7247"/>
    <w:rsid w:val="00DF77E8"/>
    <w:rsid w:val="00DF7E77"/>
    <w:rsid w:val="00E00E53"/>
    <w:rsid w:val="00E015AC"/>
    <w:rsid w:val="00E0421E"/>
    <w:rsid w:val="00E05706"/>
    <w:rsid w:val="00E06345"/>
    <w:rsid w:val="00E07624"/>
    <w:rsid w:val="00E103AB"/>
    <w:rsid w:val="00E11E1F"/>
    <w:rsid w:val="00E11EE7"/>
    <w:rsid w:val="00E12911"/>
    <w:rsid w:val="00E12FFC"/>
    <w:rsid w:val="00E13232"/>
    <w:rsid w:val="00E14DB6"/>
    <w:rsid w:val="00E15547"/>
    <w:rsid w:val="00E15EBB"/>
    <w:rsid w:val="00E1756A"/>
    <w:rsid w:val="00E20A34"/>
    <w:rsid w:val="00E21081"/>
    <w:rsid w:val="00E22C0F"/>
    <w:rsid w:val="00E230B4"/>
    <w:rsid w:val="00E23B3C"/>
    <w:rsid w:val="00E240CD"/>
    <w:rsid w:val="00E24B90"/>
    <w:rsid w:val="00E25E33"/>
    <w:rsid w:val="00E26280"/>
    <w:rsid w:val="00E273C4"/>
    <w:rsid w:val="00E30A47"/>
    <w:rsid w:val="00E3289B"/>
    <w:rsid w:val="00E35024"/>
    <w:rsid w:val="00E367CF"/>
    <w:rsid w:val="00E3746B"/>
    <w:rsid w:val="00E40557"/>
    <w:rsid w:val="00E41024"/>
    <w:rsid w:val="00E414AA"/>
    <w:rsid w:val="00E434D7"/>
    <w:rsid w:val="00E44262"/>
    <w:rsid w:val="00E444DE"/>
    <w:rsid w:val="00E45CD3"/>
    <w:rsid w:val="00E45DD9"/>
    <w:rsid w:val="00E46467"/>
    <w:rsid w:val="00E46D9C"/>
    <w:rsid w:val="00E50717"/>
    <w:rsid w:val="00E51EBA"/>
    <w:rsid w:val="00E5331B"/>
    <w:rsid w:val="00E53925"/>
    <w:rsid w:val="00E53989"/>
    <w:rsid w:val="00E55322"/>
    <w:rsid w:val="00E55483"/>
    <w:rsid w:val="00E5611E"/>
    <w:rsid w:val="00E569BA"/>
    <w:rsid w:val="00E56C8F"/>
    <w:rsid w:val="00E5728D"/>
    <w:rsid w:val="00E60325"/>
    <w:rsid w:val="00E60696"/>
    <w:rsid w:val="00E65ADA"/>
    <w:rsid w:val="00E66D1B"/>
    <w:rsid w:val="00E67D0D"/>
    <w:rsid w:val="00E67EC8"/>
    <w:rsid w:val="00E67F23"/>
    <w:rsid w:val="00E70664"/>
    <w:rsid w:val="00E7227F"/>
    <w:rsid w:val="00E72681"/>
    <w:rsid w:val="00E72999"/>
    <w:rsid w:val="00E72C3E"/>
    <w:rsid w:val="00E734ED"/>
    <w:rsid w:val="00E73A17"/>
    <w:rsid w:val="00E74733"/>
    <w:rsid w:val="00E75C7C"/>
    <w:rsid w:val="00E75E51"/>
    <w:rsid w:val="00E76B48"/>
    <w:rsid w:val="00E8042C"/>
    <w:rsid w:val="00E84C32"/>
    <w:rsid w:val="00E856AF"/>
    <w:rsid w:val="00E862A7"/>
    <w:rsid w:val="00E907D2"/>
    <w:rsid w:val="00E90E64"/>
    <w:rsid w:val="00E9126D"/>
    <w:rsid w:val="00E9381E"/>
    <w:rsid w:val="00E93A92"/>
    <w:rsid w:val="00E95117"/>
    <w:rsid w:val="00E95D17"/>
    <w:rsid w:val="00E97383"/>
    <w:rsid w:val="00E97A6E"/>
    <w:rsid w:val="00EA03D4"/>
    <w:rsid w:val="00EA1091"/>
    <w:rsid w:val="00EA170F"/>
    <w:rsid w:val="00EA1CFE"/>
    <w:rsid w:val="00EA27C7"/>
    <w:rsid w:val="00EA2868"/>
    <w:rsid w:val="00EA28D2"/>
    <w:rsid w:val="00EA38E2"/>
    <w:rsid w:val="00EA5D01"/>
    <w:rsid w:val="00EB32FC"/>
    <w:rsid w:val="00EB3BB9"/>
    <w:rsid w:val="00EB42AA"/>
    <w:rsid w:val="00EB4AA5"/>
    <w:rsid w:val="00EB51B8"/>
    <w:rsid w:val="00EB6F2D"/>
    <w:rsid w:val="00EB7A25"/>
    <w:rsid w:val="00EB7A58"/>
    <w:rsid w:val="00EC12FC"/>
    <w:rsid w:val="00EC1420"/>
    <w:rsid w:val="00EC17E6"/>
    <w:rsid w:val="00EC2248"/>
    <w:rsid w:val="00EC2E30"/>
    <w:rsid w:val="00EC468A"/>
    <w:rsid w:val="00EC48DE"/>
    <w:rsid w:val="00EC5B43"/>
    <w:rsid w:val="00EC76A8"/>
    <w:rsid w:val="00ED0B19"/>
    <w:rsid w:val="00ED1551"/>
    <w:rsid w:val="00ED1C2B"/>
    <w:rsid w:val="00ED5EA5"/>
    <w:rsid w:val="00ED6DE7"/>
    <w:rsid w:val="00EE1AAC"/>
    <w:rsid w:val="00EE226C"/>
    <w:rsid w:val="00EE23AF"/>
    <w:rsid w:val="00EE2AB4"/>
    <w:rsid w:val="00EE521E"/>
    <w:rsid w:val="00EE5EC8"/>
    <w:rsid w:val="00EE627F"/>
    <w:rsid w:val="00EE6585"/>
    <w:rsid w:val="00EF3CDF"/>
    <w:rsid w:val="00EF4E39"/>
    <w:rsid w:val="00F01ED0"/>
    <w:rsid w:val="00F0210F"/>
    <w:rsid w:val="00F02131"/>
    <w:rsid w:val="00F036A1"/>
    <w:rsid w:val="00F0377F"/>
    <w:rsid w:val="00F0389F"/>
    <w:rsid w:val="00F03A91"/>
    <w:rsid w:val="00F03DB9"/>
    <w:rsid w:val="00F046D4"/>
    <w:rsid w:val="00F05A06"/>
    <w:rsid w:val="00F06E81"/>
    <w:rsid w:val="00F07D33"/>
    <w:rsid w:val="00F14671"/>
    <w:rsid w:val="00F15689"/>
    <w:rsid w:val="00F17042"/>
    <w:rsid w:val="00F17182"/>
    <w:rsid w:val="00F21360"/>
    <w:rsid w:val="00F228AE"/>
    <w:rsid w:val="00F22DC2"/>
    <w:rsid w:val="00F238E6"/>
    <w:rsid w:val="00F2412B"/>
    <w:rsid w:val="00F24181"/>
    <w:rsid w:val="00F24BC1"/>
    <w:rsid w:val="00F31EA8"/>
    <w:rsid w:val="00F33146"/>
    <w:rsid w:val="00F335A2"/>
    <w:rsid w:val="00F338FF"/>
    <w:rsid w:val="00F34916"/>
    <w:rsid w:val="00F353CD"/>
    <w:rsid w:val="00F359DD"/>
    <w:rsid w:val="00F35B76"/>
    <w:rsid w:val="00F374FE"/>
    <w:rsid w:val="00F37718"/>
    <w:rsid w:val="00F40AA3"/>
    <w:rsid w:val="00F4134E"/>
    <w:rsid w:val="00F42C53"/>
    <w:rsid w:val="00F43E38"/>
    <w:rsid w:val="00F450A9"/>
    <w:rsid w:val="00F4684E"/>
    <w:rsid w:val="00F46BA2"/>
    <w:rsid w:val="00F47F30"/>
    <w:rsid w:val="00F50A5D"/>
    <w:rsid w:val="00F51F05"/>
    <w:rsid w:val="00F520F4"/>
    <w:rsid w:val="00F53951"/>
    <w:rsid w:val="00F53FD5"/>
    <w:rsid w:val="00F54745"/>
    <w:rsid w:val="00F54C97"/>
    <w:rsid w:val="00F5527B"/>
    <w:rsid w:val="00F55AD9"/>
    <w:rsid w:val="00F56C10"/>
    <w:rsid w:val="00F5746E"/>
    <w:rsid w:val="00F57CDB"/>
    <w:rsid w:val="00F60139"/>
    <w:rsid w:val="00F623DE"/>
    <w:rsid w:val="00F64B08"/>
    <w:rsid w:val="00F66A79"/>
    <w:rsid w:val="00F67519"/>
    <w:rsid w:val="00F71FB1"/>
    <w:rsid w:val="00F726AA"/>
    <w:rsid w:val="00F72B56"/>
    <w:rsid w:val="00F72C3D"/>
    <w:rsid w:val="00F742A9"/>
    <w:rsid w:val="00F75980"/>
    <w:rsid w:val="00F7753C"/>
    <w:rsid w:val="00F778D0"/>
    <w:rsid w:val="00F80133"/>
    <w:rsid w:val="00F801EC"/>
    <w:rsid w:val="00F8496C"/>
    <w:rsid w:val="00F84B70"/>
    <w:rsid w:val="00F85AA8"/>
    <w:rsid w:val="00F861FA"/>
    <w:rsid w:val="00F87232"/>
    <w:rsid w:val="00F872F2"/>
    <w:rsid w:val="00F875BB"/>
    <w:rsid w:val="00F907D8"/>
    <w:rsid w:val="00F91333"/>
    <w:rsid w:val="00F9228A"/>
    <w:rsid w:val="00F9530A"/>
    <w:rsid w:val="00F95383"/>
    <w:rsid w:val="00F95539"/>
    <w:rsid w:val="00F96457"/>
    <w:rsid w:val="00F97CB0"/>
    <w:rsid w:val="00FA1E6B"/>
    <w:rsid w:val="00FA3046"/>
    <w:rsid w:val="00FA424A"/>
    <w:rsid w:val="00FA451E"/>
    <w:rsid w:val="00FA46B8"/>
    <w:rsid w:val="00FA55AB"/>
    <w:rsid w:val="00FA570B"/>
    <w:rsid w:val="00FA59A5"/>
    <w:rsid w:val="00FA6742"/>
    <w:rsid w:val="00FA71F7"/>
    <w:rsid w:val="00FB0640"/>
    <w:rsid w:val="00FB16EC"/>
    <w:rsid w:val="00FB39AC"/>
    <w:rsid w:val="00FB7791"/>
    <w:rsid w:val="00FB7C6F"/>
    <w:rsid w:val="00FC287C"/>
    <w:rsid w:val="00FC4033"/>
    <w:rsid w:val="00FC6955"/>
    <w:rsid w:val="00FC7431"/>
    <w:rsid w:val="00FC79C8"/>
    <w:rsid w:val="00FD0705"/>
    <w:rsid w:val="00FD1A0A"/>
    <w:rsid w:val="00FD2136"/>
    <w:rsid w:val="00FD392E"/>
    <w:rsid w:val="00FD456C"/>
    <w:rsid w:val="00FD50A7"/>
    <w:rsid w:val="00FE023D"/>
    <w:rsid w:val="00FE0BBB"/>
    <w:rsid w:val="00FE1891"/>
    <w:rsid w:val="00FE2295"/>
    <w:rsid w:val="00FE6D61"/>
    <w:rsid w:val="00FE6EF6"/>
    <w:rsid w:val="00FE79EC"/>
    <w:rsid w:val="00FE7D66"/>
    <w:rsid w:val="00FF3C77"/>
    <w:rsid w:val="00FF3F31"/>
    <w:rsid w:val="00FF4717"/>
    <w:rsid w:val="00FF58A0"/>
    <w:rsid w:val="00FF6F5A"/>
    <w:rsid w:val="00FF7CFE"/>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126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Note Level 1" w:unhideWhenUsed="0"/>
    <w:lsdException w:name="Note Level 2"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0E"/>
    <w:pPr>
      <w:spacing w:after="200" w:line="276" w:lineRule="auto"/>
    </w:pPr>
    <w:rPr>
      <w:sz w:val="22"/>
      <w:szCs w:val="22"/>
      <w:lang w:val="en-US"/>
    </w:rPr>
  </w:style>
  <w:style w:type="paragraph" w:styleId="Heading1">
    <w:name w:val="heading 1"/>
    <w:basedOn w:val="Normal"/>
    <w:link w:val="Heading1Char"/>
    <w:uiPriority w:val="9"/>
    <w:qFormat/>
    <w:rsid w:val="004002F3"/>
    <w:pPr>
      <w:spacing w:before="100" w:beforeAutospacing="1" w:after="100" w:afterAutospacing="1" w:line="240" w:lineRule="auto"/>
      <w:outlineLvl w:val="0"/>
    </w:pPr>
    <w:rPr>
      <w:rFonts w:ascii="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F53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F53951"/>
    <w:rPr>
      <w:rFonts w:ascii="Courier New" w:eastAsia="Times New Roman" w:hAnsi="Courier New" w:cs="Courier New"/>
      <w:sz w:val="20"/>
      <w:szCs w:val="20"/>
    </w:rPr>
  </w:style>
  <w:style w:type="character" w:styleId="CommentReference">
    <w:name w:val="annotation reference"/>
    <w:uiPriority w:val="99"/>
    <w:semiHidden/>
    <w:unhideWhenUsed/>
    <w:rsid w:val="00241E5C"/>
    <w:rPr>
      <w:sz w:val="16"/>
      <w:szCs w:val="16"/>
    </w:rPr>
  </w:style>
  <w:style w:type="paragraph" w:styleId="CommentText">
    <w:name w:val="annotation text"/>
    <w:basedOn w:val="Normal"/>
    <w:link w:val="CommentTextChar"/>
    <w:uiPriority w:val="99"/>
    <w:semiHidden/>
    <w:unhideWhenUsed/>
    <w:rsid w:val="00241E5C"/>
    <w:pPr>
      <w:spacing w:line="240" w:lineRule="auto"/>
    </w:pPr>
    <w:rPr>
      <w:sz w:val="20"/>
      <w:szCs w:val="20"/>
    </w:rPr>
  </w:style>
  <w:style w:type="character" w:customStyle="1" w:styleId="CommentTextChar">
    <w:name w:val="Comment Text Char"/>
    <w:link w:val="CommentText"/>
    <w:uiPriority w:val="99"/>
    <w:semiHidden/>
    <w:rsid w:val="00241E5C"/>
    <w:rPr>
      <w:sz w:val="20"/>
      <w:szCs w:val="20"/>
    </w:rPr>
  </w:style>
  <w:style w:type="paragraph" w:styleId="CommentSubject">
    <w:name w:val="annotation subject"/>
    <w:basedOn w:val="CommentText"/>
    <w:next w:val="CommentText"/>
    <w:link w:val="CommentSubjectChar"/>
    <w:uiPriority w:val="99"/>
    <w:semiHidden/>
    <w:unhideWhenUsed/>
    <w:rsid w:val="00241E5C"/>
    <w:rPr>
      <w:b/>
      <w:bCs/>
    </w:rPr>
  </w:style>
  <w:style w:type="character" w:customStyle="1" w:styleId="CommentSubjectChar">
    <w:name w:val="Comment Subject Char"/>
    <w:link w:val="CommentSubject"/>
    <w:uiPriority w:val="99"/>
    <w:semiHidden/>
    <w:rsid w:val="00241E5C"/>
    <w:rPr>
      <w:b/>
      <w:bCs/>
      <w:sz w:val="20"/>
      <w:szCs w:val="20"/>
    </w:rPr>
  </w:style>
  <w:style w:type="paragraph" w:styleId="Revision">
    <w:name w:val="Revision"/>
    <w:hidden/>
    <w:uiPriority w:val="99"/>
    <w:semiHidden/>
    <w:rsid w:val="00241E5C"/>
    <w:rPr>
      <w:sz w:val="22"/>
      <w:szCs w:val="22"/>
      <w:lang w:val="en-US"/>
    </w:rPr>
  </w:style>
  <w:style w:type="paragraph" w:styleId="BalloonText">
    <w:name w:val="Balloon Text"/>
    <w:basedOn w:val="Normal"/>
    <w:link w:val="BalloonTextChar"/>
    <w:uiPriority w:val="99"/>
    <w:semiHidden/>
    <w:unhideWhenUsed/>
    <w:rsid w:val="00241E5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1E5C"/>
    <w:rPr>
      <w:rFonts w:ascii="Tahoma" w:hAnsi="Tahoma" w:cs="Tahoma"/>
      <w:sz w:val="16"/>
      <w:szCs w:val="16"/>
    </w:rPr>
  </w:style>
  <w:style w:type="paragraph" w:styleId="NormalWeb">
    <w:name w:val="Normal (Web)"/>
    <w:basedOn w:val="Normal"/>
    <w:uiPriority w:val="99"/>
    <w:unhideWhenUsed/>
    <w:rsid w:val="000E3216"/>
    <w:pPr>
      <w:spacing w:after="0" w:line="240" w:lineRule="auto"/>
    </w:pPr>
    <w:rPr>
      <w:rFonts w:ascii="Times New Roman" w:hAnsi="Times New Roman"/>
      <w:sz w:val="24"/>
      <w:szCs w:val="24"/>
    </w:rPr>
  </w:style>
  <w:style w:type="character" w:styleId="Emphasis">
    <w:name w:val="Emphasis"/>
    <w:uiPriority w:val="20"/>
    <w:qFormat/>
    <w:rsid w:val="000E3216"/>
    <w:rPr>
      <w:i/>
      <w:iCs/>
    </w:rPr>
  </w:style>
  <w:style w:type="paragraph" w:styleId="NoSpacing">
    <w:name w:val="No Spacing"/>
    <w:uiPriority w:val="1"/>
    <w:qFormat/>
    <w:rsid w:val="00C63DE6"/>
    <w:rPr>
      <w:rFonts w:ascii="Times New Roman" w:eastAsia="PMingLiU" w:hAnsi="Times New Roman"/>
      <w:sz w:val="24"/>
      <w:szCs w:val="22"/>
      <w:lang w:val="en-US" w:eastAsia="zh-TW"/>
    </w:rPr>
  </w:style>
  <w:style w:type="paragraph" w:styleId="Header">
    <w:name w:val="header"/>
    <w:basedOn w:val="Normal"/>
    <w:link w:val="HeaderChar"/>
    <w:uiPriority w:val="99"/>
    <w:unhideWhenUsed/>
    <w:rsid w:val="00C64B16"/>
    <w:pPr>
      <w:tabs>
        <w:tab w:val="center" w:pos="4680"/>
        <w:tab w:val="right" w:pos="9360"/>
      </w:tabs>
      <w:spacing w:after="0" w:line="240" w:lineRule="auto"/>
    </w:pPr>
  </w:style>
  <w:style w:type="character" w:customStyle="1" w:styleId="HeaderChar">
    <w:name w:val="Header Char"/>
    <w:link w:val="Header"/>
    <w:uiPriority w:val="99"/>
    <w:rsid w:val="00C64B16"/>
    <w:rPr>
      <w:sz w:val="22"/>
      <w:szCs w:val="22"/>
    </w:rPr>
  </w:style>
  <w:style w:type="paragraph" w:styleId="Footer">
    <w:name w:val="footer"/>
    <w:basedOn w:val="Normal"/>
    <w:link w:val="FooterChar"/>
    <w:uiPriority w:val="99"/>
    <w:unhideWhenUsed/>
    <w:rsid w:val="00C64B16"/>
    <w:pPr>
      <w:tabs>
        <w:tab w:val="center" w:pos="4680"/>
        <w:tab w:val="right" w:pos="9360"/>
      </w:tabs>
      <w:spacing w:after="0" w:line="240" w:lineRule="auto"/>
    </w:pPr>
  </w:style>
  <w:style w:type="character" w:customStyle="1" w:styleId="FooterChar">
    <w:name w:val="Footer Char"/>
    <w:link w:val="Footer"/>
    <w:uiPriority w:val="99"/>
    <w:rsid w:val="00C64B16"/>
    <w:rPr>
      <w:sz w:val="22"/>
      <w:szCs w:val="22"/>
    </w:rPr>
  </w:style>
  <w:style w:type="paragraph" w:customStyle="1" w:styleId="EndNoteBibliographyTitle">
    <w:name w:val="EndNote Bibliography Title"/>
    <w:basedOn w:val="Normal"/>
    <w:link w:val="EndNoteBibliographyTitleChar"/>
    <w:rsid w:val="000336E5"/>
    <w:pPr>
      <w:spacing w:after="0"/>
      <w:jc w:val="center"/>
    </w:pPr>
    <w:rPr>
      <w:noProof/>
    </w:rPr>
  </w:style>
  <w:style w:type="character" w:customStyle="1" w:styleId="EndNoteBibliographyTitleChar">
    <w:name w:val="EndNote Bibliography Title Char"/>
    <w:link w:val="EndNoteBibliographyTitle"/>
    <w:rsid w:val="000336E5"/>
    <w:rPr>
      <w:rFonts w:ascii="Cambria" w:hAnsi="Cambria"/>
      <w:noProof/>
      <w:sz w:val="22"/>
      <w:szCs w:val="22"/>
    </w:rPr>
  </w:style>
  <w:style w:type="paragraph" w:customStyle="1" w:styleId="EndNoteBibliography">
    <w:name w:val="EndNote Bibliography"/>
    <w:basedOn w:val="Normal"/>
    <w:link w:val="EndNoteBibliographyChar"/>
    <w:rsid w:val="000336E5"/>
    <w:pPr>
      <w:spacing w:line="240" w:lineRule="auto"/>
      <w:jc w:val="both"/>
    </w:pPr>
    <w:rPr>
      <w:noProof/>
    </w:rPr>
  </w:style>
  <w:style w:type="character" w:customStyle="1" w:styleId="EndNoteBibliographyChar">
    <w:name w:val="EndNote Bibliography Char"/>
    <w:link w:val="EndNoteBibliography"/>
    <w:rsid w:val="000336E5"/>
    <w:rPr>
      <w:rFonts w:ascii="Cambria" w:hAnsi="Cambria"/>
      <w:noProof/>
      <w:sz w:val="22"/>
      <w:szCs w:val="22"/>
    </w:rPr>
  </w:style>
  <w:style w:type="paragraph" w:customStyle="1" w:styleId="SectionContent">
    <w:name w:val="Section_Content"/>
    <w:basedOn w:val="Normal"/>
    <w:next w:val="Normal"/>
    <w:autoRedefine/>
    <w:rsid w:val="00B01A3A"/>
    <w:pPr>
      <w:spacing w:after="0" w:line="480" w:lineRule="auto"/>
      <w:jc w:val="both"/>
    </w:pPr>
    <w:rPr>
      <w:rFonts w:ascii="Arial" w:eastAsia="Times New Roman" w:hAnsi="Arial" w:cs="Arial"/>
      <w:kern w:val="20"/>
    </w:rPr>
  </w:style>
  <w:style w:type="paragraph" w:styleId="ListParagraph">
    <w:name w:val="List Paragraph"/>
    <w:basedOn w:val="Normal"/>
    <w:uiPriority w:val="34"/>
    <w:qFormat/>
    <w:rsid w:val="007351CC"/>
    <w:pPr>
      <w:spacing w:after="0" w:line="240" w:lineRule="auto"/>
      <w:ind w:left="720"/>
      <w:contextualSpacing/>
    </w:pPr>
    <w:rPr>
      <w:rFonts w:asciiTheme="minorHAnsi" w:eastAsiaTheme="minorHAnsi" w:hAnsiTheme="minorHAnsi" w:cstheme="minorBidi"/>
      <w:sz w:val="24"/>
      <w:szCs w:val="24"/>
      <w:lang w:val="en-GB"/>
    </w:rPr>
  </w:style>
  <w:style w:type="character" w:customStyle="1" w:styleId="apple-converted-space">
    <w:name w:val="apple-converted-space"/>
    <w:basedOn w:val="DefaultParagraphFont"/>
    <w:rsid w:val="00935CAF"/>
  </w:style>
  <w:style w:type="paragraph" w:styleId="Title">
    <w:name w:val="Title"/>
    <w:aliases w:val="title"/>
    <w:basedOn w:val="Normal"/>
    <w:link w:val="TitleChar"/>
    <w:uiPriority w:val="10"/>
    <w:qFormat/>
    <w:rsid w:val="0018553A"/>
    <w:pPr>
      <w:spacing w:before="100" w:beforeAutospacing="1" w:after="100" w:afterAutospacing="1" w:line="240" w:lineRule="auto"/>
    </w:pPr>
    <w:rPr>
      <w:rFonts w:ascii="Times New Roman" w:hAnsi="Times New Roman"/>
      <w:sz w:val="24"/>
      <w:szCs w:val="24"/>
      <w:lang w:val="en-GB" w:eastAsia="en-GB"/>
    </w:rPr>
  </w:style>
  <w:style w:type="character" w:customStyle="1" w:styleId="TitleChar">
    <w:name w:val="Title Char"/>
    <w:aliases w:val="title Char"/>
    <w:basedOn w:val="DefaultParagraphFont"/>
    <w:link w:val="Title"/>
    <w:uiPriority w:val="10"/>
    <w:rsid w:val="0018553A"/>
    <w:rPr>
      <w:rFonts w:ascii="Times New Roman" w:hAnsi="Times New Roman"/>
      <w:sz w:val="24"/>
      <w:szCs w:val="24"/>
      <w:lang w:val="en-GB" w:eastAsia="en-GB"/>
    </w:rPr>
  </w:style>
  <w:style w:type="character" w:styleId="Hyperlink">
    <w:name w:val="Hyperlink"/>
    <w:basedOn w:val="DefaultParagraphFont"/>
    <w:uiPriority w:val="99"/>
    <w:semiHidden/>
    <w:unhideWhenUsed/>
    <w:rsid w:val="0018553A"/>
    <w:rPr>
      <w:color w:val="0000FF"/>
      <w:u w:val="single"/>
    </w:rPr>
  </w:style>
  <w:style w:type="paragraph" w:customStyle="1" w:styleId="desc">
    <w:name w:val="desc"/>
    <w:basedOn w:val="Normal"/>
    <w:rsid w:val="0018553A"/>
    <w:pPr>
      <w:spacing w:before="100" w:beforeAutospacing="1" w:after="100" w:afterAutospacing="1" w:line="240" w:lineRule="auto"/>
    </w:pPr>
    <w:rPr>
      <w:rFonts w:ascii="Times New Roman" w:hAnsi="Times New Roman"/>
      <w:sz w:val="24"/>
      <w:szCs w:val="24"/>
      <w:lang w:val="en-GB" w:eastAsia="en-GB"/>
    </w:rPr>
  </w:style>
  <w:style w:type="paragraph" w:customStyle="1" w:styleId="details">
    <w:name w:val="details"/>
    <w:basedOn w:val="Normal"/>
    <w:rsid w:val="0018553A"/>
    <w:pPr>
      <w:spacing w:before="100" w:beforeAutospacing="1" w:after="100" w:afterAutospacing="1" w:line="240" w:lineRule="auto"/>
    </w:pPr>
    <w:rPr>
      <w:rFonts w:ascii="Times New Roman" w:hAnsi="Times New Roman"/>
      <w:sz w:val="24"/>
      <w:szCs w:val="24"/>
      <w:lang w:val="en-GB" w:eastAsia="en-GB"/>
    </w:rPr>
  </w:style>
  <w:style w:type="character" w:customStyle="1" w:styleId="jrnl">
    <w:name w:val="jrnl"/>
    <w:basedOn w:val="DefaultParagraphFont"/>
    <w:rsid w:val="0018553A"/>
  </w:style>
  <w:style w:type="character" w:customStyle="1" w:styleId="highlight">
    <w:name w:val="highlight"/>
    <w:basedOn w:val="DefaultParagraphFont"/>
    <w:rsid w:val="0018553A"/>
  </w:style>
  <w:style w:type="character" w:customStyle="1" w:styleId="Heading1Char">
    <w:name w:val="Heading 1 Char"/>
    <w:basedOn w:val="DefaultParagraphFont"/>
    <w:link w:val="Heading1"/>
    <w:uiPriority w:val="9"/>
    <w:rsid w:val="004002F3"/>
    <w:rPr>
      <w:rFonts w:ascii="Times New Roman" w:hAnsi="Times New Roman"/>
      <w:b/>
      <w:bCs/>
      <w:kern w:val="36"/>
      <w:sz w:val="48"/>
      <w:szCs w:val="48"/>
      <w:lang w:val="en-GB" w:eastAsia="en-GB"/>
    </w:rPr>
  </w:style>
  <w:style w:type="paragraph" w:customStyle="1" w:styleId="links">
    <w:name w:val="links"/>
    <w:basedOn w:val="Normal"/>
    <w:rsid w:val="00C36D59"/>
    <w:pPr>
      <w:spacing w:before="100" w:beforeAutospacing="1" w:after="100" w:afterAutospacing="1" w:line="240" w:lineRule="auto"/>
    </w:pPr>
    <w:rPr>
      <w:rFonts w:ascii="Times New Roman" w:hAnsi="Times New Roman"/>
      <w:sz w:val="24"/>
      <w:szCs w:val="24"/>
      <w:lang w:val="en-GB" w:eastAsia="en-GB"/>
    </w:rPr>
  </w:style>
  <w:style w:type="character" w:customStyle="1" w:styleId="current-selection">
    <w:name w:val="current-selection"/>
    <w:basedOn w:val="DefaultParagraphFont"/>
    <w:rsid w:val="00AE351B"/>
  </w:style>
  <w:style w:type="paragraph" w:customStyle="1" w:styleId="p1">
    <w:name w:val="p1"/>
    <w:basedOn w:val="Normal"/>
    <w:rsid w:val="004B65F4"/>
    <w:pPr>
      <w:spacing w:after="0" w:line="240" w:lineRule="auto"/>
    </w:pPr>
    <w:rPr>
      <w:rFonts w:ascii="Times" w:hAnsi="Times"/>
      <w:color w:val="0093BA"/>
      <w:sz w:val="9"/>
      <w:szCs w:val="9"/>
      <w:lang w:val="en-GB" w:eastAsia="en-GB"/>
    </w:rPr>
  </w:style>
  <w:style w:type="character" w:styleId="FollowedHyperlink">
    <w:name w:val="FollowedHyperlink"/>
    <w:basedOn w:val="DefaultParagraphFont"/>
    <w:uiPriority w:val="99"/>
    <w:semiHidden/>
    <w:unhideWhenUsed/>
    <w:rsid w:val="008063D4"/>
    <w:rPr>
      <w:color w:val="800080" w:themeColor="followedHyperlink"/>
      <w:u w:val="single"/>
    </w:rPr>
  </w:style>
  <w:style w:type="character" w:styleId="Strong">
    <w:name w:val="Strong"/>
    <w:basedOn w:val="DefaultParagraphFont"/>
    <w:uiPriority w:val="22"/>
    <w:qFormat/>
    <w:rsid w:val="00A552B5"/>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Note Level 1" w:unhideWhenUsed="0"/>
    <w:lsdException w:name="Note Level 2"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0E"/>
    <w:pPr>
      <w:spacing w:after="200" w:line="276" w:lineRule="auto"/>
    </w:pPr>
    <w:rPr>
      <w:sz w:val="22"/>
      <w:szCs w:val="22"/>
      <w:lang w:val="en-US"/>
    </w:rPr>
  </w:style>
  <w:style w:type="paragraph" w:styleId="Heading1">
    <w:name w:val="heading 1"/>
    <w:basedOn w:val="Normal"/>
    <w:link w:val="Heading1Char"/>
    <w:uiPriority w:val="9"/>
    <w:qFormat/>
    <w:rsid w:val="004002F3"/>
    <w:pPr>
      <w:spacing w:before="100" w:beforeAutospacing="1" w:after="100" w:afterAutospacing="1" w:line="240" w:lineRule="auto"/>
      <w:outlineLvl w:val="0"/>
    </w:pPr>
    <w:rPr>
      <w:rFonts w:ascii="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F53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F53951"/>
    <w:rPr>
      <w:rFonts w:ascii="Courier New" w:eastAsia="Times New Roman" w:hAnsi="Courier New" w:cs="Courier New"/>
      <w:sz w:val="20"/>
      <w:szCs w:val="20"/>
    </w:rPr>
  </w:style>
  <w:style w:type="character" w:styleId="CommentReference">
    <w:name w:val="annotation reference"/>
    <w:uiPriority w:val="99"/>
    <w:semiHidden/>
    <w:unhideWhenUsed/>
    <w:rsid w:val="00241E5C"/>
    <w:rPr>
      <w:sz w:val="16"/>
      <w:szCs w:val="16"/>
    </w:rPr>
  </w:style>
  <w:style w:type="paragraph" w:styleId="CommentText">
    <w:name w:val="annotation text"/>
    <w:basedOn w:val="Normal"/>
    <w:link w:val="CommentTextChar"/>
    <w:uiPriority w:val="99"/>
    <w:semiHidden/>
    <w:unhideWhenUsed/>
    <w:rsid w:val="00241E5C"/>
    <w:pPr>
      <w:spacing w:line="240" w:lineRule="auto"/>
    </w:pPr>
    <w:rPr>
      <w:sz w:val="20"/>
      <w:szCs w:val="20"/>
    </w:rPr>
  </w:style>
  <w:style w:type="character" w:customStyle="1" w:styleId="CommentTextChar">
    <w:name w:val="Comment Text Char"/>
    <w:link w:val="CommentText"/>
    <w:uiPriority w:val="99"/>
    <w:semiHidden/>
    <w:rsid w:val="00241E5C"/>
    <w:rPr>
      <w:sz w:val="20"/>
      <w:szCs w:val="20"/>
    </w:rPr>
  </w:style>
  <w:style w:type="paragraph" w:styleId="CommentSubject">
    <w:name w:val="annotation subject"/>
    <w:basedOn w:val="CommentText"/>
    <w:next w:val="CommentText"/>
    <w:link w:val="CommentSubjectChar"/>
    <w:uiPriority w:val="99"/>
    <w:semiHidden/>
    <w:unhideWhenUsed/>
    <w:rsid w:val="00241E5C"/>
    <w:rPr>
      <w:b/>
      <w:bCs/>
    </w:rPr>
  </w:style>
  <w:style w:type="character" w:customStyle="1" w:styleId="CommentSubjectChar">
    <w:name w:val="Comment Subject Char"/>
    <w:link w:val="CommentSubject"/>
    <w:uiPriority w:val="99"/>
    <w:semiHidden/>
    <w:rsid w:val="00241E5C"/>
    <w:rPr>
      <w:b/>
      <w:bCs/>
      <w:sz w:val="20"/>
      <w:szCs w:val="20"/>
    </w:rPr>
  </w:style>
  <w:style w:type="paragraph" w:styleId="Revision">
    <w:name w:val="Revision"/>
    <w:hidden/>
    <w:uiPriority w:val="99"/>
    <w:semiHidden/>
    <w:rsid w:val="00241E5C"/>
    <w:rPr>
      <w:sz w:val="22"/>
      <w:szCs w:val="22"/>
      <w:lang w:val="en-US"/>
    </w:rPr>
  </w:style>
  <w:style w:type="paragraph" w:styleId="BalloonText">
    <w:name w:val="Balloon Text"/>
    <w:basedOn w:val="Normal"/>
    <w:link w:val="BalloonTextChar"/>
    <w:uiPriority w:val="99"/>
    <w:semiHidden/>
    <w:unhideWhenUsed/>
    <w:rsid w:val="00241E5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1E5C"/>
    <w:rPr>
      <w:rFonts w:ascii="Tahoma" w:hAnsi="Tahoma" w:cs="Tahoma"/>
      <w:sz w:val="16"/>
      <w:szCs w:val="16"/>
    </w:rPr>
  </w:style>
  <w:style w:type="paragraph" w:styleId="NormalWeb">
    <w:name w:val="Normal (Web)"/>
    <w:basedOn w:val="Normal"/>
    <w:uiPriority w:val="99"/>
    <w:unhideWhenUsed/>
    <w:rsid w:val="000E3216"/>
    <w:pPr>
      <w:spacing w:after="0" w:line="240" w:lineRule="auto"/>
    </w:pPr>
    <w:rPr>
      <w:rFonts w:ascii="Times New Roman" w:hAnsi="Times New Roman"/>
      <w:sz w:val="24"/>
      <w:szCs w:val="24"/>
    </w:rPr>
  </w:style>
  <w:style w:type="character" w:styleId="Emphasis">
    <w:name w:val="Emphasis"/>
    <w:uiPriority w:val="20"/>
    <w:qFormat/>
    <w:rsid w:val="000E3216"/>
    <w:rPr>
      <w:i/>
      <w:iCs/>
    </w:rPr>
  </w:style>
  <w:style w:type="paragraph" w:styleId="NoSpacing">
    <w:name w:val="No Spacing"/>
    <w:uiPriority w:val="1"/>
    <w:qFormat/>
    <w:rsid w:val="00C63DE6"/>
    <w:rPr>
      <w:rFonts w:ascii="Times New Roman" w:eastAsia="PMingLiU" w:hAnsi="Times New Roman"/>
      <w:sz w:val="24"/>
      <w:szCs w:val="22"/>
      <w:lang w:val="en-US" w:eastAsia="zh-TW"/>
    </w:rPr>
  </w:style>
  <w:style w:type="paragraph" w:styleId="Header">
    <w:name w:val="header"/>
    <w:basedOn w:val="Normal"/>
    <w:link w:val="HeaderChar"/>
    <w:uiPriority w:val="99"/>
    <w:unhideWhenUsed/>
    <w:rsid w:val="00C64B16"/>
    <w:pPr>
      <w:tabs>
        <w:tab w:val="center" w:pos="4680"/>
        <w:tab w:val="right" w:pos="9360"/>
      </w:tabs>
      <w:spacing w:after="0" w:line="240" w:lineRule="auto"/>
    </w:pPr>
  </w:style>
  <w:style w:type="character" w:customStyle="1" w:styleId="HeaderChar">
    <w:name w:val="Header Char"/>
    <w:link w:val="Header"/>
    <w:uiPriority w:val="99"/>
    <w:rsid w:val="00C64B16"/>
    <w:rPr>
      <w:sz w:val="22"/>
      <w:szCs w:val="22"/>
    </w:rPr>
  </w:style>
  <w:style w:type="paragraph" w:styleId="Footer">
    <w:name w:val="footer"/>
    <w:basedOn w:val="Normal"/>
    <w:link w:val="FooterChar"/>
    <w:uiPriority w:val="99"/>
    <w:unhideWhenUsed/>
    <w:rsid w:val="00C64B16"/>
    <w:pPr>
      <w:tabs>
        <w:tab w:val="center" w:pos="4680"/>
        <w:tab w:val="right" w:pos="9360"/>
      </w:tabs>
      <w:spacing w:after="0" w:line="240" w:lineRule="auto"/>
    </w:pPr>
  </w:style>
  <w:style w:type="character" w:customStyle="1" w:styleId="FooterChar">
    <w:name w:val="Footer Char"/>
    <w:link w:val="Footer"/>
    <w:uiPriority w:val="99"/>
    <w:rsid w:val="00C64B16"/>
    <w:rPr>
      <w:sz w:val="22"/>
      <w:szCs w:val="22"/>
    </w:rPr>
  </w:style>
  <w:style w:type="paragraph" w:customStyle="1" w:styleId="EndNoteBibliographyTitle">
    <w:name w:val="EndNote Bibliography Title"/>
    <w:basedOn w:val="Normal"/>
    <w:link w:val="EndNoteBibliographyTitleChar"/>
    <w:rsid w:val="000336E5"/>
    <w:pPr>
      <w:spacing w:after="0"/>
      <w:jc w:val="center"/>
    </w:pPr>
    <w:rPr>
      <w:noProof/>
    </w:rPr>
  </w:style>
  <w:style w:type="character" w:customStyle="1" w:styleId="EndNoteBibliographyTitleChar">
    <w:name w:val="EndNote Bibliography Title Char"/>
    <w:link w:val="EndNoteBibliographyTitle"/>
    <w:rsid w:val="000336E5"/>
    <w:rPr>
      <w:rFonts w:ascii="Cambria" w:hAnsi="Cambria"/>
      <w:noProof/>
      <w:sz w:val="22"/>
      <w:szCs w:val="22"/>
    </w:rPr>
  </w:style>
  <w:style w:type="paragraph" w:customStyle="1" w:styleId="EndNoteBibliography">
    <w:name w:val="EndNote Bibliography"/>
    <w:basedOn w:val="Normal"/>
    <w:link w:val="EndNoteBibliographyChar"/>
    <w:rsid w:val="000336E5"/>
    <w:pPr>
      <w:spacing w:line="240" w:lineRule="auto"/>
      <w:jc w:val="both"/>
    </w:pPr>
    <w:rPr>
      <w:noProof/>
    </w:rPr>
  </w:style>
  <w:style w:type="character" w:customStyle="1" w:styleId="EndNoteBibliographyChar">
    <w:name w:val="EndNote Bibliography Char"/>
    <w:link w:val="EndNoteBibliography"/>
    <w:rsid w:val="000336E5"/>
    <w:rPr>
      <w:rFonts w:ascii="Cambria" w:hAnsi="Cambria"/>
      <w:noProof/>
      <w:sz w:val="22"/>
      <w:szCs w:val="22"/>
    </w:rPr>
  </w:style>
  <w:style w:type="paragraph" w:customStyle="1" w:styleId="SectionContent">
    <w:name w:val="Section_Content"/>
    <w:basedOn w:val="Normal"/>
    <w:next w:val="Normal"/>
    <w:autoRedefine/>
    <w:rsid w:val="00B01A3A"/>
    <w:pPr>
      <w:spacing w:after="0" w:line="480" w:lineRule="auto"/>
      <w:jc w:val="both"/>
    </w:pPr>
    <w:rPr>
      <w:rFonts w:ascii="Arial" w:eastAsia="Times New Roman" w:hAnsi="Arial" w:cs="Arial"/>
      <w:kern w:val="20"/>
    </w:rPr>
  </w:style>
  <w:style w:type="paragraph" w:styleId="ListParagraph">
    <w:name w:val="List Paragraph"/>
    <w:basedOn w:val="Normal"/>
    <w:uiPriority w:val="34"/>
    <w:qFormat/>
    <w:rsid w:val="007351CC"/>
    <w:pPr>
      <w:spacing w:after="0" w:line="240" w:lineRule="auto"/>
      <w:ind w:left="720"/>
      <w:contextualSpacing/>
    </w:pPr>
    <w:rPr>
      <w:rFonts w:asciiTheme="minorHAnsi" w:eastAsiaTheme="minorHAnsi" w:hAnsiTheme="minorHAnsi" w:cstheme="minorBidi"/>
      <w:sz w:val="24"/>
      <w:szCs w:val="24"/>
      <w:lang w:val="en-GB"/>
    </w:rPr>
  </w:style>
  <w:style w:type="character" w:customStyle="1" w:styleId="apple-converted-space">
    <w:name w:val="apple-converted-space"/>
    <w:basedOn w:val="DefaultParagraphFont"/>
    <w:rsid w:val="00935CAF"/>
  </w:style>
  <w:style w:type="paragraph" w:styleId="Title">
    <w:name w:val="Title"/>
    <w:aliases w:val="title"/>
    <w:basedOn w:val="Normal"/>
    <w:link w:val="TitleChar"/>
    <w:uiPriority w:val="10"/>
    <w:qFormat/>
    <w:rsid w:val="0018553A"/>
    <w:pPr>
      <w:spacing w:before="100" w:beforeAutospacing="1" w:after="100" w:afterAutospacing="1" w:line="240" w:lineRule="auto"/>
    </w:pPr>
    <w:rPr>
      <w:rFonts w:ascii="Times New Roman" w:hAnsi="Times New Roman"/>
      <w:sz w:val="24"/>
      <w:szCs w:val="24"/>
      <w:lang w:val="en-GB" w:eastAsia="en-GB"/>
    </w:rPr>
  </w:style>
  <w:style w:type="character" w:customStyle="1" w:styleId="TitleChar">
    <w:name w:val="Title Char"/>
    <w:aliases w:val="title Char"/>
    <w:basedOn w:val="DefaultParagraphFont"/>
    <w:link w:val="Title"/>
    <w:uiPriority w:val="10"/>
    <w:rsid w:val="0018553A"/>
    <w:rPr>
      <w:rFonts w:ascii="Times New Roman" w:hAnsi="Times New Roman"/>
      <w:sz w:val="24"/>
      <w:szCs w:val="24"/>
      <w:lang w:val="en-GB" w:eastAsia="en-GB"/>
    </w:rPr>
  </w:style>
  <w:style w:type="character" w:styleId="Hyperlink">
    <w:name w:val="Hyperlink"/>
    <w:basedOn w:val="DefaultParagraphFont"/>
    <w:uiPriority w:val="99"/>
    <w:semiHidden/>
    <w:unhideWhenUsed/>
    <w:rsid w:val="0018553A"/>
    <w:rPr>
      <w:color w:val="0000FF"/>
      <w:u w:val="single"/>
    </w:rPr>
  </w:style>
  <w:style w:type="paragraph" w:customStyle="1" w:styleId="desc">
    <w:name w:val="desc"/>
    <w:basedOn w:val="Normal"/>
    <w:rsid w:val="0018553A"/>
    <w:pPr>
      <w:spacing w:before="100" w:beforeAutospacing="1" w:after="100" w:afterAutospacing="1" w:line="240" w:lineRule="auto"/>
    </w:pPr>
    <w:rPr>
      <w:rFonts w:ascii="Times New Roman" w:hAnsi="Times New Roman"/>
      <w:sz w:val="24"/>
      <w:szCs w:val="24"/>
      <w:lang w:val="en-GB" w:eastAsia="en-GB"/>
    </w:rPr>
  </w:style>
  <w:style w:type="paragraph" w:customStyle="1" w:styleId="details">
    <w:name w:val="details"/>
    <w:basedOn w:val="Normal"/>
    <w:rsid w:val="0018553A"/>
    <w:pPr>
      <w:spacing w:before="100" w:beforeAutospacing="1" w:after="100" w:afterAutospacing="1" w:line="240" w:lineRule="auto"/>
    </w:pPr>
    <w:rPr>
      <w:rFonts w:ascii="Times New Roman" w:hAnsi="Times New Roman"/>
      <w:sz w:val="24"/>
      <w:szCs w:val="24"/>
      <w:lang w:val="en-GB" w:eastAsia="en-GB"/>
    </w:rPr>
  </w:style>
  <w:style w:type="character" w:customStyle="1" w:styleId="jrnl">
    <w:name w:val="jrnl"/>
    <w:basedOn w:val="DefaultParagraphFont"/>
    <w:rsid w:val="0018553A"/>
  </w:style>
  <w:style w:type="character" w:customStyle="1" w:styleId="highlight">
    <w:name w:val="highlight"/>
    <w:basedOn w:val="DefaultParagraphFont"/>
    <w:rsid w:val="0018553A"/>
  </w:style>
  <w:style w:type="character" w:customStyle="1" w:styleId="Heading1Char">
    <w:name w:val="Heading 1 Char"/>
    <w:basedOn w:val="DefaultParagraphFont"/>
    <w:link w:val="Heading1"/>
    <w:uiPriority w:val="9"/>
    <w:rsid w:val="004002F3"/>
    <w:rPr>
      <w:rFonts w:ascii="Times New Roman" w:hAnsi="Times New Roman"/>
      <w:b/>
      <w:bCs/>
      <w:kern w:val="36"/>
      <w:sz w:val="48"/>
      <w:szCs w:val="48"/>
      <w:lang w:val="en-GB" w:eastAsia="en-GB"/>
    </w:rPr>
  </w:style>
  <w:style w:type="paragraph" w:customStyle="1" w:styleId="links">
    <w:name w:val="links"/>
    <w:basedOn w:val="Normal"/>
    <w:rsid w:val="00C36D59"/>
    <w:pPr>
      <w:spacing w:before="100" w:beforeAutospacing="1" w:after="100" w:afterAutospacing="1" w:line="240" w:lineRule="auto"/>
    </w:pPr>
    <w:rPr>
      <w:rFonts w:ascii="Times New Roman" w:hAnsi="Times New Roman"/>
      <w:sz w:val="24"/>
      <w:szCs w:val="24"/>
      <w:lang w:val="en-GB" w:eastAsia="en-GB"/>
    </w:rPr>
  </w:style>
  <w:style w:type="character" w:customStyle="1" w:styleId="current-selection">
    <w:name w:val="current-selection"/>
    <w:basedOn w:val="DefaultParagraphFont"/>
    <w:rsid w:val="00AE351B"/>
  </w:style>
  <w:style w:type="paragraph" w:customStyle="1" w:styleId="p1">
    <w:name w:val="p1"/>
    <w:basedOn w:val="Normal"/>
    <w:rsid w:val="004B65F4"/>
    <w:pPr>
      <w:spacing w:after="0" w:line="240" w:lineRule="auto"/>
    </w:pPr>
    <w:rPr>
      <w:rFonts w:ascii="Times" w:hAnsi="Times"/>
      <w:color w:val="0093BA"/>
      <w:sz w:val="9"/>
      <w:szCs w:val="9"/>
      <w:lang w:val="en-GB" w:eastAsia="en-GB"/>
    </w:rPr>
  </w:style>
  <w:style w:type="character" w:styleId="FollowedHyperlink">
    <w:name w:val="FollowedHyperlink"/>
    <w:basedOn w:val="DefaultParagraphFont"/>
    <w:uiPriority w:val="99"/>
    <w:semiHidden/>
    <w:unhideWhenUsed/>
    <w:rsid w:val="008063D4"/>
    <w:rPr>
      <w:color w:val="800080" w:themeColor="followedHyperlink"/>
      <w:u w:val="single"/>
    </w:rPr>
  </w:style>
  <w:style w:type="character" w:styleId="Strong">
    <w:name w:val="Strong"/>
    <w:basedOn w:val="DefaultParagraphFont"/>
    <w:uiPriority w:val="22"/>
    <w:qFormat/>
    <w:rsid w:val="00A552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5051">
      <w:bodyDiv w:val="1"/>
      <w:marLeft w:val="0"/>
      <w:marRight w:val="0"/>
      <w:marTop w:val="0"/>
      <w:marBottom w:val="0"/>
      <w:divBdr>
        <w:top w:val="none" w:sz="0" w:space="0" w:color="auto"/>
        <w:left w:val="none" w:sz="0" w:space="0" w:color="auto"/>
        <w:bottom w:val="none" w:sz="0" w:space="0" w:color="auto"/>
        <w:right w:val="none" w:sz="0" w:space="0" w:color="auto"/>
      </w:divBdr>
      <w:divsChild>
        <w:div w:id="1883052771">
          <w:marLeft w:val="0"/>
          <w:marRight w:val="0"/>
          <w:marTop w:val="34"/>
          <w:marBottom w:val="34"/>
          <w:divBdr>
            <w:top w:val="none" w:sz="0" w:space="0" w:color="auto"/>
            <w:left w:val="none" w:sz="0" w:space="0" w:color="auto"/>
            <w:bottom w:val="none" w:sz="0" w:space="0" w:color="auto"/>
            <w:right w:val="none" w:sz="0" w:space="0" w:color="auto"/>
          </w:divBdr>
        </w:div>
      </w:divsChild>
    </w:div>
    <w:div w:id="192890975">
      <w:bodyDiv w:val="1"/>
      <w:marLeft w:val="0"/>
      <w:marRight w:val="0"/>
      <w:marTop w:val="0"/>
      <w:marBottom w:val="0"/>
      <w:divBdr>
        <w:top w:val="none" w:sz="0" w:space="0" w:color="auto"/>
        <w:left w:val="none" w:sz="0" w:space="0" w:color="auto"/>
        <w:bottom w:val="none" w:sz="0" w:space="0" w:color="auto"/>
        <w:right w:val="none" w:sz="0" w:space="0" w:color="auto"/>
      </w:divBdr>
    </w:div>
    <w:div w:id="198587147">
      <w:bodyDiv w:val="1"/>
      <w:marLeft w:val="0"/>
      <w:marRight w:val="0"/>
      <w:marTop w:val="0"/>
      <w:marBottom w:val="0"/>
      <w:divBdr>
        <w:top w:val="none" w:sz="0" w:space="0" w:color="auto"/>
        <w:left w:val="none" w:sz="0" w:space="0" w:color="auto"/>
        <w:bottom w:val="none" w:sz="0" w:space="0" w:color="auto"/>
        <w:right w:val="none" w:sz="0" w:space="0" w:color="auto"/>
      </w:divBdr>
    </w:div>
    <w:div w:id="216820434">
      <w:bodyDiv w:val="1"/>
      <w:marLeft w:val="0"/>
      <w:marRight w:val="0"/>
      <w:marTop w:val="0"/>
      <w:marBottom w:val="0"/>
      <w:divBdr>
        <w:top w:val="none" w:sz="0" w:space="0" w:color="auto"/>
        <w:left w:val="none" w:sz="0" w:space="0" w:color="auto"/>
        <w:bottom w:val="none" w:sz="0" w:space="0" w:color="auto"/>
        <w:right w:val="none" w:sz="0" w:space="0" w:color="auto"/>
      </w:divBdr>
      <w:divsChild>
        <w:div w:id="62408866">
          <w:marLeft w:val="420"/>
          <w:marRight w:val="0"/>
          <w:marTop w:val="0"/>
          <w:marBottom w:val="0"/>
          <w:divBdr>
            <w:top w:val="none" w:sz="0" w:space="0" w:color="auto"/>
            <w:left w:val="none" w:sz="0" w:space="0" w:color="auto"/>
            <w:bottom w:val="none" w:sz="0" w:space="0" w:color="auto"/>
            <w:right w:val="none" w:sz="0" w:space="0" w:color="auto"/>
          </w:divBdr>
          <w:divsChild>
            <w:div w:id="130384625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218250665">
      <w:bodyDiv w:val="1"/>
      <w:marLeft w:val="0"/>
      <w:marRight w:val="0"/>
      <w:marTop w:val="0"/>
      <w:marBottom w:val="0"/>
      <w:divBdr>
        <w:top w:val="none" w:sz="0" w:space="0" w:color="auto"/>
        <w:left w:val="none" w:sz="0" w:space="0" w:color="auto"/>
        <w:bottom w:val="none" w:sz="0" w:space="0" w:color="auto"/>
        <w:right w:val="none" w:sz="0" w:space="0" w:color="auto"/>
      </w:divBdr>
    </w:div>
    <w:div w:id="233702433">
      <w:bodyDiv w:val="1"/>
      <w:marLeft w:val="0"/>
      <w:marRight w:val="0"/>
      <w:marTop w:val="0"/>
      <w:marBottom w:val="0"/>
      <w:divBdr>
        <w:top w:val="none" w:sz="0" w:space="0" w:color="auto"/>
        <w:left w:val="none" w:sz="0" w:space="0" w:color="auto"/>
        <w:bottom w:val="none" w:sz="0" w:space="0" w:color="auto"/>
        <w:right w:val="none" w:sz="0" w:space="0" w:color="auto"/>
      </w:divBdr>
      <w:divsChild>
        <w:div w:id="201990103">
          <w:marLeft w:val="0"/>
          <w:marRight w:val="0"/>
          <w:marTop w:val="0"/>
          <w:marBottom w:val="0"/>
          <w:divBdr>
            <w:top w:val="none" w:sz="0" w:space="0" w:color="auto"/>
            <w:left w:val="none" w:sz="0" w:space="0" w:color="auto"/>
            <w:bottom w:val="none" w:sz="0" w:space="0" w:color="auto"/>
            <w:right w:val="none" w:sz="0" w:space="0" w:color="auto"/>
          </w:divBdr>
          <w:divsChild>
            <w:div w:id="2103603188">
              <w:marLeft w:val="0"/>
              <w:marRight w:val="0"/>
              <w:marTop w:val="0"/>
              <w:marBottom w:val="0"/>
              <w:divBdr>
                <w:top w:val="none" w:sz="0" w:space="0" w:color="auto"/>
                <w:left w:val="none" w:sz="0" w:space="0" w:color="auto"/>
                <w:bottom w:val="none" w:sz="0" w:space="0" w:color="auto"/>
                <w:right w:val="none" w:sz="0" w:space="0" w:color="auto"/>
              </w:divBdr>
              <w:divsChild>
                <w:div w:id="1057165446">
                  <w:marLeft w:val="0"/>
                  <w:marRight w:val="0"/>
                  <w:marTop w:val="0"/>
                  <w:marBottom w:val="0"/>
                  <w:divBdr>
                    <w:top w:val="none" w:sz="0" w:space="0" w:color="auto"/>
                    <w:left w:val="none" w:sz="0" w:space="0" w:color="auto"/>
                    <w:bottom w:val="none" w:sz="0" w:space="0" w:color="auto"/>
                    <w:right w:val="none" w:sz="0" w:space="0" w:color="auto"/>
                  </w:divBdr>
                  <w:divsChild>
                    <w:div w:id="46085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133950">
      <w:bodyDiv w:val="1"/>
      <w:marLeft w:val="0"/>
      <w:marRight w:val="0"/>
      <w:marTop w:val="0"/>
      <w:marBottom w:val="0"/>
      <w:divBdr>
        <w:top w:val="none" w:sz="0" w:space="0" w:color="auto"/>
        <w:left w:val="none" w:sz="0" w:space="0" w:color="auto"/>
        <w:bottom w:val="none" w:sz="0" w:space="0" w:color="auto"/>
        <w:right w:val="none" w:sz="0" w:space="0" w:color="auto"/>
      </w:divBdr>
    </w:div>
    <w:div w:id="391275208">
      <w:bodyDiv w:val="1"/>
      <w:marLeft w:val="0"/>
      <w:marRight w:val="0"/>
      <w:marTop w:val="0"/>
      <w:marBottom w:val="0"/>
      <w:divBdr>
        <w:top w:val="none" w:sz="0" w:space="0" w:color="auto"/>
        <w:left w:val="none" w:sz="0" w:space="0" w:color="auto"/>
        <w:bottom w:val="none" w:sz="0" w:space="0" w:color="auto"/>
        <w:right w:val="none" w:sz="0" w:space="0" w:color="auto"/>
      </w:divBdr>
    </w:div>
    <w:div w:id="490099687">
      <w:bodyDiv w:val="1"/>
      <w:marLeft w:val="0"/>
      <w:marRight w:val="0"/>
      <w:marTop w:val="0"/>
      <w:marBottom w:val="0"/>
      <w:divBdr>
        <w:top w:val="none" w:sz="0" w:space="0" w:color="auto"/>
        <w:left w:val="none" w:sz="0" w:space="0" w:color="auto"/>
        <w:bottom w:val="none" w:sz="0" w:space="0" w:color="auto"/>
        <w:right w:val="none" w:sz="0" w:space="0" w:color="auto"/>
      </w:divBdr>
    </w:div>
    <w:div w:id="491993075">
      <w:bodyDiv w:val="1"/>
      <w:marLeft w:val="0"/>
      <w:marRight w:val="0"/>
      <w:marTop w:val="0"/>
      <w:marBottom w:val="0"/>
      <w:divBdr>
        <w:top w:val="none" w:sz="0" w:space="0" w:color="auto"/>
        <w:left w:val="none" w:sz="0" w:space="0" w:color="auto"/>
        <w:bottom w:val="none" w:sz="0" w:space="0" w:color="auto"/>
        <w:right w:val="none" w:sz="0" w:space="0" w:color="auto"/>
      </w:divBdr>
      <w:divsChild>
        <w:div w:id="1472090966">
          <w:marLeft w:val="0"/>
          <w:marRight w:val="0"/>
          <w:marTop w:val="0"/>
          <w:marBottom w:val="0"/>
          <w:divBdr>
            <w:top w:val="none" w:sz="0" w:space="0" w:color="auto"/>
            <w:left w:val="none" w:sz="0" w:space="0" w:color="auto"/>
            <w:bottom w:val="none" w:sz="0" w:space="0" w:color="auto"/>
            <w:right w:val="none" w:sz="0" w:space="0" w:color="auto"/>
          </w:divBdr>
          <w:divsChild>
            <w:div w:id="1380737990">
              <w:marLeft w:val="0"/>
              <w:marRight w:val="0"/>
              <w:marTop w:val="0"/>
              <w:marBottom w:val="0"/>
              <w:divBdr>
                <w:top w:val="none" w:sz="0" w:space="0" w:color="auto"/>
                <w:left w:val="none" w:sz="0" w:space="0" w:color="auto"/>
                <w:bottom w:val="none" w:sz="0" w:space="0" w:color="auto"/>
                <w:right w:val="none" w:sz="0" w:space="0" w:color="auto"/>
              </w:divBdr>
              <w:divsChild>
                <w:div w:id="18388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73665">
      <w:bodyDiv w:val="1"/>
      <w:marLeft w:val="0"/>
      <w:marRight w:val="0"/>
      <w:marTop w:val="0"/>
      <w:marBottom w:val="0"/>
      <w:divBdr>
        <w:top w:val="none" w:sz="0" w:space="0" w:color="auto"/>
        <w:left w:val="none" w:sz="0" w:space="0" w:color="auto"/>
        <w:bottom w:val="none" w:sz="0" w:space="0" w:color="auto"/>
        <w:right w:val="none" w:sz="0" w:space="0" w:color="auto"/>
      </w:divBdr>
    </w:div>
    <w:div w:id="564724479">
      <w:bodyDiv w:val="1"/>
      <w:marLeft w:val="0"/>
      <w:marRight w:val="0"/>
      <w:marTop w:val="0"/>
      <w:marBottom w:val="0"/>
      <w:divBdr>
        <w:top w:val="none" w:sz="0" w:space="0" w:color="auto"/>
        <w:left w:val="none" w:sz="0" w:space="0" w:color="auto"/>
        <w:bottom w:val="none" w:sz="0" w:space="0" w:color="auto"/>
        <w:right w:val="none" w:sz="0" w:space="0" w:color="auto"/>
      </w:divBdr>
    </w:div>
    <w:div w:id="583491481">
      <w:bodyDiv w:val="1"/>
      <w:marLeft w:val="0"/>
      <w:marRight w:val="0"/>
      <w:marTop w:val="0"/>
      <w:marBottom w:val="0"/>
      <w:divBdr>
        <w:top w:val="none" w:sz="0" w:space="0" w:color="auto"/>
        <w:left w:val="none" w:sz="0" w:space="0" w:color="auto"/>
        <w:bottom w:val="none" w:sz="0" w:space="0" w:color="auto"/>
        <w:right w:val="none" w:sz="0" w:space="0" w:color="auto"/>
      </w:divBdr>
      <w:divsChild>
        <w:div w:id="1758749066">
          <w:marLeft w:val="0"/>
          <w:marRight w:val="0"/>
          <w:marTop w:val="34"/>
          <w:marBottom w:val="34"/>
          <w:divBdr>
            <w:top w:val="none" w:sz="0" w:space="0" w:color="auto"/>
            <w:left w:val="none" w:sz="0" w:space="0" w:color="auto"/>
            <w:bottom w:val="none" w:sz="0" w:space="0" w:color="auto"/>
            <w:right w:val="none" w:sz="0" w:space="0" w:color="auto"/>
          </w:divBdr>
        </w:div>
      </w:divsChild>
    </w:div>
    <w:div w:id="591475349">
      <w:bodyDiv w:val="1"/>
      <w:marLeft w:val="0"/>
      <w:marRight w:val="0"/>
      <w:marTop w:val="0"/>
      <w:marBottom w:val="0"/>
      <w:divBdr>
        <w:top w:val="none" w:sz="0" w:space="0" w:color="auto"/>
        <w:left w:val="none" w:sz="0" w:space="0" w:color="auto"/>
        <w:bottom w:val="none" w:sz="0" w:space="0" w:color="auto"/>
        <w:right w:val="none" w:sz="0" w:space="0" w:color="auto"/>
      </w:divBdr>
    </w:div>
    <w:div w:id="614169193">
      <w:bodyDiv w:val="1"/>
      <w:marLeft w:val="0"/>
      <w:marRight w:val="0"/>
      <w:marTop w:val="0"/>
      <w:marBottom w:val="0"/>
      <w:divBdr>
        <w:top w:val="none" w:sz="0" w:space="0" w:color="auto"/>
        <w:left w:val="none" w:sz="0" w:space="0" w:color="auto"/>
        <w:bottom w:val="none" w:sz="0" w:space="0" w:color="auto"/>
        <w:right w:val="none" w:sz="0" w:space="0" w:color="auto"/>
      </w:divBdr>
    </w:div>
    <w:div w:id="643268522">
      <w:bodyDiv w:val="1"/>
      <w:marLeft w:val="0"/>
      <w:marRight w:val="0"/>
      <w:marTop w:val="0"/>
      <w:marBottom w:val="0"/>
      <w:divBdr>
        <w:top w:val="none" w:sz="0" w:space="0" w:color="auto"/>
        <w:left w:val="none" w:sz="0" w:space="0" w:color="auto"/>
        <w:bottom w:val="none" w:sz="0" w:space="0" w:color="auto"/>
        <w:right w:val="none" w:sz="0" w:space="0" w:color="auto"/>
      </w:divBdr>
    </w:div>
    <w:div w:id="645476090">
      <w:bodyDiv w:val="1"/>
      <w:marLeft w:val="0"/>
      <w:marRight w:val="0"/>
      <w:marTop w:val="0"/>
      <w:marBottom w:val="0"/>
      <w:divBdr>
        <w:top w:val="none" w:sz="0" w:space="0" w:color="auto"/>
        <w:left w:val="none" w:sz="0" w:space="0" w:color="auto"/>
        <w:bottom w:val="none" w:sz="0" w:space="0" w:color="auto"/>
        <w:right w:val="none" w:sz="0" w:space="0" w:color="auto"/>
      </w:divBdr>
    </w:div>
    <w:div w:id="661349811">
      <w:bodyDiv w:val="1"/>
      <w:marLeft w:val="0"/>
      <w:marRight w:val="0"/>
      <w:marTop w:val="0"/>
      <w:marBottom w:val="0"/>
      <w:divBdr>
        <w:top w:val="none" w:sz="0" w:space="0" w:color="auto"/>
        <w:left w:val="none" w:sz="0" w:space="0" w:color="auto"/>
        <w:bottom w:val="none" w:sz="0" w:space="0" w:color="auto"/>
        <w:right w:val="none" w:sz="0" w:space="0" w:color="auto"/>
      </w:divBdr>
    </w:div>
    <w:div w:id="709846410">
      <w:bodyDiv w:val="1"/>
      <w:marLeft w:val="0"/>
      <w:marRight w:val="0"/>
      <w:marTop w:val="0"/>
      <w:marBottom w:val="0"/>
      <w:divBdr>
        <w:top w:val="none" w:sz="0" w:space="0" w:color="auto"/>
        <w:left w:val="none" w:sz="0" w:space="0" w:color="auto"/>
        <w:bottom w:val="none" w:sz="0" w:space="0" w:color="auto"/>
        <w:right w:val="none" w:sz="0" w:space="0" w:color="auto"/>
      </w:divBdr>
    </w:div>
    <w:div w:id="718362456">
      <w:bodyDiv w:val="1"/>
      <w:marLeft w:val="0"/>
      <w:marRight w:val="0"/>
      <w:marTop w:val="0"/>
      <w:marBottom w:val="0"/>
      <w:divBdr>
        <w:top w:val="none" w:sz="0" w:space="0" w:color="auto"/>
        <w:left w:val="none" w:sz="0" w:space="0" w:color="auto"/>
        <w:bottom w:val="none" w:sz="0" w:space="0" w:color="auto"/>
        <w:right w:val="none" w:sz="0" w:space="0" w:color="auto"/>
      </w:divBdr>
    </w:div>
    <w:div w:id="764305922">
      <w:bodyDiv w:val="1"/>
      <w:marLeft w:val="0"/>
      <w:marRight w:val="0"/>
      <w:marTop w:val="0"/>
      <w:marBottom w:val="0"/>
      <w:divBdr>
        <w:top w:val="none" w:sz="0" w:space="0" w:color="auto"/>
        <w:left w:val="none" w:sz="0" w:space="0" w:color="auto"/>
        <w:bottom w:val="none" w:sz="0" w:space="0" w:color="auto"/>
        <w:right w:val="none" w:sz="0" w:space="0" w:color="auto"/>
      </w:divBdr>
      <w:divsChild>
        <w:div w:id="296834585">
          <w:marLeft w:val="420"/>
          <w:marRight w:val="0"/>
          <w:marTop w:val="0"/>
          <w:marBottom w:val="0"/>
          <w:divBdr>
            <w:top w:val="none" w:sz="0" w:space="0" w:color="auto"/>
            <w:left w:val="none" w:sz="0" w:space="0" w:color="auto"/>
            <w:bottom w:val="none" w:sz="0" w:space="0" w:color="auto"/>
            <w:right w:val="none" w:sz="0" w:space="0" w:color="auto"/>
          </w:divBdr>
          <w:divsChild>
            <w:div w:id="121905031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808941913">
      <w:bodyDiv w:val="1"/>
      <w:marLeft w:val="0"/>
      <w:marRight w:val="0"/>
      <w:marTop w:val="0"/>
      <w:marBottom w:val="0"/>
      <w:divBdr>
        <w:top w:val="none" w:sz="0" w:space="0" w:color="auto"/>
        <w:left w:val="none" w:sz="0" w:space="0" w:color="auto"/>
        <w:bottom w:val="none" w:sz="0" w:space="0" w:color="auto"/>
        <w:right w:val="none" w:sz="0" w:space="0" w:color="auto"/>
      </w:divBdr>
    </w:div>
    <w:div w:id="824005399">
      <w:bodyDiv w:val="1"/>
      <w:marLeft w:val="0"/>
      <w:marRight w:val="0"/>
      <w:marTop w:val="0"/>
      <w:marBottom w:val="0"/>
      <w:divBdr>
        <w:top w:val="none" w:sz="0" w:space="0" w:color="auto"/>
        <w:left w:val="none" w:sz="0" w:space="0" w:color="auto"/>
        <w:bottom w:val="none" w:sz="0" w:space="0" w:color="auto"/>
        <w:right w:val="none" w:sz="0" w:space="0" w:color="auto"/>
      </w:divBdr>
    </w:div>
    <w:div w:id="913048345">
      <w:bodyDiv w:val="1"/>
      <w:marLeft w:val="0"/>
      <w:marRight w:val="0"/>
      <w:marTop w:val="0"/>
      <w:marBottom w:val="0"/>
      <w:divBdr>
        <w:top w:val="none" w:sz="0" w:space="0" w:color="auto"/>
        <w:left w:val="none" w:sz="0" w:space="0" w:color="auto"/>
        <w:bottom w:val="none" w:sz="0" w:space="0" w:color="auto"/>
        <w:right w:val="none" w:sz="0" w:space="0" w:color="auto"/>
      </w:divBdr>
    </w:div>
    <w:div w:id="1012686646">
      <w:bodyDiv w:val="1"/>
      <w:marLeft w:val="0"/>
      <w:marRight w:val="0"/>
      <w:marTop w:val="0"/>
      <w:marBottom w:val="0"/>
      <w:divBdr>
        <w:top w:val="none" w:sz="0" w:space="0" w:color="auto"/>
        <w:left w:val="none" w:sz="0" w:space="0" w:color="auto"/>
        <w:bottom w:val="none" w:sz="0" w:space="0" w:color="auto"/>
        <w:right w:val="none" w:sz="0" w:space="0" w:color="auto"/>
      </w:divBdr>
      <w:divsChild>
        <w:div w:id="1724139256">
          <w:marLeft w:val="0"/>
          <w:marRight w:val="0"/>
          <w:marTop w:val="0"/>
          <w:marBottom w:val="0"/>
          <w:divBdr>
            <w:top w:val="none" w:sz="0" w:space="0" w:color="auto"/>
            <w:left w:val="none" w:sz="0" w:space="0" w:color="auto"/>
            <w:bottom w:val="none" w:sz="0" w:space="0" w:color="auto"/>
            <w:right w:val="none" w:sz="0" w:space="0" w:color="auto"/>
          </w:divBdr>
          <w:divsChild>
            <w:div w:id="162285529">
              <w:marLeft w:val="0"/>
              <w:marRight w:val="0"/>
              <w:marTop w:val="0"/>
              <w:marBottom w:val="0"/>
              <w:divBdr>
                <w:top w:val="none" w:sz="0" w:space="0" w:color="auto"/>
                <w:left w:val="none" w:sz="0" w:space="0" w:color="auto"/>
                <w:bottom w:val="none" w:sz="0" w:space="0" w:color="auto"/>
                <w:right w:val="none" w:sz="0" w:space="0" w:color="auto"/>
              </w:divBdr>
              <w:divsChild>
                <w:div w:id="14660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9896">
      <w:bodyDiv w:val="1"/>
      <w:marLeft w:val="0"/>
      <w:marRight w:val="0"/>
      <w:marTop w:val="0"/>
      <w:marBottom w:val="0"/>
      <w:divBdr>
        <w:top w:val="none" w:sz="0" w:space="0" w:color="auto"/>
        <w:left w:val="none" w:sz="0" w:space="0" w:color="auto"/>
        <w:bottom w:val="none" w:sz="0" w:space="0" w:color="auto"/>
        <w:right w:val="none" w:sz="0" w:space="0" w:color="auto"/>
      </w:divBdr>
      <w:divsChild>
        <w:div w:id="73095192">
          <w:marLeft w:val="0"/>
          <w:marRight w:val="0"/>
          <w:marTop w:val="0"/>
          <w:marBottom w:val="0"/>
          <w:divBdr>
            <w:top w:val="none" w:sz="0" w:space="0" w:color="auto"/>
            <w:left w:val="none" w:sz="0" w:space="0" w:color="auto"/>
            <w:bottom w:val="none" w:sz="0" w:space="0" w:color="auto"/>
            <w:right w:val="none" w:sz="0" w:space="0" w:color="auto"/>
          </w:divBdr>
          <w:divsChild>
            <w:div w:id="598369450">
              <w:marLeft w:val="0"/>
              <w:marRight w:val="0"/>
              <w:marTop w:val="0"/>
              <w:marBottom w:val="0"/>
              <w:divBdr>
                <w:top w:val="none" w:sz="0" w:space="0" w:color="auto"/>
                <w:left w:val="none" w:sz="0" w:space="0" w:color="auto"/>
                <w:bottom w:val="none" w:sz="0" w:space="0" w:color="auto"/>
                <w:right w:val="none" w:sz="0" w:space="0" w:color="auto"/>
              </w:divBdr>
              <w:divsChild>
                <w:div w:id="20654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87727">
      <w:bodyDiv w:val="1"/>
      <w:marLeft w:val="0"/>
      <w:marRight w:val="0"/>
      <w:marTop w:val="0"/>
      <w:marBottom w:val="0"/>
      <w:divBdr>
        <w:top w:val="none" w:sz="0" w:space="0" w:color="auto"/>
        <w:left w:val="none" w:sz="0" w:space="0" w:color="auto"/>
        <w:bottom w:val="none" w:sz="0" w:space="0" w:color="auto"/>
        <w:right w:val="none" w:sz="0" w:space="0" w:color="auto"/>
      </w:divBdr>
    </w:div>
    <w:div w:id="1081952330">
      <w:bodyDiv w:val="1"/>
      <w:marLeft w:val="0"/>
      <w:marRight w:val="0"/>
      <w:marTop w:val="0"/>
      <w:marBottom w:val="0"/>
      <w:divBdr>
        <w:top w:val="none" w:sz="0" w:space="0" w:color="auto"/>
        <w:left w:val="none" w:sz="0" w:space="0" w:color="auto"/>
        <w:bottom w:val="none" w:sz="0" w:space="0" w:color="auto"/>
        <w:right w:val="none" w:sz="0" w:space="0" w:color="auto"/>
      </w:divBdr>
      <w:divsChild>
        <w:div w:id="710035402">
          <w:marLeft w:val="0"/>
          <w:marRight w:val="0"/>
          <w:marTop w:val="0"/>
          <w:marBottom w:val="0"/>
          <w:divBdr>
            <w:top w:val="none" w:sz="0" w:space="0" w:color="auto"/>
            <w:left w:val="none" w:sz="0" w:space="0" w:color="auto"/>
            <w:bottom w:val="none" w:sz="0" w:space="0" w:color="auto"/>
            <w:right w:val="none" w:sz="0" w:space="0" w:color="auto"/>
          </w:divBdr>
        </w:div>
        <w:div w:id="918291798">
          <w:marLeft w:val="0"/>
          <w:marRight w:val="0"/>
          <w:marTop w:val="0"/>
          <w:marBottom w:val="0"/>
          <w:divBdr>
            <w:top w:val="none" w:sz="0" w:space="0" w:color="auto"/>
            <w:left w:val="none" w:sz="0" w:space="0" w:color="auto"/>
            <w:bottom w:val="none" w:sz="0" w:space="0" w:color="auto"/>
            <w:right w:val="none" w:sz="0" w:space="0" w:color="auto"/>
          </w:divBdr>
        </w:div>
        <w:div w:id="1326586710">
          <w:marLeft w:val="0"/>
          <w:marRight w:val="0"/>
          <w:marTop w:val="0"/>
          <w:marBottom w:val="0"/>
          <w:divBdr>
            <w:top w:val="none" w:sz="0" w:space="0" w:color="auto"/>
            <w:left w:val="none" w:sz="0" w:space="0" w:color="auto"/>
            <w:bottom w:val="none" w:sz="0" w:space="0" w:color="auto"/>
            <w:right w:val="none" w:sz="0" w:space="0" w:color="auto"/>
          </w:divBdr>
        </w:div>
      </w:divsChild>
    </w:div>
    <w:div w:id="1088817658">
      <w:bodyDiv w:val="1"/>
      <w:marLeft w:val="0"/>
      <w:marRight w:val="0"/>
      <w:marTop w:val="0"/>
      <w:marBottom w:val="0"/>
      <w:divBdr>
        <w:top w:val="none" w:sz="0" w:space="0" w:color="auto"/>
        <w:left w:val="none" w:sz="0" w:space="0" w:color="auto"/>
        <w:bottom w:val="none" w:sz="0" w:space="0" w:color="auto"/>
        <w:right w:val="none" w:sz="0" w:space="0" w:color="auto"/>
      </w:divBdr>
      <w:divsChild>
        <w:div w:id="824974590">
          <w:marLeft w:val="0"/>
          <w:marRight w:val="0"/>
          <w:marTop w:val="34"/>
          <w:marBottom w:val="34"/>
          <w:divBdr>
            <w:top w:val="none" w:sz="0" w:space="0" w:color="auto"/>
            <w:left w:val="none" w:sz="0" w:space="0" w:color="auto"/>
            <w:bottom w:val="none" w:sz="0" w:space="0" w:color="auto"/>
            <w:right w:val="none" w:sz="0" w:space="0" w:color="auto"/>
          </w:divBdr>
        </w:div>
      </w:divsChild>
    </w:div>
    <w:div w:id="1108163623">
      <w:bodyDiv w:val="1"/>
      <w:marLeft w:val="0"/>
      <w:marRight w:val="0"/>
      <w:marTop w:val="0"/>
      <w:marBottom w:val="0"/>
      <w:divBdr>
        <w:top w:val="none" w:sz="0" w:space="0" w:color="auto"/>
        <w:left w:val="none" w:sz="0" w:space="0" w:color="auto"/>
        <w:bottom w:val="none" w:sz="0" w:space="0" w:color="auto"/>
        <w:right w:val="none" w:sz="0" w:space="0" w:color="auto"/>
      </w:divBdr>
      <w:divsChild>
        <w:div w:id="656147651">
          <w:marLeft w:val="0"/>
          <w:marRight w:val="0"/>
          <w:marTop w:val="120"/>
          <w:marBottom w:val="360"/>
          <w:divBdr>
            <w:top w:val="none" w:sz="0" w:space="0" w:color="auto"/>
            <w:left w:val="none" w:sz="0" w:space="0" w:color="auto"/>
            <w:bottom w:val="none" w:sz="0" w:space="0" w:color="auto"/>
            <w:right w:val="none" w:sz="0" w:space="0" w:color="auto"/>
          </w:divBdr>
          <w:divsChild>
            <w:div w:id="1529677111">
              <w:marLeft w:val="420"/>
              <w:marRight w:val="0"/>
              <w:marTop w:val="0"/>
              <w:marBottom w:val="0"/>
              <w:divBdr>
                <w:top w:val="none" w:sz="0" w:space="0" w:color="auto"/>
                <w:left w:val="none" w:sz="0" w:space="0" w:color="auto"/>
                <w:bottom w:val="none" w:sz="0" w:space="0" w:color="auto"/>
                <w:right w:val="none" w:sz="0" w:space="0" w:color="auto"/>
              </w:divBdr>
              <w:divsChild>
                <w:div w:id="237059037">
                  <w:marLeft w:val="0"/>
                  <w:marRight w:val="0"/>
                  <w:marTop w:val="34"/>
                  <w:marBottom w:val="34"/>
                  <w:divBdr>
                    <w:top w:val="none" w:sz="0" w:space="0" w:color="auto"/>
                    <w:left w:val="none" w:sz="0" w:space="0" w:color="auto"/>
                    <w:bottom w:val="none" w:sz="0" w:space="0" w:color="auto"/>
                    <w:right w:val="none" w:sz="0" w:space="0" w:color="auto"/>
                  </w:divBdr>
                </w:div>
                <w:div w:id="736899098">
                  <w:marLeft w:val="0"/>
                  <w:marRight w:val="0"/>
                  <w:marTop w:val="0"/>
                  <w:marBottom w:val="0"/>
                  <w:divBdr>
                    <w:top w:val="none" w:sz="0" w:space="0" w:color="auto"/>
                    <w:left w:val="none" w:sz="0" w:space="0" w:color="auto"/>
                    <w:bottom w:val="none" w:sz="0" w:space="0" w:color="auto"/>
                    <w:right w:val="none" w:sz="0" w:space="0" w:color="auto"/>
                  </w:divBdr>
                  <w:divsChild>
                    <w:div w:id="4995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594573">
          <w:marLeft w:val="0"/>
          <w:marRight w:val="0"/>
          <w:marTop w:val="120"/>
          <w:marBottom w:val="360"/>
          <w:divBdr>
            <w:top w:val="none" w:sz="0" w:space="0" w:color="auto"/>
            <w:left w:val="none" w:sz="0" w:space="0" w:color="auto"/>
            <w:bottom w:val="none" w:sz="0" w:space="0" w:color="auto"/>
            <w:right w:val="none" w:sz="0" w:space="0" w:color="auto"/>
          </w:divBdr>
          <w:divsChild>
            <w:div w:id="1185634324">
              <w:marLeft w:val="0"/>
              <w:marRight w:val="0"/>
              <w:marTop w:val="0"/>
              <w:marBottom w:val="0"/>
              <w:divBdr>
                <w:top w:val="none" w:sz="0" w:space="0" w:color="auto"/>
                <w:left w:val="none" w:sz="0" w:space="0" w:color="auto"/>
                <w:bottom w:val="none" w:sz="0" w:space="0" w:color="auto"/>
                <w:right w:val="none" w:sz="0" w:space="0" w:color="auto"/>
              </w:divBdr>
            </w:div>
            <w:div w:id="1975524348">
              <w:marLeft w:val="420"/>
              <w:marRight w:val="0"/>
              <w:marTop w:val="0"/>
              <w:marBottom w:val="0"/>
              <w:divBdr>
                <w:top w:val="none" w:sz="0" w:space="0" w:color="auto"/>
                <w:left w:val="none" w:sz="0" w:space="0" w:color="auto"/>
                <w:bottom w:val="none" w:sz="0" w:space="0" w:color="auto"/>
                <w:right w:val="none" w:sz="0" w:space="0" w:color="auto"/>
              </w:divBdr>
              <w:divsChild>
                <w:div w:id="541525133">
                  <w:marLeft w:val="0"/>
                  <w:marRight w:val="0"/>
                  <w:marTop w:val="34"/>
                  <w:marBottom w:val="34"/>
                  <w:divBdr>
                    <w:top w:val="none" w:sz="0" w:space="0" w:color="auto"/>
                    <w:left w:val="none" w:sz="0" w:space="0" w:color="auto"/>
                    <w:bottom w:val="none" w:sz="0" w:space="0" w:color="auto"/>
                    <w:right w:val="none" w:sz="0" w:space="0" w:color="auto"/>
                  </w:divBdr>
                </w:div>
                <w:div w:id="1301956793">
                  <w:marLeft w:val="0"/>
                  <w:marRight w:val="0"/>
                  <w:marTop w:val="0"/>
                  <w:marBottom w:val="0"/>
                  <w:divBdr>
                    <w:top w:val="none" w:sz="0" w:space="0" w:color="auto"/>
                    <w:left w:val="none" w:sz="0" w:space="0" w:color="auto"/>
                    <w:bottom w:val="none" w:sz="0" w:space="0" w:color="auto"/>
                    <w:right w:val="none" w:sz="0" w:space="0" w:color="auto"/>
                  </w:divBdr>
                  <w:divsChild>
                    <w:div w:id="54225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517495">
          <w:marLeft w:val="0"/>
          <w:marRight w:val="0"/>
          <w:marTop w:val="120"/>
          <w:marBottom w:val="360"/>
          <w:divBdr>
            <w:top w:val="none" w:sz="0" w:space="0" w:color="auto"/>
            <w:left w:val="none" w:sz="0" w:space="0" w:color="auto"/>
            <w:bottom w:val="none" w:sz="0" w:space="0" w:color="auto"/>
            <w:right w:val="none" w:sz="0" w:space="0" w:color="auto"/>
          </w:divBdr>
          <w:divsChild>
            <w:div w:id="1716738662">
              <w:marLeft w:val="0"/>
              <w:marRight w:val="0"/>
              <w:marTop w:val="0"/>
              <w:marBottom w:val="0"/>
              <w:divBdr>
                <w:top w:val="none" w:sz="0" w:space="0" w:color="auto"/>
                <w:left w:val="none" w:sz="0" w:space="0" w:color="auto"/>
                <w:bottom w:val="none" w:sz="0" w:space="0" w:color="auto"/>
                <w:right w:val="none" w:sz="0" w:space="0" w:color="auto"/>
              </w:divBdr>
            </w:div>
            <w:div w:id="690030600">
              <w:marLeft w:val="420"/>
              <w:marRight w:val="0"/>
              <w:marTop w:val="0"/>
              <w:marBottom w:val="0"/>
              <w:divBdr>
                <w:top w:val="none" w:sz="0" w:space="0" w:color="auto"/>
                <w:left w:val="none" w:sz="0" w:space="0" w:color="auto"/>
                <w:bottom w:val="none" w:sz="0" w:space="0" w:color="auto"/>
                <w:right w:val="none" w:sz="0" w:space="0" w:color="auto"/>
              </w:divBdr>
              <w:divsChild>
                <w:div w:id="799155197">
                  <w:marLeft w:val="0"/>
                  <w:marRight w:val="0"/>
                  <w:marTop w:val="34"/>
                  <w:marBottom w:val="34"/>
                  <w:divBdr>
                    <w:top w:val="none" w:sz="0" w:space="0" w:color="auto"/>
                    <w:left w:val="none" w:sz="0" w:space="0" w:color="auto"/>
                    <w:bottom w:val="none" w:sz="0" w:space="0" w:color="auto"/>
                    <w:right w:val="none" w:sz="0" w:space="0" w:color="auto"/>
                  </w:divBdr>
                </w:div>
                <w:div w:id="35475166">
                  <w:marLeft w:val="0"/>
                  <w:marRight w:val="0"/>
                  <w:marTop w:val="0"/>
                  <w:marBottom w:val="0"/>
                  <w:divBdr>
                    <w:top w:val="none" w:sz="0" w:space="0" w:color="auto"/>
                    <w:left w:val="none" w:sz="0" w:space="0" w:color="auto"/>
                    <w:bottom w:val="none" w:sz="0" w:space="0" w:color="auto"/>
                    <w:right w:val="none" w:sz="0" w:space="0" w:color="auto"/>
                  </w:divBdr>
                  <w:divsChild>
                    <w:div w:id="91910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10707">
          <w:marLeft w:val="0"/>
          <w:marRight w:val="0"/>
          <w:marTop w:val="120"/>
          <w:marBottom w:val="360"/>
          <w:divBdr>
            <w:top w:val="none" w:sz="0" w:space="0" w:color="auto"/>
            <w:left w:val="none" w:sz="0" w:space="0" w:color="auto"/>
            <w:bottom w:val="none" w:sz="0" w:space="0" w:color="auto"/>
            <w:right w:val="none" w:sz="0" w:space="0" w:color="auto"/>
          </w:divBdr>
          <w:divsChild>
            <w:div w:id="900942427">
              <w:marLeft w:val="0"/>
              <w:marRight w:val="0"/>
              <w:marTop w:val="0"/>
              <w:marBottom w:val="0"/>
              <w:divBdr>
                <w:top w:val="none" w:sz="0" w:space="0" w:color="auto"/>
                <w:left w:val="none" w:sz="0" w:space="0" w:color="auto"/>
                <w:bottom w:val="none" w:sz="0" w:space="0" w:color="auto"/>
                <w:right w:val="none" w:sz="0" w:space="0" w:color="auto"/>
              </w:divBdr>
            </w:div>
            <w:div w:id="1593007630">
              <w:marLeft w:val="420"/>
              <w:marRight w:val="0"/>
              <w:marTop w:val="0"/>
              <w:marBottom w:val="0"/>
              <w:divBdr>
                <w:top w:val="none" w:sz="0" w:space="0" w:color="auto"/>
                <w:left w:val="none" w:sz="0" w:space="0" w:color="auto"/>
                <w:bottom w:val="none" w:sz="0" w:space="0" w:color="auto"/>
                <w:right w:val="none" w:sz="0" w:space="0" w:color="auto"/>
              </w:divBdr>
              <w:divsChild>
                <w:div w:id="390278132">
                  <w:marLeft w:val="0"/>
                  <w:marRight w:val="0"/>
                  <w:marTop w:val="34"/>
                  <w:marBottom w:val="34"/>
                  <w:divBdr>
                    <w:top w:val="none" w:sz="0" w:space="0" w:color="auto"/>
                    <w:left w:val="none" w:sz="0" w:space="0" w:color="auto"/>
                    <w:bottom w:val="none" w:sz="0" w:space="0" w:color="auto"/>
                    <w:right w:val="none" w:sz="0" w:space="0" w:color="auto"/>
                  </w:divBdr>
                </w:div>
                <w:div w:id="629211806">
                  <w:marLeft w:val="0"/>
                  <w:marRight w:val="0"/>
                  <w:marTop w:val="0"/>
                  <w:marBottom w:val="0"/>
                  <w:divBdr>
                    <w:top w:val="none" w:sz="0" w:space="0" w:color="auto"/>
                    <w:left w:val="none" w:sz="0" w:space="0" w:color="auto"/>
                    <w:bottom w:val="none" w:sz="0" w:space="0" w:color="auto"/>
                    <w:right w:val="none" w:sz="0" w:space="0" w:color="auto"/>
                  </w:divBdr>
                  <w:divsChild>
                    <w:div w:id="8717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209569">
      <w:bodyDiv w:val="1"/>
      <w:marLeft w:val="0"/>
      <w:marRight w:val="0"/>
      <w:marTop w:val="0"/>
      <w:marBottom w:val="0"/>
      <w:divBdr>
        <w:top w:val="none" w:sz="0" w:space="0" w:color="auto"/>
        <w:left w:val="none" w:sz="0" w:space="0" w:color="auto"/>
        <w:bottom w:val="none" w:sz="0" w:space="0" w:color="auto"/>
        <w:right w:val="none" w:sz="0" w:space="0" w:color="auto"/>
      </w:divBdr>
    </w:div>
    <w:div w:id="1270628718">
      <w:bodyDiv w:val="1"/>
      <w:marLeft w:val="0"/>
      <w:marRight w:val="0"/>
      <w:marTop w:val="0"/>
      <w:marBottom w:val="0"/>
      <w:divBdr>
        <w:top w:val="none" w:sz="0" w:space="0" w:color="auto"/>
        <w:left w:val="none" w:sz="0" w:space="0" w:color="auto"/>
        <w:bottom w:val="none" w:sz="0" w:space="0" w:color="auto"/>
        <w:right w:val="none" w:sz="0" w:space="0" w:color="auto"/>
      </w:divBdr>
      <w:divsChild>
        <w:div w:id="1307783607">
          <w:marLeft w:val="0"/>
          <w:marRight w:val="0"/>
          <w:marTop w:val="0"/>
          <w:marBottom w:val="0"/>
          <w:divBdr>
            <w:top w:val="none" w:sz="0" w:space="0" w:color="auto"/>
            <w:left w:val="none" w:sz="0" w:space="0" w:color="auto"/>
            <w:bottom w:val="none" w:sz="0" w:space="0" w:color="auto"/>
            <w:right w:val="none" w:sz="0" w:space="0" w:color="auto"/>
          </w:divBdr>
          <w:divsChild>
            <w:div w:id="539243649">
              <w:marLeft w:val="0"/>
              <w:marRight w:val="0"/>
              <w:marTop w:val="0"/>
              <w:marBottom w:val="0"/>
              <w:divBdr>
                <w:top w:val="none" w:sz="0" w:space="0" w:color="auto"/>
                <w:left w:val="none" w:sz="0" w:space="0" w:color="auto"/>
                <w:bottom w:val="none" w:sz="0" w:space="0" w:color="auto"/>
                <w:right w:val="none" w:sz="0" w:space="0" w:color="auto"/>
              </w:divBdr>
              <w:divsChild>
                <w:div w:id="1008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35337">
      <w:bodyDiv w:val="1"/>
      <w:marLeft w:val="0"/>
      <w:marRight w:val="0"/>
      <w:marTop w:val="0"/>
      <w:marBottom w:val="0"/>
      <w:divBdr>
        <w:top w:val="none" w:sz="0" w:space="0" w:color="auto"/>
        <w:left w:val="none" w:sz="0" w:space="0" w:color="auto"/>
        <w:bottom w:val="none" w:sz="0" w:space="0" w:color="auto"/>
        <w:right w:val="none" w:sz="0" w:space="0" w:color="auto"/>
      </w:divBdr>
    </w:div>
    <w:div w:id="1329018060">
      <w:bodyDiv w:val="1"/>
      <w:marLeft w:val="0"/>
      <w:marRight w:val="0"/>
      <w:marTop w:val="0"/>
      <w:marBottom w:val="0"/>
      <w:divBdr>
        <w:top w:val="none" w:sz="0" w:space="0" w:color="auto"/>
        <w:left w:val="none" w:sz="0" w:space="0" w:color="auto"/>
        <w:bottom w:val="none" w:sz="0" w:space="0" w:color="auto"/>
        <w:right w:val="none" w:sz="0" w:space="0" w:color="auto"/>
      </w:divBdr>
    </w:div>
    <w:div w:id="1338731101">
      <w:bodyDiv w:val="1"/>
      <w:marLeft w:val="0"/>
      <w:marRight w:val="0"/>
      <w:marTop w:val="0"/>
      <w:marBottom w:val="0"/>
      <w:divBdr>
        <w:top w:val="none" w:sz="0" w:space="0" w:color="auto"/>
        <w:left w:val="none" w:sz="0" w:space="0" w:color="auto"/>
        <w:bottom w:val="none" w:sz="0" w:space="0" w:color="auto"/>
        <w:right w:val="none" w:sz="0" w:space="0" w:color="auto"/>
      </w:divBdr>
    </w:div>
    <w:div w:id="1369641122">
      <w:bodyDiv w:val="1"/>
      <w:marLeft w:val="0"/>
      <w:marRight w:val="0"/>
      <w:marTop w:val="0"/>
      <w:marBottom w:val="0"/>
      <w:divBdr>
        <w:top w:val="none" w:sz="0" w:space="0" w:color="auto"/>
        <w:left w:val="none" w:sz="0" w:space="0" w:color="auto"/>
        <w:bottom w:val="none" w:sz="0" w:space="0" w:color="auto"/>
        <w:right w:val="none" w:sz="0" w:space="0" w:color="auto"/>
      </w:divBdr>
      <w:divsChild>
        <w:div w:id="797407500">
          <w:marLeft w:val="0"/>
          <w:marRight w:val="0"/>
          <w:marTop w:val="0"/>
          <w:marBottom w:val="0"/>
          <w:divBdr>
            <w:top w:val="none" w:sz="0" w:space="0" w:color="auto"/>
            <w:left w:val="none" w:sz="0" w:space="0" w:color="auto"/>
            <w:bottom w:val="none" w:sz="0" w:space="0" w:color="auto"/>
            <w:right w:val="none" w:sz="0" w:space="0" w:color="auto"/>
          </w:divBdr>
        </w:div>
        <w:div w:id="1402173133">
          <w:marLeft w:val="0"/>
          <w:marRight w:val="0"/>
          <w:marTop w:val="0"/>
          <w:marBottom w:val="0"/>
          <w:divBdr>
            <w:top w:val="none" w:sz="0" w:space="0" w:color="auto"/>
            <w:left w:val="none" w:sz="0" w:space="0" w:color="auto"/>
            <w:bottom w:val="none" w:sz="0" w:space="0" w:color="auto"/>
            <w:right w:val="none" w:sz="0" w:space="0" w:color="auto"/>
          </w:divBdr>
        </w:div>
        <w:div w:id="2073038381">
          <w:marLeft w:val="0"/>
          <w:marRight w:val="0"/>
          <w:marTop w:val="0"/>
          <w:marBottom w:val="0"/>
          <w:divBdr>
            <w:top w:val="none" w:sz="0" w:space="0" w:color="auto"/>
            <w:left w:val="none" w:sz="0" w:space="0" w:color="auto"/>
            <w:bottom w:val="none" w:sz="0" w:space="0" w:color="auto"/>
            <w:right w:val="none" w:sz="0" w:space="0" w:color="auto"/>
          </w:divBdr>
        </w:div>
      </w:divsChild>
    </w:div>
    <w:div w:id="1454514162">
      <w:bodyDiv w:val="1"/>
      <w:marLeft w:val="0"/>
      <w:marRight w:val="0"/>
      <w:marTop w:val="0"/>
      <w:marBottom w:val="0"/>
      <w:divBdr>
        <w:top w:val="none" w:sz="0" w:space="0" w:color="auto"/>
        <w:left w:val="none" w:sz="0" w:space="0" w:color="auto"/>
        <w:bottom w:val="none" w:sz="0" w:space="0" w:color="auto"/>
        <w:right w:val="none" w:sz="0" w:space="0" w:color="auto"/>
      </w:divBdr>
    </w:div>
    <w:div w:id="1523284046">
      <w:bodyDiv w:val="1"/>
      <w:marLeft w:val="0"/>
      <w:marRight w:val="0"/>
      <w:marTop w:val="0"/>
      <w:marBottom w:val="0"/>
      <w:divBdr>
        <w:top w:val="none" w:sz="0" w:space="0" w:color="auto"/>
        <w:left w:val="none" w:sz="0" w:space="0" w:color="auto"/>
        <w:bottom w:val="none" w:sz="0" w:space="0" w:color="auto"/>
        <w:right w:val="none" w:sz="0" w:space="0" w:color="auto"/>
      </w:divBdr>
    </w:div>
    <w:div w:id="1528909839">
      <w:bodyDiv w:val="1"/>
      <w:marLeft w:val="0"/>
      <w:marRight w:val="0"/>
      <w:marTop w:val="0"/>
      <w:marBottom w:val="0"/>
      <w:divBdr>
        <w:top w:val="none" w:sz="0" w:space="0" w:color="auto"/>
        <w:left w:val="none" w:sz="0" w:space="0" w:color="auto"/>
        <w:bottom w:val="none" w:sz="0" w:space="0" w:color="auto"/>
        <w:right w:val="none" w:sz="0" w:space="0" w:color="auto"/>
      </w:divBdr>
      <w:divsChild>
        <w:div w:id="750347365">
          <w:marLeft w:val="0"/>
          <w:marRight w:val="0"/>
          <w:marTop w:val="120"/>
          <w:marBottom w:val="360"/>
          <w:divBdr>
            <w:top w:val="none" w:sz="0" w:space="0" w:color="auto"/>
            <w:left w:val="none" w:sz="0" w:space="0" w:color="auto"/>
            <w:bottom w:val="none" w:sz="0" w:space="0" w:color="auto"/>
            <w:right w:val="none" w:sz="0" w:space="0" w:color="auto"/>
          </w:divBdr>
          <w:divsChild>
            <w:div w:id="166479631">
              <w:marLeft w:val="420"/>
              <w:marRight w:val="0"/>
              <w:marTop w:val="0"/>
              <w:marBottom w:val="0"/>
              <w:divBdr>
                <w:top w:val="none" w:sz="0" w:space="0" w:color="auto"/>
                <w:left w:val="none" w:sz="0" w:space="0" w:color="auto"/>
                <w:bottom w:val="none" w:sz="0" w:space="0" w:color="auto"/>
                <w:right w:val="none" w:sz="0" w:space="0" w:color="auto"/>
              </w:divBdr>
              <w:divsChild>
                <w:div w:id="1713572879">
                  <w:marLeft w:val="0"/>
                  <w:marRight w:val="0"/>
                  <w:marTop w:val="34"/>
                  <w:marBottom w:val="34"/>
                  <w:divBdr>
                    <w:top w:val="none" w:sz="0" w:space="0" w:color="auto"/>
                    <w:left w:val="none" w:sz="0" w:space="0" w:color="auto"/>
                    <w:bottom w:val="none" w:sz="0" w:space="0" w:color="auto"/>
                    <w:right w:val="none" w:sz="0" w:space="0" w:color="auto"/>
                  </w:divBdr>
                </w:div>
                <w:div w:id="239681541">
                  <w:marLeft w:val="0"/>
                  <w:marRight w:val="0"/>
                  <w:marTop w:val="0"/>
                  <w:marBottom w:val="0"/>
                  <w:divBdr>
                    <w:top w:val="none" w:sz="0" w:space="0" w:color="auto"/>
                    <w:left w:val="none" w:sz="0" w:space="0" w:color="auto"/>
                    <w:bottom w:val="none" w:sz="0" w:space="0" w:color="auto"/>
                    <w:right w:val="none" w:sz="0" w:space="0" w:color="auto"/>
                  </w:divBdr>
                  <w:divsChild>
                    <w:div w:id="42395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88894">
          <w:marLeft w:val="0"/>
          <w:marRight w:val="0"/>
          <w:marTop w:val="120"/>
          <w:marBottom w:val="360"/>
          <w:divBdr>
            <w:top w:val="none" w:sz="0" w:space="0" w:color="auto"/>
            <w:left w:val="none" w:sz="0" w:space="0" w:color="auto"/>
            <w:bottom w:val="none" w:sz="0" w:space="0" w:color="auto"/>
            <w:right w:val="none" w:sz="0" w:space="0" w:color="auto"/>
          </w:divBdr>
          <w:divsChild>
            <w:div w:id="758788949">
              <w:marLeft w:val="0"/>
              <w:marRight w:val="0"/>
              <w:marTop w:val="0"/>
              <w:marBottom w:val="0"/>
              <w:divBdr>
                <w:top w:val="none" w:sz="0" w:space="0" w:color="auto"/>
                <w:left w:val="none" w:sz="0" w:space="0" w:color="auto"/>
                <w:bottom w:val="none" w:sz="0" w:space="0" w:color="auto"/>
                <w:right w:val="none" w:sz="0" w:space="0" w:color="auto"/>
              </w:divBdr>
            </w:div>
            <w:div w:id="713579128">
              <w:marLeft w:val="420"/>
              <w:marRight w:val="0"/>
              <w:marTop w:val="0"/>
              <w:marBottom w:val="0"/>
              <w:divBdr>
                <w:top w:val="none" w:sz="0" w:space="0" w:color="auto"/>
                <w:left w:val="none" w:sz="0" w:space="0" w:color="auto"/>
                <w:bottom w:val="none" w:sz="0" w:space="0" w:color="auto"/>
                <w:right w:val="none" w:sz="0" w:space="0" w:color="auto"/>
              </w:divBdr>
              <w:divsChild>
                <w:div w:id="1589659650">
                  <w:marLeft w:val="0"/>
                  <w:marRight w:val="0"/>
                  <w:marTop w:val="34"/>
                  <w:marBottom w:val="34"/>
                  <w:divBdr>
                    <w:top w:val="none" w:sz="0" w:space="0" w:color="auto"/>
                    <w:left w:val="none" w:sz="0" w:space="0" w:color="auto"/>
                    <w:bottom w:val="none" w:sz="0" w:space="0" w:color="auto"/>
                    <w:right w:val="none" w:sz="0" w:space="0" w:color="auto"/>
                  </w:divBdr>
                </w:div>
                <w:div w:id="1886288272">
                  <w:marLeft w:val="0"/>
                  <w:marRight w:val="0"/>
                  <w:marTop w:val="0"/>
                  <w:marBottom w:val="0"/>
                  <w:divBdr>
                    <w:top w:val="none" w:sz="0" w:space="0" w:color="auto"/>
                    <w:left w:val="none" w:sz="0" w:space="0" w:color="auto"/>
                    <w:bottom w:val="none" w:sz="0" w:space="0" w:color="auto"/>
                    <w:right w:val="none" w:sz="0" w:space="0" w:color="auto"/>
                  </w:divBdr>
                  <w:divsChild>
                    <w:div w:id="23247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188430">
      <w:bodyDiv w:val="1"/>
      <w:marLeft w:val="0"/>
      <w:marRight w:val="0"/>
      <w:marTop w:val="0"/>
      <w:marBottom w:val="0"/>
      <w:divBdr>
        <w:top w:val="none" w:sz="0" w:space="0" w:color="auto"/>
        <w:left w:val="none" w:sz="0" w:space="0" w:color="auto"/>
        <w:bottom w:val="none" w:sz="0" w:space="0" w:color="auto"/>
        <w:right w:val="none" w:sz="0" w:space="0" w:color="auto"/>
      </w:divBdr>
    </w:div>
    <w:div w:id="1575355698">
      <w:bodyDiv w:val="1"/>
      <w:marLeft w:val="0"/>
      <w:marRight w:val="0"/>
      <w:marTop w:val="0"/>
      <w:marBottom w:val="0"/>
      <w:divBdr>
        <w:top w:val="none" w:sz="0" w:space="0" w:color="auto"/>
        <w:left w:val="none" w:sz="0" w:space="0" w:color="auto"/>
        <w:bottom w:val="none" w:sz="0" w:space="0" w:color="auto"/>
        <w:right w:val="none" w:sz="0" w:space="0" w:color="auto"/>
      </w:divBdr>
    </w:div>
    <w:div w:id="1628854895">
      <w:bodyDiv w:val="1"/>
      <w:marLeft w:val="0"/>
      <w:marRight w:val="0"/>
      <w:marTop w:val="0"/>
      <w:marBottom w:val="0"/>
      <w:divBdr>
        <w:top w:val="none" w:sz="0" w:space="0" w:color="auto"/>
        <w:left w:val="none" w:sz="0" w:space="0" w:color="auto"/>
        <w:bottom w:val="none" w:sz="0" w:space="0" w:color="auto"/>
        <w:right w:val="none" w:sz="0" w:space="0" w:color="auto"/>
      </w:divBdr>
      <w:divsChild>
        <w:div w:id="840504394">
          <w:marLeft w:val="0"/>
          <w:marRight w:val="0"/>
          <w:marTop w:val="34"/>
          <w:marBottom w:val="34"/>
          <w:divBdr>
            <w:top w:val="none" w:sz="0" w:space="0" w:color="auto"/>
            <w:left w:val="none" w:sz="0" w:space="0" w:color="auto"/>
            <w:bottom w:val="none" w:sz="0" w:space="0" w:color="auto"/>
            <w:right w:val="none" w:sz="0" w:space="0" w:color="auto"/>
          </w:divBdr>
        </w:div>
        <w:div w:id="1687436181">
          <w:marLeft w:val="0"/>
          <w:marRight w:val="0"/>
          <w:marTop w:val="0"/>
          <w:marBottom w:val="0"/>
          <w:divBdr>
            <w:top w:val="none" w:sz="0" w:space="0" w:color="auto"/>
            <w:left w:val="none" w:sz="0" w:space="0" w:color="auto"/>
            <w:bottom w:val="none" w:sz="0" w:space="0" w:color="auto"/>
            <w:right w:val="none" w:sz="0" w:space="0" w:color="auto"/>
          </w:divBdr>
        </w:div>
      </w:divsChild>
    </w:div>
    <w:div w:id="1644769454">
      <w:bodyDiv w:val="1"/>
      <w:marLeft w:val="0"/>
      <w:marRight w:val="0"/>
      <w:marTop w:val="0"/>
      <w:marBottom w:val="0"/>
      <w:divBdr>
        <w:top w:val="none" w:sz="0" w:space="0" w:color="auto"/>
        <w:left w:val="none" w:sz="0" w:space="0" w:color="auto"/>
        <w:bottom w:val="none" w:sz="0" w:space="0" w:color="auto"/>
        <w:right w:val="none" w:sz="0" w:space="0" w:color="auto"/>
      </w:divBdr>
    </w:div>
    <w:div w:id="1743140441">
      <w:bodyDiv w:val="1"/>
      <w:marLeft w:val="0"/>
      <w:marRight w:val="0"/>
      <w:marTop w:val="0"/>
      <w:marBottom w:val="0"/>
      <w:divBdr>
        <w:top w:val="none" w:sz="0" w:space="0" w:color="auto"/>
        <w:left w:val="none" w:sz="0" w:space="0" w:color="auto"/>
        <w:bottom w:val="none" w:sz="0" w:space="0" w:color="auto"/>
        <w:right w:val="none" w:sz="0" w:space="0" w:color="auto"/>
      </w:divBdr>
      <w:divsChild>
        <w:div w:id="525411133">
          <w:marLeft w:val="0"/>
          <w:marRight w:val="0"/>
          <w:marTop w:val="288"/>
          <w:marBottom w:val="100"/>
          <w:divBdr>
            <w:top w:val="none" w:sz="0" w:space="0" w:color="auto"/>
            <w:left w:val="none" w:sz="0" w:space="0" w:color="auto"/>
            <w:bottom w:val="none" w:sz="0" w:space="0" w:color="auto"/>
            <w:right w:val="none" w:sz="0" w:space="0" w:color="auto"/>
          </w:divBdr>
        </w:div>
      </w:divsChild>
    </w:div>
    <w:div w:id="1775706213">
      <w:bodyDiv w:val="1"/>
      <w:marLeft w:val="0"/>
      <w:marRight w:val="0"/>
      <w:marTop w:val="0"/>
      <w:marBottom w:val="0"/>
      <w:divBdr>
        <w:top w:val="none" w:sz="0" w:space="0" w:color="auto"/>
        <w:left w:val="none" w:sz="0" w:space="0" w:color="auto"/>
        <w:bottom w:val="none" w:sz="0" w:space="0" w:color="auto"/>
        <w:right w:val="none" w:sz="0" w:space="0" w:color="auto"/>
      </w:divBdr>
    </w:div>
    <w:div w:id="1825319671">
      <w:bodyDiv w:val="1"/>
      <w:marLeft w:val="0"/>
      <w:marRight w:val="0"/>
      <w:marTop w:val="0"/>
      <w:marBottom w:val="0"/>
      <w:divBdr>
        <w:top w:val="none" w:sz="0" w:space="0" w:color="auto"/>
        <w:left w:val="none" w:sz="0" w:space="0" w:color="auto"/>
        <w:bottom w:val="none" w:sz="0" w:space="0" w:color="auto"/>
        <w:right w:val="none" w:sz="0" w:space="0" w:color="auto"/>
      </w:divBdr>
    </w:div>
    <w:div w:id="1828814130">
      <w:bodyDiv w:val="1"/>
      <w:marLeft w:val="0"/>
      <w:marRight w:val="0"/>
      <w:marTop w:val="0"/>
      <w:marBottom w:val="0"/>
      <w:divBdr>
        <w:top w:val="none" w:sz="0" w:space="0" w:color="auto"/>
        <w:left w:val="none" w:sz="0" w:space="0" w:color="auto"/>
        <w:bottom w:val="none" w:sz="0" w:space="0" w:color="auto"/>
        <w:right w:val="none" w:sz="0" w:space="0" w:color="auto"/>
      </w:divBdr>
      <w:divsChild>
        <w:div w:id="60713217">
          <w:marLeft w:val="420"/>
          <w:marRight w:val="0"/>
          <w:marTop w:val="0"/>
          <w:marBottom w:val="0"/>
          <w:divBdr>
            <w:top w:val="none" w:sz="0" w:space="0" w:color="auto"/>
            <w:left w:val="none" w:sz="0" w:space="0" w:color="auto"/>
            <w:bottom w:val="none" w:sz="0" w:space="0" w:color="auto"/>
            <w:right w:val="none" w:sz="0" w:space="0" w:color="auto"/>
          </w:divBdr>
          <w:divsChild>
            <w:div w:id="19315077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1885753201">
      <w:bodyDiv w:val="1"/>
      <w:marLeft w:val="0"/>
      <w:marRight w:val="0"/>
      <w:marTop w:val="0"/>
      <w:marBottom w:val="0"/>
      <w:divBdr>
        <w:top w:val="none" w:sz="0" w:space="0" w:color="auto"/>
        <w:left w:val="none" w:sz="0" w:space="0" w:color="auto"/>
        <w:bottom w:val="none" w:sz="0" w:space="0" w:color="auto"/>
        <w:right w:val="none" w:sz="0" w:space="0" w:color="auto"/>
      </w:divBdr>
      <w:divsChild>
        <w:div w:id="2061705481">
          <w:marLeft w:val="0"/>
          <w:marRight w:val="0"/>
          <w:marTop w:val="0"/>
          <w:marBottom w:val="0"/>
          <w:divBdr>
            <w:top w:val="none" w:sz="0" w:space="0" w:color="auto"/>
            <w:left w:val="none" w:sz="0" w:space="0" w:color="auto"/>
            <w:bottom w:val="none" w:sz="0" w:space="0" w:color="auto"/>
            <w:right w:val="none" w:sz="0" w:space="0" w:color="auto"/>
          </w:divBdr>
          <w:divsChild>
            <w:div w:id="2067947793">
              <w:marLeft w:val="0"/>
              <w:marRight w:val="0"/>
              <w:marTop w:val="0"/>
              <w:marBottom w:val="0"/>
              <w:divBdr>
                <w:top w:val="none" w:sz="0" w:space="0" w:color="auto"/>
                <w:left w:val="none" w:sz="0" w:space="0" w:color="auto"/>
                <w:bottom w:val="none" w:sz="0" w:space="0" w:color="auto"/>
                <w:right w:val="none" w:sz="0" w:space="0" w:color="auto"/>
              </w:divBdr>
              <w:divsChild>
                <w:div w:id="38734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92402">
      <w:bodyDiv w:val="1"/>
      <w:marLeft w:val="0"/>
      <w:marRight w:val="0"/>
      <w:marTop w:val="0"/>
      <w:marBottom w:val="0"/>
      <w:divBdr>
        <w:top w:val="none" w:sz="0" w:space="0" w:color="auto"/>
        <w:left w:val="none" w:sz="0" w:space="0" w:color="auto"/>
        <w:bottom w:val="none" w:sz="0" w:space="0" w:color="auto"/>
        <w:right w:val="none" w:sz="0" w:space="0" w:color="auto"/>
      </w:divBdr>
    </w:div>
    <w:div w:id="2027320122">
      <w:bodyDiv w:val="1"/>
      <w:marLeft w:val="0"/>
      <w:marRight w:val="0"/>
      <w:marTop w:val="0"/>
      <w:marBottom w:val="0"/>
      <w:divBdr>
        <w:top w:val="none" w:sz="0" w:space="0" w:color="auto"/>
        <w:left w:val="none" w:sz="0" w:space="0" w:color="auto"/>
        <w:bottom w:val="none" w:sz="0" w:space="0" w:color="auto"/>
        <w:right w:val="none" w:sz="0" w:space="0" w:color="auto"/>
      </w:divBdr>
    </w:div>
    <w:div w:id="2052684230">
      <w:bodyDiv w:val="1"/>
      <w:marLeft w:val="0"/>
      <w:marRight w:val="0"/>
      <w:marTop w:val="0"/>
      <w:marBottom w:val="0"/>
      <w:divBdr>
        <w:top w:val="none" w:sz="0" w:space="0" w:color="auto"/>
        <w:left w:val="none" w:sz="0" w:space="0" w:color="auto"/>
        <w:bottom w:val="none" w:sz="0" w:space="0" w:color="auto"/>
        <w:right w:val="none" w:sz="0" w:space="0" w:color="auto"/>
      </w:divBdr>
      <w:divsChild>
        <w:div w:id="44064528">
          <w:marLeft w:val="0"/>
          <w:marRight w:val="0"/>
          <w:marTop w:val="0"/>
          <w:marBottom w:val="0"/>
          <w:divBdr>
            <w:top w:val="none" w:sz="0" w:space="0" w:color="auto"/>
            <w:left w:val="none" w:sz="0" w:space="0" w:color="auto"/>
            <w:bottom w:val="none" w:sz="0" w:space="0" w:color="auto"/>
            <w:right w:val="none" w:sz="0" w:space="0" w:color="auto"/>
          </w:divBdr>
          <w:divsChild>
            <w:div w:id="670987415">
              <w:marLeft w:val="0"/>
              <w:marRight w:val="0"/>
              <w:marTop w:val="0"/>
              <w:marBottom w:val="0"/>
              <w:divBdr>
                <w:top w:val="none" w:sz="0" w:space="0" w:color="auto"/>
                <w:left w:val="none" w:sz="0" w:space="0" w:color="auto"/>
                <w:bottom w:val="none" w:sz="0" w:space="0" w:color="auto"/>
                <w:right w:val="none" w:sz="0" w:space="0" w:color="auto"/>
              </w:divBdr>
              <w:divsChild>
                <w:div w:id="5893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70527">
      <w:bodyDiv w:val="1"/>
      <w:marLeft w:val="0"/>
      <w:marRight w:val="0"/>
      <w:marTop w:val="0"/>
      <w:marBottom w:val="0"/>
      <w:divBdr>
        <w:top w:val="none" w:sz="0" w:space="0" w:color="auto"/>
        <w:left w:val="none" w:sz="0" w:space="0" w:color="auto"/>
        <w:bottom w:val="none" w:sz="0" w:space="0" w:color="auto"/>
        <w:right w:val="none" w:sz="0" w:space="0" w:color="auto"/>
      </w:divBdr>
      <w:divsChild>
        <w:div w:id="1713653481">
          <w:marLeft w:val="0"/>
          <w:marRight w:val="0"/>
          <w:marTop w:val="0"/>
          <w:marBottom w:val="0"/>
          <w:divBdr>
            <w:top w:val="none" w:sz="0" w:space="0" w:color="auto"/>
            <w:left w:val="none" w:sz="0" w:space="0" w:color="auto"/>
            <w:bottom w:val="none" w:sz="0" w:space="0" w:color="auto"/>
            <w:right w:val="none" w:sz="0" w:space="0" w:color="auto"/>
          </w:divBdr>
          <w:divsChild>
            <w:div w:id="1101342345">
              <w:marLeft w:val="0"/>
              <w:marRight w:val="0"/>
              <w:marTop w:val="0"/>
              <w:marBottom w:val="0"/>
              <w:divBdr>
                <w:top w:val="none" w:sz="0" w:space="0" w:color="auto"/>
                <w:left w:val="none" w:sz="0" w:space="0" w:color="auto"/>
                <w:bottom w:val="none" w:sz="0" w:space="0" w:color="auto"/>
                <w:right w:val="none" w:sz="0" w:space="0" w:color="auto"/>
              </w:divBdr>
              <w:divsChild>
                <w:div w:id="13922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950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0.emf"/><Relationship Id="rId12" Type="http://schemas.openxmlformats.org/officeDocument/2006/relationships/image" Target="media/image3.emf"/><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9" Type="http://schemas.microsoft.com/office/2011/relationships/people" Target="people.xml"/><Relationship Id="rId20"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458E0-6BA4-9547-8D14-B2F7F2BD0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5621</Words>
  <Characters>32046</Characters>
  <Application>Microsoft Macintosh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alglab</dc:creator>
  <cp:keywords/>
  <cp:lastModifiedBy>Lyndsey Anderson</cp:lastModifiedBy>
  <cp:revision>21</cp:revision>
  <cp:lastPrinted>2019-02-25T04:43:00Z</cp:lastPrinted>
  <dcterms:created xsi:type="dcterms:W3CDTF">2019-05-28T05:26:00Z</dcterms:created>
  <dcterms:modified xsi:type="dcterms:W3CDTF">2019-09-24T23:42:00Z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88552114-7868-340f-9812-c95547c42af7</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