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EE0" w:rsidRPr="00F52ACF" w:rsidRDefault="00F52ACF" w:rsidP="00F52ACF">
      <w:pPr>
        <w:spacing w:line="480" w:lineRule="auto"/>
        <w:rPr>
          <w:rFonts w:ascii="Times New Roman" w:hAnsi="Times New Roman" w:cs="Times New Roman"/>
          <w:b/>
          <w:bCs/>
        </w:rPr>
      </w:pPr>
      <w:r w:rsidRPr="00F52ACF">
        <w:rPr>
          <w:rFonts w:ascii="Times New Roman" w:hAnsi="Times New Roman" w:cs="Times New Roman"/>
          <w:b/>
          <w:bCs/>
        </w:rPr>
        <w:t>Supplementary Table 1</w:t>
      </w:r>
    </w:p>
    <w:p w:rsidR="00F52ACF" w:rsidRPr="00F52ACF" w:rsidRDefault="00F52ACF" w:rsidP="00F52ACF">
      <w:pPr>
        <w:spacing w:line="480" w:lineRule="auto"/>
        <w:rPr>
          <w:rFonts w:ascii="Times New Roman" w:hAnsi="Times New Roman" w:cs="Times New Roman"/>
        </w:rPr>
      </w:pPr>
      <w:r w:rsidRPr="00F52ACF">
        <w:rPr>
          <w:rFonts w:ascii="Times New Roman" w:hAnsi="Times New Roman" w:cs="Times New Roman"/>
        </w:rPr>
        <w:t>Comparison of pharmacological activity (EC</w:t>
      </w:r>
      <w:r w:rsidRPr="00F52ACF">
        <w:rPr>
          <w:rFonts w:ascii="Times New Roman" w:hAnsi="Times New Roman" w:cs="Times New Roman"/>
          <w:vertAlign w:val="subscript"/>
        </w:rPr>
        <w:t>50</w:t>
      </w:r>
      <w:r w:rsidRPr="00F52ACF">
        <w:rPr>
          <w:rFonts w:ascii="Times New Roman" w:hAnsi="Times New Roman" w:cs="Times New Roman"/>
        </w:rPr>
        <w:t xml:space="preserve"> and E</w:t>
      </w:r>
      <w:r w:rsidRPr="00F52ACF">
        <w:rPr>
          <w:rFonts w:ascii="Times New Roman" w:hAnsi="Times New Roman" w:cs="Times New Roman"/>
          <w:vertAlign w:val="subscript"/>
        </w:rPr>
        <w:t>MAX</w:t>
      </w:r>
      <w:r w:rsidRPr="00F52ACF">
        <w:rPr>
          <w:rFonts w:ascii="Times New Roman" w:hAnsi="Times New Roman" w:cs="Times New Roman"/>
        </w:rPr>
        <w:t>) of SCRAs-induced stimulation (</w:t>
      </w:r>
      <w:r w:rsidRPr="00F52ACF">
        <w:rPr>
          <w:rFonts w:ascii="Times New Roman" w:hAnsi="Times New Roman" w:cs="Times New Roman"/>
          <w:i/>
        </w:rPr>
        <w:t>G</w:t>
      </w:r>
      <w:r w:rsidRPr="00F52ACF">
        <w:rPr>
          <w:rFonts w:ascii="Times New Roman" w:hAnsi="Times New Roman" w:cs="Times New Roman"/>
          <w:i/>
          <w:vertAlign w:val="subscript"/>
        </w:rPr>
        <w:t xml:space="preserve">s </w:t>
      </w:r>
      <w:r w:rsidRPr="00F52ACF">
        <w:rPr>
          <w:rFonts w:ascii="Times New Roman" w:hAnsi="Times New Roman" w:cs="Times New Roman"/>
        </w:rPr>
        <w:t>(+PTX)) and inhibition</w:t>
      </w:r>
      <w:r w:rsidRPr="00F52ACF">
        <w:rPr>
          <w:rFonts w:ascii="Times New Roman" w:hAnsi="Times New Roman" w:cs="Times New Roman"/>
          <w:i/>
        </w:rPr>
        <w:t xml:space="preserve"> (G</w:t>
      </w:r>
      <w:r w:rsidRPr="00F52ACF">
        <w:rPr>
          <w:rFonts w:ascii="Times New Roman" w:hAnsi="Times New Roman" w:cs="Times New Roman"/>
          <w:i/>
          <w:vertAlign w:val="subscript"/>
        </w:rPr>
        <w:t xml:space="preserve">i </w:t>
      </w:r>
      <w:r w:rsidRPr="00F52ACF">
        <w:rPr>
          <w:rFonts w:ascii="Times New Roman" w:hAnsi="Times New Roman" w:cs="Times New Roman"/>
        </w:rPr>
        <w:t xml:space="preserve">(-PTX)) of cAMP signalling in HEK-CB1 cells. Data was fit to a 4 parameter logistic equation in PRISM. The selectivity is expressed as the ratio of </w:t>
      </w:r>
      <w:r w:rsidRPr="00F52ACF">
        <w:rPr>
          <w:rFonts w:ascii="Times New Roman" w:hAnsi="Times New Roman" w:cs="Times New Roman"/>
          <w:i/>
        </w:rPr>
        <w:t>G</w:t>
      </w:r>
      <w:r w:rsidRPr="00F52ACF">
        <w:rPr>
          <w:rFonts w:ascii="Times New Roman" w:hAnsi="Times New Roman" w:cs="Times New Roman"/>
          <w:i/>
          <w:vertAlign w:val="subscript"/>
        </w:rPr>
        <w:t xml:space="preserve">s </w:t>
      </w:r>
      <w:r w:rsidRPr="00F52ACF">
        <w:rPr>
          <w:rFonts w:ascii="Times New Roman" w:hAnsi="Times New Roman" w:cs="Times New Roman"/>
        </w:rPr>
        <w:t>(+PTX) EC</w:t>
      </w:r>
      <w:r w:rsidRPr="00F52ACF">
        <w:rPr>
          <w:rFonts w:ascii="Times New Roman" w:hAnsi="Times New Roman" w:cs="Times New Roman"/>
          <w:vertAlign w:val="subscript"/>
        </w:rPr>
        <w:t xml:space="preserve">50 </w:t>
      </w:r>
      <w:r w:rsidRPr="00F52ACF">
        <w:rPr>
          <w:rFonts w:ascii="Times New Roman" w:hAnsi="Times New Roman" w:cs="Times New Roman"/>
        </w:rPr>
        <w:t>to</w:t>
      </w:r>
      <w:r w:rsidRPr="00F52ACF">
        <w:rPr>
          <w:rFonts w:ascii="Times New Roman" w:hAnsi="Times New Roman" w:cs="Times New Roman"/>
          <w:vertAlign w:val="subscript"/>
        </w:rPr>
        <w:t xml:space="preserve"> </w:t>
      </w:r>
      <w:r w:rsidRPr="00F52ACF">
        <w:rPr>
          <w:rFonts w:ascii="Times New Roman" w:hAnsi="Times New Roman" w:cs="Times New Roman"/>
          <w:i/>
        </w:rPr>
        <w:t>G</w:t>
      </w:r>
      <w:r w:rsidRPr="00F52ACF">
        <w:rPr>
          <w:rFonts w:ascii="Times New Roman" w:hAnsi="Times New Roman" w:cs="Times New Roman"/>
          <w:i/>
          <w:vertAlign w:val="subscript"/>
        </w:rPr>
        <w:t xml:space="preserve">i </w:t>
      </w:r>
      <w:r w:rsidRPr="00F52ACF">
        <w:rPr>
          <w:rFonts w:ascii="Times New Roman" w:hAnsi="Times New Roman" w:cs="Times New Roman"/>
        </w:rPr>
        <w:t>(-PTX) EC</w:t>
      </w:r>
      <w:r w:rsidRPr="00F52ACF">
        <w:rPr>
          <w:rFonts w:ascii="Times New Roman" w:hAnsi="Times New Roman" w:cs="Times New Roman"/>
          <w:vertAlign w:val="subscript"/>
        </w:rPr>
        <w:t>50</w:t>
      </w:r>
      <w:r w:rsidRPr="00F52ACF">
        <w:rPr>
          <w:rFonts w:ascii="Times New Roman" w:hAnsi="Times New Roman" w:cs="Times New Roman"/>
        </w:rPr>
        <w:t xml:space="preserve">. Data is presented ± </w:t>
      </w:r>
      <w:proofErr w:type="spellStart"/>
      <w:r w:rsidRPr="00F52ACF">
        <w:rPr>
          <w:rFonts w:ascii="Times New Roman" w:hAnsi="Times New Roman" w:cs="Times New Roman"/>
        </w:rPr>
        <w:t>s.e.</w:t>
      </w:r>
      <w:bookmarkStart w:id="0" w:name="_GoBack"/>
      <w:bookmarkEnd w:id="0"/>
      <w:proofErr w:type="spellEnd"/>
    </w:p>
    <w:p w:rsidR="00F52ACF" w:rsidRPr="00F52ACF" w:rsidRDefault="00F52ACF" w:rsidP="00F52ACF">
      <w:pPr>
        <w:spacing w:line="480" w:lineRule="auto"/>
      </w:pPr>
    </w:p>
    <w:tbl>
      <w:tblPr>
        <w:tblStyle w:val="TableGrid"/>
        <w:tblpPr w:leftFromText="180" w:rightFromText="180" w:vertAnchor="page" w:horzAnchor="margin" w:tblpY="3811"/>
        <w:tblW w:w="9067" w:type="dxa"/>
        <w:tblLook w:val="04A0" w:firstRow="1" w:lastRow="0" w:firstColumn="1" w:lastColumn="0" w:noHBand="0" w:noVBand="1"/>
      </w:tblPr>
      <w:tblGrid>
        <w:gridCol w:w="1577"/>
        <w:gridCol w:w="1437"/>
        <w:gridCol w:w="1659"/>
        <w:gridCol w:w="1418"/>
        <w:gridCol w:w="1559"/>
        <w:gridCol w:w="1417"/>
      </w:tblGrid>
      <w:tr w:rsidR="00F52ACF" w:rsidRPr="00F52ACF" w:rsidTr="00053588">
        <w:trPr>
          <w:trHeight w:val="522"/>
        </w:trPr>
        <w:tc>
          <w:tcPr>
            <w:tcW w:w="1577" w:type="dxa"/>
            <w:vMerge w:val="restart"/>
          </w:tcPr>
          <w:p w:rsidR="00F52ACF" w:rsidRPr="00F52ACF" w:rsidRDefault="00F52ACF" w:rsidP="00053588">
            <w:pPr>
              <w:keepNext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3096" w:type="dxa"/>
            <w:gridSpan w:val="2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Pr="00F52ACF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i </w:t>
            </w: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(-PTX)</w:t>
            </w:r>
          </w:p>
        </w:tc>
        <w:tc>
          <w:tcPr>
            <w:tcW w:w="2977" w:type="dxa"/>
            <w:gridSpan w:val="2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Pr="00F52ACF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s </w:t>
            </w: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(+PTX)</w:t>
            </w:r>
          </w:p>
        </w:tc>
        <w:tc>
          <w:tcPr>
            <w:tcW w:w="1417" w:type="dxa"/>
            <w:vMerge w:val="restart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Gi</w:t>
            </w: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 xml:space="preserve"> (-PTX) selectivity</w:t>
            </w:r>
          </w:p>
        </w:tc>
      </w:tr>
      <w:tr w:rsidR="00F52ACF" w:rsidRPr="00F52ACF" w:rsidTr="00053588">
        <w:trPr>
          <w:trHeight w:val="1011"/>
        </w:trPr>
        <w:tc>
          <w:tcPr>
            <w:tcW w:w="1577" w:type="dxa"/>
            <w:vMerge/>
          </w:tcPr>
          <w:p w:rsidR="00F52ACF" w:rsidRPr="00F52ACF" w:rsidRDefault="00F52ACF" w:rsidP="00053588">
            <w:pPr>
              <w:keepNext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F52ACF" w:rsidRPr="00F52ACF" w:rsidRDefault="00F52ACF" w:rsidP="00053588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52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EC</w:t>
            </w:r>
            <w:r w:rsidRPr="00F52AC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</w:p>
          <w:p w:rsidR="00F52ACF" w:rsidRPr="00F52ACF" w:rsidRDefault="00F52ACF" w:rsidP="00053588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(EC</w:t>
            </w:r>
            <w:r w:rsidRPr="00F52AC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proofErr w:type="spellEnd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9" w:type="dxa"/>
          </w:tcPr>
          <w:p w:rsidR="00F52ACF" w:rsidRPr="00F52ACF" w:rsidRDefault="00F52ACF" w:rsidP="00053588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52AC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proofErr w:type="spellEnd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 xml:space="preserve"> (% FSK) </w:t>
            </w:r>
          </w:p>
          <w:p w:rsidR="00F52ACF" w:rsidRPr="00F52ACF" w:rsidRDefault="00F52ACF" w:rsidP="00053588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nH</w:t>
            </w:r>
            <w:proofErr w:type="spellEnd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F52ACF" w:rsidRPr="00F52ACF" w:rsidRDefault="00F52ACF" w:rsidP="00053588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  <w:r w:rsidRPr="00F52AC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</w:p>
          <w:p w:rsidR="00F52ACF" w:rsidRPr="00F52ACF" w:rsidRDefault="00F52ACF" w:rsidP="00053588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(EC</w:t>
            </w:r>
            <w:r w:rsidRPr="00F52AC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proofErr w:type="spellEnd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F52ACF" w:rsidRPr="00F52ACF" w:rsidRDefault="00F52ACF" w:rsidP="00053588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52AC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proofErr w:type="spellEnd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 xml:space="preserve"> (% FSK)</w:t>
            </w:r>
          </w:p>
          <w:p w:rsidR="00F52ACF" w:rsidRPr="00F52ACF" w:rsidRDefault="00F52ACF" w:rsidP="00053588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nH</w:t>
            </w:r>
            <w:proofErr w:type="spellEnd"/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Merge/>
          </w:tcPr>
          <w:p w:rsidR="00F52ACF" w:rsidRPr="00F52ACF" w:rsidRDefault="00F52ACF" w:rsidP="00053588">
            <w:pPr>
              <w:keepNext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ACF" w:rsidRPr="00F52ACF" w:rsidTr="00053588">
        <w:trPr>
          <w:trHeight w:val="1317"/>
        </w:trPr>
        <w:tc>
          <w:tcPr>
            <w:tcW w:w="1577" w:type="dxa"/>
          </w:tcPr>
          <w:p w:rsidR="00F52ACF" w:rsidRPr="00F52ACF" w:rsidRDefault="00F52ACF" w:rsidP="00053588">
            <w:pPr>
              <w:keepNex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CP55940</w:t>
            </w:r>
          </w:p>
        </w:tc>
        <w:tc>
          <w:tcPr>
            <w:tcW w:w="143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8.2 ± 0.3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(6.4)</w:t>
            </w:r>
          </w:p>
        </w:tc>
        <w:tc>
          <w:tcPr>
            <w:tcW w:w="16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57 ± 5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-0.7 ± 0.3</w:t>
            </w:r>
          </w:p>
        </w:tc>
        <w:tc>
          <w:tcPr>
            <w:tcW w:w="1418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2ACF" w:rsidRPr="00F52ACF" w:rsidTr="00053588">
        <w:trPr>
          <w:trHeight w:val="1346"/>
        </w:trPr>
        <w:tc>
          <w:tcPr>
            <w:tcW w:w="1577" w:type="dxa"/>
          </w:tcPr>
          <w:p w:rsidR="00F52ACF" w:rsidRPr="00F52ACF" w:rsidRDefault="00F52ACF" w:rsidP="00053588">
            <w:pPr>
              <w:keepNex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WIN55212-2</w:t>
            </w:r>
          </w:p>
        </w:tc>
        <w:tc>
          <w:tcPr>
            <w:tcW w:w="143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7.4 ± 2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(40)</w:t>
            </w:r>
          </w:p>
        </w:tc>
        <w:tc>
          <w:tcPr>
            <w:tcW w:w="16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60 ± 9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color w:val="4472C4" w:themeColor="accent1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-0.4 ± 0.5</w:t>
            </w:r>
          </w:p>
        </w:tc>
        <w:tc>
          <w:tcPr>
            <w:tcW w:w="1418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2ACF" w:rsidRPr="00F52ACF" w:rsidTr="00053588">
        <w:trPr>
          <w:trHeight w:val="1363"/>
        </w:trPr>
        <w:tc>
          <w:tcPr>
            <w:tcW w:w="1577" w:type="dxa"/>
          </w:tcPr>
          <w:p w:rsidR="00F52ACF" w:rsidRPr="00F52ACF" w:rsidRDefault="00F52ACF" w:rsidP="00053588">
            <w:pPr>
              <w:keepNex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JWH-018</w:t>
            </w:r>
          </w:p>
        </w:tc>
        <w:tc>
          <w:tcPr>
            <w:tcW w:w="143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7.8 ± 0.3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16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64 ± 4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-0.9 ± 0.5</w:t>
            </w:r>
          </w:p>
        </w:tc>
        <w:tc>
          <w:tcPr>
            <w:tcW w:w="1418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6.7 ± 0.7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(221)</w:t>
            </w:r>
          </w:p>
        </w:tc>
        <w:tc>
          <w:tcPr>
            <w:tcW w:w="15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113 ± 4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1.4 ± 2</w:t>
            </w:r>
          </w:p>
        </w:tc>
        <w:tc>
          <w:tcPr>
            <w:tcW w:w="141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52ACF" w:rsidRPr="00F52ACF" w:rsidTr="00053588">
        <w:trPr>
          <w:trHeight w:val="1235"/>
        </w:trPr>
        <w:tc>
          <w:tcPr>
            <w:tcW w:w="1577" w:type="dxa"/>
          </w:tcPr>
          <w:p w:rsidR="00F52ACF" w:rsidRPr="00F52ACF" w:rsidRDefault="00F52ACF" w:rsidP="00053588">
            <w:pPr>
              <w:keepNex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XLR-11</w:t>
            </w:r>
          </w:p>
        </w:tc>
        <w:tc>
          <w:tcPr>
            <w:tcW w:w="143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7.2 ± 0.2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(63)</w:t>
            </w:r>
          </w:p>
        </w:tc>
        <w:tc>
          <w:tcPr>
            <w:tcW w:w="16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62 ± 3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-0.8± 0.3</w:t>
            </w:r>
          </w:p>
        </w:tc>
        <w:tc>
          <w:tcPr>
            <w:tcW w:w="1418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5.2 ± 0.8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(6490)</w:t>
            </w:r>
          </w:p>
        </w:tc>
        <w:tc>
          <w:tcPr>
            <w:tcW w:w="15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127 ± 16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0.8 ± 0.6</w:t>
            </w:r>
          </w:p>
        </w:tc>
        <w:tc>
          <w:tcPr>
            <w:tcW w:w="141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F52ACF" w:rsidRPr="00F52ACF" w:rsidTr="00053588">
        <w:trPr>
          <w:trHeight w:val="1251"/>
        </w:trPr>
        <w:tc>
          <w:tcPr>
            <w:tcW w:w="1577" w:type="dxa"/>
          </w:tcPr>
          <w:p w:rsidR="00F52ACF" w:rsidRPr="00F52ACF" w:rsidRDefault="00F52ACF" w:rsidP="00053588">
            <w:pPr>
              <w:keepNex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PB-22</w:t>
            </w:r>
          </w:p>
        </w:tc>
        <w:tc>
          <w:tcPr>
            <w:tcW w:w="143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8.6 ± 0.2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(2.5)</w:t>
            </w:r>
          </w:p>
        </w:tc>
        <w:tc>
          <w:tcPr>
            <w:tcW w:w="16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64 ± 3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-1.5 ± 0.6</w:t>
            </w:r>
          </w:p>
        </w:tc>
        <w:tc>
          <w:tcPr>
            <w:tcW w:w="1418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7.2 ± 0.5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(69)</w:t>
            </w:r>
          </w:p>
        </w:tc>
        <w:tc>
          <w:tcPr>
            <w:tcW w:w="15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131 ± 5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0.8± 0.7</w:t>
            </w:r>
          </w:p>
        </w:tc>
        <w:tc>
          <w:tcPr>
            <w:tcW w:w="141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52ACF" w:rsidRPr="00F52ACF" w:rsidTr="00053588">
        <w:trPr>
          <w:trHeight w:val="1281"/>
        </w:trPr>
        <w:tc>
          <w:tcPr>
            <w:tcW w:w="1577" w:type="dxa"/>
          </w:tcPr>
          <w:p w:rsidR="00F52ACF" w:rsidRPr="00F52ACF" w:rsidRDefault="00F52ACF" w:rsidP="00053588">
            <w:pPr>
              <w:keepNex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AB-FUBINACA</w:t>
            </w:r>
          </w:p>
        </w:tc>
        <w:tc>
          <w:tcPr>
            <w:tcW w:w="143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9.0 ± 0.2 (1.1)</w:t>
            </w:r>
          </w:p>
        </w:tc>
        <w:tc>
          <w:tcPr>
            <w:tcW w:w="16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61 ± 2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-1.4 ± 1</w:t>
            </w:r>
          </w:p>
        </w:tc>
        <w:tc>
          <w:tcPr>
            <w:tcW w:w="1418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6.4 ±0.5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(383)</w:t>
            </w:r>
          </w:p>
        </w:tc>
        <w:tc>
          <w:tcPr>
            <w:tcW w:w="15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144 ± 12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0.5 ± 0.3</w:t>
            </w:r>
          </w:p>
        </w:tc>
        <w:tc>
          <w:tcPr>
            <w:tcW w:w="141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</w:tr>
      <w:tr w:rsidR="00F52ACF" w:rsidRPr="00C83B67" w:rsidTr="00053588">
        <w:trPr>
          <w:trHeight w:val="1266"/>
        </w:trPr>
        <w:tc>
          <w:tcPr>
            <w:tcW w:w="1577" w:type="dxa"/>
          </w:tcPr>
          <w:p w:rsidR="00F52ACF" w:rsidRPr="00F52ACF" w:rsidRDefault="00F52ACF" w:rsidP="00053588">
            <w:pPr>
              <w:keepNex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5F-MDMB-PICA</w:t>
            </w:r>
          </w:p>
        </w:tc>
        <w:tc>
          <w:tcPr>
            <w:tcW w:w="1437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9.2 ± 0.2 (0.62)</w:t>
            </w:r>
          </w:p>
        </w:tc>
        <w:tc>
          <w:tcPr>
            <w:tcW w:w="16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59 ± 4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-0.9 ± 0.4</w:t>
            </w:r>
          </w:p>
        </w:tc>
        <w:tc>
          <w:tcPr>
            <w:tcW w:w="1418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7.1 ± 0.4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(85)</w:t>
            </w:r>
          </w:p>
        </w:tc>
        <w:tc>
          <w:tcPr>
            <w:tcW w:w="1559" w:type="dxa"/>
          </w:tcPr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126 ± 5</w:t>
            </w:r>
          </w:p>
          <w:p w:rsidR="00F52ACF" w:rsidRPr="00F52ACF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i/>
                <w:sz w:val="24"/>
                <w:szCs w:val="24"/>
              </w:rPr>
              <w:t>1.1 ± 1.5</w:t>
            </w:r>
          </w:p>
        </w:tc>
        <w:tc>
          <w:tcPr>
            <w:tcW w:w="1417" w:type="dxa"/>
          </w:tcPr>
          <w:p w:rsidR="00F52ACF" w:rsidRPr="00E82F67" w:rsidRDefault="00F52ACF" w:rsidP="00053588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CF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</w:tbl>
    <w:p w:rsidR="00F52ACF" w:rsidRDefault="00F52ACF"/>
    <w:sectPr w:rsidR="00F52ACF" w:rsidSect="00F52ACF">
      <w:pgSz w:w="11900" w:h="16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CF"/>
    <w:rsid w:val="00036E3A"/>
    <w:rsid w:val="000C4BF5"/>
    <w:rsid w:val="00836E2B"/>
    <w:rsid w:val="009F5DEB"/>
    <w:rsid w:val="00A1212C"/>
    <w:rsid w:val="00F5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40481A"/>
  <w14:defaultImageDpi w14:val="32767"/>
  <w15:chartTrackingRefBased/>
  <w15:docId w15:val="{C5937786-D403-B44E-B8B0-7E544611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ACF"/>
    <w:rPr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52AC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Connor</dc:creator>
  <cp:keywords/>
  <dc:description/>
  <cp:lastModifiedBy>Mark Connor</cp:lastModifiedBy>
  <cp:revision>2</cp:revision>
  <dcterms:created xsi:type="dcterms:W3CDTF">2020-01-09T03:45:00Z</dcterms:created>
  <dcterms:modified xsi:type="dcterms:W3CDTF">2020-01-10T04:52:00Z</dcterms:modified>
</cp:coreProperties>
</file>