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 = '1.0' encoding = 'UTF-8' standalone = '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23561" w14:textId="3C00FB53" w:rsidR="00BF7D33" w:rsidRPr="00E34FE7" w:rsidRDefault="002D4C15" w:rsidP="00BF7D33">
      <w:pPr>
        <w:spacing w:after="0" w:line="240" w:lineRule="auto"/>
        <w:jc w:val="both"/>
        <w:rPr>
          <w:rFonts w:ascii="Times New Roman" w:hAnsi="Times New Roman" w:cs="Times New Roman"/>
          <w:b/>
          <w:noProof/>
          <w:sz w:val="20"/>
          <w:szCs w:val="20"/>
          <w:lang w:eastAsia="hu-HU"/>
        </w:rPr>
      </w:pPr>
      <w:r>
        <w:rPr>
          <w:rFonts w:ascii="Times New Roman" w:hAnsi="Times New Roman" w:cs="Times New Roman"/>
          <w:b/>
          <w:noProof/>
          <w:sz w:val="20"/>
          <w:szCs w:val="20"/>
          <w:lang w:eastAsia="hu-HU"/>
        </w:rPr>
        <w:t>Supplementary</w:t>
      </w:r>
      <w:r w:rsidR="00BF7D33" w:rsidRPr="00E34FE7">
        <w:rPr>
          <w:rFonts w:ascii="Times New Roman" w:hAnsi="Times New Roman" w:cs="Times New Roman"/>
          <w:b/>
          <w:noProof/>
          <w:sz w:val="20"/>
          <w:szCs w:val="20"/>
          <w:lang w:eastAsia="hu-HU"/>
        </w:rPr>
        <w:t xml:space="preserve"> </w:t>
      </w:r>
      <w:r w:rsidR="005744A7">
        <w:rPr>
          <w:rFonts w:ascii="Times New Roman" w:hAnsi="Times New Roman" w:cs="Times New Roman"/>
          <w:b/>
          <w:noProof/>
          <w:sz w:val="20"/>
          <w:szCs w:val="20"/>
          <w:lang w:eastAsia="hu-HU"/>
        </w:rPr>
        <w:t>Methods</w:t>
      </w:r>
    </w:p>
    <w:p w14:paraId="7C138495" w14:textId="77777777" w:rsidR="00BF7D33" w:rsidRDefault="00BF7D33" w:rsidP="00E34FE7">
      <w:pPr>
        <w:pStyle w:val="Nincstrkz"/>
        <w:jc w:val="both"/>
        <w:rPr>
          <w:rFonts w:ascii="Times New Roman" w:hAnsi="Times New Roman" w:cs="Times New Roman"/>
          <w:i/>
          <w:sz w:val="20"/>
          <w:szCs w:val="20"/>
          <w:lang w:val="en-US"/>
        </w:rPr>
      </w:pPr>
    </w:p>
    <w:p w14:paraId="6C863B94" w14:textId="11F95F0B" w:rsidR="006E7D65" w:rsidRPr="00E34FE7" w:rsidRDefault="006E7D65" w:rsidP="00E34FE7">
      <w:pPr>
        <w:pStyle w:val="Nincstrkz"/>
        <w:jc w:val="both"/>
        <w:rPr>
          <w:rFonts w:ascii="Times New Roman" w:hAnsi="Times New Roman" w:cs="Times New Roman"/>
          <w:i/>
          <w:sz w:val="20"/>
          <w:szCs w:val="20"/>
          <w:lang w:val="en-US"/>
        </w:rPr>
      </w:pPr>
      <w:r w:rsidRPr="00E34FE7">
        <w:rPr>
          <w:rFonts w:ascii="Times New Roman" w:hAnsi="Times New Roman" w:cs="Times New Roman"/>
          <w:i/>
          <w:sz w:val="20"/>
          <w:szCs w:val="20"/>
          <w:lang w:val="en-US"/>
        </w:rPr>
        <w:t>Slice preparation for electrophysiological recordings</w:t>
      </w:r>
    </w:p>
    <w:p w14:paraId="74A88B22" w14:textId="04BEFD6D"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Mice were deeply anesthetized with isoflurane and subsequently decapitated.  Brains were rapidly removed from the skull and placed into ice-cold cutting solution saturated with 95% O</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xml:space="preserve"> and 5% CO</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xml:space="preserve"> (carbogen gas).  The cutting solution of slices prepared for the measurement of miniature excitatory postsynaptic currents (mEPSCs) was prepared as follows: (in mM): 140 NaCl, 3KCl, 1.3 MgSO</w:t>
      </w:r>
      <w:r w:rsidRPr="00E34FE7">
        <w:rPr>
          <w:rFonts w:ascii="Times New Roman" w:hAnsi="Times New Roman" w:cs="Times New Roman"/>
          <w:sz w:val="20"/>
          <w:szCs w:val="20"/>
          <w:vertAlign w:val="subscript"/>
          <w:lang w:val="en-US"/>
        </w:rPr>
        <w:t>4</w:t>
      </w:r>
      <w:r w:rsidRPr="00E34FE7">
        <w:rPr>
          <w:rFonts w:ascii="Times New Roman" w:hAnsi="Times New Roman" w:cs="Times New Roman"/>
          <w:sz w:val="20"/>
          <w:szCs w:val="20"/>
          <w:lang w:val="en-US"/>
        </w:rPr>
        <w:t>, 1.4 NaH</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PO</w:t>
      </w:r>
      <w:r w:rsidRPr="00E34FE7">
        <w:rPr>
          <w:rFonts w:ascii="Times New Roman" w:hAnsi="Times New Roman" w:cs="Times New Roman"/>
          <w:sz w:val="20"/>
          <w:szCs w:val="20"/>
          <w:vertAlign w:val="subscript"/>
          <w:lang w:val="en-US"/>
        </w:rPr>
        <w:t>4</w:t>
      </w:r>
      <w:r w:rsidRPr="00E34FE7">
        <w:rPr>
          <w:rFonts w:ascii="Times New Roman" w:hAnsi="Times New Roman" w:cs="Times New Roman"/>
          <w:sz w:val="20"/>
          <w:szCs w:val="20"/>
          <w:lang w:val="en-US"/>
        </w:rPr>
        <w:t>, 2.4 CaCl</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11 glucose, 5 HEPES, pH 7.25, 280–290 mOsm/L); while the cutting solution of the slices prepared for the mIPSC recordings had the following composition: (in mM): 87 NaCl, 2.5 KCl, 7 MgCl</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26 NaH</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PO</w:t>
      </w:r>
      <w:r w:rsidRPr="00E34FE7">
        <w:rPr>
          <w:rFonts w:ascii="Times New Roman" w:hAnsi="Times New Roman" w:cs="Times New Roman"/>
          <w:sz w:val="20"/>
          <w:szCs w:val="20"/>
          <w:vertAlign w:val="subscript"/>
          <w:lang w:val="en-US"/>
        </w:rPr>
        <w:t>4</w:t>
      </w:r>
      <w:r w:rsidR="00454CAD">
        <w:rPr>
          <w:rFonts w:ascii="Times New Roman" w:hAnsi="Times New Roman" w:cs="Times New Roman"/>
          <w:sz w:val="20"/>
          <w:szCs w:val="20"/>
          <w:lang w:val="en-US"/>
        </w:rPr>
        <w:t>, 0.</w:t>
      </w:r>
      <w:r w:rsidRPr="00E34FE7">
        <w:rPr>
          <w:rFonts w:ascii="Times New Roman" w:hAnsi="Times New Roman" w:cs="Times New Roman"/>
          <w:sz w:val="20"/>
          <w:szCs w:val="20"/>
          <w:lang w:val="en-US"/>
        </w:rPr>
        <w:t>5 CaCl</w:t>
      </w:r>
      <w:r w:rsidR="005D2EF7" w:rsidRPr="00E34FE7">
        <w:rPr>
          <w:rFonts w:ascii="Times New Roman" w:hAnsi="Times New Roman" w:cs="Times New Roman"/>
          <w:sz w:val="20"/>
          <w:szCs w:val="20"/>
          <w:vertAlign w:val="subscript"/>
          <w:lang w:val="en-US"/>
        </w:rPr>
        <w:t>2</w:t>
      </w:r>
      <w:r w:rsidR="005D2EF7" w:rsidRPr="00E34FE7">
        <w:rPr>
          <w:rFonts w:ascii="Times New Roman" w:hAnsi="Times New Roman" w:cs="Times New Roman"/>
          <w:sz w:val="20"/>
          <w:szCs w:val="20"/>
          <w:lang w:val="en-US"/>
        </w:rPr>
        <w:t>,</w:t>
      </w:r>
      <w:r w:rsidRPr="00E34FE7">
        <w:rPr>
          <w:rFonts w:ascii="Times New Roman" w:hAnsi="Times New Roman" w:cs="Times New Roman"/>
          <w:sz w:val="20"/>
          <w:szCs w:val="20"/>
          <w:lang w:val="en-US"/>
        </w:rPr>
        <w:t xml:space="preserve"> 25 glucose, 75 sucrose, (pH 7.4; 280–290 mOsm/L).  Hypothalamic blocks were dissected from the mouse brains and 250-μm-thick coronal slices were cut using VT1000S or VT1200S vibratome (Leica). </w:t>
      </w:r>
    </w:p>
    <w:p w14:paraId="00EE86A0" w14:textId="2904FD2B"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The slices were bisected along the third ventricle and transferred into a holding chamber containing artificial CSF (aCSF) with the following composition: (in mM): 140 NaCl, 3 KCl, 1.4 NaH</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PO</w:t>
      </w:r>
      <w:r w:rsidRPr="00E34FE7">
        <w:rPr>
          <w:rFonts w:ascii="Times New Roman" w:hAnsi="Times New Roman" w:cs="Times New Roman"/>
          <w:sz w:val="20"/>
          <w:szCs w:val="20"/>
          <w:vertAlign w:val="subscript"/>
          <w:lang w:val="en-US"/>
        </w:rPr>
        <w:t>4</w:t>
      </w:r>
      <w:r w:rsidRPr="00E34FE7">
        <w:rPr>
          <w:rFonts w:ascii="Times New Roman" w:hAnsi="Times New Roman" w:cs="Times New Roman"/>
          <w:sz w:val="20"/>
          <w:szCs w:val="20"/>
          <w:lang w:val="en-US"/>
        </w:rPr>
        <w:t>, 2 MgCl</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2</w:t>
      </w:r>
      <w:r w:rsidR="00DD0FEC">
        <w:rPr>
          <w:rFonts w:ascii="Times New Roman" w:hAnsi="Times New Roman" w:cs="Times New Roman"/>
          <w:sz w:val="20"/>
          <w:szCs w:val="20"/>
          <w:lang w:val="en-US"/>
        </w:rPr>
        <w:t>.</w:t>
      </w:r>
      <w:r w:rsidRPr="00E34FE7">
        <w:rPr>
          <w:rFonts w:ascii="Times New Roman" w:hAnsi="Times New Roman" w:cs="Times New Roman"/>
          <w:sz w:val="20"/>
          <w:szCs w:val="20"/>
          <w:lang w:val="en-US"/>
        </w:rPr>
        <w:t>4 CaCl</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26 NaHCO</w:t>
      </w:r>
      <w:r w:rsidRPr="00E34FE7">
        <w:rPr>
          <w:rFonts w:ascii="Times New Roman" w:hAnsi="Times New Roman" w:cs="Times New Roman"/>
          <w:sz w:val="20"/>
          <w:szCs w:val="20"/>
          <w:vertAlign w:val="subscript"/>
          <w:lang w:val="en-US"/>
        </w:rPr>
        <w:t>3</w:t>
      </w:r>
      <w:r w:rsidRPr="00E34FE7">
        <w:rPr>
          <w:rFonts w:ascii="Times New Roman" w:hAnsi="Times New Roman" w:cs="Times New Roman"/>
          <w:sz w:val="20"/>
          <w:szCs w:val="20"/>
          <w:lang w:val="en-US"/>
        </w:rPr>
        <w:t xml:space="preserve">, and 11 glucose, saturated with carbogen gas, (pH 7.4; 280–290 mOsm/L) at room temperature for at least 1.5 h before the recording. </w:t>
      </w:r>
    </w:p>
    <w:p w14:paraId="59AF518F" w14:textId="77777777"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Slices were transferred to a submersion type of recording chamber.  In the case of the mEPSC recordings to block GABA</w:t>
      </w:r>
      <w:r w:rsidRPr="00E34FE7">
        <w:rPr>
          <w:rFonts w:ascii="Times New Roman" w:hAnsi="Times New Roman" w:cs="Times New Roman"/>
          <w:sz w:val="20"/>
          <w:szCs w:val="20"/>
          <w:vertAlign w:val="subscript"/>
          <w:lang w:val="en-US"/>
        </w:rPr>
        <w:t>A</w:t>
      </w:r>
      <w:r w:rsidRPr="00E34FE7">
        <w:rPr>
          <w:rFonts w:ascii="Times New Roman" w:hAnsi="Times New Roman" w:cs="Times New Roman"/>
          <w:sz w:val="20"/>
          <w:szCs w:val="20"/>
          <w:lang w:val="en-US"/>
        </w:rPr>
        <w:t xml:space="preserve"> receptor-mediated IPSCs, picrotoxin (100 µM, Sigma) was included in the aCSF and the solution contained 660 mM tetrodotoxin (TTX).  For mIPSC recording, the aCSF contained kinurenic acid (2 mM) and 660 nM TTX.  The recordings were performed at 32-33 </w:t>
      </w:r>
      <w:r w:rsidRPr="00E34FE7">
        <w:rPr>
          <w:rFonts w:ascii="Times New Roman" w:hAnsi="Times New Roman" w:cs="Times New Roman"/>
          <w:sz w:val="20"/>
          <w:szCs w:val="20"/>
          <w:vertAlign w:val="superscript"/>
          <w:lang w:val="en-US"/>
        </w:rPr>
        <w:t>o</w:t>
      </w:r>
      <w:r w:rsidRPr="00E34FE7">
        <w:rPr>
          <w:rFonts w:ascii="Times New Roman" w:hAnsi="Times New Roman" w:cs="Times New Roman"/>
          <w:sz w:val="20"/>
          <w:szCs w:val="20"/>
          <w:lang w:val="en-US"/>
        </w:rPr>
        <w:t xml:space="preserve">C and the flow rate was between 1.5-2 ml/min.  </w:t>
      </w:r>
    </w:p>
    <w:p w14:paraId="35D8C5F3" w14:textId="77777777" w:rsidR="006E7D65" w:rsidRPr="00E34FE7" w:rsidRDefault="006E7D65" w:rsidP="00E34FE7">
      <w:pPr>
        <w:pStyle w:val="Nincstrkz"/>
        <w:jc w:val="both"/>
        <w:rPr>
          <w:rFonts w:ascii="Times New Roman" w:hAnsi="Times New Roman" w:cs="Times New Roman"/>
          <w:sz w:val="20"/>
          <w:szCs w:val="20"/>
          <w:lang w:val="en-US"/>
        </w:rPr>
      </w:pPr>
    </w:p>
    <w:p w14:paraId="582EC8E7" w14:textId="77777777" w:rsidR="006E7D65" w:rsidRPr="00E34FE7" w:rsidRDefault="006E7D65" w:rsidP="00E34FE7">
      <w:pPr>
        <w:pStyle w:val="Nincstrkz"/>
        <w:keepNext/>
        <w:jc w:val="both"/>
        <w:rPr>
          <w:rFonts w:ascii="Times New Roman" w:hAnsi="Times New Roman" w:cs="Times New Roman"/>
          <w:i/>
          <w:sz w:val="20"/>
          <w:szCs w:val="20"/>
          <w:lang w:val="en-US"/>
        </w:rPr>
      </w:pPr>
      <w:r w:rsidRPr="00E34FE7">
        <w:rPr>
          <w:rFonts w:ascii="Times New Roman" w:hAnsi="Times New Roman" w:cs="Times New Roman"/>
          <w:i/>
          <w:sz w:val="20"/>
          <w:szCs w:val="20"/>
          <w:lang w:val="en-US"/>
        </w:rPr>
        <w:t>Whole-cell patch clamp recording</w:t>
      </w:r>
    </w:p>
    <w:p w14:paraId="15DE26A7" w14:textId="6AE85CFF"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The cells were voltage clamped using a whole-cell clamp configuration as follows: cells were visualized with an upright microscope (Eclipse F</w:t>
      </w:r>
      <w:r w:rsidR="007A4191">
        <w:rPr>
          <w:rFonts w:ascii="Times New Roman" w:hAnsi="Times New Roman" w:cs="Times New Roman"/>
          <w:sz w:val="20"/>
          <w:szCs w:val="20"/>
          <w:lang w:val="en-US"/>
        </w:rPr>
        <w:t>N-1; Nikon) with infrared Nomarsk</w:t>
      </w:r>
      <w:r w:rsidRPr="00E34FE7">
        <w:rPr>
          <w:rFonts w:ascii="Times New Roman" w:hAnsi="Times New Roman" w:cs="Times New Roman"/>
          <w:sz w:val="20"/>
          <w:szCs w:val="20"/>
          <w:lang w:val="en-US"/>
        </w:rPr>
        <w:t>i differential interference contrast optics and a CCD camera (Zyla; ANDOR).  Whole-cell patch-clamp recordings were made using Multiclamp 700B amplifiers (Molecular Devices) with pClamp10.4 software.  Data were filtered at 3 kHz using the built-in Bessel filter of the amplifier and digitized at 15 kHz.</w:t>
      </w:r>
    </w:p>
    <w:p w14:paraId="067D9B41" w14:textId="736E7197"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The resistance of the patch electrodes was 2-5 MΩ.  The intracellular pipette solution used for mEPSC electrophysiological recording contained (in mM) 10 HEPES, 120 K-gluconate, 10 KCl, 1 NaCl, 1 MgCl</w:t>
      </w:r>
      <w:r w:rsidRPr="00E34FE7">
        <w:rPr>
          <w:rFonts w:ascii="Times New Roman" w:hAnsi="Times New Roman" w:cs="Times New Roman"/>
          <w:sz w:val="20"/>
          <w:szCs w:val="20"/>
          <w:vertAlign w:val="subscript"/>
          <w:lang w:val="en-US"/>
        </w:rPr>
        <w:t>2</w:t>
      </w:r>
      <w:r w:rsidR="00454CAD">
        <w:rPr>
          <w:rFonts w:ascii="Times New Roman" w:hAnsi="Times New Roman" w:cs="Times New Roman"/>
          <w:sz w:val="20"/>
          <w:szCs w:val="20"/>
          <w:lang w:val="en-US"/>
        </w:rPr>
        <w:t>, 1 EGTA, 2 Mg-ATP, 0.</w:t>
      </w:r>
      <w:r w:rsidRPr="00E34FE7">
        <w:rPr>
          <w:rFonts w:ascii="Times New Roman" w:hAnsi="Times New Roman" w:cs="Times New Roman"/>
          <w:sz w:val="20"/>
          <w:szCs w:val="20"/>
          <w:lang w:val="en-US"/>
        </w:rPr>
        <w:t>3 Na-GTP, and 2 biocytin (pH 7.25; 290-295mOsm/L.  For mIPSC recording, the intracellular solution contained the following (in mM): 130 CsCl, 8 NaCl, 0.1 CaCl</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0.1 EGTA, 10 HEPES, 4 Mg-ATP, 0.3 Na</w:t>
      </w:r>
      <w:r w:rsidRPr="00E34FE7">
        <w:rPr>
          <w:rFonts w:ascii="Times New Roman" w:hAnsi="Times New Roman" w:cs="Times New Roman"/>
          <w:sz w:val="20"/>
          <w:szCs w:val="20"/>
          <w:vertAlign w:val="subscript"/>
          <w:lang w:val="en-US"/>
        </w:rPr>
        <w:t>2</w:t>
      </w:r>
      <w:r w:rsidRPr="00E34FE7">
        <w:rPr>
          <w:rFonts w:ascii="Times New Roman" w:hAnsi="Times New Roman" w:cs="Times New Roman"/>
          <w:sz w:val="20"/>
          <w:szCs w:val="20"/>
          <w:lang w:val="en-US"/>
        </w:rPr>
        <w:t xml:space="preserve">-GTP, 5 Lidocaine N-ethyl bromide, and 2 biocytin (pH 7.25; 280–300 mOsm/L).  For voltage-clamp recordings in both experiments, the holding current was set at -70 mV and series resistance was monitored throughout each experiment.  Neurons with a change in series resistance of &gt;25% were excluded from the analysis.  Unless otherwise stated, the chemicals for the intracellular and extracellular solutions were purchased from Sigma-Aldrich, inhibitors and antagonists were obtained from Tocris Bioscience. </w:t>
      </w:r>
    </w:p>
    <w:p w14:paraId="1BB9C423" w14:textId="59FE4ABE"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The parvocellular cells were identified by their apparent topographic location and morphology in the PVN in the acute brain slices.  After establishing a stable whole-cell clamp configuration, the cells were identified as neurons by evoking action potential by injecting +10</w:t>
      </w:r>
      <w:r w:rsidR="00971F86">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pA current, then TTX was added to the aCSF following the application of either picrotoxin (100</w:t>
      </w:r>
      <w:r w:rsidR="00971F86">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μM) in the case of mEPSC recording, or kinurenic acid (2</w:t>
      </w:r>
      <w:r w:rsidR="00DE10EB">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 xml:space="preserve">mM) in the case of recording mIPSCs.  Equilibration of sections lasted at least 10-15 min before the beginning of the recording.  </w:t>
      </w:r>
    </w:p>
    <w:p w14:paraId="40A63D0B" w14:textId="03244EC0" w:rsidR="006E7D65" w:rsidRPr="00E34FE7" w:rsidRDefault="006E7D65" w:rsidP="00E34FE7">
      <w:pPr>
        <w:pStyle w:val="Nincstrkz"/>
        <w:jc w:val="both"/>
        <w:rPr>
          <w:rFonts w:ascii="Times New Roman" w:hAnsi="Times New Roman" w:cs="Times New Roman"/>
          <w:sz w:val="20"/>
          <w:szCs w:val="20"/>
          <w:lang w:val="en-US"/>
        </w:rPr>
      </w:pPr>
      <w:r w:rsidRPr="00E34FE7">
        <w:rPr>
          <w:rFonts w:ascii="Times New Roman" w:hAnsi="Times New Roman" w:cs="Times New Roman"/>
          <w:sz w:val="20"/>
          <w:szCs w:val="20"/>
          <w:lang w:val="en-US"/>
        </w:rPr>
        <w:t>To test the effect of NPY on mEPSCs and mIPSCs of parvocellular neurons in the PVN, NPY (human-rat; Bachem, 1</w:t>
      </w:r>
      <w:r w:rsidR="00971F86">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μM) was applied after recording a 4-5 min control period.  For recordings where the changes in intracellular calcium levels were blocked, EGTA was substituted with BAPTA (10</w:t>
      </w:r>
      <w:r w:rsidR="00971F86">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mM) in the intracellular recording solution.  In further experiments, other drugs were dissolved in the aCSF already containing TTX and PTX or kinurenic acid.  These drugs were as follows: CB1-antagonist AM251 (1 or 4</w:t>
      </w:r>
      <w:r w:rsidR="00971F86">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 xml:space="preserve">μM), </w:t>
      </w:r>
      <w:r w:rsidRPr="00E34FE7">
        <w:rPr>
          <w:rStyle w:val="st"/>
          <w:rFonts w:ascii="Times New Roman" w:hAnsi="Times New Roman" w:cs="Times New Roman"/>
          <w:sz w:val="20"/>
          <w:szCs w:val="20"/>
          <w:lang w:val="en-US"/>
        </w:rPr>
        <w:t>non-selective nitric oxide synthase (</w:t>
      </w:r>
      <w:r w:rsidRPr="00E34FE7">
        <w:rPr>
          <w:rFonts w:ascii="Times New Roman" w:hAnsi="Times New Roman" w:cs="Times New Roman"/>
          <w:sz w:val="20"/>
          <w:szCs w:val="20"/>
          <w:lang w:val="en-US"/>
        </w:rPr>
        <w:t>NOS) inhibitor, L-NAME (</w:t>
      </w:r>
      <w:r w:rsidRPr="00E34FE7">
        <w:rPr>
          <w:rStyle w:val="st"/>
          <w:rFonts w:ascii="Times New Roman" w:hAnsi="Times New Roman" w:cs="Times New Roman"/>
          <w:sz w:val="20"/>
          <w:szCs w:val="20"/>
          <w:lang w:val="en-US"/>
        </w:rPr>
        <w:t>L-NG-Nitroarginine Methyl Ester, 100</w:t>
      </w:r>
      <w:r w:rsidR="00971F86">
        <w:rPr>
          <w:rStyle w:val="st"/>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μM</w:t>
      </w:r>
      <w:r w:rsidRPr="00E34FE7">
        <w:rPr>
          <w:rStyle w:val="st"/>
          <w:rFonts w:ascii="Times New Roman" w:hAnsi="Times New Roman" w:cs="Times New Roman"/>
          <w:sz w:val="20"/>
          <w:szCs w:val="20"/>
          <w:lang w:val="en-US"/>
        </w:rPr>
        <w:t>), and selective neuronal NOS (nNOS) inhibitor, NPLA (</w:t>
      </w:r>
      <w:r w:rsidRPr="00E34FE7">
        <w:rPr>
          <w:rFonts w:ascii="Times New Roman" w:hAnsi="Times New Roman" w:cs="Times New Roman"/>
          <w:sz w:val="20"/>
          <w:szCs w:val="20"/>
          <w:lang w:val="en-US"/>
        </w:rPr>
        <w:t>N</w:t>
      </w:r>
      <w:r w:rsidRPr="00E34FE7">
        <w:rPr>
          <w:rFonts w:ascii="Times New Roman" w:hAnsi="Times New Roman" w:cs="Times New Roman"/>
          <w:sz w:val="20"/>
          <w:szCs w:val="20"/>
          <w:vertAlign w:val="superscript"/>
          <w:lang w:val="en-US"/>
        </w:rPr>
        <w:t>ω</w:t>
      </w:r>
      <w:r w:rsidRPr="00E34FE7">
        <w:rPr>
          <w:rFonts w:ascii="Times New Roman" w:hAnsi="Times New Roman" w:cs="Times New Roman"/>
          <w:sz w:val="20"/>
          <w:szCs w:val="20"/>
          <w:lang w:val="en-US"/>
        </w:rPr>
        <w:t>-propyl-L-arginine, 100</w:t>
      </w:r>
      <w:r w:rsidR="00971F86">
        <w:rPr>
          <w:rFonts w:ascii="Times New Roman" w:hAnsi="Times New Roman" w:cs="Times New Roman"/>
          <w:sz w:val="20"/>
          <w:szCs w:val="20"/>
          <w:lang w:val="en-US"/>
        </w:rPr>
        <w:t xml:space="preserve"> </w:t>
      </w:r>
      <w:r w:rsidRPr="00E34FE7">
        <w:rPr>
          <w:rFonts w:ascii="Times New Roman" w:hAnsi="Times New Roman" w:cs="Times New Roman"/>
          <w:sz w:val="20"/>
          <w:szCs w:val="20"/>
          <w:lang w:val="en-US"/>
        </w:rPr>
        <w:t xml:space="preserve">nM).   </w:t>
      </w:r>
    </w:p>
    <w:p w14:paraId="4480B007" w14:textId="77777777" w:rsidR="006E7D65" w:rsidRPr="00E34FE7" w:rsidRDefault="006E7D65" w:rsidP="00E34FE7">
      <w:pPr>
        <w:pStyle w:val="Nincstrkz"/>
        <w:jc w:val="both"/>
        <w:rPr>
          <w:rFonts w:ascii="Times New Roman" w:hAnsi="Times New Roman" w:cs="Times New Roman"/>
          <w:sz w:val="20"/>
          <w:szCs w:val="20"/>
          <w:lang w:val="en-US"/>
        </w:rPr>
      </w:pPr>
    </w:p>
    <w:p w14:paraId="635D02D5" w14:textId="77777777" w:rsidR="006E7D65" w:rsidRPr="00E34FE7" w:rsidRDefault="006E7D65" w:rsidP="003170D0">
      <w:pPr>
        <w:pStyle w:val="Csakszveg"/>
        <w:keepNext/>
        <w:jc w:val="both"/>
        <w:rPr>
          <w:rFonts w:ascii="Times New Roman" w:hAnsi="Times New Roman" w:cs="Times New Roman"/>
          <w:i/>
          <w:sz w:val="20"/>
          <w:szCs w:val="20"/>
        </w:rPr>
      </w:pPr>
      <w:r w:rsidRPr="00E34FE7">
        <w:rPr>
          <w:rFonts w:ascii="Times New Roman" w:hAnsi="Times New Roman" w:cs="Times New Roman"/>
          <w:i/>
          <w:sz w:val="20"/>
          <w:szCs w:val="20"/>
        </w:rPr>
        <w:t>Intracellular calcium imaging</w:t>
      </w:r>
    </w:p>
    <w:p w14:paraId="02428225" w14:textId="22EDD3CC" w:rsidR="006E7D65" w:rsidRPr="00E34FE7" w:rsidRDefault="006E7D65" w:rsidP="003170D0">
      <w:pPr>
        <w:pStyle w:val="Csakszveg"/>
        <w:jc w:val="both"/>
        <w:rPr>
          <w:rFonts w:ascii="Times New Roman" w:hAnsi="Times New Roman" w:cs="Times New Roman"/>
          <w:sz w:val="20"/>
          <w:szCs w:val="20"/>
        </w:rPr>
      </w:pPr>
      <w:r w:rsidRPr="00E34FE7">
        <w:rPr>
          <w:rFonts w:ascii="Times New Roman" w:hAnsi="Times New Roman" w:cs="Times New Roman"/>
          <w:sz w:val="20"/>
          <w:szCs w:val="20"/>
        </w:rPr>
        <w:t>The green fluorescent calcium-indicator Oregon Green BAPTA-1 (OGB-1; 20</w:t>
      </w:r>
      <w:r w:rsidR="00971F86">
        <w:rPr>
          <w:rFonts w:ascii="Times New Roman" w:hAnsi="Times New Roman" w:cs="Times New Roman"/>
          <w:sz w:val="20"/>
          <w:szCs w:val="20"/>
        </w:rPr>
        <w:t xml:space="preserve"> </w:t>
      </w:r>
      <w:r w:rsidRPr="00E34FE7">
        <w:rPr>
          <w:rFonts w:ascii="Times New Roman" w:hAnsi="Times New Roman" w:cs="Times New Roman"/>
          <w:sz w:val="20"/>
          <w:szCs w:val="20"/>
        </w:rPr>
        <w:t xml:space="preserve">μM; Invitrogen) was added to the intracellular solution (same as mentioned for the patch clamp electrophysiology, however, without containing EGTA). After establishing whole-cell configuration in parvocellular neurons in the PVN, dye was allowed to diffuse into the perikaryon for at least 40 min before starting calcium imaging.   </w:t>
      </w:r>
    </w:p>
    <w:p w14:paraId="4C8773F9" w14:textId="77777777" w:rsidR="006E7D65" w:rsidRPr="00E34FE7" w:rsidRDefault="006E7D65" w:rsidP="003170D0">
      <w:pPr>
        <w:pStyle w:val="Csakszveg"/>
        <w:jc w:val="both"/>
        <w:rPr>
          <w:rFonts w:ascii="Times New Roman" w:hAnsi="Times New Roman" w:cs="Times New Roman"/>
          <w:sz w:val="20"/>
          <w:szCs w:val="20"/>
        </w:rPr>
      </w:pPr>
      <w:r w:rsidRPr="00E34FE7">
        <w:rPr>
          <w:rFonts w:ascii="Times New Roman" w:hAnsi="Times New Roman" w:cs="Times New Roman"/>
          <w:sz w:val="20"/>
          <w:szCs w:val="20"/>
        </w:rPr>
        <w:t xml:space="preserve">Andor AMH-200-FS6 halide light source was used to illuminate the sections. Light intensity was filtered at an excitation wavelength of 473-491 nm and an emission wavelength of 503-548 nm. Images were collected at a 1 Hz sampling rate with 100 ms exposure time using an Andor Zyla 5.5 camera (Andor Technology, UK) equipped with an </w:t>
      </w:r>
      <w:r w:rsidRPr="00E34FE7">
        <w:rPr>
          <w:rFonts w:ascii="Times New Roman" w:hAnsi="Times New Roman" w:cs="Times New Roman"/>
          <w:sz w:val="20"/>
          <w:szCs w:val="20"/>
        </w:rPr>
        <w:lastRenderedPageBreak/>
        <w:t>optical sectioning device (DSD2, Andor Technology, UK) to generate confocal-like images. All image data were collected and analyzed using Nikon control and analysis software (NIS-Elements AR 4,40 64 bit versions).</w:t>
      </w:r>
    </w:p>
    <w:p w14:paraId="0378E996" w14:textId="77777777" w:rsidR="006E7D65" w:rsidRPr="00E34FE7" w:rsidRDefault="006E7D65" w:rsidP="003170D0">
      <w:pPr>
        <w:pStyle w:val="Csakszveg"/>
        <w:jc w:val="both"/>
        <w:rPr>
          <w:rFonts w:ascii="Times New Roman" w:hAnsi="Times New Roman" w:cs="Times New Roman"/>
          <w:sz w:val="20"/>
          <w:szCs w:val="20"/>
        </w:rPr>
      </w:pPr>
      <w:r w:rsidRPr="00E34FE7">
        <w:rPr>
          <w:rFonts w:ascii="Times New Roman" w:hAnsi="Times New Roman" w:cs="Times New Roman"/>
          <w:sz w:val="20"/>
          <w:szCs w:val="20"/>
        </w:rPr>
        <w:t>Neurons that did not show increase of OGB-1 fluorescence intensity after firing or glutamate treatment were excluded from the analyses. Data were compared by Student’s t-test.</w:t>
      </w:r>
    </w:p>
    <w:p w14:paraId="50A5C69B" w14:textId="77777777" w:rsidR="006E7D65" w:rsidRPr="00E34FE7" w:rsidRDefault="006E7D65" w:rsidP="003170D0">
      <w:pPr>
        <w:pStyle w:val="Csakszveg"/>
        <w:jc w:val="both"/>
        <w:rPr>
          <w:rFonts w:ascii="Times New Roman" w:hAnsi="Times New Roman" w:cs="Times New Roman"/>
          <w:sz w:val="20"/>
          <w:szCs w:val="20"/>
        </w:rPr>
      </w:pPr>
    </w:p>
    <w:p w14:paraId="02C0FB1C" w14:textId="3B710C64" w:rsidR="006E7D65" w:rsidRPr="00E34FE7" w:rsidRDefault="006E7D65" w:rsidP="003170D0">
      <w:pPr>
        <w:pStyle w:val="Csakszveg"/>
        <w:jc w:val="both"/>
        <w:rPr>
          <w:rFonts w:ascii="Times New Roman" w:hAnsi="Times New Roman" w:cs="Times New Roman"/>
          <w:sz w:val="20"/>
          <w:szCs w:val="20"/>
        </w:rPr>
      </w:pPr>
      <w:r w:rsidRPr="00E34FE7">
        <w:rPr>
          <w:rFonts w:ascii="Times New Roman" w:hAnsi="Times New Roman" w:cs="Times New Roman"/>
          <w:sz w:val="20"/>
          <w:szCs w:val="20"/>
        </w:rPr>
        <w:t>All recordings star</w:t>
      </w:r>
      <w:r w:rsidR="00DD0FEC">
        <w:rPr>
          <w:rFonts w:ascii="Times New Roman" w:hAnsi="Times New Roman" w:cs="Times New Roman"/>
          <w:sz w:val="20"/>
          <w:szCs w:val="20"/>
        </w:rPr>
        <w:t>t</w:t>
      </w:r>
      <w:r w:rsidRPr="00E34FE7">
        <w:rPr>
          <w:rFonts w:ascii="Times New Roman" w:hAnsi="Times New Roman" w:cs="Times New Roman"/>
          <w:sz w:val="20"/>
          <w:szCs w:val="20"/>
        </w:rPr>
        <w:t xml:space="preserve">ed after establishing a stabile electrophysiological connection and an unchanging calcium signal. Neurons first were recorded in a control period </w:t>
      </w:r>
      <w:r w:rsidR="00DD0FEC">
        <w:rPr>
          <w:rFonts w:ascii="Times New Roman" w:hAnsi="Times New Roman" w:cs="Times New Roman"/>
          <w:sz w:val="20"/>
          <w:szCs w:val="20"/>
        </w:rPr>
        <w:t>then</w:t>
      </w:r>
      <w:r w:rsidR="00DD0FEC" w:rsidRPr="00E34FE7">
        <w:rPr>
          <w:rFonts w:ascii="Times New Roman" w:hAnsi="Times New Roman" w:cs="Times New Roman"/>
          <w:sz w:val="20"/>
          <w:szCs w:val="20"/>
        </w:rPr>
        <w:t xml:space="preserve"> </w:t>
      </w:r>
      <w:r w:rsidRPr="00E34FE7">
        <w:rPr>
          <w:rFonts w:ascii="Times New Roman" w:hAnsi="Times New Roman" w:cs="Times New Roman"/>
          <w:sz w:val="20"/>
          <w:szCs w:val="20"/>
        </w:rPr>
        <w:t>a short firing (5-10 sec) period as a stimulus to artificially induce calcium si</w:t>
      </w:r>
      <w:r w:rsidR="00914964">
        <w:rPr>
          <w:rFonts w:ascii="Times New Roman" w:hAnsi="Times New Roman" w:cs="Times New Roman"/>
          <w:sz w:val="20"/>
          <w:szCs w:val="20"/>
        </w:rPr>
        <w:t xml:space="preserve">gnal in the soma. Then TTX (600 </w:t>
      </w:r>
      <w:r w:rsidRPr="00E34FE7">
        <w:rPr>
          <w:rFonts w:ascii="Times New Roman" w:hAnsi="Times New Roman" w:cs="Times New Roman"/>
          <w:sz w:val="20"/>
          <w:szCs w:val="20"/>
        </w:rPr>
        <w:t xml:space="preserve">nM) was added to the </w:t>
      </w:r>
      <w:r w:rsidR="00454CAD">
        <w:rPr>
          <w:rFonts w:ascii="Times New Roman" w:hAnsi="Times New Roman" w:cs="Times New Roman"/>
          <w:sz w:val="20"/>
          <w:szCs w:val="20"/>
        </w:rPr>
        <w:t>a</w:t>
      </w:r>
      <w:r w:rsidRPr="00E34FE7">
        <w:rPr>
          <w:rFonts w:ascii="Times New Roman" w:hAnsi="Times New Roman" w:cs="Times New Roman"/>
          <w:sz w:val="20"/>
          <w:szCs w:val="20"/>
        </w:rPr>
        <w:t>CSF, and another control period was recor</w:t>
      </w:r>
      <w:r w:rsidR="00914964">
        <w:rPr>
          <w:rFonts w:ascii="Times New Roman" w:hAnsi="Times New Roman" w:cs="Times New Roman"/>
          <w:sz w:val="20"/>
          <w:szCs w:val="20"/>
        </w:rPr>
        <w:t xml:space="preserve">ded that followed by the NPY (1 </w:t>
      </w:r>
      <w:r w:rsidRPr="00E34FE7">
        <w:rPr>
          <w:rFonts w:ascii="Times New Roman" w:hAnsi="Times New Roman" w:cs="Times New Roman"/>
          <w:sz w:val="20"/>
          <w:szCs w:val="20"/>
        </w:rPr>
        <w:t>μM) treatment, following a washout phase another control period was recorded and then sections w</w:t>
      </w:r>
      <w:r w:rsidR="00914964">
        <w:rPr>
          <w:rFonts w:ascii="Times New Roman" w:hAnsi="Times New Roman" w:cs="Times New Roman"/>
          <w:sz w:val="20"/>
          <w:szCs w:val="20"/>
        </w:rPr>
        <w:t xml:space="preserve">ere treated </w:t>
      </w:r>
      <w:r w:rsidR="00DD0FEC">
        <w:rPr>
          <w:rFonts w:ascii="Times New Roman" w:hAnsi="Times New Roman" w:cs="Times New Roman"/>
          <w:sz w:val="20"/>
          <w:szCs w:val="20"/>
        </w:rPr>
        <w:t>with</w:t>
      </w:r>
      <w:r w:rsidR="00914964">
        <w:rPr>
          <w:rFonts w:ascii="Times New Roman" w:hAnsi="Times New Roman" w:cs="Times New Roman"/>
          <w:sz w:val="20"/>
          <w:szCs w:val="20"/>
        </w:rPr>
        <w:t xml:space="preserve"> glutamate (100 </w:t>
      </w:r>
      <w:r w:rsidRPr="00E34FE7">
        <w:rPr>
          <w:rFonts w:ascii="Times New Roman" w:hAnsi="Times New Roman" w:cs="Times New Roman"/>
          <w:sz w:val="20"/>
          <w:szCs w:val="20"/>
        </w:rPr>
        <w:t xml:space="preserve">μM). </w:t>
      </w:r>
      <w:r w:rsidR="00554C77" w:rsidRPr="00554C77">
        <w:rPr>
          <w:rFonts w:ascii="Times New Roman" w:hAnsi="Times New Roman" w:cs="Times New Roman"/>
          <w:sz w:val="20"/>
          <w:szCs w:val="20"/>
        </w:rPr>
        <w:t>To test the mechanisms of the NPY induced increase of the intracellular Ca</w:t>
      </w:r>
      <w:r w:rsidR="00554C77" w:rsidRPr="00554C77">
        <w:rPr>
          <w:rFonts w:ascii="Times New Roman" w:hAnsi="Times New Roman" w:cs="Times New Roman"/>
          <w:sz w:val="20"/>
          <w:szCs w:val="20"/>
          <w:vertAlign w:val="superscript"/>
        </w:rPr>
        <w:t>2+</w:t>
      </w:r>
      <w:r w:rsidR="00554C77" w:rsidRPr="00554C77">
        <w:rPr>
          <w:rFonts w:ascii="Times New Roman" w:hAnsi="Times New Roman" w:cs="Times New Roman"/>
          <w:sz w:val="20"/>
          <w:szCs w:val="20"/>
        </w:rPr>
        <w:t xml:space="preserve"> levels, after the firing protocol, the sections were pretreated with TTX combined either with a PLCβ inhibitor, U73122 (5</w:t>
      </w:r>
      <w:r w:rsidR="00971F86">
        <w:rPr>
          <w:rFonts w:ascii="Times New Roman" w:hAnsi="Times New Roman" w:cs="Times New Roman"/>
          <w:sz w:val="20"/>
          <w:szCs w:val="20"/>
        </w:rPr>
        <w:t xml:space="preserve"> </w:t>
      </w:r>
      <w:r w:rsidR="00554C77" w:rsidRPr="00554C77">
        <w:rPr>
          <w:rFonts w:ascii="Times New Roman" w:hAnsi="Times New Roman" w:cs="Times New Roman"/>
          <w:sz w:val="20"/>
          <w:szCs w:val="20"/>
        </w:rPr>
        <w:t>μM), or a specific ryanodine receptor inhibitor, Dantrolene (5</w:t>
      </w:r>
      <w:r w:rsidR="00971F86">
        <w:rPr>
          <w:rFonts w:ascii="Times New Roman" w:hAnsi="Times New Roman" w:cs="Times New Roman"/>
          <w:sz w:val="20"/>
          <w:szCs w:val="20"/>
        </w:rPr>
        <w:t xml:space="preserve"> </w:t>
      </w:r>
      <w:r w:rsidR="00554C77" w:rsidRPr="00554C77">
        <w:rPr>
          <w:rFonts w:ascii="Times New Roman" w:hAnsi="Times New Roman" w:cs="Times New Roman"/>
          <w:sz w:val="20"/>
          <w:szCs w:val="20"/>
        </w:rPr>
        <w:t xml:space="preserve">μM).  These pretreatments lasted at least 15-20 min before the recording started.  </w:t>
      </w:r>
      <w:r w:rsidRPr="00E34FE7">
        <w:rPr>
          <w:rFonts w:ascii="Times New Roman" w:hAnsi="Times New Roman" w:cs="Times New Roman"/>
          <w:sz w:val="20"/>
          <w:szCs w:val="20"/>
        </w:rPr>
        <w:t>The firing protocol and the glutamate</w:t>
      </w:r>
      <w:r w:rsidR="00971F86">
        <w:rPr>
          <w:rFonts w:ascii="Times New Roman" w:hAnsi="Times New Roman" w:cs="Times New Roman"/>
          <w:sz w:val="20"/>
          <w:szCs w:val="20"/>
        </w:rPr>
        <w:t xml:space="preserve"> (100 </w:t>
      </w:r>
      <w:r w:rsidR="00971F86" w:rsidRPr="00E34FE7">
        <w:rPr>
          <w:rFonts w:ascii="Times New Roman" w:hAnsi="Times New Roman" w:cs="Times New Roman"/>
          <w:sz w:val="20"/>
          <w:szCs w:val="20"/>
        </w:rPr>
        <w:t>μM</w:t>
      </w:r>
      <w:r w:rsidR="00971F86">
        <w:rPr>
          <w:rFonts w:ascii="Times New Roman" w:hAnsi="Times New Roman" w:cs="Times New Roman"/>
          <w:sz w:val="20"/>
          <w:szCs w:val="20"/>
        </w:rPr>
        <w:t>)</w:t>
      </w:r>
      <w:r w:rsidRPr="00E34FE7">
        <w:rPr>
          <w:rFonts w:ascii="Times New Roman" w:hAnsi="Times New Roman" w:cs="Times New Roman"/>
          <w:sz w:val="20"/>
          <w:szCs w:val="20"/>
        </w:rPr>
        <w:t xml:space="preserve"> treatments served as controls, those cells that did not respond to both of these treatments with increased calcium signal intensity were excluded from further analysis. Both electrophysiological data and calcium imaging data recordings were started at the same time, and were analyzed (N=9) offline. </w:t>
      </w:r>
    </w:p>
    <w:p w14:paraId="406E09A2" w14:textId="77777777" w:rsidR="006E7D65" w:rsidRPr="00E34FE7" w:rsidRDefault="006E7D65" w:rsidP="003170D0">
      <w:pPr>
        <w:pStyle w:val="Csakszveg"/>
        <w:jc w:val="both"/>
        <w:rPr>
          <w:rFonts w:ascii="Times New Roman" w:hAnsi="Times New Roman" w:cs="Times New Roman"/>
          <w:sz w:val="20"/>
          <w:szCs w:val="20"/>
        </w:rPr>
      </w:pPr>
    </w:p>
    <w:p w14:paraId="587468FD" w14:textId="77777777" w:rsidR="006E7D65" w:rsidRPr="00E34FE7" w:rsidRDefault="006E7D65" w:rsidP="003170D0">
      <w:pPr>
        <w:pStyle w:val="Csakszveg"/>
        <w:jc w:val="both"/>
        <w:rPr>
          <w:rFonts w:ascii="Times New Roman" w:hAnsi="Times New Roman" w:cs="Times New Roman"/>
          <w:sz w:val="20"/>
          <w:szCs w:val="20"/>
        </w:rPr>
      </w:pPr>
      <w:r w:rsidRPr="00E34FE7">
        <w:rPr>
          <w:rFonts w:ascii="Times New Roman" w:hAnsi="Times New Roman" w:cs="Times New Roman"/>
          <w:sz w:val="20"/>
          <w:szCs w:val="20"/>
        </w:rPr>
        <w:t xml:space="preserve">Calcium-imaging analysis was performed by choosing a region of interest (ROI) in the soma not including parts of the patch pipette and the nucleus of the neurons, while another ROI was selected outside of any part of the filled neuron to determine the background fluorescent intensity. The background intensity was subtracted from the fluorescent intensity (in artificial units) of the soma; these values were compared between the control and treatment conditions. Every treatment period, mentioned above has its own control period, recorded just before the treatment period and treatment intensities were determined as percentages of its own control periods. </w:t>
      </w:r>
    </w:p>
    <w:p w14:paraId="04EC9A4A" w14:textId="77777777" w:rsidR="006E7D65" w:rsidRPr="00E34FE7" w:rsidRDefault="006E7D65">
      <w:pPr>
        <w:spacing w:after="0" w:line="240" w:lineRule="auto"/>
        <w:jc w:val="both"/>
        <w:rPr>
          <w:rFonts w:ascii="Times New Roman" w:hAnsi="Times New Roman" w:cs="Times New Roman"/>
          <w:b/>
          <w:sz w:val="20"/>
          <w:szCs w:val="20"/>
          <w:lang w:eastAsia="hu-HU"/>
        </w:rPr>
      </w:pPr>
    </w:p>
    <w:p w14:paraId="03E7BD56" w14:textId="77777777" w:rsidR="006E7D65" w:rsidRPr="00E34FE7" w:rsidRDefault="006E7D65" w:rsidP="00E34FE7">
      <w:pPr>
        <w:pStyle w:val="text"/>
        <w:spacing w:after="0"/>
        <w:ind w:firstLine="0"/>
        <w:rPr>
          <w:i/>
          <w:lang w:val="en-US"/>
        </w:rPr>
      </w:pPr>
      <w:r w:rsidRPr="00E34FE7">
        <w:rPr>
          <w:i/>
          <w:lang w:val="en-US"/>
        </w:rPr>
        <w:t>Tissue preparation for light microscopic immunocytochemistry</w:t>
      </w:r>
    </w:p>
    <w:p w14:paraId="6C574569" w14:textId="42BBE7E4" w:rsidR="006E7D65" w:rsidRPr="00E34FE7" w:rsidRDefault="006E7D65" w:rsidP="00E34FE7">
      <w:pPr>
        <w:pStyle w:val="text"/>
        <w:spacing w:after="0"/>
        <w:ind w:firstLine="0"/>
        <w:rPr>
          <w:lang w:val="en-US"/>
        </w:rPr>
      </w:pPr>
      <w:r w:rsidRPr="00E34FE7">
        <w:rPr>
          <w:lang w:val="en-US"/>
        </w:rPr>
        <w:t xml:space="preserve">Six mice were used for the morphological studies.  For light microscopy, the animals were deeply anesthetized with ketamine/xylazine (ketamine 50 mg/kg, xylazine 10 mg/kg body weight, ip), and perfused transcardially for 3 min with 0.01 M phosphate-buffered saline (PBS), pH 7.4, followed sequentially by perfusion with 4% paraformaldehyde in 0.1 phosphate buffered (PB), pH 7.4, for 10 min and then with 10% sucrose in 0.01 M PBS for 3 min.  The brains were rapidly removed and stored in 20% sucrose in PBS for 2 h at room temperature.  For electron microscopy, after </w:t>
      </w:r>
      <w:r w:rsidR="008802FE">
        <w:rPr>
          <w:lang w:val="en-US"/>
        </w:rPr>
        <w:t>identical</w:t>
      </w:r>
      <w:r w:rsidR="008802FE" w:rsidRPr="00E34FE7">
        <w:rPr>
          <w:lang w:val="en-US"/>
        </w:rPr>
        <w:t xml:space="preserve"> </w:t>
      </w:r>
      <w:r w:rsidRPr="00E34FE7">
        <w:rPr>
          <w:lang w:val="en-US"/>
        </w:rPr>
        <w:t>anesthesia, the animals were perfused transcardially with 10 ml 0.01 M phosphate-buffered saline (PBS), pH 7.4, followed sequentially by 10 ml of 4% paraformaldehyde in Na-acetate buffer, pH 6.0, and then by 50 ml of 4% paraformaldehyde in Borax buffer, pH 8.5.  The brains were rapidly removed and stored in 4% paraformaldehyde in 0.1 M phosphate buffer (PB), pH 7.4, for 24 h at 4 °C.</w:t>
      </w:r>
    </w:p>
    <w:p w14:paraId="6B0EBDAF" w14:textId="77777777" w:rsidR="006E7D65" w:rsidRPr="00E34FE7" w:rsidRDefault="006E7D65" w:rsidP="00E34FE7">
      <w:pPr>
        <w:spacing w:after="0" w:line="240" w:lineRule="auto"/>
        <w:jc w:val="both"/>
        <w:rPr>
          <w:rFonts w:ascii="Times New Roman" w:hAnsi="Times New Roman" w:cs="Times New Roman"/>
          <w:b/>
          <w:sz w:val="20"/>
          <w:szCs w:val="20"/>
          <w:lang w:eastAsia="hu-HU"/>
        </w:rPr>
      </w:pPr>
    </w:p>
    <w:p w14:paraId="2F8FDC2F" w14:textId="77777777" w:rsidR="006E7D65" w:rsidRPr="00E34FE7" w:rsidRDefault="006E7D65" w:rsidP="00F23DB0">
      <w:pPr>
        <w:pStyle w:val="text"/>
        <w:keepNext/>
        <w:spacing w:after="0"/>
        <w:ind w:firstLine="0"/>
        <w:rPr>
          <w:i/>
          <w:lang w:val="en-US"/>
        </w:rPr>
      </w:pPr>
      <w:r w:rsidRPr="00E34FE7">
        <w:rPr>
          <w:i/>
          <w:lang w:val="en-US"/>
        </w:rPr>
        <w:t>Tissue preparation for ultrastructural studies</w:t>
      </w:r>
    </w:p>
    <w:p w14:paraId="3CFEC96C" w14:textId="62C50D8B" w:rsidR="006E7D65" w:rsidRPr="00E34FE7" w:rsidRDefault="006E7D65" w:rsidP="00E34FE7">
      <w:pPr>
        <w:pStyle w:val="text"/>
        <w:spacing w:after="0"/>
        <w:ind w:firstLine="0"/>
        <w:rPr>
          <w:lang w:val="en-US"/>
        </w:rPr>
      </w:pPr>
      <w:r w:rsidRPr="00E34FE7">
        <w:rPr>
          <w:lang w:val="en-US"/>
        </w:rPr>
        <w:t>Serial 25</w:t>
      </w:r>
      <w:r w:rsidR="007330C0">
        <w:rPr>
          <w:lang w:val="en-US"/>
        </w:rPr>
        <w:t xml:space="preserve"> </w:t>
      </w:r>
      <w:r w:rsidRPr="00E34FE7">
        <w:rPr>
          <w:lang w:val="en-US"/>
        </w:rPr>
        <w:t>µm thick coronal sections were cut on a Leica VT 1000S vibratome (Leica Microsystems, Wetzlar, Germany) through the PVN.  The sections were treated with 0.5% H</w:t>
      </w:r>
      <w:r w:rsidRPr="00E34FE7">
        <w:rPr>
          <w:vertAlign w:val="subscript"/>
          <w:lang w:val="en-US"/>
        </w:rPr>
        <w:t>2</w:t>
      </w:r>
      <w:r w:rsidRPr="00E34FE7">
        <w:rPr>
          <w:lang w:val="en-US"/>
        </w:rPr>
        <w:t>O</w:t>
      </w:r>
      <w:r w:rsidRPr="00E34FE7">
        <w:rPr>
          <w:vertAlign w:val="subscript"/>
          <w:lang w:val="en-US"/>
        </w:rPr>
        <w:t>2</w:t>
      </w:r>
      <w:r w:rsidRPr="00E34FE7">
        <w:rPr>
          <w:lang w:val="en-US"/>
        </w:rPr>
        <w:t xml:space="preserve"> in PBS for 15 min., cryoprotected in 15% sucrose in PBS for 15 min at room temperature and in 30% sucrose in PBS overnight at 4°C, and then quickly frozen over liquid nitrogen and thawed three times to improve antibody penetration into the tissue.  The sections were then processed for single- and double-labeling immunocytochemistry as described below. </w:t>
      </w:r>
    </w:p>
    <w:p w14:paraId="1581FF9D" w14:textId="77777777" w:rsidR="006E7D65" w:rsidRPr="00E34FE7" w:rsidRDefault="006E7D65" w:rsidP="00E34FE7">
      <w:pPr>
        <w:spacing w:after="0" w:line="240" w:lineRule="auto"/>
        <w:jc w:val="both"/>
        <w:rPr>
          <w:rFonts w:ascii="Times New Roman" w:hAnsi="Times New Roman" w:cs="Times New Roman"/>
          <w:b/>
          <w:sz w:val="20"/>
          <w:szCs w:val="20"/>
          <w:lang w:eastAsia="hu-HU"/>
        </w:rPr>
      </w:pPr>
    </w:p>
    <w:p w14:paraId="3737F989" w14:textId="77777777" w:rsidR="006E7D65" w:rsidRPr="00E34FE7" w:rsidRDefault="006E7D65" w:rsidP="00F23DB0">
      <w:pPr>
        <w:pStyle w:val="text"/>
        <w:keepNext/>
        <w:spacing w:after="0"/>
        <w:ind w:firstLine="0"/>
        <w:rPr>
          <w:i/>
          <w:lang w:val="en-US"/>
        </w:rPr>
      </w:pPr>
      <w:r w:rsidRPr="00E34FE7">
        <w:rPr>
          <w:i/>
          <w:lang w:val="en-US"/>
        </w:rPr>
        <w:t>Embedding and ultrastructural examination of the immunostained sections</w:t>
      </w:r>
    </w:p>
    <w:p w14:paraId="796CCBE4" w14:textId="0B8801C0" w:rsidR="006E7D65" w:rsidRPr="00E34FE7" w:rsidRDefault="008629D4" w:rsidP="00E34FE7">
      <w:pPr>
        <w:pStyle w:val="text"/>
        <w:spacing w:after="0"/>
        <w:ind w:firstLine="0"/>
        <w:rPr>
          <w:lang w:val="en-US"/>
        </w:rPr>
      </w:pPr>
      <w:r>
        <w:rPr>
          <w:lang w:val="en-US"/>
        </w:rPr>
        <w:t>After immunocytochemistry, the s</w:t>
      </w:r>
      <w:r w:rsidR="006E7D65" w:rsidRPr="00E34FE7">
        <w:rPr>
          <w:lang w:val="en-US"/>
        </w:rPr>
        <w:t>ections were osmicated for 1h at RT, and then treated with 2% uranyl acetate in 70% ethanol for 30 min.  Following dehydration in an ascending series of ethanol and acetonitrile (Sigma), the sections were flat embedded in Durcupan ACM epoxy resin (Fluka) on liquid release agent (Electron Microscopy Sciences)-coated slides, and polymerized at 56 °C for 2 days.  After polymerization, 60–70 nm thick ultra</w:t>
      </w:r>
      <w:r w:rsidR="005D2EF7">
        <w:rPr>
          <w:lang w:val="en-US"/>
        </w:rPr>
        <w:t xml:space="preserve">thin </w:t>
      </w:r>
      <w:r w:rsidR="006E7D65" w:rsidRPr="00E34FE7">
        <w:rPr>
          <w:lang w:val="en-US"/>
        </w:rPr>
        <w:t xml:space="preserve">sections were cut with Leica ultracut UCT ultramicrotome (Leica Microsystems, Wetzlar, Germany).  The ultrathin sections were mounted onto Formvar-coated, single slot grids, contrasted with 2% lead citrate (Sigma Aldrich, Hungary) and examined with a </w:t>
      </w:r>
      <w:r w:rsidR="00DD0FEC">
        <w:rPr>
          <w:lang w:val="en-US"/>
        </w:rPr>
        <w:t>JEOL</w:t>
      </w:r>
      <w:r w:rsidR="006E7D65" w:rsidRPr="00E34FE7">
        <w:rPr>
          <w:lang w:val="en-US"/>
        </w:rPr>
        <w:t>-</w:t>
      </w:r>
      <w:r w:rsidR="006E7D65" w:rsidRPr="00E34FE7">
        <w:rPr>
          <w:lang w:val="en-US"/>
        </w:rPr>
        <w:t>100 C transmission electron microscope.</w:t>
      </w:r>
    </w:p>
    <w:p w14:paraId="5DD6E2D6" w14:textId="77777777" w:rsidR="006E7D65" w:rsidRPr="00E34FE7" w:rsidRDefault="006E7D65" w:rsidP="00E34FE7">
      <w:pPr>
        <w:spacing w:after="0" w:line="240" w:lineRule="auto"/>
        <w:jc w:val="both"/>
        <w:rPr>
          <w:rFonts w:ascii="Times New Roman" w:hAnsi="Times New Roman" w:cs="Times New Roman"/>
          <w:b/>
          <w:sz w:val="20"/>
          <w:szCs w:val="20"/>
          <w:lang w:eastAsia="hu-HU"/>
        </w:rPr>
      </w:pPr>
    </w:p>
    <w:p w14:paraId="17C91312" w14:textId="77777777" w:rsidR="006E7D65" w:rsidRPr="00E34FE7" w:rsidRDefault="006E7D65" w:rsidP="00121D45">
      <w:pPr>
        <w:pStyle w:val="text"/>
        <w:spacing w:after="0"/>
        <w:ind w:firstLine="0"/>
        <w:rPr>
          <w:i/>
          <w:lang w:val="en-US"/>
        </w:rPr>
      </w:pPr>
      <w:r w:rsidRPr="00E34FE7">
        <w:rPr>
          <w:i/>
          <w:lang w:val="en-US"/>
        </w:rPr>
        <w:t xml:space="preserve">Specificity of antisera </w:t>
      </w:r>
    </w:p>
    <w:p w14:paraId="17ED5F86" w14:textId="5BC07DD8" w:rsidR="006E7D65" w:rsidRPr="00E34FE7" w:rsidRDefault="006E7D65" w:rsidP="00BF7D33">
      <w:pPr>
        <w:pStyle w:val="text"/>
        <w:spacing w:after="0"/>
        <w:ind w:firstLine="0"/>
        <w:rPr>
          <w:lang w:val="en-US"/>
        </w:rPr>
      </w:pPr>
      <w:r w:rsidRPr="00E34FE7">
        <w:rPr>
          <w:lang w:val="en-US"/>
        </w:rPr>
        <w:t>The specificity of nNOS, sGCα1, CB1, NPY, VGLUT2 and V</w:t>
      </w:r>
      <w:r w:rsidR="00A010B1">
        <w:rPr>
          <w:lang w:val="en-US"/>
        </w:rPr>
        <w:t>IAA</w:t>
      </w:r>
      <w:r w:rsidRPr="00E34FE7">
        <w:rPr>
          <w:lang w:val="en-US"/>
        </w:rPr>
        <w:t>T antibodies were reported previously [S1, S2, S3, S4, S5</w:t>
      </w:r>
      <w:r w:rsidR="00826737">
        <w:rPr>
          <w:lang w:val="en-US"/>
        </w:rPr>
        <w:t>, S6</w:t>
      </w:r>
      <w:r w:rsidRPr="00E34FE7">
        <w:rPr>
          <w:lang w:val="en-US"/>
        </w:rPr>
        <w:t>]</w:t>
      </w:r>
      <w:r w:rsidR="00DE3F47">
        <w:rPr>
          <w:lang w:val="en-US"/>
        </w:rPr>
        <w:t xml:space="preserve">. </w:t>
      </w:r>
      <w:r w:rsidR="00DE3F47">
        <w:t>CB1 immunoreactivity was completely absent from hypothalamic sections of the CB1</w:t>
      </w:r>
      <w:r w:rsidR="00A974C0">
        <w:t>-</w:t>
      </w:r>
      <w:r w:rsidR="00DE3F47">
        <w:t>KO mice.</w:t>
      </w:r>
    </w:p>
    <w:p w14:paraId="40EE2402" w14:textId="77777777" w:rsidR="006E7D65" w:rsidRPr="00E34FE7" w:rsidDel="003904DA" w:rsidRDefault="006E7D65" w:rsidP="00E34FE7">
      <w:pPr>
        <w:pStyle w:val="text"/>
        <w:spacing w:after="0"/>
        <w:rPr>
          <w:lang w:val="en-US"/>
        </w:rPr>
      </w:pPr>
    </w:p>
    <w:p w14:paraId="0AE83EC4" w14:textId="74CC43E9" w:rsidR="006E7D65" w:rsidRPr="00E34FE7" w:rsidRDefault="00F23DB0" w:rsidP="005A53C1">
      <w:pPr>
        <w:keepNext/>
        <w:spacing w:after="0" w:line="240" w:lineRule="auto"/>
        <w:jc w:val="both"/>
        <w:rPr>
          <w:rFonts w:ascii="Times New Roman" w:hAnsi="Times New Roman" w:cs="Times New Roman"/>
          <w:i/>
          <w:sz w:val="20"/>
          <w:szCs w:val="20"/>
        </w:rPr>
      </w:pPr>
      <w:r>
        <w:rPr>
          <w:rFonts w:ascii="Times New Roman" w:hAnsi="Times New Roman" w:cs="Times New Roman"/>
          <w:i/>
          <w:sz w:val="20"/>
          <w:szCs w:val="20"/>
        </w:rPr>
        <w:lastRenderedPageBreak/>
        <w:t>Animals, i</w:t>
      </w:r>
      <w:r w:rsidR="006E7D65" w:rsidRPr="00E34FE7">
        <w:rPr>
          <w:rFonts w:ascii="Times New Roman" w:hAnsi="Times New Roman" w:cs="Times New Roman"/>
          <w:i/>
          <w:sz w:val="20"/>
          <w:szCs w:val="20"/>
        </w:rPr>
        <w:t>ndirect calorimetry and activity measurements using beam breaks</w:t>
      </w:r>
    </w:p>
    <w:p w14:paraId="2BEA5AD4" w14:textId="155EADB9" w:rsidR="009D7464" w:rsidRPr="00766FAA" w:rsidRDefault="009D7464" w:rsidP="009D7464">
      <w:pPr>
        <w:spacing w:after="0" w:line="240" w:lineRule="auto"/>
        <w:jc w:val="both"/>
        <w:rPr>
          <w:rFonts w:ascii="Times New Roman" w:hAnsi="Times New Roman" w:cs="Times New Roman"/>
          <w:color w:val="000000" w:themeColor="text1"/>
          <w:sz w:val="20"/>
          <w:szCs w:val="24"/>
        </w:rPr>
      </w:pPr>
      <w:r w:rsidRPr="00F23DB0">
        <w:rPr>
          <w:rFonts w:ascii="Times New Roman" w:hAnsi="Times New Roman" w:cs="Times New Roman"/>
          <w:sz w:val="20"/>
          <w:szCs w:val="24"/>
        </w:rPr>
        <w:t>Adults male mice CD1 (25–30 g, Janvier, Le Genest Saint Isle, Fr) were housed in stainless steel cages in a room maintained at 22</w:t>
      </w:r>
      <w:r w:rsidR="00F23DB0" w:rsidRPr="00F23DB0">
        <w:rPr>
          <w:rFonts w:ascii="Times New Roman" w:hAnsi="Times New Roman" w:cs="Times New Roman"/>
          <w:sz w:val="20"/>
          <w:szCs w:val="24"/>
        </w:rPr>
        <w:t>.5 ± 1°C with light from 7:00 a</w:t>
      </w:r>
      <w:r w:rsidR="00F23DB0" w:rsidRPr="003F3274">
        <w:rPr>
          <w:rFonts w:ascii="Times New Roman" w:hAnsi="Times New Roman" w:cs="Times New Roman"/>
          <w:sz w:val="20"/>
          <w:szCs w:val="24"/>
        </w:rPr>
        <w:t>m. to 7:00 p</w:t>
      </w:r>
      <w:r w:rsidRPr="003F3274">
        <w:rPr>
          <w:rFonts w:ascii="Times New Roman" w:hAnsi="Times New Roman" w:cs="Times New Roman"/>
          <w:sz w:val="20"/>
          <w:szCs w:val="24"/>
        </w:rPr>
        <w:t xml:space="preserve">m. Food (#A03, Safe, Augy, France) and water were given </w:t>
      </w:r>
      <w:r w:rsidRPr="007F0EDA">
        <w:rPr>
          <w:rFonts w:ascii="Times New Roman" w:hAnsi="Times New Roman" w:cs="Times New Roman"/>
          <w:i/>
          <w:sz w:val="20"/>
          <w:szCs w:val="24"/>
        </w:rPr>
        <w:t>ad libitum</w:t>
      </w:r>
      <w:r w:rsidRPr="007F0EDA">
        <w:rPr>
          <w:rFonts w:ascii="Times New Roman" w:hAnsi="Times New Roman" w:cs="Times New Roman"/>
          <w:sz w:val="20"/>
          <w:szCs w:val="24"/>
        </w:rPr>
        <w:t xml:space="preserve"> unless otherwise stated</w:t>
      </w:r>
      <w:r w:rsidR="001679C4">
        <w:rPr>
          <w:rFonts w:ascii="Times New Roman" w:hAnsi="Times New Roman" w:cs="Times New Roman"/>
          <w:sz w:val="20"/>
          <w:szCs w:val="24"/>
        </w:rPr>
        <w:t>.</w:t>
      </w:r>
      <w:r w:rsidR="001679C4" w:rsidRPr="001679C4">
        <w:t xml:space="preserve"> </w:t>
      </w:r>
      <w:r w:rsidR="001679C4" w:rsidRPr="001679C4">
        <w:rPr>
          <w:rFonts w:ascii="Times New Roman" w:hAnsi="Times New Roman" w:cs="Times New Roman"/>
          <w:sz w:val="20"/>
          <w:szCs w:val="24"/>
        </w:rPr>
        <w:t xml:space="preserve">Mice were kept individually </w:t>
      </w:r>
      <w:r w:rsidR="001679C4">
        <w:rPr>
          <w:rFonts w:ascii="Times New Roman" w:hAnsi="Times New Roman" w:cs="Times New Roman"/>
          <w:sz w:val="20"/>
          <w:szCs w:val="24"/>
        </w:rPr>
        <w:t xml:space="preserve">for </w:t>
      </w:r>
      <w:r w:rsidR="001679C4" w:rsidRPr="001679C4">
        <w:rPr>
          <w:rFonts w:ascii="Times New Roman" w:hAnsi="Times New Roman" w:cs="Times New Roman"/>
          <w:sz w:val="20"/>
          <w:szCs w:val="24"/>
        </w:rPr>
        <w:t>at least 7 days in their own metabolic cages with training bottle and training food container (TSE system) before the cage (bedding included) being placed</w:t>
      </w:r>
      <w:r w:rsidR="001679C4">
        <w:rPr>
          <w:rFonts w:ascii="Times New Roman" w:hAnsi="Times New Roman" w:cs="Times New Roman"/>
          <w:sz w:val="20"/>
          <w:szCs w:val="24"/>
        </w:rPr>
        <w:t xml:space="preserve"> in the calorimetric platform. </w:t>
      </w:r>
      <w:r w:rsidR="001679C4" w:rsidRPr="001679C4">
        <w:rPr>
          <w:rFonts w:ascii="Times New Roman" w:hAnsi="Times New Roman" w:cs="Times New Roman"/>
          <w:sz w:val="20"/>
          <w:szCs w:val="24"/>
        </w:rPr>
        <w:t>All animals were acclimated for 48 h in calorimetric cages before experimental measurements.</w:t>
      </w:r>
    </w:p>
    <w:p w14:paraId="3D1DAC48" w14:textId="77777777" w:rsidR="009D7464" w:rsidRDefault="009D7464" w:rsidP="00E34FE7">
      <w:pPr>
        <w:spacing w:after="0" w:line="240" w:lineRule="auto"/>
        <w:jc w:val="both"/>
        <w:rPr>
          <w:rFonts w:ascii="Times New Roman" w:hAnsi="Times New Roman" w:cs="Times New Roman"/>
          <w:sz w:val="20"/>
          <w:szCs w:val="20"/>
        </w:rPr>
      </w:pPr>
    </w:p>
    <w:p w14:paraId="0ABC971C" w14:textId="1D1584C9" w:rsidR="006E7D65" w:rsidRPr="00E34FE7" w:rsidRDefault="006E7D65" w:rsidP="00E34FE7">
      <w:pPr>
        <w:spacing w:after="0" w:line="240" w:lineRule="auto"/>
        <w:jc w:val="both"/>
        <w:rPr>
          <w:rFonts w:ascii="Times New Roman" w:hAnsi="Times New Roman" w:cs="Times New Roman"/>
          <w:sz w:val="20"/>
          <w:szCs w:val="20"/>
        </w:rPr>
      </w:pPr>
      <w:r w:rsidRPr="00E34FE7">
        <w:rPr>
          <w:rFonts w:ascii="Times New Roman" w:hAnsi="Times New Roman" w:cs="Times New Roman"/>
          <w:sz w:val="20"/>
          <w:szCs w:val="20"/>
        </w:rPr>
        <w:t>Mice were analyzed for whole energy expenditure (EE), oxygen consumption and carbon dioxide production, respiratory exchange rate (RER = VCO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/VO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 xml:space="preserve">, where V is volume), and locomotor activity using calorimetric cages </w:t>
      </w:r>
      <w:r w:rsidRPr="00E34FE7">
        <w:rPr>
          <w:rFonts w:ascii="Times New Roman" w:hAnsi="Times New Roman" w:cs="Times New Roman"/>
          <w:sz w:val="20"/>
          <w:szCs w:val="20"/>
        </w:rPr>
        <w:t xml:space="preserve">with bedding, </w:t>
      </w:r>
      <w:r w:rsidR="008629D4" w:rsidRPr="00E34FE7">
        <w:rPr>
          <w:rFonts w:ascii="Times New Roman" w:hAnsi="Times New Roman" w:cs="Times New Roman"/>
          <w:sz w:val="20"/>
          <w:szCs w:val="20"/>
        </w:rPr>
        <w:t xml:space="preserve">water </w:t>
      </w:r>
      <w:r w:rsidR="008629D4">
        <w:rPr>
          <w:rFonts w:ascii="Times New Roman" w:hAnsi="Times New Roman" w:cs="Times New Roman"/>
          <w:sz w:val="20"/>
          <w:szCs w:val="20"/>
        </w:rPr>
        <w:t xml:space="preserve">and with or without food </w:t>
      </w:r>
      <w:r w:rsidRPr="00E34FE7">
        <w:rPr>
          <w:rFonts w:ascii="Times New Roman" w:hAnsi="Times New Roman" w:cs="Times New Roman"/>
          <w:sz w:val="20"/>
          <w:szCs w:val="20"/>
        </w:rPr>
        <w:t xml:space="preserve">(Labmaster, TSE Systems GmbH, Bad Homburg, Germany).  The ratio of gases was determined through an indirect open circuit calorimeter </w:t>
      </w:r>
      <w:r w:rsidRPr="00E34FE7">
        <w:rPr>
          <w:rFonts w:ascii="Times New Roman" w:hAnsi="Times New Roman" w:cs="Times New Roman"/>
          <w:sz w:val="20"/>
          <w:szCs w:val="20"/>
        </w:rPr>
        <w:fldChar w:fldCharType="begin">
          <w:fldData xml:space="preserve">PEVuZE5vdGU+PENpdGU+PEF1dGhvcj5FdmVuPC9BdXRob3I+PFllYXI+MTk5NDwvWWVhcj48UmVj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</w:fldData>
        </w:fldChar>
      </w:r>
      <w:r w:rsidRPr="00E34FE7">
        <w:rPr>
          <w:rFonts w:ascii="Times New Roman" w:hAnsi="Times New Roman" w:cs="Times New Roman"/>
          <w:sz w:val="20"/>
          <w:szCs w:val="20"/>
        </w:rPr>
        <w:instrText xml:space="preserve"> ADDIN EN.CITE </w:instrText>
      </w:r>
      <w:r w:rsidRPr="00E34FE7">
        <w:rPr>
          <w:rFonts w:ascii="Times New Roman" w:hAnsi="Times New Roman" w:cs="Times New Roman"/>
          <w:sz w:val="20"/>
          <w:szCs w:val="20"/>
        </w:rPr>
        <w:fldChar w:fldCharType="begin">
          <w:fldData xml:space="preserve">PEVuZE5vdGU+PENpdGU+PEF1dGhvcj5FdmVuPC9BdXRob3I+PFllYXI+MTk5NDwvWWVhcj48UmVj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</w:fldData>
        </w:fldChar>
      </w:r>
      <w:r w:rsidRPr="00E34FE7">
        <w:rPr>
          <w:rFonts w:ascii="Times New Roman" w:hAnsi="Times New Roman" w:cs="Times New Roman"/>
          <w:sz w:val="20"/>
          <w:szCs w:val="20"/>
        </w:rPr>
        <w:instrText xml:space="preserve"> ADDIN EN.CITE.DATA </w:instrText>
      </w:r>
      <w:r w:rsidRPr="00E34FE7">
        <w:rPr>
          <w:rFonts w:ascii="Times New Roman" w:hAnsi="Times New Roman" w:cs="Times New Roman"/>
          <w:sz w:val="20"/>
          <w:szCs w:val="20"/>
        </w:rPr>
      </w:r>
      <w:r w:rsidRPr="00E34FE7">
        <w:rPr>
          <w:rFonts w:ascii="Times New Roman" w:hAnsi="Times New Roman" w:cs="Times New Roman"/>
          <w:sz w:val="20"/>
          <w:szCs w:val="20"/>
        </w:rPr>
        <w:fldChar w:fldCharType="end"/>
      </w:r>
      <w:r w:rsidRPr="00E34FE7">
        <w:rPr>
          <w:rFonts w:ascii="Times New Roman" w:hAnsi="Times New Roman" w:cs="Times New Roman"/>
          <w:sz w:val="20"/>
          <w:szCs w:val="20"/>
        </w:rPr>
      </w:r>
      <w:r w:rsidRPr="00E34FE7">
        <w:rPr>
          <w:rFonts w:ascii="Times New Roman" w:hAnsi="Times New Roman" w:cs="Times New Roman"/>
          <w:sz w:val="20"/>
          <w:szCs w:val="20"/>
        </w:rPr>
        <w:fldChar w:fldCharType="separate"/>
      </w:r>
      <w:r w:rsidR="00330363">
        <w:rPr>
          <w:rFonts w:ascii="Times New Roman" w:hAnsi="Times New Roman" w:cs="Times New Roman"/>
          <w:sz w:val="20"/>
          <w:szCs w:val="20"/>
        </w:rPr>
        <w:t>[S7, S8</w:t>
      </w:r>
      <w:r w:rsidRPr="00E34FE7">
        <w:rPr>
          <w:rFonts w:ascii="Times New Roman" w:hAnsi="Times New Roman" w:cs="Times New Roman"/>
          <w:sz w:val="20"/>
          <w:szCs w:val="20"/>
        </w:rPr>
        <w:t>]</w:t>
      </w:r>
      <w:r w:rsidRPr="00E34FE7">
        <w:rPr>
          <w:rFonts w:ascii="Times New Roman" w:hAnsi="Times New Roman" w:cs="Times New Roman"/>
          <w:sz w:val="20"/>
          <w:szCs w:val="20"/>
        </w:rPr>
        <w:fldChar w:fldCharType="end"/>
      </w:r>
      <w:r w:rsidRPr="00E34FE7">
        <w:rPr>
          <w:rFonts w:ascii="Times New Roman" w:hAnsi="Times New Roman" w:cs="Times New Roman"/>
          <w:sz w:val="20"/>
          <w:szCs w:val="20"/>
        </w:rPr>
        <w:t>.  This system monitors O</w:t>
      </w:r>
      <w:r w:rsidRPr="00E34FE7">
        <w:rPr>
          <w:rFonts w:ascii="Times New Roman" w:hAnsi="Times New Roman" w:cs="Times New Roman"/>
          <w:sz w:val="20"/>
          <w:szCs w:val="20"/>
          <w:vertAlign w:val="subscript"/>
        </w:rPr>
        <w:t xml:space="preserve">2 </w:t>
      </w:r>
      <w:r w:rsidRPr="00E34FE7">
        <w:rPr>
          <w:rFonts w:ascii="Times New Roman" w:hAnsi="Times New Roman" w:cs="Times New Roman"/>
          <w:sz w:val="20"/>
          <w:szCs w:val="20"/>
        </w:rPr>
        <w:t>and CO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 xml:space="preserve"> concentration by volume at the inlet ports of a tide cage through which a known flow of air is being ventilated (0.4 L/min), and compared regularly to a reference empty cage.  The air sensors were calibrated with 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 xml:space="preserve"> and CO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 xml:space="preserve"> mixture of known concentrations (Air Liquide, S.A. France).  Oxygen consumption, carbon dioxide production and EE were recorded every 10 min for each animal during the entire experiment. Whole energy expenditure was calculated using </w:t>
      </w:r>
      <w:r w:rsidRPr="00E34FE7">
        <w:rPr>
          <w:rFonts w:ascii="Times New Roman" w:hAnsi="Times New Roman" w:cs="Times New Roman"/>
          <w:sz w:val="20"/>
          <w:szCs w:val="20"/>
        </w:rPr>
        <w:t xml:space="preserve">the Weir equation respiratory gas exchange measurements </w:t>
      </w:r>
      <w:r w:rsidRPr="00E34FE7">
        <w:rPr>
          <w:rFonts w:ascii="Times New Roman" w:hAnsi="Times New Roman" w:cs="Times New Roman"/>
          <w:sz w:val="20"/>
          <w:szCs w:val="20"/>
        </w:rPr>
        <w:fldChar w:fldCharType="begin"/>
      </w:r>
      <w:r w:rsidRPr="00E34FE7">
        <w:rPr>
          <w:rFonts w:ascii="Times New Roman" w:hAnsi="Times New Roman" w:cs="Times New Roman"/>
          <w:sz w:val="20"/>
          <w:szCs w:val="20"/>
        </w:rPr>
        <w:instrText xml:space="preserve"><![CDATA[ ADDIN EN.CITE <EndNote><Cite><Author>Weir</Author><Year>1949</Year><RecNum>193</RecNum><DisplayText>(Weir, 1949)</DisplayText><record><rec-number>193</rec-number><foreign-keys><key app="EN" db-id="afpsdtpdqfxvajew0zqp5r2f2w0etpzrde0t">193</key></foreign-keys><ref-type name="Journal Article">17</ref-type><contributors><authors><author>Weir, J. B.</author></authors></contributors><titles><title>New methods for calculating metabolic rate with special reference to protein metabolism</title><secondary-title>J Physiol</secondary-title><alt-title>The Journal of physiology</alt-title></titles><periodical><full-title>J Physiol</full-title><abbr-1>The Journal of physiology</abbr-1></periodical><alt-periodical><full-title>J Physiol</full-title><abbr-1>The Journal of physiology</abbr-1></alt-periodical><pages>1-9</pages><volume>109</volume><number>1-2</number><keywords><keyword>Humans</keyword><keyword>*Metabolism</keyword><keyword>*Proteins</keyword></keywords><dates><year>1949</year><pub-dates><date>Aug</date></pub-dates></dates><isbn>0022-3751 (Print)&#xD;0022-3751 (Linking)</isbn><accession-num>15394301</accession-num><urls><related-urls><url>http://www.ncbi.nlm.nih.gov/pubmed/15394301</url></related-urls></urls><custom2>1392602</custom2></record></Cite></EndNote>]]></w:instrText>
      </w:r>
      <w:r w:rsidRPr="00E34FE7">
        <w:rPr>
          <w:rFonts w:ascii="Times New Roman" w:hAnsi="Times New Roman" w:cs="Times New Roman"/>
          <w:sz w:val="20"/>
          <w:szCs w:val="20"/>
        </w:rPr>
        <w:fldChar w:fldCharType="separate"/>
      </w:r>
      <w:r w:rsidR="00330363">
        <w:rPr>
          <w:rFonts w:ascii="Times New Roman" w:hAnsi="Times New Roman" w:cs="Times New Roman"/>
          <w:sz w:val="20"/>
          <w:szCs w:val="20"/>
        </w:rPr>
        <w:t>[S9</w:t>
      </w:r>
      <w:r w:rsidRPr="00E34FE7">
        <w:rPr>
          <w:rFonts w:ascii="Times New Roman" w:hAnsi="Times New Roman" w:cs="Times New Roman"/>
          <w:sz w:val="20"/>
          <w:szCs w:val="20"/>
        </w:rPr>
        <w:t>]</w:t>
      </w:r>
      <w:r w:rsidRPr="00E34FE7">
        <w:rPr>
          <w:rFonts w:ascii="Times New Roman" w:hAnsi="Times New Roman" w:cs="Times New Roman"/>
          <w:sz w:val="20"/>
          <w:szCs w:val="20"/>
        </w:rPr>
        <w:fldChar w:fldCharType="end"/>
      </w:r>
      <w:r w:rsidRPr="00E34FE7">
        <w:rPr>
          <w:rFonts w:ascii="Times New Roman" w:hAnsi="Times New Roman" w:cs="Times New Roman"/>
          <w:sz w:val="20"/>
          <w:szCs w:val="20"/>
        </w:rPr>
        <w:t xml:space="preserve">.  Ambulatory movement was recorded using an infrared </w:t>
      </w:r>
      <w:bookmarkStart w:id="0" w:name="_GoBack"/>
      <w:bookmarkEnd w:id="0"/>
      <w:r w:rsidRPr="00E34FE7">
        <w:rPr>
          <w:rFonts w:ascii="Times New Roman" w:hAnsi="Times New Roman" w:cs="Times New Roman"/>
          <w:sz w:val="20"/>
          <w:szCs w:val="20"/>
        </w:rPr>
        <w:t xml:space="preserve">light beam-based activity monitoring system with online measurement at 100 </w:t>
      </w:r>
      <w:r w:rsidR="007330C0" w:rsidRPr="00E34FE7">
        <w:rPr>
          <w:rFonts w:ascii="Times New Roman" w:hAnsi="Times New Roman" w:cs="Times New Roman"/>
          <w:sz w:val="20"/>
          <w:szCs w:val="20"/>
        </w:rPr>
        <w:t>H</w:t>
      </w:r>
      <w:r w:rsidR="007330C0">
        <w:rPr>
          <w:rFonts w:ascii="Times New Roman" w:hAnsi="Times New Roman" w:cs="Times New Roman"/>
          <w:sz w:val="20"/>
          <w:szCs w:val="20"/>
        </w:rPr>
        <w:t>z</w:t>
      </w:r>
      <w:r w:rsidRPr="00E34FE7">
        <w:rPr>
          <w:rFonts w:ascii="Times New Roman" w:hAnsi="Times New Roman" w:cs="Times New Roman"/>
          <w:sz w:val="20"/>
          <w:szCs w:val="20"/>
        </w:rPr>
        <w:t>.</w:t>
      </w:r>
    </w:p>
    <w:p w14:paraId="7FFDBF98" w14:textId="19CD8E95" w:rsidR="006E7D65" w:rsidRPr="00E34FE7" w:rsidRDefault="006E7D65" w:rsidP="00E34FE7">
      <w:pPr>
        <w:spacing w:after="0" w:line="240" w:lineRule="auto"/>
        <w:jc w:val="both"/>
        <w:rPr>
          <w:rFonts w:ascii="Times New Roman" w:hAnsi="Times New Roman" w:cs="Times New Roman"/>
          <w:sz w:val="20"/>
          <w:szCs w:val="20"/>
        </w:rPr>
      </w:pPr>
      <w:r w:rsidRPr="00E34FE7">
        <w:rPr>
          <w:rFonts w:ascii="Times New Roman" w:hAnsi="Times New Roman" w:cs="Times New Roman"/>
          <w:sz w:val="20"/>
          <w:szCs w:val="20"/>
        </w:rPr>
        <w:t>Data analysis was performed using Excel XP using extracted raw value of VO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 xml:space="preserve"> consumed, VCO</w:t>
      </w:r>
      <w:r w:rsidRPr="00E34FE7">
        <w:rPr>
          <w:rFonts w:ascii="Times New Roman" w:hAnsi="Times New Roman" w:cs="Times New Roman"/>
          <w:sz w:val="20"/>
          <w:szCs w:val="20"/>
          <w:vertAlign w:val="subscript"/>
        </w:rPr>
        <w:t>2</w:t>
      </w:r>
      <w:r w:rsidRPr="00E34FE7">
        <w:rPr>
          <w:rFonts w:ascii="Times New Roman" w:hAnsi="Times New Roman" w:cs="Times New Roman"/>
          <w:sz w:val="20"/>
          <w:szCs w:val="20"/>
        </w:rPr>
        <w:t xml:space="preserve"> production (express</w:t>
      </w:r>
      <w:r w:rsidR="008629D4">
        <w:rPr>
          <w:rFonts w:ascii="Times New Roman" w:hAnsi="Times New Roman" w:cs="Times New Roman"/>
          <w:sz w:val="20"/>
          <w:szCs w:val="20"/>
        </w:rPr>
        <w:t>ed</w:t>
      </w:r>
      <w:r w:rsidRPr="00E34FE7">
        <w:rPr>
          <w:rFonts w:ascii="Times New Roman" w:hAnsi="Times New Roman" w:cs="Times New Roman"/>
          <w:sz w:val="20"/>
          <w:szCs w:val="20"/>
        </w:rPr>
        <w:t xml:space="preserve"> in ml/h), and energy expenditure (Kcal/h).  Subsequently, each value was normalized to whole lean tissue mass extracted from the EchoMRI analysis.  </w:t>
      </w:r>
    </w:p>
    <w:p w14:paraId="44AC33CA" w14:textId="77777777" w:rsidR="006E7D65" w:rsidRPr="00E34FE7" w:rsidRDefault="006E7D65" w:rsidP="00E34FE7">
      <w:pPr>
        <w:spacing w:after="0" w:line="240" w:lineRule="auto"/>
        <w:jc w:val="both"/>
        <w:rPr>
          <w:rFonts w:ascii="Times New Roman" w:hAnsi="Times New Roman" w:cs="Times New Roman"/>
          <w:sz w:val="20"/>
          <w:szCs w:val="20"/>
        </w:rPr>
      </w:pPr>
    </w:p>
    <w:p w14:paraId="1D4B92BE" w14:textId="77777777" w:rsidR="006E7D65" w:rsidRPr="00E34FE7" w:rsidRDefault="006E7D65" w:rsidP="00E34FE7">
      <w:pPr>
        <w:spacing w:after="0" w:line="240" w:lineRule="auto"/>
        <w:jc w:val="both"/>
        <w:rPr>
          <w:rFonts w:ascii="Times New Roman" w:hAnsi="Times New Roman" w:cs="Times New Roman"/>
          <w:i/>
          <w:sz w:val="20"/>
          <w:szCs w:val="20"/>
        </w:rPr>
      </w:pPr>
      <w:r w:rsidRPr="00E34FE7">
        <w:rPr>
          <w:rFonts w:ascii="Times New Roman" w:hAnsi="Times New Roman" w:cs="Times New Roman"/>
          <w:i/>
          <w:sz w:val="20"/>
          <w:szCs w:val="20"/>
        </w:rPr>
        <w:t xml:space="preserve">Estimation of basal metabolism </w:t>
      </w:r>
    </w:p>
    <w:p w14:paraId="77494C00" w14:textId="77CF03DE" w:rsidR="006E7D65" w:rsidRDefault="006E7D65" w:rsidP="00E34FE7">
      <w:pPr>
        <w:spacing w:after="0" w:line="240" w:lineRule="auto"/>
        <w:jc w:val="both"/>
        <w:rPr>
          <w:rFonts w:ascii="Times New Roman" w:hAnsi="Times New Roman" w:cs="Times New Roman"/>
          <w:sz w:val="20"/>
          <w:szCs w:val="20"/>
        </w:rPr>
      </w:pPr>
      <w:r w:rsidRPr="00E34FE7">
        <w:rPr>
          <w:rFonts w:ascii="Times New Roman" w:hAnsi="Times New Roman" w:cs="Times New Roman"/>
          <w:sz w:val="20"/>
          <w:szCs w:val="20"/>
        </w:rPr>
        <w:t xml:space="preserve">No </w:t>
      </w:r>
      <w:r w:rsidR="007C2CCB">
        <w:rPr>
          <w:rFonts w:ascii="Times New Roman" w:hAnsi="Times New Roman" w:cs="Times New Roman"/>
          <w:sz w:val="20"/>
          <w:szCs w:val="20"/>
        </w:rPr>
        <w:t>generally accepted</w:t>
      </w:r>
      <w:r w:rsidR="007C2CCB" w:rsidRPr="00E34FE7">
        <w:rPr>
          <w:rFonts w:ascii="Times New Roman" w:hAnsi="Times New Roman" w:cs="Times New Roman"/>
          <w:sz w:val="20"/>
          <w:szCs w:val="20"/>
        </w:rPr>
        <w:t xml:space="preserve"> </w:t>
      </w:r>
      <w:r w:rsidRPr="00E34FE7">
        <w:rPr>
          <w:rFonts w:ascii="Times New Roman" w:hAnsi="Times New Roman" w:cs="Times New Roman"/>
          <w:sz w:val="20"/>
          <w:szCs w:val="20"/>
        </w:rPr>
        <w:t>methods of estimation of the basal metabolism are available presently</w:t>
      </w:r>
      <w:r w:rsidRPr="00E34FE7">
        <w:rPr>
          <w:rFonts w:ascii="Times New Roman" w:hAnsi="Times New Roman" w:cs="Times New Roman"/>
          <w:sz w:val="20"/>
          <w:szCs w:val="20"/>
        </w:rPr>
        <w:fldChar w:fldCharType="begin">
          <w:fldData xml:space="preserve">PEVuZE5vdGU+PENpdGU+PEF1dGhvcj5FdmVuPC9BdXRob3I+PFllYXI+MjAxMjwvWWVhcj48UmVj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</w:fldData>
        </w:fldChar>
      </w:r>
      <w:r w:rsidRPr="00E34FE7">
        <w:rPr>
          <w:rFonts w:ascii="Times New Roman" w:hAnsi="Times New Roman" w:cs="Times New Roman"/>
          <w:sz w:val="20"/>
          <w:szCs w:val="20"/>
        </w:rPr>
        <w:instrText xml:space="preserve"> ADDIN EN.CITE </w:instrText>
      </w:r>
      <w:r w:rsidRPr="00E34FE7">
        <w:rPr>
          <w:rFonts w:ascii="Times New Roman" w:hAnsi="Times New Roman" w:cs="Times New Roman"/>
          <w:sz w:val="20"/>
          <w:szCs w:val="20"/>
        </w:rPr>
        <w:fldChar w:fldCharType="begin">
          <w:fldData xml:space="preserve">PEVuZE5vdGU+PENpdGU+PEF1dGhvcj5FdmVuPC9BdXRob3I+PFllYXI+MjAxMjwvWWVhcj48UmVj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</w:fldData>
        </w:fldChar>
      </w:r>
      <w:r w:rsidRPr="00E34FE7">
        <w:rPr>
          <w:rFonts w:ascii="Times New Roman" w:hAnsi="Times New Roman" w:cs="Times New Roman"/>
          <w:sz w:val="20"/>
          <w:szCs w:val="20"/>
        </w:rPr>
        <w:instrText xml:space="preserve"> ADDIN EN.CITE.DATA </w:instrText>
      </w:r>
      <w:r w:rsidRPr="00E34FE7">
        <w:rPr>
          <w:rFonts w:ascii="Times New Roman" w:hAnsi="Times New Roman" w:cs="Times New Roman"/>
          <w:sz w:val="20"/>
          <w:szCs w:val="20"/>
        </w:rPr>
      </w:r>
      <w:r w:rsidRPr="00E34FE7">
        <w:rPr>
          <w:rFonts w:ascii="Times New Roman" w:hAnsi="Times New Roman" w:cs="Times New Roman"/>
          <w:sz w:val="20"/>
          <w:szCs w:val="20"/>
        </w:rPr>
        <w:fldChar w:fldCharType="end"/>
      </w:r>
      <w:r w:rsidRPr="00E34FE7">
        <w:rPr>
          <w:rFonts w:ascii="Times New Roman" w:hAnsi="Times New Roman" w:cs="Times New Roman"/>
          <w:sz w:val="20"/>
          <w:szCs w:val="20"/>
        </w:rPr>
      </w:r>
      <w:r w:rsidRPr="00E34FE7">
        <w:rPr>
          <w:rFonts w:ascii="Times New Roman" w:hAnsi="Times New Roman" w:cs="Times New Roman"/>
          <w:sz w:val="20"/>
          <w:szCs w:val="20"/>
        </w:rPr>
        <w:fldChar w:fldCharType="separate"/>
      </w:r>
      <w:r w:rsidR="00330363">
        <w:rPr>
          <w:rFonts w:ascii="Times New Roman" w:hAnsi="Times New Roman" w:cs="Times New Roman"/>
          <w:sz w:val="20"/>
          <w:szCs w:val="20"/>
        </w:rPr>
        <w:t xml:space="preserve"> [S10</w:t>
      </w:r>
      <w:r w:rsidRPr="00E34FE7">
        <w:rPr>
          <w:rFonts w:ascii="Times New Roman" w:hAnsi="Times New Roman" w:cs="Times New Roman"/>
          <w:sz w:val="20"/>
          <w:szCs w:val="20"/>
        </w:rPr>
        <w:t>]</w:t>
      </w:r>
      <w:r w:rsidRPr="00E34FE7">
        <w:rPr>
          <w:rFonts w:ascii="Times New Roman" w:hAnsi="Times New Roman" w:cs="Times New Roman"/>
          <w:sz w:val="20"/>
          <w:szCs w:val="20"/>
        </w:rPr>
        <w:fldChar w:fldCharType="end"/>
      </w:r>
      <w:r w:rsidRPr="00E34FE7">
        <w:rPr>
          <w:rFonts w:ascii="Times New Roman" w:hAnsi="Times New Roman" w:cs="Times New Roman"/>
          <w:sz w:val="20"/>
          <w:szCs w:val="20"/>
        </w:rPr>
        <w:t xml:space="preserve">.  </w:t>
      </w:r>
      <w:r w:rsidR="007C2CCB">
        <w:rPr>
          <w:rFonts w:ascii="Times New Roman" w:hAnsi="Times New Roman" w:cs="Times New Roman"/>
          <w:sz w:val="20"/>
          <w:szCs w:val="20"/>
        </w:rPr>
        <w:t>A</w:t>
      </w:r>
      <w:r w:rsidRPr="00E34FE7">
        <w:rPr>
          <w:rFonts w:ascii="Times New Roman" w:hAnsi="Times New Roman" w:cs="Times New Roman"/>
          <w:sz w:val="20"/>
          <w:szCs w:val="20"/>
        </w:rPr>
        <w:t xml:space="preserve">n estimation of basal metabolism was calculated from the first experimental set when the animals did not have access to food to avoid confounding thermic effects of food.  Data points of EE were considered </w:t>
      </w:r>
      <w:r w:rsidRPr="00E34FE7">
        <w:rPr>
          <w:rFonts w:ascii="Times New Roman" w:hAnsi="Times New Roman" w:cs="Times New Roman"/>
          <w:sz w:val="20"/>
          <w:szCs w:val="20"/>
        </w:rPr>
        <w:t>to be the best estimation of basal metabolism when spontaneous activity during the previous 30 minutes was less than 1% of the highest daily value.</w:t>
      </w:r>
    </w:p>
    <w:p w14:paraId="3A80856A" w14:textId="77777777" w:rsidR="00756757" w:rsidRDefault="00756757" w:rsidP="00E34FE7">
      <w:pPr>
        <w:spacing w:after="0" w:line="240" w:lineRule="auto"/>
        <w:jc w:val="both"/>
        <w:rPr>
          <w:rFonts w:ascii="Times New Roman" w:hAnsi="Times New Roman" w:cs="Times New Roman"/>
          <w:sz w:val="20"/>
          <w:szCs w:val="20"/>
        </w:rPr>
      </w:pPr>
    </w:p>
    <w:p w14:paraId="42B47637" w14:textId="77777777" w:rsidR="00756757" w:rsidRPr="00756757" w:rsidRDefault="00756757" w:rsidP="00756757">
      <w:pPr>
        <w:spacing w:after="0" w:line="240" w:lineRule="auto"/>
        <w:jc w:val="both"/>
        <w:rPr>
          <w:rFonts w:ascii="Times New Roman" w:hAnsi="Times New Roman" w:cs="Times New Roman"/>
          <w:i/>
          <w:sz w:val="20"/>
          <w:szCs w:val="20"/>
        </w:rPr>
      </w:pPr>
      <w:r w:rsidRPr="00756757">
        <w:rPr>
          <w:rFonts w:ascii="Times New Roman" w:hAnsi="Times New Roman" w:cs="Times New Roman"/>
          <w:i/>
          <w:sz w:val="20"/>
          <w:szCs w:val="20"/>
        </w:rPr>
        <w:t xml:space="preserve">Reagents </w:t>
      </w:r>
    </w:p>
    <w:p w14:paraId="2027E6D6" w14:textId="1FAC9009" w:rsidR="00756757" w:rsidRPr="00756757" w:rsidRDefault="00756757" w:rsidP="00756757">
      <w:pPr>
        <w:spacing w:after="0" w:line="240" w:lineRule="auto"/>
        <w:jc w:val="both"/>
        <w:rPr>
          <w:rFonts w:ascii="Times New Roman" w:hAnsi="Times New Roman" w:cs="Times New Roman"/>
          <w:sz w:val="20"/>
          <w:szCs w:val="20"/>
        </w:rPr>
      </w:pPr>
      <w:r w:rsidRPr="00756757">
        <w:rPr>
          <w:rFonts w:ascii="Times New Roman" w:hAnsi="Times New Roman" w:cs="Times New Roman"/>
          <w:sz w:val="20"/>
          <w:szCs w:val="20"/>
        </w:rPr>
        <w:t xml:space="preserve">Animals removed from the calorimetric cages (TSE system) were weighted and injected either with aCSF, 0.25 nM </w:t>
      </w:r>
      <w:r w:rsidR="007C2CCB">
        <w:rPr>
          <w:rFonts w:ascii="Times New Roman" w:hAnsi="Times New Roman" w:cs="Times New Roman"/>
          <w:sz w:val="20"/>
          <w:szCs w:val="20"/>
        </w:rPr>
        <w:t>NPY</w:t>
      </w:r>
      <w:r w:rsidRPr="00756757">
        <w:rPr>
          <w:rFonts w:ascii="Times New Roman" w:hAnsi="Times New Roman" w:cs="Times New Roman"/>
          <w:sz w:val="20"/>
          <w:szCs w:val="20"/>
        </w:rPr>
        <w:t xml:space="preserve"> alone (Tocris, Lille, France.) or 0.25 nM </w:t>
      </w:r>
      <w:r w:rsidR="007C2CCB">
        <w:rPr>
          <w:rFonts w:ascii="Times New Roman" w:hAnsi="Times New Roman" w:cs="Times New Roman"/>
          <w:sz w:val="20"/>
          <w:szCs w:val="20"/>
        </w:rPr>
        <w:t>NPY</w:t>
      </w:r>
      <w:r w:rsidRPr="00756757">
        <w:rPr>
          <w:rFonts w:ascii="Times New Roman" w:hAnsi="Times New Roman" w:cs="Times New Roman"/>
          <w:sz w:val="20"/>
          <w:szCs w:val="20"/>
        </w:rPr>
        <w:t xml:space="preserve"> combined with either 40 pM of a potent CB1 antagonist (Tocris, Lille, France.) or 0.8 nM of a potent inhibitor of nNOS (Tocris, Lille, France. ). </w:t>
      </w:r>
    </w:p>
    <w:p w14:paraId="6F8B010E" w14:textId="77777777" w:rsidR="00756757" w:rsidRPr="00756757" w:rsidRDefault="00756757" w:rsidP="00756757">
      <w:pPr>
        <w:spacing w:after="0" w:line="240" w:lineRule="auto"/>
        <w:jc w:val="both"/>
        <w:rPr>
          <w:rFonts w:ascii="Times New Roman" w:hAnsi="Times New Roman" w:cs="Times New Roman"/>
          <w:sz w:val="20"/>
          <w:szCs w:val="20"/>
        </w:rPr>
      </w:pPr>
    </w:p>
    <w:p w14:paraId="51F5990E" w14:textId="77777777" w:rsidR="006E7D65" w:rsidRPr="00E34FE7" w:rsidRDefault="006E7D65" w:rsidP="00E34FE7">
      <w:pPr>
        <w:spacing w:after="0" w:line="240" w:lineRule="auto"/>
        <w:jc w:val="both"/>
        <w:rPr>
          <w:rFonts w:ascii="Times New Roman" w:hAnsi="Times New Roman" w:cs="Times New Roman"/>
          <w:sz w:val="20"/>
          <w:szCs w:val="20"/>
        </w:rPr>
      </w:pPr>
    </w:p>
    <w:p w14:paraId="55FD8E11" w14:textId="77777777" w:rsidR="006E7D65" w:rsidRPr="00E34FE7" w:rsidRDefault="006E7D65" w:rsidP="00E34FE7">
      <w:pPr>
        <w:pStyle w:val="text"/>
        <w:spacing w:after="0"/>
        <w:ind w:firstLine="0"/>
        <w:rPr>
          <w:b/>
          <w:lang w:val="en-US"/>
        </w:rPr>
      </w:pPr>
      <w:r w:rsidRPr="00E34FE7">
        <w:rPr>
          <w:b/>
          <w:lang w:val="en-US"/>
        </w:rPr>
        <w:t xml:space="preserve">Supplemental references </w:t>
      </w:r>
    </w:p>
    <w:p w14:paraId="7B401629" w14:textId="174019C3" w:rsidR="006E7D65" w:rsidRPr="009D7464" w:rsidRDefault="006E7D65" w:rsidP="001C625E">
      <w:pPr>
        <w:pStyle w:val="text"/>
        <w:spacing w:after="0"/>
        <w:ind w:firstLine="0"/>
      </w:pPr>
      <w:r w:rsidRPr="00E34FE7">
        <w:rPr>
          <w:lang w:val="en-US"/>
        </w:rPr>
        <w:t xml:space="preserve">[S1] </w:t>
      </w:r>
      <w:r w:rsidR="001C625E">
        <w:t>Miura, E., Fukaya, M., Sato, T., Sugihara, K., Asano, M., Yoshioka, K., and Watanabe, M.J. (2006) E xpression and distribution of JNK/SAPK-associated scaffold protein JSAP1 in developing and adult mouse brain. Neurochemistry. 97</w:t>
      </w:r>
      <w:r w:rsidR="00A010B1">
        <w:t xml:space="preserve">, </w:t>
      </w:r>
      <w:r w:rsidR="001C625E">
        <w:t>1431-</w:t>
      </w:r>
      <w:r w:rsidR="00A010B1">
        <w:t>14</w:t>
      </w:r>
      <w:r w:rsidR="001C625E">
        <w:t xml:space="preserve">46. </w:t>
      </w:r>
    </w:p>
    <w:p w14:paraId="649F29FD" w14:textId="0F229972" w:rsidR="006E7D65" w:rsidRPr="00E34FE7" w:rsidRDefault="006E7D65" w:rsidP="004E5BCC">
      <w:pPr>
        <w:pStyle w:val="text"/>
        <w:spacing w:after="0"/>
        <w:ind w:firstLine="0"/>
        <w:rPr>
          <w:lang w:val="en-US"/>
        </w:rPr>
      </w:pPr>
      <w:r w:rsidRPr="009D7464">
        <w:t>[S2]</w:t>
      </w:r>
      <w:bookmarkStart w:id="1" w:name="_ENREF_21"/>
      <w:r w:rsidR="00883958" w:rsidRPr="001E35D9">
        <w:t>.</w:t>
      </w:r>
      <w:bookmarkEnd w:id="1"/>
      <w:r w:rsidR="004E5BCC">
        <w:t xml:space="preserve"> Szabadits, E., Cserép, C., Ludányi, A., Katona, I., Gracia-Llanes, J., Freund, T.F., and Nyíri, G. (2007) Hippocampal GABAergic synapses possess the molecular machinery for retrograde nitric oxide signaling. The Journal of Neuroscience 27, 8101-8111.</w:t>
      </w:r>
    </w:p>
    <w:p w14:paraId="491ABBEE" w14:textId="7601A756" w:rsidR="006E7D65" w:rsidRPr="00E34FE7" w:rsidRDefault="006E7D65" w:rsidP="00E34FE7">
      <w:pPr>
        <w:pStyle w:val="text"/>
        <w:spacing w:after="0"/>
        <w:ind w:firstLine="0"/>
        <w:rPr>
          <w:lang w:val="en-US"/>
        </w:rPr>
      </w:pPr>
      <w:r w:rsidRPr="00E34FE7">
        <w:rPr>
          <w:lang w:val="en-US"/>
        </w:rPr>
        <w:t xml:space="preserve">[S3] </w:t>
      </w:r>
      <w:bookmarkStart w:id="2" w:name="_ENREF_26"/>
      <w:r w:rsidR="00883958" w:rsidRPr="001E35D9">
        <w:t>Sardella, T.C., Polgar, E., Watanabe, M., and Todd, A.J. (2011). A quantitative study of neuronal nitric oxide synthase expression in laminae I-III of the rat spinal dorsal horn. Neuroscience</w:t>
      </w:r>
      <w:r w:rsidR="00883958" w:rsidRPr="001E35D9">
        <w:rPr>
          <w:i/>
        </w:rPr>
        <w:t xml:space="preserve"> 192</w:t>
      </w:r>
      <w:r w:rsidR="00883958" w:rsidRPr="001E35D9">
        <w:t>, 708-720.</w:t>
      </w:r>
      <w:bookmarkEnd w:id="2"/>
    </w:p>
    <w:p w14:paraId="21A87E51" w14:textId="2F511965" w:rsidR="006E7D65" w:rsidRPr="00E34FE7" w:rsidRDefault="006E7D65" w:rsidP="00E34FE7">
      <w:pPr>
        <w:pStyle w:val="text"/>
        <w:spacing w:after="0"/>
        <w:ind w:firstLine="0"/>
        <w:rPr>
          <w:lang w:val="en-US"/>
        </w:rPr>
      </w:pPr>
      <w:r w:rsidRPr="00E34FE7">
        <w:rPr>
          <w:lang w:val="en-US"/>
        </w:rPr>
        <w:t xml:space="preserve">[S4] </w:t>
      </w:r>
      <w:bookmarkStart w:id="3" w:name="_ENREF_32"/>
      <w:r w:rsidR="00883958" w:rsidRPr="001E35D9">
        <w:t>Szabadits, E., Cserep, C., Szonyi, A., Fukazawa, Y., Shigemoto, R., Watanabe, M., Itohara, S., Freund, T.F., and Nyiri, G. (2011). NMDA receptors in hippocampal GABAergic synapses and their role in nitric o</w:t>
      </w:r>
      <w:r w:rsidR="00C6672E">
        <w:t xml:space="preserve">xide signaling. </w:t>
      </w:r>
      <w:r w:rsidR="004E5BCC">
        <w:t xml:space="preserve">The </w:t>
      </w:r>
      <w:r w:rsidR="00330363">
        <w:t xml:space="preserve">Journal of Neuroscience </w:t>
      </w:r>
      <w:r w:rsidR="00883958" w:rsidRPr="001E35D9">
        <w:rPr>
          <w:i/>
        </w:rPr>
        <w:t>31</w:t>
      </w:r>
      <w:r w:rsidR="00883958" w:rsidRPr="001E35D9">
        <w:t>, 5893-5904.</w:t>
      </w:r>
      <w:bookmarkEnd w:id="3"/>
    </w:p>
    <w:p w14:paraId="5802AFA2" w14:textId="345DDE56" w:rsidR="006E7D65" w:rsidRDefault="006E7D65" w:rsidP="00E34FE7">
      <w:pPr>
        <w:pStyle w:val="text"/>
        <w:spacing w:after="0"/>
        <w:ind w:firstLine="0"/>
      </w:pPr>
      <w:r w:rsidRPr="00E34FE7">
        <w:rPr>
          <w:lang w:val="en-US"/>
        </w:rPr>
        <w:t xml:space="preserve">[S5] </w:t>
      </w:r>
      <w:bookmarkStart w:id="4" w:name="_ENREF_35"/>
      <w:r w:rsidR="00883958" w:rsidRPr="001E35D9">
        <w:t>Wittmann, G., Liposits, Z., Lechan, R.M., and Fekete, C. (2002). Medullary adrenergic neurons contribute to the neuropeptide Y-ergic innervation of hypophysiotropic thyrotropin-releasing hormone-synthesizing neurons in the rat. Neuroscience letters</w:t>
      </w:r>
      <w:r w:rsidR="00883958" w:rsidRPr="001E35D9">
        <w:rPr>
          <w:i/>
        </w:rPr>
        <w:t xml:space="preserve"> 324</w:t>
      </w:r>
      <w:r w:rsidR="00883958" w:rsidRPr="001E35D9">
        <w:t>, 69-73.</w:t>
      </w:r>
      <w:bookmarkEnd w:id="4"/>
    </w:p>
    <w:p w14:paraId="7743E9F3" w14:textId="64B45A9C" w:rsidR="00330363" w:rsidRPr="00330363" w:rsidRDefault="00330363" w:rsidP="00330363">
      <w:pPr>
        <w:pStyle w:val="text"/>
        <w:spacing w:after="0"/>
        <w:ind w:firstLine="0"/>
        <w:rPr>
          <w:lang w:val="en-US"/>
        </w:rPr>
      </w:pPr>
      <w:r w:rsidRPr="00E34FE7">
        <w:rPr>
          <w:lang w:val="en-US"/>
        </w:rPr>
        <w:t>[S6]</w:t>
      </w:r>
      <w:r>
        <w:rPr>
          <w:lang w:val="en-US"/>
        </w:rPr>
        <w:t xml:space="preserve"> </w:t>
      </w:r>
      <w:r w:rsidR="00DE3F47">
        <w:rPr>
          <w:lang w:val="en-US"/>
        </w:rPr>
        <w:t>Fukudome, Y.</w:t>
      </w:r>
      <w:r w:rsidR="00DE3F47" w:rsidRPr="00DE3F47">
        <w:rPr>
          <w:lang w:val="en-US"/>
        </w:rPr>
        <w:t>, Ohno-Shosaku</w:t>
      </w:r>
      <w:r w:rsidR="00DE3F47">
        <w:rPr>
          <w:lang w:val="en-US"/>
        </w:rPr>
        <w:t>,</w:t>
      </w:r>
      <w:r w:rsidR="00DE3F47" w:rsidRPr="00DE3F47">
        <w:rPr>
          <w:lang w:val="en-US"/>
        </w:rPr>
        <w:t xml:space="preserve"> T</w:t>
      </w:r>
      <w:r w:rsidR="00DE3F47">
        <w:rPr>
          <w:lang w:val="en-US"/>
        </w:rPr>
        <w:t>.</w:t>
      </w:r>
      <w:r w:rsidR="00DE3F47" w:rsidRPr="00DE3F47">
        <w:rPr>
          <w:lang w:val="en-US"/>
        </w:rPr>
        <w:t>, Matsui</w:t>
      </w:r>
      <w:r w:rsidR="00DE3F47">
        <w:rPr>
          <w:lang w:val="en-US"/>
        </w:rPr>
        <w:t>,</w:t>
      </w:r>
      <w:r w:rsidR="00DE3F47" w:rsidRPr="00DE3F47">
        <w:rPr>
          <w:lang w:val="en-US"/>
        </w:rPr>
        <w:t xml:space="preserve"> M</w:t>
      </w:r>
      <w:r w:rsidR="00DE3F47">
        <w:rPr>
          <w:lang w:val="en-US"/>
        </w:rPr>
        <w:t>.</w:t>
      </w:r>
      <w:r w:rsidR="00DE3F47" w:rsidRPr="00DE3F47">
        <w:rPr>
          <w:lang w:val="en-US"/>
        </w:rPr>
        <w:t>, Omori</w:t>
      </w:r>
      <w:r w:rsidR="00DE3F47">
        <w:rPr>
          <w:lang w:val="en-US"/>
        </w:rPr>
        <w:t>,</w:t>
      </w:r>
      <w:r w:rsidR="00DE3F47" w:rsidRPr="00DE3F47">
        <w:rPr>
          <w:lang w:val="en-US"/>
        </w:rPr>
        <w:t xml:space="preserve"> Y</w:t>
      </w:r>
      <w:r w:rsidR="00DE3F47">
        <w:rPr>
          <w:lang w:val="en-US"/>
        </w:rPr>
        <w:t>.</w:t>
      </w:r>
      <w:r w:rsidR="00DE3F47" w:rsidRPr="00DE3F47">
        <w:rPr>
          <w:lang w:val="en-US"/>
        </w:rPr>
        <w:t>, Fukaya</w:t>
      </w:r>
      <w:r w:rsidR="00DE3F47">
        <w:rPr>
          <w:lang w:val="en-US"/>
        </w:rPr>
        <w:t>,</w:t>
      </w:r>
      <w:r w:rsidR="00DE3F47" w:rsidRPr="00DE3F47">
        <w:rPr>
          <w:lang w:val="en-US"/>
        </w:rPr>
        <w:t xml:space="preserve"> M</w:t>
      </w:r>
      <w:r w:rsidR="00DE3F47">
        <w:rPr>
          <w:lang w:val="en-US"/>
        </w:rPr>
        <w:t>.</w:t>
      </w:r>
      <w:r w:rsidR="00DE3F47" w:rsidRPr="00DE3F47">
        <w:rPr>
          <w:lang w:val="en-US"/>
        </w:rPr>
        <w:t>, Tsubokawa</w:t>
      </w:r>
      <w:r w:rsidR="00DE3F47">
        <w:rPr>
          <w:lang w:val="en-US"/>
        </w:rPr>
        <w:t>,</w:t>
      </w:r>
      <w:r w:rsidR="00DE3F47" w:rsidRPr="00DE3F47">
        <w:rPr>
          <w:lang w:val="en-US"/>
        </w:rPr>
        <w:t xml:space="preserve"> H</w:t>
      </w:r>
      <w:r w:rsidR="00DE3F47">
        <w:rPr>
          <w:lang w:val="en-US"/>
        </w:rPr>
        <w:t>.</w:t>
      </w:r>
      <w:r w:rsidR="00DE3F47" w:rsidRPr="00DE3F47">
        <w:rPr>
          <w:lang w:val="en-US"/>
        </w:rPr>
        <w:t>, Taketo</w:t>
      </w:r>
      <w:r w:rsidR="00DE3F47">
        <w:rPr>
          <w:lang w:val="en-US"/>
        </w:rPr>
        <w:t>,</w:t>
      </w:r>
      <w:r w:rsidR="00DE3F47" w:rsidRPr="00DE3F47">
        <w:rPr>
          <w:lang w:val="en-US"/>
        </w:rPr>
        <w:t xml:space="preserve"> MM</w:t>
      </w:r>
      <w:r w:rsidR="00DE3F47">
        <w:rPr>
          <w:lang w:val="en-US"/>
        </w:rPr>
        <w:t>.</w:t>
      </w:r>
      <w:r w:rsidR="00DE3F47" w:rsidRPr="00DE3F47">
        <w:rPr>
          <w:lang w:val="en-US"/>
        </w:rPr>
        <w:t>, Watanabe</w:t>
      </w:r>
      <w:r w:rsidR="00DE3F47">
        <w:rPr>
          <w:lang w:val="en-US"/>
        </w:rPr>
        <w:t>,</w:t>
      </w:r>
      <w:r w:rsidR="00DE3F47" w:rsidRPr="00DE3F47">
        <w:rPr>
          <w:lang w:val="en-US"/>
        </w:rPr>
        <w:t xml:space="preserve"> M</w:t>
      </w:r>
      <w:r w:rsidR="00DE3F47">
        <w:rPr>
          <w:lang w:val="en-US"/>
        </w:rPr>
        <w:t>.</w:t>
      </w:r>
      <w:r w:rsidR="00DE3F47" w:rsidRPr="00DE3F47">
        <w:rPr>
          <w:lang w:val="en-US"/>
        </w:rPr>
        <w:t>, Manabe</w:t>
      </w:r>
      <w:r w:rsidR="00DE3F47">
        <w:rPr>
          <w:lang w:val="en-US"/>
        </w:rPr>
        <w:t>,</w:t>
      </w:r>
      <w:r w:rsidR="00DE3F47" w:rsidRPr="00DE3F47">
        <w:rPr>
          <w:lang w:val="en-US"/>
        </w:rPr>
        <w:t xml:space="preserve"> T</w:t>
      </w:r>
      <w:r w:rsidR="00DE3F47">
        <w:rPr>
          <w:lang w:val="en-US"/>
        </w:rPr>
        <w:t>.</w:t>
      </w:r>
      <w:r w:rsidR="00DE3F47" w:rsidRPr="00DE3F47">
        <w:rPr>
          <w:lang w:val="en-US"/>
        </w:rPr>
        <w:t xml:space="preserve">, </w:t>
      </w:r>
      <w:r w:rsidR="00DE3F47">
        <w:rPr>
          <w:lang w:val="en-US"/>
        </w:rPr>
        <w:t xml:space="preserve">and </w:t>
      </w:r>
      <w:r w:rsidR="00DE3F47" w:rsidRPr="00DE3F47">
        <w:rPr>
          <w:lang w:val="en-US"/>
        </w:rPr>
        <w:t>Kano</w:t>
      </w:r>
      <w:r w:rsidR="00DE3F47">
        <w:rPr>
          <w:lang w:val="en-US"/>
        </w:rPr>
        <w:t>,</w:t>
      </w:r>
      <w:r w:rsidR="00DE3F47" w:rsidRPr="00DE3F47">
        <w:rPr>
          <w:lang w:val="en-US"/>
        </w:rPr>
        <w:t xml:space="preserve"> M.</w:t>
      </w:r>
      <w:r w:rsidR="00DE3F47">
        <w:rPr>
          <w:lang w:val="en-US"/>
        </w:rPr>
        <w:t xml:space="preserve"> (2004). </w:t>
      </w:r>
      <w:r w:rsidR="00DE3F47" w:rsidRPr="00DE3F47">
        <w:rPr>
          <w:lang w:val="en-US"/>
        </w:rPr>
        <w:t>Two distinct classes of muscarinic action on hippocampal inhibitory synapses: M2-mediated direct suppression and M1/M3-mediated indirect suppression through endocannabinoid signalling.</w:t>
      </w:r>
      <w:r w:rsidR="00DE3F47">
        <w:rPr>
          <w:lang w:val="en-US"/>
        </w:rPr>
        <w:t xml:space="preserve"> European Journal of Neuroscience 19, </w:t>
      </w:r>
      <w:r w:rsidR="00DE3F47" w:rsidRPr="00DE3F47">
        <w:rPr>
          <w:lang w:val="en-US"/>
        </w:rPr>
        <w:t>2682-</w:t>
      </w:r>
      <w:r w:rsidR="00DE3F47">
        <w:rPr>
          <w:lang w:val="en-US"/>
        </w:rPr>
        <w:t>26</w:t>
      </w:r>
      <w:r w:rsidR="00DE3F47" w:rsidRPr="00DE3F47">
        <w:rPr>
          <w:lang w:val="en-US"/>
        </w:rPr>
        <w:t>92</w:t>
      </w:r>
    </w:p>
    <w:p w14:paraId="7A18BB41" w14:textId="689E9C66" w:rsidR="006E7D65" w:rsidRPr="00E34FE7" w:rsidRDefault="006E7D65" w:rsidP="00E34FE7">
      <w:pPr>
        <w:pStyle w:val="text"/>
        <w:spacing w:after="0"/>
        <w:ind w:firstLine="0"/>
        <w:rPr>
          <w:lang w:val="en-US"/>
        </w:rPr>
      </w:pPr>
      <w:r w:rsidRPr="00E34FE7">
        <w:rPr>
          <w:lang w:val="en-US"/>
        </w:rPr>
        <w:t>[S</w:t>
      </w:r>
      <w:r w:rsidR="00330363">
        <w:rPr>
          <w:lang w:val="en-US"/>
        </w:rPr>
        <w:t>7</w:t>
      </w:r>
      <w:r w:rsidRPr="00E34FE7">
        <w:rPr>
          <w:lang w:val="en-US"/>
        </w:rPr>
        <w:t xml:space="preserve">] Arch, J.R., Hislop, D., Wang, S.J., and Speakman, J.R. (2006). Some mathematical and technical issues in the measurement and interpretation of open-circuit indirect calorimetry in small animals. International </w:t>
      </w:r>
      <w:r w:rsidR="00C6672E">
        <w:rPr>
          <w:lang w:val="en-US"/>
        </w:rPr>
        <w:t>Journal of O</w:t>
      </w:r>
      <w:r w:rsidRPr="00E34FE7">
        <w:rPr>
          <w:lang w:val="en-US"/>
        </w:rPr>
        <w:t>besity 30, 1322-1331.</w:t>
      </w:r>
    </w:p>
    <w:p w14:paraId="21D4B1EA" w14:textId="481E7FB3" w:rsidR="006E7D65" w:rsidRPr="00E34FE7" w:rsidRDefault="006E7D65" w:rsidP="00E34FE7">
      <w:pPr>
        <w:spacing w:after="0" w:line="240" w:lineRule="auto"/>
        <w:jc w:val="both"/>
        <w:rPr>
          <w:rFonts w:ascii="Times New Roman" w:hAnsi="Times New Roman" w:cs="Times New Roman"/>
          <w:sz w:val="20"/>
          <w:szCs w:val="20"/>
        </w:rPr>
      </w:pPr>
      <w:r w:rsidRPr="00E34FE7">
        <w:rPr>
          <w:rFonts w:ascii="Times New Roman" w:hAnsi="Times New Roman" w:cs="Times New Roman"/>
          <w:sz w:val="20"/>
          <w:szCs w:val="20"/>
        </w:rPr>
        <w:lastRenderedPageBreak/>
        <w:t>[S</w:t>
      </w:r>
      <w:r w:rsidR="00330363">
        <w:rPr>
          <w:rFonts w:ascii="Times New Roman" w:hAnsi="Times New Roman" w:cs="Times New Roman"/>
          <w:sz w:val="20"/>
          <w:szCs w:val="20"/>
        </w:rPr>
        <w:t>8</w:t>
      </w:r>
      <w:r w:rsidRPr="00E34FE7">
        <w:rPr>
          <w:rFonts w:ascii="Times New Roman" w:hAnsi="Times New Roman" w:cs="Times New Roman"/>
          <w:sz w:val="20"/>
          <w:szCs w:val="20"/>
        </w:rPr>
        <w:t>] Even, P.C., Mokhtarian, A., and Pele, A. (1994). Practical aspects of indirect calorimetry in labora</w:t>
      </w:r>
      <w:r w:rsidR="00C6672E">
        <w:rPr>
          <w:rFonts w:ascii="Times New Roman" w:hAnsi="Times New Roman" w:cs="Times New Roman"/>
          <w:sz w:val="20"/>
          <w:szCs w:val="20"/>
        </w:rPr>
        <w:t>tory animals. Neuroscience and Biobehavioral R</w:t>
      </w:r>
      <w:r w:rsidRPr="00E34FE7">
        <w:rPr>
          <w:rFonts w:ascii="Times New Roman" w:hAnsi="Times New Roman" w:cs="Times New Roman"/>
          <w:sz w:val="20"/>
          <w:szCs w:val="20"/>
        </w:rPr>
        <w:t>eviews 18, 435-447.</w:t>
      </w:r>
    </w:p>
    <w:p w14:paraId="77BA16E0" w14:textId="43BFA7B2" w:rsidR="006E7D65" w:rsidRPr="00E34FE7" w:rsidRDefault="006E7D65" w:rsidP="00E34FE7">
      <w:pPr>
        <w:pStyle w:val="EndNoteBibliography"/>
        <w:spacing w:after="0"/>
        <w:rPr>
          <w:rFonts w:ascii="Times New Roman" w:hAnsi="Times New Roman" w:cs="Times New Roman"/>
          <w:sz w:val="20"/>
          <w:szCs w:val="20"/>
        </w:rPr>
      </w:pPr>
      <w:r w:rsidRPr="00E34FE7">
        <w:rPr>
          <w:rFonts w:ascii="Times New Roman" w:hAnsi="Times New Roman" w:cs="Times New Roman"/>
          <w:sz w:val="20"/>
          <w:szCs w:val="20"/>
        </w:rPr>
        <w:t>[S</w:t>
      </w:r>
      <w:r w:rsidR="00330363">
        <w:rPr>
          <w:rFonts w:ascii="Times New Roman" w:hAnsi="Times New Roman" w:cs="Times New Roman"/>
          <w:sz w:val="20"/>
          <w:szCs w:val="20"/>
        </w:rPr>
        <w:t>9</w:t>
      </w:r>
      <w:r w:rsidRPr="00E34FE7">
        <w:rPr>
          <w:rFonts w:ascii="Times New Roman" w:hAnsi="Times New Roman" w:cs="Times New Roman"/>
          <w:sz w:val="20"/>
          <w:szCs w:val="20"/>
        </w:rPr>
        <w:t>] Weir, J.B. (1949). New methods for calculating metabolic rate with special reference to prot</w:t>
      </w:r>
      <w:r w:rsidR="00C6672E">
        <w:rPr>
          <w:rFonts w:ascii="Times New Roman" w:hAnsi="Times New Roman" w:cs="Times New Roman"/>
          <w:sz w:val="20"/>
          <w:szCs w:val="20"/>
        </w:rPr>
        <w:t>ein metabolism. The Journal of P</w:t>
      </w:r>
      <w:r w:rsidRPr="00E34FE7">
        <w:rPr>
          <w:rFonts w:ascii="Times New Roman" w:hAnsi="Times New Roman" w:cs="Times New Roman"/>
          <w:sz w:val="20"/>
          <w:szCs w:val="20"/>
        </w:rPr>
        <w:t>hysiology</w:t>
      </w:r>
      <w:r w:rsidRPr="00E34FE7">
        <w:rPr>
          <w:rFonts w:ascii="Times New Roman" w:hAnsi="Times New Roman" w:cs="Times New Roman"/>
          <w:i/>
          <w:sz w:val="20"/>
          <w:szCs w:val="20"/>
        </w:rPr>
        <w:t xml:space="preserve"> 109</w:t>
      </w:r>
      <w:r w:rsidRPr="00E34FE7">
        <w:rPr>
          <w:rFonts w:ascii="Times New Roman" w:hAnsi="Times New Roman" w:cs="Times New Roman"/>
          <w:sz w:val="20"/>
          <w:szCs w:val="20"/>
        </w:rPr>
        <w:t>, 1-9.</w:t>
      </w:r>
    </w:p>
    <w:p w14:paraId="390C8A68" w14:textId="53E010E1" w:rsidR="006E7D65" w:rsidRPr="00E34FE7" w:rsidRDefault="006E7D65" w:rsidP="00E34FE7">
      <w:pPr>
        <w:spacing w:after="0" w:line="240" w:lineRule="auto"/>
        <w:jc w:val="both"/>
        <w:rPr>
          <w:rFonts w:ascii="Times New Roman" w:hAnsi="Times New Roman" w:cs="Times New Roman"/>
          <w:sz w:val="20"/>
          <w:szCs w:val="20"/>
        </w:rPr>
      </w:pPr>
      <w:r w:rsidRPr="00E34FE7">
        <w:rPr>
          <w:rFonts w:ascii="Times New Roman" w:hAnsi="Times New Roman" w:cs="Times New Roman"/>
          <w:sz w:val="20"/>
          <w:szCs w:val="20"/>
        </w:rPr>
        <w:t>[S</w:t>
      </w:r>
      <w:r w:rsidR="00330363">
        <w:rPr>
          <w:rFonts w:ascii="Times New Roman" w:hAnsi="Times New Roman" w:cs="Times New Roman"/>
          <w:sz w:val="20"/>
          <w:szCs w:val="20"/>
        </w:rPr>
        <w:t>10</w:t>
      </w:r>
      <w:r w:rsidRPr="00E34FE7">
        <w:rPr>
          <w:rFonts w:ascii="Times New Roman" w:hAnsi="Times New Roman" w:cs="Times New Roman"/>
          <w:sz w:val="20"/>
          <w:szCs w:val="20"/>
        </w:rPr>
        <w:t>] Even, P.C., and Nadkarni, N.A. (2012). Indirect calorimetry in laboratory mice and rats: principles, practical considerations, interpretation and perspec</w:t>
      </w:r>
      <w:r w:rsidR="00C6672E">
        <w:rPr>
          <w:rFonts w:ascii="Times New Roman" w:hAnsi="Times New Roman" w:cs="Times New Roman"/>
          <w:sz w:val="20"/>
          <w:szCs w:val="20"/>
        </w:rPr>
        <w:t>tives. American Journal of Physiology. Regulatory, Integrative and Comparative P</w:t>
      </w:r>
      <w:r w:rsidRPr="00E34FE7">
        <w:rPr>
          <w:rFonts w:ascii="Times New Roman" w:hAnsi="Times New Roman" w:cs="Times New Roman"/>
          <w:sz w:val="20"/>
          <w:szCs w:val="20"/>
        </w:rPr>
        <w:t>hysiology 303, R459-476.</w:t>
      </w:r>
    </w:p>
    <w:p w14:paraId="4F676D04" w14:textId="62EB3EF5" w:rsidR="00221A23" w:rsidRDefault="00BA614E">
      <w:pPr>
        <w:spacing w:after="160" w:line="259" w:lineRule="auto"/>
        <w:rPr>
          <w:rFonts w:ascii="Times New Roman" w:hAnsi="Times New Roman" w:cs="Times New Roman"/>
          <w:sz w:val="20"/>
          <w:szCs w:val="20"/>
        </w:rPr>
      </w:pPr>
      <w:r>
        <w:rPr>
          <w:rFonts w:ascii="Times New Roman" w:hAnsi="Times New Roman" w:cs="Times New Roman"/>
          <w:sz w:val="20"/>
          <w:szCs w:val="20"/>
        </w:rPr>
        <w:br w:type="page"/>
      </w:r>
      <w:r w:rsidR="008D508C">
        <w:rPr>
          <w:rFonts w:ascii="Times New Roman" w:hAnsi="Times New Roman" w:cs="Times New Roman"/>
          <w:sz w:val="20"/>
          <w:szCs w:val="20"/>
        </w:rPr>
        <w:lastRenderedPageBreak/>
        <w:t>Supplementary</w:t>
      </w:r>
      <w:r>
        <w:rPr>
          <w:rFonts w:ascii="Times New Roman" w:hAnsi="Times New Roman" w:cs="Times New Roman"/>
          <w:sz w:val="20"/>
          <w:szCs w:val="20"/>
        </w:rPr>
        <w:t xml:space="preserve"> Figures</w:t>
      </w:r>
    </w:p>
    <w:p w14:paraId="76E88C4D" w14:textId="6ACC4F99" w:rsidR="003D04A4" w:rsidRDefault="00387702">
      <w:pPr>
        <w:spacing w:after="160" w:line="259" w:lineRule="auto"/>
        <w:rPr>
          <w:rFonts w:ascii="Times New Roman" w:hAnsi="Times New Roman" w:cs="Times New Roman"/>
          <w:b/>
          <w:sz w:val="20"/>
          <w:szCs w:val="20"/>
        </w:rPr>
      </w:pPr>
      <w:r>
        <w:rPr>
          <w:rFonts w:ascii="Times New Roman" w:hAnsi="Times New Roman" w:cs="Times New Roman"/>
          <w:b/>
          <w:noProof/>
          <w:sz w:val="20"/>
          <w:szCs w:val="20"/>
          <w:lang w:val="hu-HU" w:eastAsia="hu-HU"/>
        </w:rPr>
        <w:drawing>
          <wp:inline distT="0" distB="0" distL="0" distR="0" wp14:anchorId="3B168B48" wp14:editId="24055B09">
            <wp:extent cx="4818941" cy="6674278"/>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_fig2_amp.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20920" cy="6677019"/>
                    </a:xfrm>
                    <a:prstGeom prst="rect">
                      <a:avLst/>
                    </a:prstGeom>
                  </pic:spPr>
                </pic:pic>
              </a:graphicData>
            </a:graphic>
          </wp:inline>
        </w:drawing>
      </w:r>
    </w:p>
    <w:p w14:paraId="186E5275" w14:textId="77777777" w:rsidR="003D04A4" w:rsidRDefault="003D04A4">
      <w:pPr>
        <w:spacing w:after="160" w:line="259" w:lineRule="auto"/>
        <w:rPr>
          <w:rFonts w:ascii="Times New Roman" w:hAnsi="Times New Roman" w:cs="Times New Roman"/>
          <w:b/>
          <w:sz w:val="20"/>
          <w:szCs w:val="20"/>
        </w:rPr>
      </w:pPr>
    </w:p>
    <w:p w14:paraId="01CC0D1F" w14:textId="16E1AF47" w:rsidR="00D605CD" w:rsidRDefault="00020937">
      <w:pPr>
        <w:spacing w:after="160" w:line="259" w:lineRule="auto"/>
        <w:rPr>
          <w:rFonts w:ascii="Times New Roman" w:hAnsi="Times New Roman" w:cs="Times New Roman"/>
          <w:sz w:val="20"/>
          <w:szCs w:val="20"/>
        </w:rPr>
      </w:pPr>
      <w:bookmarkStart w:id="5" w:name="_Hlk521329861"/>
      <w:r>
        <w:rPr>
          <w:rFonts w:ascii="Times New Roman" w:hAnsi="Times New Roman" w:cs="Times New Roman"/>
          <w:b/>
          <w:sz w:val="20"/>
          <w:szCs w:val="20"/>
        </w:rPr>
        <w:t xml:space="preserve">Supplementary Figure </w:t>
      </w:r>
      <w:r w:rsidR="00272B27">
        <w:rPr>
          <w:rFonts w:ascii="Times New Roman" w:hAnsi="Times New Roman" w:cs="Times New Roman"/>
          <w:b/>
          <w:sz w:val="20"/>
          <w:szCs w:val="20"/>
        </w:rPr>
        <w:t>1</w:t>
      </w:r>
      <w:r>
        <w:rPr>
          <w:rFonts w:ascii="Times New Roman" w:hAnsi="Times New Roman" w:cs="Times New Roman"/>
          <w:b/>
          <w:sz w:val="20"/>
          <w:szCs w:val="20"/>
        </w:rPr>
        <w:t>.</w:t>
      </w:r>
      <w:r w:rsidRPr="00F303D8">
        <w:rPr>
          <w:rFonts w:ascii="Times New Roman" w:hAnsi="Times New Roman" w:cs="Times New Roman"/>
          <w:b/>
          <w:sz w:val="20"/>
          <w:szCs w:val="20"/>
        </w:rPr>
        <w:t xml:space="preserve"> </w:t>
      </w:r>
      <w:bookmarkEnd w:id="5"/>
      <w:r w:rsidR="001F2342">
        <w:rPr>
          <w:rFonts w:ascii="Times New Roman" w:hAnsi="Times New Roman" w:cs="Times New Roman"/>
          <w:b/>
          <w:sz w:val="20"/>
          <w:szCs w:val="20"/>
        </w:rPr>
        <w:t>The used treatments had no effect on the a</w:t>
      </w:r>
      <w:r w:rsidR="003D04A4">
        <w:rPr>
          <w:rFonts w:ascii="Times New Roman" w:hAnsi="Times New Roman" w:cs="Times New Roman"/>
          <w:b/>
          <w:sz w:val="20"/>
          <w:szCs w:val="20"/>
        </w:rPr>
        <w:t xml:space="preserve">mplitude </w:t>
      </w:r>
      <w:r w:rsidR="001F2342">
        <w:rPr>
          <w:rFonts w:ascii="Times New Roman" w:hAnsi="Times New Roman" w:cs="Times New Roman"/>
          <w:b/>
          <w:sz w:val="20"/>
          <w:szCs w:val="20"/>
        </w:rPr>
        <w:t>of</w:t>
      </w:r>
      <w:r w:rsidR="003D04A4">
        <w:rPr>
          <w:rFonts w:ascii="Times New Roman" w:hAnsi="Times New Roman" w:cs="Times New Roman"/>
          <w:b/>
          <w:sz w:val="20"/>
          <w:szCs w:val="20"/>
        </w:rPr>
        <w:t xml:space="preserve"> mEPSCs </w:t>
      </w:r>
      <w:r w:rsidR="001F2342">
        <w:rPr>
          <w:rFonts w:ascii="Times New Roman" w:hAnsi="Times New Roman" w:cs="Times New Roman"/>
          <w:b/>
          <w:sz w:val="20"/>
          <w:szCs w:val="20"/>
        </w:rPr>
        <w:t>and</w:t>
      </w:r>
      <w:r w:rsidR="003D04A4">
        <w:rPr>
          <w:rFonts w:ascii="Times New Roman" w:hAnsi="Times New Roman" w:cs="Times New Roman"/>
          <w:b/>
          <w:sz w:val="20"/>
          <w:szCs w:val="20"/>
        </w:rPr>
        <w:t xml:space="preserve"> mIPSC </w:t>
      </w:r>
      <w:r w:rsidR="001F2342">
        <w:rPr>
          <w:rFonts w:ascii="Times New Roman" w:hAnsi="Times New Roman" w:cs="Times New Roman"/>
          <w:b/>
          <w:sz w:val="20"/>
          <w:szCs w:val="20"/>
        </w:rPr>
        <w:t>of</w:t>
      </w:r>
      <w:r w:rsidRPr="00F303D8">
        <w:rPr>
          <w:rFonts w:ascii="Times New Roman" w:hAnsi="Times New Roman" w:cs="Times New Roman"/>
          <w:b/>
          <w:sz w:val="20"/>
          <w:szCs w:val="20"/>
        </w:rPr>
        <w:t xml:space="preserve"> the parvocellular neurons in the PVN. </w:t>
      </w:r>
      <w:r w:rsidR="003D04A4">
        <w:rPr>
          <w:rFonts w:ascii="Times New Roman" w:hAnsi="Times New Roman" w:cs="Times New Roman"/>
          <w:sz w:val="20"/>
          <w:szCs w:val="20"/>
        </w:rPr>
        <w:t>Bar graphs (A, C, E</w:t>
      </w:r>
      <w:r w:rsidRPr="00D605CD">
        <w:rPr>
          <w:rFonts w:ascii="Times New Roman" w:hAnsi="Times New Roman" w:cs="Times New Roman"/>
          <w:sz w:val="20"/>
          <w:szCs w:val="20"/>
        </w:rPr>
        <w:t>) show the effect of different treatments</w:t>
      </w:r>
      <w:r w:rsidR="003D04A4">
        <w:rPr>
          <w:rFonts w:ascii="Times New Roman" w:hAnsi="Times New Roman" w:cs="Times New Roman"/>
          <w:sz w:val="20"/>
          <w:szCs w:val="20"/>
        </w:rPr>
        <w:t xml:space="preserve"> on the amplitude of mEPSCs. Bar graphs (B, D, F</w:t>
      </w:r>
      <w:r w:rsidR="003D04A4" w:rsidRPr="00D605CD">
        <w:rPr>
          <w:rFonts w:ascii="Times New Roman" w:hAnsi="Times New Roman" w:cs="Times New Roman"/>
          <w:sz w:val="20"/>
          <w:szCs w:val="20"/>
        </w:rPr>
        <w:t>) show the effect of different treatments</w:t>
      </w:r>
      <w:r w:rsidR="003D04A4">
        <w:rPr>
          <w:rFonts w:ascii="Times New Roman" w:hAnsi="Times New Roman" w:cs="Times New Roman"/>
          <w:sz w:val="20"/>
          <w:szCs w:val="20"/>
        </w:rPr>
        <w:t xml:space="preserve"> on the amplitude of mIPSCs. No significant change is detected in either treatment group. </w:t>
      </w:r>
      <w:bookmarkStart w:id="6" w:name="_Hlk521372784"/>
      <w:bookmarkStart w:id="7" w:name="_Hlk521363313"/>
      <w:r w:rsidR="003D04A4" w:rsidRPr="003D04A4">
        <w:rPr>
          <w:rFonts w:ascii="Times New Roman" w:hAnsi="Times New Roman" w:cs="Times New Roman"/>
          <w:sz w:val="20"/>
          <w:szCs w:val="20"/>
        </w:rPr>
        <w:t>Abbreviations: AM(1): 1 μM AM251 treatment; AM(4): 4 μM AM251 treatment; NP: NPLA treatment</w:t>
      </w:r>
      <w:r w:rsidR="003D04A4">
        <w:rPr>
          <w:rFonts w:ascii="Times New Roman" w:hAnsi="Times New Roman" w:cs="Times New Roman"/>
          <w:sz w:val="20"/>
          <w:szCs w:val="20"/>
        </w:rPr>
        <w:t xml:space="preserve"> </w:t>
      </w:r>
      <w:r w:rsidR="003D04A4" w:rsidRPr="003D04A4">
        <w:rPr>
          <w:rFonts w:ascii="Times New Roman" w:hAnsi="Times New Roman" w:cs="Times New Roman"/>
          <w:sz w:val="20"/>
          <w:szCs w:val="20"/>
        </w:rPr>
        <w:t>(100 nM</w:t>
      </w:r>
      <w:r w:rsidR="003D04A4">
        <w:rPr>
          <w:rFonts w:ascii="Times New Roman" w:hAnsi="Times New Roman" w:cs="Times New Roman"/>
          <w:sz w:val="20"/>
          <w:szCs w:val="20"/>
        </w:rPr>
        <w:t>)</w:t>
      </w:r>
      <w:r w:rsidR="003D04A4" w:rsidRPr="003D04A4">
        <w:rPr>
          <w:rFonts w:ascii="Times New Roman" w:hAnsi="Times New Roman" w:cs="Times New Roman"/>
          <w:sz w:val="20"/>
          <w:szCs w:val="20"/>
        </w:rPr>
        <w:t>; NA: L-NAME treatment</w:t>
      </w:r>
      <w:r w:rsidR="003D04A4">
        <w:rPr>
          <w:rFonts w:ascii="Times New Roman" w:hAnsi="Times New Roman" w:cs="Times New Roman"/>
          <w:sz w:val="20"/>
          <w:szCs w:val="20"/>
        </w:rPr>
        <w:t xml:space="preserve"> (</w:t>
      </w:r>
      <w:r w:rsidR="003D04A4" w:rsidRPr="003D04A4">
        <w:rPr>
          <w:rFonts w:ascii="Times New Roman" w:hAnsi="Times New Roman" w:cs="Times New Roman"/>
          <w:sz w:val="20"/>
          <w:szCs w:val="20"/>
        </w:rPr>
        <w:t>100 μM</w:t>
      </w:r>
      <w:r w:rsidR="003D04A4">
        <w:rPr>
          <w:rFonts w:ascii="Times New Roman" w:hAnsi="Times New Roman" w:cs="Times New Roman"/>
          <w:sz w:val="20"/>
          <w:szCs w:val="20"/>
        </w:rPr>
        <w:t>)</w:t>
      </w:r>
      <w:r w:rsidR="003D04A4" w:rsidRPr="003D04A4">
        <w:rPr>
          <w:rFonts w:ascii="Times New Roman" w:hAnsi="Times New Roman" w:cs="Times New Roman"/>
          <w:sz w:val="20"/>
          <w:szCs w:val="20"/>
        </w:rPr>
        <w:t xml:space="preserve">; </w:t>
      </w:r>
      <w:bookmarkEnd w:id="6"/>
      <w:r w:rsidR="003D04A4" w:rsidRPr="003D04A4">
        <w:rPr>
          <w:rFonts w:ascii="Times New Roman" w:hAnsi="Times New Roman" w:cs="Times New Roman"/>
          <w:sz w:val="20"/>
          <w:szCs w:val="20"/>
        </w:rPr>
        <w:t xml:space="preserve">AM+NA: 1 μM AM251 and L-NAME </w:t>
      </w:r>
      <w:r w:rsidR="003D04A4">
        <w:rPr>
          <w:rFonts w:ascii="Times New Roman" w:hAnsi="Times New Roman" w:cs="Times New Roman"/>
          <w:sz w:val="20"/>
          <w:szCs w:val="20"/>
        </w:rPr>
        <w:t>(</w:t>
      </w:r>
      <w:r w:rsidR="003D04A4" w:rsidRPr="003D04A4">
        <w:rPr>
          <w:rFonts w:ascii="Times New Roman" w:hAnsi="Times New Roman" w:cs="Times New Roman"/>
          <w:sz w:val="20"/>
          <w:szCs w:val="20"/>
        </w:rPr>
        <w:t>100 μM</w:t>
      </w:r>
      <w:r w:rsidR="003D04A4">
        <w:rPr>
          <w:rFonts w:ascii="Times New Roman" w:hAnsi="Times New Roman" w:cs="Times New Roman"/>
          <w:sz w:val="20"/>
          <w:szCs w:val="20"/>
        </w:rPr>
        <w:t xml:space="preserve">) </w:t>
      </w:r>
      <w:r w:rsidR="003D04A4" w:rsidRPr="003D04A4">
        <w:rPr>
          <w:rFonts w:ascii="Times New Roman" w:hAnsi="Times New Roman" w:cs="Times New Roman"/>
          <w:sz w:val="20"/>
          <w:szCs w:val="20"/>
        </w:rPr>
        <w:t>co-treatment</w:t>
      </w:r>
      <w:r w:rsidR="003D04A4">
        <w:rPr>
          <w:rFonts w:ascii="Times New Roman" w:hAnsi="Times New Roman" w:cs="Times New Roman"/>
          <w:sz w:val="20"/>
          <w:szCs w:val="20"/>
        </w:rPr>
        <w:t>.</w:t>
      </w:r>
      <w:r w:rsidR="00812A51">
        <w:rPr>
          <w:rFonts w:ascii="Times New Roman" w:hAnsi="Times New Roman" w:cs="Times New Roman"/>
          <w:sz w:val="20"/>
          <w:szCs w:val="20"/>
        </w:rPr>
        <w:t xml:space="preserve"> </w:t>
      </w:r>
      <w:bookmarkEnd w:id="7"/>
      <w:r w:rsidR="00D605CD">
        <w:rPr>
          <w:rFonts w:ascii="Times New Roman" w:hAnsi="Times New Roman" w:cs="Times New Roman"/>
          <w:sz w:val="20"/>
          <w:szCs w:val="20"/>
        </w:rPr>
        <w:br w:type="page"/>
      </w:r>
    </w:p>
    <w:p w14:paraId="20DC1C78" w14:textId="746DA843" w:rsidR="00812A51" w:rsidRPr="00510D16" w:rsidRDefault="007E2883">
      <w:pPr>
        <w:spacing w:after="160" w:line="259" w:lineRule="auto"/>
        <w:rPr>
          <w:rFonts w:ascii="Times New Roman" w:hAnsi="Times New Roman" w:cs="Times New Roman"/>
          <w:sz w:val="20"/>
          <w:szCs w:val="20"/>
        </w:rPr>
      </w:pPr>
      <w:r>
        <w:rPr>
          <w:rFonts w:ascii="Times New Roman" w:hAnsi="Times New Roman" w:cs="Times New Roman"/>
          <w:noProof/>
          <w:sz w:val="20"/>
          <w:szCs w:val="20"/>
          <w:lang w:val="hu-HU" w:eastAsia="hu-HU"/>
        </w:rPr>
        <w:lastRenderedPageBreak/>
        <w:drawing>
          <wp:inline distT="0" distB="0" distL="0" distR="0" wp14:anchorId="2DDD00B6" wp14:editId="7CEA758F">
            <wp:extent cx="4005072" cy="5166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Fig3_eps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05072" cy="5166360"/>
                    </a:xfrm>
                    <a:prstGeom prst="rect">
                      <a:avLst/>
                    </a:prstGeom>
                  </pic:spPr>
                </pic:pic>
              </a:graphicData>
            </a:graphic>
          </wp:inline>
        </w:drawing>
      </w:r>
    </w:p>
    <w:p w14:paraId="393AC72F" w14:textId="67945A94" w:rsidR="00F65F7F" w:rsidRDefault="00812A51">
      <w:pPr>
        <w:spacing w:after="160" w:line="259" w:lineRule="auto"/>
        <w:rPr>
          <w:rFonts w:ascii="Times New Roman" w:hAnsi="Times New Roman" w:cs="Times New Roman"/>
          <w:sz w:val="20"/>
          <w:szCs w:val="20"/>
        </w:rPr>
      </w:pPr>
      <w:r>
        <w:rPr>
          <w:rFonts w:ascii="Times New Roman" w:hAnsi="Times New Roman" w:cs="Times New Roman"/>
          <w:b/>
          <w:sz w:val="20"/>
          <w:szCs w:val="20"/>
        </w:rPr>
        <w:t xml:space="preserve">Supplementary Figure </w:t>
      </w:r>
      <w:r w:rsidR="00272B27">
        <w:rPr>
          <w:rFonts w:ascii="Times New Roman" w:hAnsi="Times New Roman" w:cs="Times New Roman"/>
          <w:b/>
          <w:sz w:val="20"/>
          <w:szCs w:val="20"/>
        </w:rPr>
        <w:t>2</w:t>
      </w:r>
      <w:r>
        <w:rPr>
          <w:rFonts w:ascii="Times New Roman" w:hAnsi="Times New Roman" w:cs="Times New Roman"/>
          <w:b/>
          <w:sz w:val="20"/>
          <w:szCs w:val="20"/>
        </w:rPr>
        <w:t xml:space="preserve">. </w:t>
      </w:r>
      <w:r w:rsidR="00B8270B">
        <w:rPr>
          <w:rFonts w:ascii="Times New Roman" w:hAnsi="Times New Roman" w:cs="Times New Roman"/>
          <w:b/>
          <w:sz w:val="20"/>
          <w:szCs w:val="20"/>
        </w:rPr>
        <w:t xml:space="preserve">Related to figure 4. Effects of BAPTA, AM251, L-NAME, NPLA and combined AM251+L-NAME treatments on the effect of NPY on the mEPSC frequency of parvocellular PVN neurons. </w:t>
      </w:r>
      <w:r w:rsidR="00F65F7F">
        <w:rPr>
          <w:rFonts w:ascii="Times New Roman" w:hAnsi="Times New Roman" w:cs="Times New Roman"/>
          <w:sz w:val="20"/>
          <w:szCs w:val="20"/>
        </w:rPr>
        <w:t xml:space="preserve">Every measured parvocellular neuron is represented as line connected dots in </w:t>
      </w:r>
      <w:r w:rsidR="00E12846">
        <w:rPr>
          <w:rFonts w:ascii="Times New Roman" w:hAnsi="Times New Roman" w:cs="Times New Roman"/>
          <w:sz w:val="20"/>
          <w:szCs w:val="20"/>
        </w:rPr>
        <w:t xml:space="preserve">different </w:t>
      </w:r>
      <w:r w:rsidR="00F65F7F">
        <w:rPr>
          <w:rFonts w:ascii="Times New Roman" w:hAnsi="Times New Roman" w:cs="Times New Roman"/>
          <w:sz w:val="20"/>
          <w:szCs w:val="20"/>
        </w:rPr>
        <w:t>experimental condition</w:t>
      </w:r>
      <w:r w:rsidR="00E12846">
        <w:rPr>
          <w:rFonts w:ascii="Times New Roman" w:hAnsi="Times New Roman" w:cs="Times New Roman"/>
          <w:sz w:val="20"/>
          <w:szCs w:val="20"/>
        </w:rPr>
        <w:t>s</w:t>
      </w:r>
      <w:r w:rsidR="00F65F7F">
        <w:rPr>
          <w:rFonts w:ascii="Times New Roman" w:hAnsi="Times New Roman" w:cs="Times New Roman"/>
          <w:sz w:val="20"/>
          <w:szCs w:val="20"/>
        </w:rPr>
        <w:t xml:space="preserve"> such as, control, antagonist only treatment, and antagonist+ NPY treatment. </w:t>
      </w:r>
      <w:r w:rsidR="00B8270B">
        <w:rPr>
          <w:rFonts w:ascii="Times New Roman" w:hAnsi="Times New Roman" w:cs="Times New Roman"/>
          <w:sz w:val="20"/>
          <w:szCs w:val="20"/>
        </w:rPr>
        <w:t>I</w:t>
      </w:r>
      <w:r w:rsidR="001964B9" w:rsidRPr="001964B9">
        <w:rPr>
          <w:rFonts w:ascii="Times New Roman" w:hAnsi="Times New Roman" w:cs="Times New Roman"/>
          <w:sz w:val="20"/>
          <w:szCs w:val="20"/>
        </w:rPr>
        <w:t xml:space="preserve">ntracellularly applied BAPTA (10 mM) completely abolished </w:t>
      </w:r>
      <w:r w:rsidR="00B8270B">
        <w:rPr>
          <w:rFonts w:ascii="Times New Roman" w:hAnsi="Times New Roman" w:cs="Times New Roman"/>
          <w:sz w:val="20"/>
          <w:szCs w:val="20"/>
        </w:rPr>
        <w:t xml:space="preserve">the </w:t>
      </w:r>
      <w:r w:rsidR="001964B9" w:rsidRPr="001964B9">
        <w:rPr>
          <w:rFonts w:ascii="Times New Roman" w:hAnsi="Times New Roman" w:cs="Times New Roman"/>
          <w:sz w:val="20"/>
          <w:szCs w:val="20"/>
        </w:rPr>
        <w:t>effects of NPY on the mEPSCs frequency (</w:t>
      </w:r>
      <w:r w:rsidR="00D63938" w:rsidRPr="001964B9">
        <w:rPr>
          <w:rFonts w:ascii="Times New Roman" w:hAnsi="Times New Roman" w:cs="Times New Roman"/>
          <w:sz w:val="20"/>
          <w:szCs w:val="20"/>
        </w:rPr>
        <w:t>N</w:t>
      </w:r>
      <w:r w:rsidR="001964B9" w:rsidRPr="008D508C">
        <w:rPr>
          <w:rFonts w:ascii="Times New Roman" w:hAnsi="Times New Roman" w:cs="Times New Roman"/>
          <w:sz w:val="20"/>
          <w:szCs w:val="20"/>
          <w:vertAlign w:val="subscript"/>
        </w:rPr>
        <w:t>cells</w:t>
      </w:r>
      <w:r w:rsidR="001964B9" w:rsidRPr="001964B9">
        <w:rPr>
          <w:rFonts w:ascii="Times New Roman" w:hAnsi="Times New Roman" w:cs="Times New Roman"/>
          <w:sz w:val="20"/>
          <w:szCs w:val="20"/>
        </w:rPr>
        <w:t xml:space="preserve">=8; </w:t>
      </w:r>
      <w:r w:rsidR="00D63938" w:rsidRPr="001964B9">
        <w:rPr>
          <w:rFonts w:ascii="Times New Roman" w:hAnsi="Times New Roman" w:cs="Times New Roman"/>
          <w:sz w:val="20"/>
          <w:szCs w:val="20"/>
        </w:rPr>
        <w:t>N</w:t>
      </w:r>
      <w:r w:rsidR="00D63938" w:rsidRPr="00D63938">
        <w:rPr>
          <w:rFonts w:ascii="Times New Roman" w:hAnsi="Times New Roman" w:cs="Times New Roman"/>
          <w:sz w:val="20"/>
          <w:szCs w:val="20"/>
          <w:vertAlign w:val="subscript"/>
        </w:rPr>
        <w:t xml:space="preserve"> </w:t>
      </w:r>
      <w:r w:rsidR="001964B9" w:rsidRPr="008D508C">
        <w:rPr>
          <w:rFonts w:ascii="Times New Roman" w:hAnsi="Times New Roman" w:cs="Times New Roman"/>
          <w:sz w:val="20"/>
          <w:szCs w:val="20"/>
          <w:vertAlign w:val="subscript"/>
        </w:rPr>
        <w:t>mice</w:t>
      </w:r>
      <w:r w:rsidR="001964B9" w:rsidRPr="001964B9">
        <w:rPr>
          <w:rFonts w:ascii="Times New Roman" w:hAnsi="Times New Roman" w:cs="Times New Roman"/>
          <w:sz w:val="20"/>
          <w:szCs w:val="20"/>
        </w:rPr>
        <w:t>=6)</w:t>
      </w:r>
      <w:r w:rsidR="00B8270B">
        <w:rPr>
          <w:rFonts w:ascii="Times New Roman" w:hAnsi="Times New Roman" w:cs="Times New Roman"/>
          <w:sz w:val="20"/>
          <w:szCs w:val="20"/>
        </w:rPr>
        <w:t xml:space="preserve"> (A)</w:t>
      </w:r>
      <w:r w:rsidR="001964B9" w:rsidRPr="001964B9">
        <w:rPr>
          <w:rFonts w:ascii="Times New Roman" w:hAnsi="Times New Roman" w:cs="Times New Roman"/>
          <w:sz w:val="20"/>
          <w:szCs w:val="20"/>
        </w:rPr>
        <w:t>.</w:t>
      </w:r>
      <w:r w:rsidR="00B8270B">
        <w:rPr>
          <w:rFonts w:ascii="Times New Roman" w:hAnsi="Times New Roman" w:cs="Times New Roman"/>
          <w:sz w:val="20"/>
          <w:szCs w:val="20"/>
        </w:rPr>
        <w:t xml:space="preserve"> </w:t>
      </w:r>
      <w:r w:rsidR="001964B9" w:rsidRPr="001964B9">
        <w:rPr>
          <w:rFonts w:ascii="Times New Roman" w:hAnsi="Times New Roman" w:cs="Times New Roman"/>
          <w:sz w:val="20"/>
          <w:szCs w:val="20"/>
        </w:rPr>
        <w:t xml:space="preserve">Low dose (1 μM) of CB1 receptor antagonist AM251 </w:t>
      </w:r>
      <w:r w:rsidR="00B8270B">
        <w:rPr>
          <w:rFonts w:ascii="Times New Roman" w:hAnsi="Times New Roman" w:cs="Times New Roman"/>
          <w:sz w:val="20"/>
          <w:szCs w:val="20"/>
        </w:rPr>
        <w:t xml:space="preserve">(B) </w:t>
      </w:r>
      <w:r w:rsidR="001964B9" w:rsidRPr="001964B9">
        <w:rPr>
          <w:rFonts w:ascii="Times New Roman" w:hAnsi="Times New Roman" w:cs="Times New Roman"/>
          <w:sz w:val="20"/>
          <w:szCs w:val="20"/>
        </w:rPr>
        <w:t>failed to influence</w:t>
      </w:r>
      <w:r w:rsidR="00D63938">
        <w:rPr>
          <w:rFonts w:ascii="Times New Roman" w:hAnsi="Times New Roman" w:cs="Times New Roman"/>
          <w:sz w:val="20"/>
          <w:szCs w:val="20"/>
        </w:rPr>
        <w:t xml:space="preserve"> (P</w:t>
      </w:r>
      <w:r w:rsidR="00D63938">
        <w:rPr>
          <w:rFonts w:ascii="Times New Roman" w:hAnsi="Times New Roman" w:cs="Times New Roman"/>
          <w:sz w:val="20"/>
          <w:szCs w:val="20"/>
          <w:lang w:val="hu-HU"/>
        </w:rPr>
        <w:t>&lt; 0.001, T=</w:t>
      </w:r>
      <w:r w:rsidR="00D63938" w:rsidRPr="00D63938">
        <w:rPr>
          <w:rFonts w:ascii="Times New Roman" w:hAnsi="Times New Roman" w:cs="Times New Roman"/>
          <w:sz w:val="20"/>
          <w:szCs w:val="20"/>
          <w:lang w:val="hu-HU"/>
        </w:rPr>
        <w:t>4.811</w:t>
      </w:r>
      <w:r w:rsidR="00D63938">
        <w:rPr>
          <w:rFonts w:ascii="Times New Roman" w:hAnsi="Times New Roman" w:cs="Times New Roman"/>
          <w:sz w:val="20"/>
          <w:szCs w:val="20"/>
        </w:rPr>
        <w:t>)</w:t>
      </w:r>
      <w:r w:rsidR="001964B9" w:rsidRPr="001964B9">
        <w:rPr>
          <w:rFonts w:ascii="Times New Roman" w:hAnsi="Times New Roman" w:cs="Times New Roman"/>
          <w:sz w:val="20"/>
          <w:szCs w:val="20"/>
        </w:rPr>
        <w:t xml:space="preserve"> the effect of NPY (1 μM</w:t>
      </w:r>
      <w:r w:rsidR="00B8270B">
        <w:rPr>
          <w:rFonts w:ascii="Times New Roman" w:hAnsi="Times New Roman" w:cs="Times New Roman"/>
          <w:sz w:val="20"/>
          <w:szCs w:val="20"/>
        </w:rPr>
        <w:t>;</w:t>
      </w:r>
      <w:r w:rsidR="001964B9" w:rsidRPr="001964B9">
        <w:rPr>
          <w:rFonts w:ascii="Times New Roman" w:hAnsi="Times New Roman" w:cs="Times New Roman"/>
          <w:sz w:val="20"/>
          <w:szCs w:val="20"/>
        </w:rPr>
        <w:t xml:space="preserve"> N</w:t>
      </w:r>
      <w:r w:rsidR="001964B9" w:rsidRPr="008D508C">
        <w:rPr>
          <w:rFonts w:ascii="Times New Roman" w:hAnsi="Times New Roman" w:cs="Times New Roman"/>
          <w:sz w:val="20"/>
          <w:szCs w:val="20"/>
          <w:vertAlign w:val="subscript"/>
        </w:rPr>
        <w:t>cells</w:t>
      </w:r>
      <w:r w:rsidR="001964B9" w:rsidRPr="001964B9">
        <w:rPr>
          <w:rFonts w:ascii="Times New Roman" w:hAnsi="Times New Roman" w:cs="Times New Roman"/>
          <w:sz w:val="20"/>
          <w:szCs w:val="20"/>
        </w:rPr>
        <w:t>=12; N</w:t>
      </w:r>
      <w:r w:rsidR="001964B9" w:rsidRPr="008D508C">
        <w:rPr>
          <w:rFonts w:ascii="Times New Roman" w:hAnsi="Times New Roman" w:cs="Times New Roman"/>
          <w:sz w:val="20"/>
          <w:szCs w:val="20"/>
          <w:vertAlign w:val="subscript"/>
        </w:rPr>
        <w:t>mice</w:t>
      </w:r>
      <w:r w:rsidR="001964B9" w:rsidRPr="001964B9">
        <w:rPr>
          <w:rFonts w:ascii="Times New Roman" w:hAnsi="Times New Roman" w:cs="Times New Roman"/>
          <w:sz w:val="20"/>
          <w:szCs w:val="20"/>
        </w:rPr>
        <w:t>=6). High</w:t>
      </w:r>
      <w:r w:rsidR="00B8270B">
        <w:rPr>
          <w:rFonts w:ascii="Times New Roman" w:hAnsi="Times New Roman" w:cs="Times New Roman"/>
          <w:sz w:val="20"/>
          <w:szCs w:val="20"/>
        </w:rPr>
        <w:t>er</w:t>
      </w:r>
      <w:r w:rsidR="001964B9" w:rsidRPr="001964B9">
        <w:rPr>
          <w:rFonts w:ascii="Times New Roman" w:hAnsi="Times New Roman" w:cs="Times New Roman"/>
          <w:sz w:val="20"/>
          <w:szCs w:val="20"/>
        </w:rPr>
        <w:t xml:space="preserve"> dose (4 μM) </w:t>
      </w:r>
      <w:r w:rsidR="00B8270B">
        <w:rPr>
          <w:rFonts w:ascii="Times New Roman" w:hAnsi="Times New Roman" w:cs="Times New Roman"/>
          <w:sz w:val="20"/>
          <w:szCs w:val="20"/>
        </w:rPr>
        <w:t xml:space="preserve">of </w:t>
      </w:r>
      <w:r w:rsidR="001964B9" w:rsidRPr="001964B9">
        <w:rPr>
          <w:rFonts w:ascii="Times New Roman" w:hAnsi="Times New Roman" w:cs="Times New Roman"/>
          <w:sz w:val="20"/>
          <w:szCs w:val="20"/>
        </w:rPr>
        <w:t xml:space="preserve">AM251 </w:t>
      </w:r>
      <w:r w:rsidR="00B8270B">
        <w:rPr>
          <w:rFonts w:ascii="Times New Roman" w:hAnsi="Times New Roman" w:cs="Times New Roman"/>
          <w:sz w:val="20"/>
          <w:szCs w:val="20"/>
        </w:rPr>
        <w:t xml:space="preserve">(C) </w:t>
      </w:r>
      <w:r w:rsidR="00D63938">
        <w:rPr>
          <w:rFonts w:ascii="Times New Roman" w:hAnsi="Times New Roman" w:cs="Times New Roman"/>
          <w:sz w:val="20"/>
          <w:szCs w:val="20"/>
        </w:rPr>
        <w:t xml:space="preserve">blocked </w:t>
      </w:r>
      <w:r w:rsidR="001964B9" w:rsidRPr="001964B9">
        <w:rPr>
          <w:rFonts w:ascii="Times New Roman" w:hAnsi="Times New Roman" w:cs="Times New Roman"/>
          <w:sz w:val="20"/>
          <w:szCs w:val="20"/>
        </w:rPr>
        <w:t>the NPY-induced inhibition of mEPSCs frequencies (N</w:t>
      </w:r>
      <w:r w:rsidR="001964B9" w:rsidRPr="008D508C">
        <w:rPr>
          <w:rFonts w:ascii="Times New Roman" w:hAnsi="Times New Roman" w:cs="Times New Roman"/>
          <w:sz w:val="20"/>
          <w:szCs w:val="20"/>
          <w:vertAlign w:val="subscript"/>
        </w:rPr>
        <w:t>cells</w:t>
      </w:r>
      <w:r w:rsidR="001964B9" w:rsidRPr="001964B9">
        <w:rPr>
          <w:rFonts w:ascii="Times New Roman" w:hAnsi="Times New Roman" w:cs="Times New Roman"/>
          <w:sz w:val="20"/>
          <w:szCs w:val="20"/>
        </w:rPr>
        <w:t>=12; N</w:t>
      </w:r>
      <w:r w:rsidR="001964B9" w:rsidRPr="008D508C">
        <w:rPr>
          <w:rFonts w:ascii="Times New Roman" w:hAnsi="Times New Roman" w:cs="Times New Roman"/>
          <w:sz w:val="20"/>
          <w:szCs w:val="20"/>
          <w:vertAlign w:val="subscript"/>
        </w:rPr>
        <w:t>mice</w:t>
      </w:r>
      <w:r w:rsidR="001964B9" w:rsidRPr="001964B9">
        <w:rPr>
          <w:rFonts w:ascii="Times New Roman" w:hAnsi="Times New Roman" w:cs="Times New Roman"/>
          <w:sz w:val="20"/>
          <w:szCs w:val="20"/>
        </w:rPr>
        <w:t>=4).  Non-selective NOS inhibitor L-NAME</w:t>
      </w:r>
      <w:r w:rsidR="00B8270B">
        <w:rPr>
          <w:rFonts w:ascii="Times New Roman" w:hAnsi="Times New Roman" w:cs="Times New Roman"/>
          <w:sz w:val="20"/>
          <w:szCs w:val="20"/>
        </w:rPr>
        <w:t xml:space="preserve"> (D)</w:t>
      </w:r>
      <w:r w:rsidR="001964B9" w:rsidRPr="001964B9">
        <w:rPr>
          <w:rFonts w:ascii="Times New Roman" w:hAnsi="Times New Roman" w:cs="Times New Roman"/>
          <w:sz w:val="20"/>
          <w:szCs w:val="20"/>
        </w:rPr>
        <w:t xml:space="preserve"> (100 μM; N</w:t>
      </w:r>
      <w:r w:rsidR="001964B9" w:rsidRPr="008D508C">
        <w:rPr>
          <w:rFonts w:ascii="Times New Roman" w:hAnsi="Times New Roman" w:cs="Times New Roman"/>
          <w:sz w:val="20"/>
          <w:szCs w:val="20"/>
          <w:vertAlign w:val="subscript"/>
        </w:rPr>
        <w:t>cells</w:t>
      </w:r>
      <w:r w:rsidR="001964B9" w:rsidRPr="001964B9">
        <w:rPr>
          <w:rFonts w:ascii="Times New Roman" w:hAnsi="Times New Roman" w:cs="Times New Roman"/>
          <w:sz w:val="20"/>
          <w:szCs w:val="20"/>
        </w:rPr>
        <w:t>=8; N</w:t>
      </w:r>
      <w:r w:rsidR="001964B9" w:rsidRPr="008D508C">
        <w:rPr>
          <w:rFonts w:ascii="Times New Roman" w:hAnsi="Times New Roman" w:cs="Times New Roman"/>
          <w:sz w:val="20"/>
          <w:szCs w:val="20"/>
          <w:vertAlign w:val="subscript"/>
        </w:rPr>
        <w:t>mice</w:t>
      </w:r>
      <w:r w:rsidR="001964B9" w:rsidRPr="001964B9">
        <w:rPr>
          <w:rFonts w:ascii="Times New Roman" w:hAnsi="Times New Roman" w:cs="Times New Roman"/>
          <w:sz w:val="20"/>
          <w:szCs w:val="20"/>
        </w:rPr>
        <w:t>=6) did not influence</w:t>
      </w:r>
      <w:r w:rsidR="00D63938">
        <w:rPr>
          <w:rFonts w:ascii="Times New Roman" w:hAnsi="Times New Roman" w:cs="Times New Roman"/>
          <w:sz w:val="20"/>
          <w:szCs w:val="20"/>
        </w:rPr>
        <w:t xml:space="preserve"> (P</w:t>
      </w:r>
      <w:r w:rsidR="0076233D">
        <w:rPr>
          <w:rFonts w:ascii="Times New Roman" w:hAnsi="Times New Roman" w:cs="Times New Roman"/>
          <w:sz w:val="20"/>
          <w:szCs w:val="20"/>
        </w:rPr>
        <w:t>&lt;0.001, T=</w:t>
      </w:r>
      <w:r w:rsidR="0076233D" w:rsidRPr="0076233D">
        <w:t xml:space="preserve"> </w:t>
      </w:r>
      <w:r w:rsidR="0076233D" w:rsidRPr="0076233D">
        <w:rPr>
          <w:rFonts w:ascii="Times New Roman" w:hAnsi="Times New Roman" w:cs="Times New Roman"/>
          <w:sz w:val="20"/>
          <w:szCs w:val="20"/>
        </w:rPr>
        <w:t>6.494</w:t>
      </w:r>
      <w:r w:rsidR="00D63938">
        <w:rPr>
          <w:rFonts w:ascii="Times New Roman" w:hAnsi="Times New Roman" w:cs="Times New Roman"/>
          <w:sz w:val="20"/>
          <w:szCs w:val="20"/>
        </w:rPr>
        <w:t>)</w:t>
      </w:r>
      <w:r w:rsidR="001964B9" w:rsidRPr="001964B9">
        <w:rPr>
          <w:rFonts w:ascii="Times New Roman" w:hAnsi="Times New Roman" w:cs="Times New Roman"/>
          <w:sz w:val="20"/>
          <w:szCs w:val="20"/>
        </w:rPr>
        <w:t xml:space="preserve"> the effect of NPY on the mEPSC frequencies. </w:t>
      </w:r>
      <w:r w:rsidR="00B8270B">
        <w:rPr>
          <w:rFonts w:ascii="Times New Roman" w:hAnsi="Times New Roman" w:cs="Times New Roman"/>
          <w:sz w:val="20"/>
          <w:szCs w:val="20"/>
        </w:rPr>
        <w:t>C</w:t>
      </w:r>
      <w:r w:rsidR="001964B9" w:rsidRPr="001964B9">
        <w:rPr>
          <w:rFonts w:ascii="Times New Roman" w:hAnsi="Times New Roman" w:cs="Times New Roman"/>
          <w:sz w:val="20"/>
          <w:szCs w:val="20"/>
        </w:rPr>
        <w:t xml:space="preserve">ombination of low dose (1 μM) of AM251 and L-NAME </w:t>
      </w:r>
      <w:r w:rsidR="00B8270B">
        <w:rPr>
          <w:rFonts w:ascii="Times New Roman" w:hAnsi="Times New Roman" w:cs="Times New Roman"/>
          <w:sz w:val="20"/>
          <w:szCs w:val="20"/>
        </w:rPr>
        <w:t xml:space="preserve">(E), however, abolished </w:t>
      </w:r>
      <w:r w:rsidR="001964B9" w:rsidRPr="001964B9">
        <w:rPr>
          <w:rFonts w:ascii="Times New Roman" w:hAnsi="Times New Roman" w:cs="Times New Roman"/>
          <w:sz w:val="20"/>
          <w:szCs w:val="20"/>
        </w:rPr>
        <w:t>the effect of NPY on frequencies of mEPSCs (N</w:t>
      </w:r>
      <w:r w:rsidR="001964B9" w:rsidRPr="008D508C">
        <w:rPr>
          <w:rFonts w:ascii="Times New Roman" w:hAnsi="Times New Roman" w:cs="Times New Roman"/>
          <w:sz w:val="20"/>
          <w:szCs w:val="20"/>
          <w:vertAlign w:val="subscript"/>
        </w:rPr>
        <w:t>cells</w:t>
      </w:r>
      <w:r w:rsidR="001964B9" w:rsidRPr="001964B9">
        <w:rPr>
          <w:rFonts w:ascii="Times New Roman" w:hAnsi="Times New Roman" w:cs="Times New Roman"/>
          <w:sz w:val="20"/>
          <w:szCs w:val="20"/>
        </w:rPr>
        <w:t>=10; N</w:t>
      </w:r>
      <w:r w:rsidR="001964B9" w:rsidRPr="008D508C">
        <w:rPr>
          <w:rFonts w:ascii="Times New Roman" w:hAnsi="Times New Roman" w:cs="Times New Roman"/>
          <w:sz w:val="20"/>
          <w:szCs w:val="20"/>
          <w:vertAlign w:val="subscript"/>
        </w:rPr>
        <w:t>mice</w:t>
      </w:r>
      <w:r w:rsidR="001964B9" w:rsidRPr="001964B9">
        <w:rPr>
          <w:rFonts w:ascii="Times New Roman" w:hAnsi="Times New Roman" w:cs="Times New Roman"/>
          <w:sz w:val="20"/>
          <w:szCs w:val="20"/>
        </w:rPr>
        <w:t>=6). The selective nNOS inhibitor NPLA (100 nM; N</w:t>
      </w:r>
      <w:r w:rsidR="001964B9" w:rsidRPr="008D508C">
        <w:rPr>
          <w:rFonts w:ascii="Times New Roman" w:hAnsi="Times New Roman" w:cs="Times New Roman"/>
          <w:sz w:val="20"/>
          <w:szCs w:val="20"/>
          <w:vertAlign w:val="subscript"/>
        </w:rPr>
        <w:t>cells</w:t>
      </w:r>
      <w:r w:rsidR="001964B9" w:rsidRPr="001964B9">
        <w:rPr>
          <w:rFonts w:ascii="Times New Roman" w:hAnsi="Times New Roman" w:cs="Times New Roman"/>
          <w:sz w:val="20"/>
          <w:szCs w:val="20"/>
        </w:rPr>
        <w:t>=11; N</w:t>
      </w:r>
      <w:r w:rsidR="001964B9" w:rsidRPr="008D508C">
        <w:rPr>
          <w:rFonts w:ascii="Times New Roman" w:hAnsi="Times New Roman" w:cs="Times New Roman"/>
          <w:sz w:val="20"/>
          <w:szCs w:val="20"/>
          <w:vertAlign w:val="subscript"/>
        </w:rPr>
        <w:t>mice</w:t>
      </w:r>
      <w:r w:rsidR="001964B9" w:rsidRPr="001964B9">
        <w:rPr>
          <w:rFonts w:ascii="Times New Roman" w:hAnsi="Times New Roman" w:cs="Times New Roman"/>
          <w:sz w:val="20"/>
          <w:szCs w:val="20"/>
        </w:rPr>
        <w:t xml:space="preserve">=7) did not alter </w:t>
      </w:r>
      <w:r w:rsidR="0076233D">
        <w:rPr>
          <w:rFonts w:ascii="Times New Roman" w:hAnsi="Times New Roman" w:cs="Times New Roman"/>
          <w:sz w:val="20"/>
          <w:szCs w:val="20"/>
        </w:rPr>
        <w:t xml:space="preserve">(P=0.004, T= </w:t>
      </w:r>
      <w:r w:rsidR="0076233D" w:rsidRPr="0076233D">
        <w:rPr>
          <w:rFonts w:ascii="Times New Roman" w:hAnsi="Times New Roman" w:cs="Times New Roman"/>
          <w:sz w:val="20"/>
          <w:szCs w:val="20"/>
        </w:rPr>
        <w:t>3.124</w:t>
      </w:r>
      <w:r w:rsidR="0076233D">
        <w:rPr>
          <w:rFonts w:ascii="Times New Roman" w:hAnsi="Times New Roman" w:cs="Times New Roman"/>
          <w:sz w:val="20"/>
          <w:szCs w:val="20"/>
        </w:rPr>
        <w:t xml:space="preserve">) </w:t>
      </w:r>
      <w:r w:rsidR="001964B9" w:rsidRPr="001964B9">
        <w:rPr>
          <w:rFonts w:ascii="Times New Roman" w:hAnsi="Times New Roman" w:cs="Times New Roman"/>
          <w:sz w:val="20"/>
          <w:szCs w:val="20"/>
        </w:rPr>
        <w:t xml:space="preserve">the </w:t>
      </w:r>
      <w:r w:rsidR="00B8270B">
        <w:rPr>
          <w:rFonts w:ascii="Times New Roman" w:hAnsi="Times New Roman" w:cs="Times New Roman"/>
          <w:sz w:val="20"/>
          <w:szCs w:val="20"/>
        </w:rPr>
        <w:t>inhibitory</w:t>
      </w:r>
      <w:r w:rsidR="001964B9" w:rsidRPr="001964B9">
        <w:rPr>
          <w:rFonts w:ascii="Times New Roman" w:hAnsi="Times New Roman" w:cs="Times New Roman"/>
          <w:sz w:val="20"/>
          <w:szCs w:val="20"/>
        </w:rPr>
        <w:t xml:space="preserve"> effect of NPY (1 μM) on mEPSCs</w:t>
      </w:r>
      <w:r w:rsidR="00B8270B">
        <w:rPr>
          <w:rFonts w:ascii="Times New Roman" w:hAnsi="Times New Roman" w:cs="Times New Roman"/>
          <w:sz w:val="20"/>
          <w:szCs w:val="20"/>
        </w:rPr>
        <w:t xml:space="preserve"> (F)</w:t>
      </w:r>
      <w:r w:rsidR="001964B9" w:rsidRPr="001964B9">
        <w:rPr>
          <w:rFonts w:ascii="Times New Roman" w:hAnsi="Times New Roman" w:cs="Times New Roman"/>
          <w:sz w:val="20"/>
          <w:szCs w:val="20"/>
        </w:rPr>
        <w:t>.</w:t>
      </w:r>
      <w:r w:rsidR="0076233D">
        <w:rPr>
          <w:rFonts w:ascii="Times New Roman" w:hAnsi="Times New Roman" w:cs="Times New Roman"/>
          <w:sz w:val="20"/>
          <w:szCs w:val="20"/>
        </w:rPr>
        <w:t xml:space="preserve"> </w:t>
      </w:r>
      <w:r w:rsidR="00F65F7F" w:rsidRPr="00F65F7F">
        <w:rPr>
          <w:rFonts w:ascii="Times New Roman" w:hAnsi="Times New Roman" w:cs="Times New Roman"/>
          <w:sz w:val="20"/>
          <w:szCs w:val="20"/>
        </w:rPr>
        <w:t>Abbreviations: AM(1): 1 μM AM251 treatment; AM(4): 4 μM AM251 treatment; NP: NPLA treatment (100 nM); NA: L-NAME treatment (100 μM); AM+NA: 1 μM AM251 and L-NAME (100 μM) co-treatment.</w:t>
      </w:r>
    </w:p>
    <w:p w14:paraId="6B6D5CC6" w14:textId="6C25454D" w:rsidR="00812A51" w:rsidRDefault="00812A51">
      <w:pPr>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151D09D3" w14:textId="223BB5B1" w:rsidR="00812A51" w:rsidRDefault="00812A51" w:rsidP="00812A51">
      <w:pPr>
        <w:spacing w:after="160" w:line="259" w:lineRule="auto"/>
        <w:rPr>
          <w:rFonts w:ascii="Times New Roman" w:hAnsi="Times New Roman" w:cs="Times New Roman"/>
          <w:sz w:val="20"/>
          <w:szCs w:val="20"/>
        </w:rPr>
      </w:pPr>
      <w:r>
        <w:rPr>
          <w:rFonts w:ascii="Times New Roman" w:hAnsi="Times New Roman" w:cs="Times New Roman"/>
          <w:noProof/>
          <w:sz w:val="20"/>
          <w:szCs w:val="20"/>
          <w:lang w:val="hu-HU" w:eastAsia="hu-HU"/>
        </w:rPr>
        <w:lastRenderedPageBreak/>
        <w:drawing>
          <wp:inline distT="0" distB="0" distL="0" distR="0" wp14:anchorId="67B61945" wp14:editId="5C5AC4C2">
            <wp:extent cx="4206240" cy="37490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PFig4_i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06240" cy="3749040"/>
                    </a:xfrm>
                    <a:prstGeom prst="rect">
                      <a:avLst/>
                    </a:prstGeom>
                  </pic:spPr>
                </pic:pic>
              </a:graphicData>
            </a:graphic>
          </wp:inline>
        </w:drawing>
      </w:r>
    </w:p>
    <w:p w14:paraId="160E97E1" w14:textId="77777777" w:rsidR="00812A51" w:rsidRDefault="00812A51" w:rsidP="00812A51">
      <w:pPr>
        <w:spacing w:after="160" w:line="259" w:lineRule="auto"/>
        <w:rPr>
          <w:rFonts w:ascii="Times New Roman" w:hAnsi="Times New Roman" w:cs="Times New Roman"/>
          <w:sz w:val="20"/>
          <w:szCs w:val="20"/>
        </w:rPr>
      </w:pPr>
    </w:p>
    <w:p w14:paraId="11C74A4F" w14:textId="3B2A898A" w:rsidR="00812A51" w:rsidRDefault="00812A51" w:rsidP="00812A51">
      <w:pPr>
        <w:spacing w:after="160" w:line="259" w:lineRule="auto"/>
        <w:rPr>
          <w:rFonts w:ascii="Times New Roman" w:hAnsi="Times New Roman" w:cs="Times New Roman"/>
          <w:sz w:val="20"/>
          <w:szCs w:val="20"/>
        </w:rPr>
      </w:pPr>
      <w:r>
        <w:rPr>
          <w:rFonts w:ascii="Times New Roman" w:hAnsi="Times New Roman" w:cs="Times New Roman"/>
          <w:b/>
          <w:sz w:val="20"/>
          <w:szCs w:val="20"/>
        </w:rPr>
        <w:t xml:space="preserve">Supplementary Figure </w:t>
      </w:r>
      <w:r w:rsidR="00272B27">
        <w:rPr>
          <w:rFonts w:ascii="Times New Roman" w:hAnsi="Times New Roman" w:cs="Times New Roman"/>
          <w:b/>
          <w:sz w:val="20"/>
          <w:szCs w:val="20"/>
        </w:rPr>
        <w:t>3</w:t>
      </w:r>
      <w:r>
        <w:rPr>
          <w:rFonts w:ascii="Times New Roman" w:hAnsi="Times New Roman" w:cs="Times New Roman"/>
          <w:b/>
          <w:sz w:val="20"/>
          <w:szCs w:val="20"/>
        </w:rPr>
        <w:t xml:space="preserve">. </w:t>
      </w:r>
      <w:r w:rsidR="00B8270B">
        <w:rPr>
          <w:rFonts w:ascii="Times New Roman" w:hAnsi="Times New Roman" w:cs="Times New Roman"/>
          <w:b/>
          <w:sz w:val="20"/>
          <w:szCs w:val="20"/>
        </w:rPr>
        <w:t xml:space="preserve">Related to figure 4. Effects of BAPTA, AM251, and NPLA treatments on the effect of NPY on the mIPSC frequency of parvocellular PVN neurons. </w:t>
      </w:r>
      <w:r w:rsidR="0076233D" w:rsidRPr="0076233D">
        <w:rPr>
          <w:rFonts w:ascii="Times New Roman" w:hAnsi="Times New Roman" w:cs="Times New Roman"/>
          <w:sz w:val="20"/>
          <w:szCs w:val="20"/>
        </w:rPr>
        <w:t xml:space="preserve">Every measured parvocellular neuron is represented as line connected dots in different experimental conditions such as, control, antagonist only treatment, and antagonist+ NPY treatment. </w:t>
      </w:r>
      <w:r w:rsidR="008D508C">
        <w:rPr>
          <w:rFonts w:ascii="Times New Roman" w:hAnsi="Times New Roman" w:cs="Times New Roman"/>
          <w:sz w:val="20"/>
          <w:szCs w:val="20"/>
        </w:rPr>
        <w:t>I</w:t>
      </w:r>
      <w:r w:rsidR="0076233D" w:rsidRPr="0076233D">
        <w:rPr>
          <w:rFonts w:ascii="Times New Roman" w:hAnsi="Times New Roman" w:cs="Times New Roman"/>
          <w:sz w:val="20"/>
          <w:szCs w:val="20"/>
        </w:rPr>
        <w:t xml:space="preserve">ntracellularly applied BAPTA (10 mM) </w:t>
      </w:r>
      <w:r w:rsidR="008D508C">
        <w:rPr>
          <w:rFonts w:ascii="Times New Roman" w:hAnsi="Times New Roman" w:cs="Times New Roman"/>
          <w:sz w:val="20"/>
          <w:szCs w:val="20"/>
        </w:rPr>
        <w:t xml:space="preserve">(A) </w:t>
      </w:r>
      <w:r w:rsidR="0076233D" w:rsidRPr="0076233D">
        <w:rPr>
          <w:rFonts w:ascii="Times New Roman" w:hAnsi="Times New Roman" w:cs="Times New Roman"/>
          <w:sz w:val="20"/>
          <w:szCs w:val="20"/>
        </w:rPr>
        <w:t>completely abolished effects of</w:t>
      </w:r>
      <w:r w:rsidR="0076233D">
        <w:rPr>
          <w:rFonts w:ascii="Times New Roman" w:hAnsi="Times New Roman" w:cs="Times New Roman"/>
          <w:sz w:val="20"/>
          <w:szCs w:val="20"/>
        </w:rPr>
        <w:t xml:space="preserve"> NPY on the mIPSCs frequency (</w:t>
      </w:r>
      <w:r w:rsidR="0076233D" w:rsidRPr="0076233D">
        <w:rPr>
          <w:rFonts w:ascii="Times New Roman" w:hAnsi="Times New Roman" w:cs="Times New Roman"/>
          <w:sz w:val="20"/>
          <w:szCs w:val="20"/>
        </w:rPr>
        <w:t>N</w:t>
      </w:r>
      <w:r w:rsidR="0076233D" w:rsidRPr="0076233D">
        <w:rPr>
          <w:rFonts w:ascii="Times New Roman" w:hAnsi="Times New Roman" w:cs="Times New Roman"/>
          <w:sz w:val="20"/>
          <w:szCs w:val="20"/>
          <w:vertAlign w:val="subscript"/>
        </w:rPr>
        <w:t>cells</w:t>
      </w:r>
      <w:r w:rsidR="0076233D" w:rsidRPr="0076233D">
        <w:rPr>
          <w:rFonts w:ascii="Times New Roman" w:hAnsi="Times New Roman" w:cs="Times New Roman"/>
          <w:sz w:val="20"/>
          <w:szCs w:val="20"/>
        </w:rPr>
        <w:t>=</w:t>
      </w:r>
      <w:r w:rsidR="0076233D">
        <w:rPr>
          <w:rFonts w:ascii="Times New Roman" w:hAnsi="Times New Roman" w:cs="Times New Roman"/>
          <w:sz w:val="20"/>
          <w:szCs w:val="20"/>
        </w:rPr>
        <w:t>9</w:t>
      </w:r>
      <w:r w:rsidR="0076233D" w:rsidRPr="0076233D">
        <w:rPr>
          <w:rFonts w:ascii="Times New Roman" w:hAnsi="Times New Roman" w:cs="Times New Roman"/>
          <w:sz w:val="20"/>
          <w:szCs w:val="20"/>
        </w:rPr>
        <w:t>; N</w:t>
      </w:r>
      <w:r w:rsidR="0076233D" w:rsidRPr="0076233D">
        <w:rPr>
          <w:rFonts w:ascii="Times New Roman" w:hAnsi="Times New Roman" w:cs="Times New Roman"/>
          <w:sz w:val="20"/>
          <w:szCs w:val="20"/>
          <w:vertAlign w:val="subscript"/>
        </w:rPr>
        <w:t>mice</w:t>
      </w:r>
      <w:r w:rsidR="0076233D" w:rsidRPr="0076233D">
        <w:rPr>
          <w:rFonts w:ascii="Times New Roman" w:hAnsi="Times New Roman" w:cs="Times New Roman"/>
          <w:sz w:val="20"/>
          <w:szCs w:val="20"/>
        </w:rPr>
        <w:t>=</w:t>
      </w:r>
      <w:r w:rsidR="0076233D">
        <w:rPr>
          <w:rFonts w:ascii="Times New Roman" w:hAnsi="Times New Roman" w:cs="Times New Roman"/>
          <w:sz w:val="20"/>
          <w:szCs w:val="20"/>
        </w:rPr>
        <w:t>5</w:t>
      </w:r>
      <w:r w:rsidR="0076233D" w:rsidRPr="0076233D">
        <w:rPr>
          <w:rFonts w:ascii="Times New Roman" w:hAnsi="Times New Roman" w:cs="Times New Roman"/>
          <w:sz w:val="20"/>
          <w:szCs w:val="20"/>
        </w:rPr>
        <w:t>). High</w:t>
      </w:r>
      <w:r w:rsidR="008D508C">
        <w:rPr>
          <w:rFonts w:ascii="Times New Roman" w:hAnsi="Times New Roman" w:cs="Times New Roman"/>
          <w:sz w:val="20"/>
          <w:szCs w:val="20"/>
        </w:rPr>
        <w:t>er</w:t>
      </w:r>
      <w:r w:rsidR="0076233D" w:rsidRPr="0076233D">
        <w:rPr>
          <w:rFonts w:ascii="Times New Roman" w:hAnsi="Times New Roman" w:cs="Times New Roman"/>
          <w:sz w:val="20"/>
          <w:szCs w:val="20"/>
        </w:rPr>
        <w:t xml:space="preserve"> dose (4 μM) AM251 </w:t>
      </w:r>
      <w:r w:rsidR="008D508C">
        <w:rPr>
          <w:rFonts w:ascii="Times New Roman" w:hAnsi="Times New Roman" w:cs="Times New Roman"/>
          <w:sz w:val="20"/>
          <w:szCs w:val="20"/>
        </w:rPr>
        <w:t xml:space="preserve">(B) </w:t>
      </w:r>
      <w:r w:rsidR="0076233D" w:rsidRPr="0076233D">
        <w:rPr>
          <w:rFonts w:ascii="Times New Roman" w:hAnsi="Times New Roman" w:cs="Times New Roman"/>
          <w:sz w:val="20"/>
          <w:szCs w:val="20"/>
        </w:rPr>
        <w:t>blocked the NPY-induced inhibition of m</w:t>
      </w:r>
      <w:r w:rsidR="0076233D">
        <w:rPr>
          <w:rFonts w:ascii="Times New Roman" w:hAnsi="Times New Roman" w:cs="Times New Roman"/>
          <w:sz w:val="20"/>
          <w:szCs w:val="20"/>
        </w:rPr>
        <w:t>I</w:t>
      </w:r>
      <w:r w:rsidR="0076233D" w:rsidRPr="0076233D">
        <w:rPr>
          <w:rFonts w:ascii="Times New Roman" w:hAnsi="Times New Roman" w:cs="Times New Roman"/>
          <w:sz w:val="20"/>
          <w:szCs w:val="20"/>
        </w:rPr>
        <w:t>PSCs frequencies (N</w:t>
      </w:r>
      <w:r w:rsidR="0076233D" w:rsidRPr="0076233D">
        <w:rPr>
          <w:rFonts w:ascii="Times New Roman" w:hAnsi="Times New Roman" w:cs="Times New Roman"/>
          <w:sz w:val="20"/>
          <w:szCs w:val="20"/>
          <w:vertAlign w:val="subscript"/>
        </w:rPr>
        <w:t>cells</w:t>
      </w:r>
      <w:r w:rsidR="0076233D" w:rsidRPr="0076233D">
        <w:rPr>
          <w:rFonts w:ascii="Times New Roman" w:hAnsi="Times New Roman" w:cs="Times New Roman"/>
          <w:sz w:val="20"/>
          <w:szCs w:val="20"/>
        </w:rPr>
        <w:t>=1</w:t>
      </w:r>
      <w:r w:rsidR="0076233D">
        <w:rPr>
          <w:rFonts w:ascii="Times New Roman" w:hAnsi="Times New Roman" w:cs="Times New Roman"/>
          <w:sz w:val="20"/>
          <w:szCs w:val="20"/>
        </w:rPr>
        <w:t>5</w:t>
      </w:r>
      <w:r w:rsidR="0076233D" w:rsidRPr="0076233D">
        <w:rPr>
          <w:rFonts w:ascii="Times New Roman" w:hAnsi="Times New Roman" w:cs="Times New Roman"/>
          <w:sz w:val="20"/>
          <w:szCs w:val="20"/>
        </w:rPr>
        <w:t>; N</w:t>
      </w:r>
      <w:r w:rsidR="0076233D" w:rsidRPr="0076233D">
        <w:rPr>
          <w:rFonts w:ascii="Times New Roman" w:hAnsi="Times New Roman" w:cs="Times New Roman"/>
          <w:sz w:val="20"/>
          <w:szCs w:val="20"/>
          <w:vertAlign w:val="subscript"/>
        </w:rPr>
        <w:t>mice</w:t>
      </w:r>
      <w:r w:rsidR="0076233D">
        <w:rPr>
          <w:rFonts w:ascii="Times New Roman" w:hAnsi="Times New Roman" w:cs="Times New Roman"/>
          <w:sz w:val="20"/>
          <w:szCs w:val="20"/>
        </w:rPr>
        <w:t>=6</w:t>
      </w:r>
      <w:r w:rsidR="0076233D" w:rsidRPr="0076233D">
        <w:rPr>
          <w:rFonts w:ascii="Times New Roman" w:hAnsi="Times New Roman" w:cs="Times New Roman"/>
          <w:sz w:val="20"/>
          <w:szCs w:val="20"/>
        </w:rPr>
        <w:t>).</w:t>
      </w:r>
      <w:r w:rsidR="0076233D">
        <w:rPr>
          <w:rFonts w:ascii="Times New Roman" w:hAnsi="Times New Roman" w:cs="Times New Roman"/>
          <w:sz w:val="20"/>
          <w:szCs w:val="20"/>
        </w:rPr>
        <w:t xml:space="preserve"> </w:t>
      </w:r>
      <w:r w:rsidR="0076233D" w:rsidRPr="0076233D">
        <w:rPr>
          <w:rFonts w:ascii="Times New Roman" w:hAnsi="Times New Roman" w:cs="Times New Roman"/>
          <w:sz w:val="20"/>
          <w:szCs w:val="20"/>
        </w:rPr>
        <w:t>The selective nNOS inhibitor NPLA (100 nM; N</w:t>
      </w:r>
      <w:r w:rsidR="0076233D" w:rsidRPr="0076233D">
        <w:rPr>
          <w:rFonts w:ascii="Times New Roman" w:hAnsi="Times New Roman" w:cs="Times New Roman"/>
          <w:sz w:val="20"/>
          <w:szCs w:val="20"/>
          <w:vertAlign w:val="subscript"/>
        </w:rPr>
        <w:t>cells</w:t>
      </w:r>
      <w:r w:rsidR="0076233D">
        <w:rPr>
          <w:rFonts w:ascii="Times New Roman" w:hAnsi="Times New Roman" w:cs="Times New Roman"/>
          <w:sz w:val="20"/>
          <w:szCs w:val="20"/>
        </w:rPr>
        <w:t>=15</w:t>
      </w:r>
      <w:r w:rsidR="0076233D" w:rsidRPr="0076233D">
        <w:rPr>
          <w:rFonts w:ascii="Times New Roman" w:hAnsi="Times New Roman" w:cs="Times New Roman"/>
          <w:sz w:val="20"/>
          <w:szCs w:val="20"/>
        </w:rPr>
        <w:t>; N</w:t>
      </w:r>
      <w:r w:rsidR="0076233D" w:rsidRPr="0076233D">
        <w:rPr>
          <w:rFonts w:ascii="Times New Roman" w:hAnsi="Times New Roman" w:cs="Times New Roman"/>
          <w:sz w:val="20"/>
          <w:szCs w:val="20"/>
          <w:vertAlign w:val="subscript"/>
        </w:rPr>
        <w:t>mice</w:t>
      </w:r>
      <w:r w:rsidR="0076233D">
        <w:rPr>
          <w:rFonts w:ascii="Times New Roman" w:hAnsi="Times New Roman" w:cs="Times New Roman"/>
          <w:sz w:val="20"/>
          <w:szCs w:val="20"/>
        </w:rPr>
        <w:t>=6</w:t>
      </w:r>
      <w:r w:rsidR="0076233D" w:rsidRPr="0076233D">
        <w:rPr>
          <w:rFonts w:ascii="Times New Roman" w:hAnsi="Times New Roman" w:cs="Times New Roman"/>
          <w:sz w:val="20"/>
          <w:szCs w:val="20"/>
        </w:rPr>
        <w:t>)</w:t>
      </w:r>
      <w:r w:rsidR="0076233D">
        <w:rPr>
          <w:rFonts w:ascii="Times New Roman" w:hAnsi="Times New Roman" w:cs="Times New Roman"/>
          <w:sz w:val="20"/>
          <w:szCs w:val="20"/>
        </w:rPr>
        <w:t xml:space="preserve"> </w:t>
      </w:r>
      <w:r w:rsidR="0076233D" w:rsidRPr="0076233D">
        <w:rPr>
          <w:rFonts w:ascii="Times New Roman" w:hAnsi="Times New Roman" w:cs="Times New Roman"/>
          <w:sz w:val="20"/>
          <w:szCs w:val="20"/>
        </w:rPr>
        <w:t>abolished the effect of NPY on the event frequencies of mIPSCs</w:t>
      </w:r>
      <w:r w:rsidR="008D508C">
        <w:rPr>
          <w:rFonts w:ascii="Times New Roman" w:hAnsi="Times New Roman" w:cs="Times New Roman"/>
          <w:sz w:val="20"/>
          <w:szCs w:val="20"/>
        </w:rPr>
        <w:t xml:space="preserve"> (C)</w:t>
      </w:r>
      <w:r w:rsidR="0076233D">
        <w:rPr>
          <w:rFonts w:ascii="Times New Roman" w:hAnsi="Times New Roman" w:cs="Times New Roman"/>
          <w:sz w:val="20"/>
          <w:szCs w:val="20"/>
        </w:rPr>
        <w:t xml:space="preserve">.  </w:t>
      </w:r>
      <w:r w:rsidR="0076233D" w:rsidRPr="003D04A4">
        <w:rPr>
          <w:rFonts w:ascii="Times New Roman" w:hAnsi="Times New Roman" w:cs="Times New Roman"/>
          <w:sz w:val="20"/>
          <w:szCs w:val="20"/>
        </w:rPr>
        <w:t>Abbreviations: AM(4): 4 μM AM251 treatment; NP: NPLA treatment</w:t>
      </w:r>
      <w:r w:rsidR="0076233D">
        <w:rPr>
          <w:rFonts w:ascii="Times New Roman" w:hAnsi="Times New Roman" w:cs="Times New Roman"/>
          <w:sz w:val="20"/>
          <w:szCs w:val="20"/>
        </w:rPr>
        <w:t xml:space="preserve"> </w:t>
      </w:r>
      <w:r w:rsidR="0076233D" w:rsidRPr="003D04A4">
        <w:rPr>
          <w:rFonts w:ascii="Times New Roman" w:hAnsi="Times New Roman" w:cs="Times New Roman"/>
          <w:sz w:val="20"/>
          <w:szCs w:val="20"/>
        </w:rPr>
        <w:t>(100 nM</w:t>
      </w:r>
      <w:r w:rsidR="0076233D">
        <w:rPr>
          <w:rFonts w:ascii="Times New Roman" w:hAnsi="Times New Roman" w:cs="Times New Roman"/>
          <w:sz w:val="20"/>
          <w:szCs w:val="20"/>
        </w:rPr>
        <w:t xml:space="preserve">). </w:t>
      </w:r>
    </w:p>
    <w:p w14:paraId="63385675" w14:textId="2304DF62" w:rsidR="00812A51" w:rsidRDefault="00812A51">
      <w:pPr>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7534573B" w14:textId="77777777" w:rsidR="008D508C" w:rsidRDefault="008D508C" w:rsidP="008D508C">
      <w:pPr>
        <w:spacing w:after="160" w:line="259" w:lineRule="auto"/>
        <w:rPr>
          <w:rFonts w:ascii="Times New Roman" w:hAnsi="Times New Roman" w:cs="Times New Roman"/>
          <w:sz w:val="20"/>
          <w:szCs w:val="20"/>
        </w:rPr>
      </w:pPr>
      <w:r>
        <w:rPr>
          <w:rFonts w:ascii="Times New Roman" w:hAnsi="Times New Roman" w:cs="Times New Roman"/>
          <w:noProof/>
          <w:sz w:val="20"/>
          <w:szCs w:val="20"/>
          <w:lang w:val="hu-HU" w:eastAsia="hu-HU"/>
        </w:rPr>
        <w:lastRenderedPageBreak/>
        <w:drawing>
          <wp:inline distT="0" distB="0" distL="0" distR="0" wp14:anchorId="41CABA8D" wp14:editId="196384AC">
            <wp:extent cx="4495800" cy="5115446"/>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_Fig1_001B.jpg"/>
                    <pic:cNvPicPr/>
                  </pic:nvPicPr>
                  <pic:blipFill rotWithShape="1">
                    <a:blip r:embed="rId10" cstate="print">
                      <a:extLst>
                        <a:ext uri="{28A0092B-C50C-407E-A947-70E740481C1C}">
                          <a14:useLocalDpi xmlns:a14="http://schemas.microsoft.com/office/drawing/2010/main" val="0"/>
                        </a:ext>
                      </a:extLst>
                    </a:blip>
                    <a:srcRect t="2306" b="18922"/>
                    <a:stretch/>
                  </pic:blipFill>
                  <pic:spPr bwMode="auto">
                    <a:xfrm>
                      <a:off x="0" y="0"/>
                      <a:ext cx="4502773" cy="5123380"/>
                    </a:xfrm>
                    <a:prstGeom prst="rect">
                      <a:avLst/>
                    </a:prstGeom>
                    <a:ln>
                      <a:noFill/>
                    </a:ln>
                    <a:extLst>
                      <a:ext uri="{53640926-AAD7-44D8-BBD7-CCE9431645EC}">
                        <a14:shadowObscured xmlns:a14="http://schemas.microsoft.com/office/drawing/2010/main"/>
                      </a:ext>
                    </a:extLst>
                  </pic:spPr>
                </pic:pic>
              </a:graphicData>
            </a:graphic>
          </wp:inline>
        </w:drawing>
      </w:r>
    </w:p>
    <w:p w14:paraId="7B39D885" w14:textId="74036871" w:rsidR="008D508C" w:rsidRDefault="008D508C" w:rsidP="008D508C">
      <w:pPr>
        <w:spacing w:after="160" w:line="259" w:lineRule="auto"/>
        <w:rPr>
          <w:rFonts w:ascii="Times New Roman" w:hAnsi="Times New Roman" w:cs="Times New Roman"/>
          <w:sz w:val="20"/>
          <w:szCs w:val="20"/>
        </w:rPr>
      </w:pPr>
      <w:bookmarkStart w:id="8" w:name="_Hlk521328699"/>
      <w:r w:rsidRPr="00F303D8">
        <w:rPr>
          <w:rFonts w:ascii="Times New Roman" w:hAnsi="Times New Roman" w:cs="Times New Roman"/>
          <w:b/>
          <w:sz w:val="20"/>
          <w:szCs w:val="20"/>
        </w:rPr>
        <w:t xml:space="preserve">Supplementary Figure </w:t>
      </w:r>
      <w:r>
        <w:rPr>
          <w:rFonts w:ascii="Times New Roman" w:hAnsi="Times New Roman" w:cs="Times New Roman"/>
          <w:b/>
          <w:sz w:val="20"/>
          <w:szCs w:val="20"/>
        </w:rPr>
        <w:t>4.</w:t>
      </w:r>
      <w:r w:rsidRPr="00F303D8">
        <w:rPr>
          <w:rFonts w:ascii="Times New Roman" w:hAnsi="Times New Roman" w:cs="Times New Roman"/>
          <w:b/>
          <w:sz w:val="20"/>
          <w:szCs w:val="20"/>
        </w:rPr>
        <w:t xml:space="preserve"> Effects of the CB1 and NOS inhibitors on the inputs of the parvocellular neurons in the PVN. </w:t>
      </w:r>
      <w:r w:rsidRPr="00D605CD">
        <w:rPr>
          <w:rFonts w:ascii="Times New Roman" w:hAnsi="Times New Roman" w:cs="Times New Roman"/>
          <w:sz w:val="20"/>
          <w:szCs w:val="20"/>
        </w:rPr>
        <w:t xml:space="preserve">Bar graphs (A and B) show the effect of different inhibitor treatments </w:t>
      </w:r>
      <w:bookmarkEnd w:id="8"/>
      <w:r w:rsidRPr="00D605CD">
        <w:rPr>
          <w:rFonts w:ascii="Times New Roman" w:hAnsi="Times New Roman" w:cs="Times New Roman"/>
          <w:sz w:val="20"/>
          <w:szCs w:val="20"/>
        </w:rPr>
        <w:t xml:space="preserve">without NPY treatment on the frequency of the mEPSCs (A) and mIPSCs (B) of the parvocellular neurons in the PVN. Administration of 1 μM </w:t>
      </w:r>
      <w:r w:rsidRPr="00272B27">
        <w:rPr>
          <w:rFonts w:ascii="Times New Roman" w:hAnsi="Times New Roman" w:cs="Times New Roman"/>
          <w:sz w:val="20"/>
          <w:szCs w:val="20"/>
        </w:rPr>
        <w:t>(N</w:t>
      </w:r>
      <w:r w:rsidRPr="00272B27">
        <w:rPr>
          <w:rFonts w:ascii="Times New Roman" w:hAnsi="Times New Roman" w:cs="Times New Roman"/>
          <w:sz w:val="20"/>
          <w:szCs w:val="20"/>
          <w:vertAlign w:val="subscript"/>
        </w:rPr>
        <w:t>cells</w:t>
      </w:r>
      <w:r w:rsidRPr="00272B27" w:rsidDel="00596233">
        <w:rPr>
          <w:rFonts w:ascii="Times New Roman" w:hAnsi="Times New Roman" w:cs="Times New Roman"/>
          <w:sz w:val="20"/>
          <w:szCs w:val="20"/>
        </w:rPr>
        <w:t xml:space="preserve"> </w:t>
      </w:r>
      <w:r w:rsidRPr="00272B27">
        <w:rPr>
          <w:rFonts w:ascii="Times New Roman" w:hAnsi="Times New Roman" w:cs="Times New Roman"/>
          <w:sz w:val="20"/>
          <w:szCs w:val="20"/>
        </w:rPr>
        <w:t xml:space="preserve">=12; </w:t>
      </w:r>
      <w:bookmarkStart w:id="9" w:name="_Hlk521326712"/>
      <w:r w:rsidRPr="00272B27">
        <w:rPr>
          <w:rFonts w:ascii="Times New Roman" w:hAnsi="Times New Roman" w:cs="Times New Roman"/>
          <w:sz w:val="20"/>
          <w:szCs w:val="20"/>
        </w:rPr>
        <w:t>N</w:t>
      </w:r>
      <w:r w:rsidRPr="00272B27">
        <w:rPr>
          <w:rFonts w:ascii="Times New Roman" w:hAnsi="Times New Roman" w:cs="Times New Roman"/>
          <w:sz w:val="20"/>
          <w:szCs w:val="20"/>
          <w:vertAlign w:val="subscript"/>
        </w:rPr>
        <w:t>mice</w:t>
      </w:r>
      <w:r w:rsidRPr="00272B27">
        <w:rPr>
          <w:rFonts w:ascii="Times New Roman" w:hAnsi="Times New Roman" w:cs="Times New Roman"/>
          <w:sz w:val="20"/>
          <w:szCs w:val="20"/>
        </w:rPr>
        <w:t>=6</w:t>
      </w:r>
      <w:bookmarkEnd w:id="9"/>
      <w:r w:rsidRPr="00272B27">
        <w:rPr>
          <w:rFonts w:ascii="Times New Roman" w:hAnsi="Times New Roman" w:cs="Times New Roman"/>
          <w:sz w:val="20"/>
          <w:szCs w:val="20"/>
        </w:rPr>
        <w:t>)</w:t>
      </w:r>
      <w:r w:rsidRPr="00D605CD">
        <w:rPr>
          <w:rFonts w:ascii="Times New Roman" w:hAnsi="Times New Roman" w:cs="Times New Roman"/>
          <w:sz w:val="20"/>
          <w:szCs w:val="20"/>
        </w:rPr>
        <w:t xml:space="preserve">or 4 μM </w:t>
      </w:r>
      <w:r>
        <w:rPr>
          <w:rFonts w:ascii="Times New Roman" w:hAnsi="Times New Roman" w:cs="Times New Roman"/>
          <w:sz w:val="20"/>
          <w:szCs w:val="20"/>
        </w:rPr>
        <w:t>(N</w:t>
      </w:r>
      <w:r w:rsidRPr="00272B27">
        <w:rPr>
          <w:rFonts w:ascii="Times New Roman" w:hAnsi="Times New Roman" w:cs="Times New Roman"/>
          <w:sz w:val="20"/>
          <w:szCs w:val="20"/>
          <w:vertAlign w:val="subscript"/>
        </w:rPr>
        <w:t>cells</w:t>
      </w:r>
      <w:r>
        <w:rPr>
          <w:rFonts w:ascii="Times New Roman" w:hAnsi="Times New Roman" w:cs="Times New Roman"/>
          <w:sz w:val="20"/>
          <w:szCs w:val="20"/>
        </w:rPr>
        <w:t xml:space="preserve"> N=12; N</w:t>
      </w:r>
      <w:r w:rsidRPr="00272B27">
        <w:rPr>
          <w:rFonts w:ascii="Times New Roman" w:hAnsi="Times New Roman" w:cs="Times New Roman"/>
          <w:sz w:val="20"/>
          <w:szCs w:val="20"/>
          <w:vertAlign w:val="subscript"/>
        </w:rPr>
        <w:t>mice</w:t>
      </w:r>
      <w:r>
        <w:rPr>
          <w:rFonts w:ascii="Times New Roman" w:hAnsi="Times New Roman" w:cs="Times New Roman"/>
          <w:sz w:val="20"/>
          <w:szCs w:val="20"/>
        </w:rPr>
        <w:t>=4</w:t>
      </w:r>
      <w:r w:rsidRPr="00D605CD">
        <w:rPr>
          <w:rFonts w:ascii="Times New Roman" w:hAnsi="Times New Roman" w:cs="Times New Roman"/>
          <w:sz w:val="20"/>
          <w:szCs w:val="20"/>
        </w:rPr>
        <w:t>) CB1 receptor antagonist AM251, the non-selective NOS inhibitor L-NAME (</w:t>
      </w:r>
      <w:r w:rsidRPr="00272B27">
        <w:rPr>
          <w:rFonts w:ascii="Times New Roman" w:hAnsi="Times New Roman" w:cs="Times New Roman"/>
          <w:sz w:val="20"/>
          <w:szCs w:val="20"/>
        </w:rPr>
        <w:t>N</w:t>
      </w:r>
      <w:r w:rsidRPr="00272B27">
        <w:rPr>
          <w:rFonts w:ascii="Times New Roman" w:hAnsi="Times New Roman" w:cs="Times New Roman"/>
          <w:sz w:val="20"/>
          <w:szCs w:val="20"/>
          <w:vertAlign w:val="subscript"/>
        </w:rPr>
        <w:t>cells</w:t>
      </w:r>
      <w:r w:rsidRPr="00272B27">
        <w:rPr>
          <w:rFonts w:ascii="Times New Roman" w:hAnsi="Times New Roman" w:cs="Times New Roman"/>
          <w:sz w:val="20"/>
          <w:szCs w:val="20"/>
        </w:rPr>
        <w:t>=8; N</w:t>
      </w:r>
      <w:r w:rsidRPr="00272B27">
        <w:rPr>
          <w:rFonts w:ascii="Times New Roman" w:hAnsi="Times New Roman" w:cs="Times New Roman"/>
          <w:sz w:val="20"/>
          <w:szCs w:val="20"/>
          <w:vertAlign w:val="subscript"/>
        </w:rPr>
        <w:t>mice</w:t>
      </w:r>
      <w:r w:rsidRPr="00272B27">
        <w:rPr>
          <w:rFonts w:ascii="Times New Roman" w:hAnsi="Times New Roman" w:cs="Times New Roman"/>
          <w:sz w:val="20"/>
          <w:szCs w:val="20"/>
        </w:rPr>
        <w:t>=6</w:t>
      </w:r>
      <w:r w:rsidRPr="00D605CD">
        <w:rPr>
          <w:rFonts w:ascii="Times New Roman" w:hAnsi="Times New Roman" w:cs="Times New Roman"/>
          <w:sz w:val="20"/>
          <w:szCs w:val="20"/>
        </w:rPr>
        <w:t>) nor the selective nNOS inhibitor NPLA (</w:t>
      </w:r>
      <w:r w:rsidRPr="00272B27">
        <w:rPr>
          <w:rFonts w:ascii="Times New Roman" w:hAnsi="Times New Roman" w:cs="Times New Roman"/>
          <w:sz w:val="20"/>
          <w:szCs w:val="20"/>
        </w:rPr>
        <w:t>N</w:t>
      </w:r>
      <w:r w:rsidRPr="00272B27">
        <w:rPr>
          <w:rFonts w:ascii="Times New Roman" w:hAnsi="Times New Roman" w:cs="Times New Roman"/>
          <w:sz w:val="20"/>
          <w:szCs w:val="20"/>
          <w:vertAlign w:val="subscript"/>
        </w:rPr>
        <w:t>cells</w:t>
      </w:r>
      <w:r w:rsidRPr="00272B27">
        <w:rPr>
          <w:rFonts w:ascii="Times New Roman" w:hAnsi="Times New Roman" w:cs="Times New Roman"/>
          <w:sz w:val="20"/>
          <w:szCs w:val="20"/>
        </w:rPr>
        <w:t>=11; N</w:t>
      </w:r>
      <w:r w:rsidRPr="00272B27">
        <w:rPr>
          <w:rFonts w:ascii="Times New Roman" w:hAnsi="Times New Roman" w:cs="Times New Roman"/>
          <w:sz w:val="20"/>
          <w:szCs w:val="20"/>
          <w:vertAlign w:val="subscript"/>
        </w:rPr>
        <w:t>mice</w:t>
      </w:r>
      <w:r w:rsidRPr="00272B27">
        <w:rPr>
          <w:rFonts w:ascii="Times New Roman" w:hAnsi="Times New Roman" w:cs="Times New Roman"/>
          <w:sz w:val="20"/>
          <w:szCs w:val="20"/>
        </w:rPr>
        <w:t>=7</w:t>
      </w:r>
      <w:r w:rsidRPr="00D605CD">
        <w:rPr>
          <w:rFonts w:ascii="Times New Roman" w:hAnsi="Times New Roman" w:cs="Times New Roman"/>
          <w:sz w:val="20"/>
          <w:szCs w:val="20"/>
        </w:rPr>
        <w:t>) had any effect on the frequencies of mEPSCs. The combination of L-NAME and the subthreshold dose of AM251 (1μM) also did not affect significantly the frequencies of mEPSCs (N</w:t>
      </w:r>
      <w:r w:rsidRPr="00272B27">
        <w:rPr>
          <w:rFonts w:ascii="Times New Roman" w:hAnsi="Times New Roman" w:cs="Times New Roman"/>
          <w:sz w:val="20"/>
          <w:szCs w:val="20"/>
          <w:vertAlign w:val="subscript"/>
        </w:rPr>
        <w:t>cells</w:t>
      </w:r>
      <w:r w:rsidRPr="00D605CD">
        <w:rPr>
          <w:rFonts w:ascii="Times New Roman" w:hAnsi="Times New Roman" w:cs="Times New Roman"/>
          <w:sz w:val="20"/>
          <w:szCs w:val="20"/>
        </w:rPr>
        <w:t>=10; N</w:t>
      </w:r>
      <w:r w:rsidRPr="00272B27">
        <w:rPr>
          <w:rFonts w:ascii="Times New Roman" w:hAnsi="Times New Roman" w:cs="Times New Roman"/>
          <w:sz w:val="20"/>
          <w:szCs w:val="20"/>
          <w:vertAlign w:val="subscript"/>
        </w:rPr>
        <w:t>mice</w:t>
      </w:r>
      <w:r w:rsidRPr="00D605CD">
        <w:rPr>
          <w:rFonts w:ascii="Times New Roman" w:hAnsi="Times New Roman" w:cs="Times New Roman"/>
          <w:sz w:val="20"/>
          <w:szCs w:val="20"/>
        </w:rPr>
        <w:t>=6; A). (B) Event frequencies of mIPSCs were not affected by either the 4 μM AM251 treatment (</w:t>
      </w:r>
      <w:r w:rsidRPr="00272B27">
        <w:rPr>
          <w:rFonts w:ascii="Times New Roman" w:hAnsi="Times New Roman" w:cs="Times New Roman"/>
          <w:sz w:val="20"/>
          <w:szCs w:val="20"/>
        </w:rPr>
        <w:t>N</w:t>
      </w:r>
      <w:r w:rsidRPr="00272B27">
        <w:rPr>
          <w:rFonts w:ascii="Times New Roman" w:hAnsi="Times New Roman" w:cs="Times New Roman"/>
          <w:sz w:val="20"/>
          <w:szCs w:val="20"/>
          <w:vertAlign w:val="subscript"/>
        </w:rPr>
        <w:t>cells</w:t>
      </w:r>
      <w:r w:rsidRPr="00272B27">
        <w:rPr>
          <w:rFonts w:ascii="Times New Roman" w:hAnsi="Times New Roman" w:cs="Times New Roman"/>
          <w:sz w:val="20"/>
          <w:szCs w:val="20"/>
        </w:rPr>
        <w:t>=15; N</w:t>
      </w:r>
      <w:r w:rsidRPr="00272B27">
        <w:rPr>
          <w:rFonts w:ascii="Times New Roman" w:hAnsi="Times New Roman" w:cs="Times New Roman"/>
          <w:sz w:val="20"/>
          <w:szCs w:val="20"/>
          <w:vertAlign w:val="subscript"/>
        </w:rPr>
        <w:t>mice</w:t>
      </w:r>
      <w:r w:rsidRPr="00272B27">
        <w:rPr>
          <w:rFonts w:ascii="Times New Roman" w:hAnsi="Times New Roman" w:cs="Times New Roman"/>
          <w:sz w:val="20"/>
          <w:szCs w:val="20"/>
        </w:rPr>
        <w:t>=6</w:t>
      </w:r>
      <w:r w:rsidRPr="00D605CD">
        <w:rPr>
          <w:rFonts w:ascii="Times New Roman" w:hAnsi="Times New Roman" w:cs="Times New Roman"/>
          <w:sz w:val="20"/>
          <w:szCs w:val="20"/>
        </w:rPr>
        <w:t>) or NPLA treatment (</w:t>
      </w:r>
      <w:r w:rsidRPr="00272B27">
        <w:rPr>
          <w:rFonts w:ascii="Times New Roman" w:hAnsi="Times New Roman" w:cs="Times New Roman"/>
          <w:sz w:val="20"/>
          <w:szCs w:val="20"/>
        </w:rPr>
        <w:t>N</w:t>
      </w:r>
      <w:r w:rsidRPr="00272B27">
        <w:rPr>
          <w:rFonts w:ascii="Times New Roman" w:hAnsi="Times New Roman" w:cs="Times New Roman"/>
          <w:sz w:val="20"/>
          <w:szCs w:val="20"/>
          <w:vertAlign w:val="subscript"/>
        </w:rPr>
        <w:t>cells</w:t>
      </w:r>
      <w:r w:rsidRPr="00272B27">
        <w:rPr>
          <w:rFonts w:ascii="Times New Roman" w:hAnsi="Times New Roman" w:cs="Times New Roman"/>
          <w:sz w:val="20"/>
          <w:szCs w:val="20"/>
        </w:rPr>
        <w:t>=15; N</w:t>
      </w:r>
      <w:r w:rsidRPr="00272B27">
        <w:rPr>
          <w:rFonts w:ascii="Times New Roman" w:hAnsi="Times New Roman" w:cs="Times New Roman"/>
          <w:sz w:val="20"/>
          <w:szCs w:val="20"/>
          <w:vertAlign w:val="subscript"/>
        </w:rPr>
        <w:t>mice</w:t>
      </w:r>
      <w:r w:rsidRPr="00272B27">
        <w:rPr>
          <w:rFonts w:ascii="Times New Roman" w:hAnsi="Times New Roman" w:cs="Times New Roman"/>
          <w:sz w:val="20"/>
          <w:szCs w:val="20"/>
        </w:rPr>
        <w:t>=6</w:t>
      </w:r>
      <w:r w:rsidRPr="00D605CD">
        <w:rPr>
          <w:rFonts w:ascii="Times New Roman" w:hAnsi="Times New Roman" w:cs="Times New Roman"/>
          <w:sz w:val="20"/>
          <w:szCs w:val="20"/>
        </w:rPr>
        <w:t xml:space="preserve">) when neurons were treated alone with the inhibitors. </w:t>
      </w:r>
      <w:r w:rsidRPr="00D605CD">
        <w:rPr>
          <w:rFonts w:ascii="Times New Roman" w:hAnsi="Times New Roman" w:cs="Times New Roman"/>
          <w:sz w:val="20"/>
          <w:szCs w:val="20"/>
        </w:rPr>
        <w:br/>
        <w:t>Representative whole-cell patch-clamp recordings (C) illustrate the effects of CB1 and nNOS inhibition on the NPY induced regulation of the frequency of mEPSCs of the parvocellular neurons. These data are shown as bar graphs on Fig.4.A. Abbreviations: AM(1): 1 μM AM251 treatment; AM(4): 4 μM AM251 treatment; NP: NPLA treatment; NA: L-NAME treatment; AM+NA: 1 μM AM251 and L-NAME co-treatment. </w:t>
      </w:r>
    </w:p>
    <w:p w14:paraId="627D7898" w14:textId="77777777" w:rsidR="00221A23" w:rsidRPr="00F303D8" w:rsidRDefault="00221A23" w:rsidP="00221A23">
      <w:pPr>
        <w:rPr>
          <w:rFonts w:ascii="Times New Roman" w:hAnsi="Times New Roman" w:cs="Times New Roman"/>
          <w:sz w:val="20"/>
          <w:szCs w:val="20"/>
        </w:rPr>
      </w:pPr>
    </w:p>
    <w:p w14:paraId="702E2333" w14:textId="77777777" w:rsidR="00221A23" w:rsidRDefault="00221A23">
      <w:pPr>
        <w:spacing w:after="160" w:line="259" w:lineRule="auto"/>
        <w:rPr>
          <w:rFonts w:ascii="Times New Roman" w:hAnsi="Times New Roman" w:cs="Times New Roman"/>
          <w:sz w:val="20"/>
          <w:szCs w:val="20"/>
        </w:rPr>
      </w:pPr>
    </w:p>
    <w:p w14:paraId="025B8EB9" w14:textId="29E52738" w:rsidR="00BA614E" w:rsidRDefault="00BA614E" w:rsidP="00BA614E">
      <w:pPr>
        <w:spacing w:after="160" w:line="259" w:lineRule="auto"/>
        <w:jc w:val="center"/>
        <w:rPr>
          <w:rFonts w:ascii="Times New Roman" w:hAnsi="Times New Roman" w:cs="Times New Roman"/>
          <w:i/>
          <w:sz w:val="20"/>
          <w:szCs w:val="20"/>
        </w:rPr>
      </w:pPr>
      <w:r>
        <w:rPr>
          <w:rFonts w:ascii="Times New Roman" w:hAnsi="Times New Roman" w:cs="Times New Roman"/>
          <w:i/>
          <w:noProof/>
          <w:sz w:val="20"/>
          <w:szCs w:val="20"/>
          <w:lang w:val="hu-HU" w:eastAsia="hu-HU"/>
        </w:rPr>
        <w:lastRenderedPageBreak/>
        <w:drawing>
          <wp:inline distT="0" distB="0" distL="0" distR="0" wp14:anchorId="1027A4EE" wp14:editId="5BEF0305">
            <wp:extent cx="5044372" cy="3514725"/>
            <wp:effectExtent l="0" t="0" r="4445"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S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67442" cy="3530799"/>
                    </a:xfrm>
                    <a:prstGeom prst="rect">
                      <a:avLst/>
                    </a:prstGeom>
                  </pic:spPr>
                </pic:pic>
              </a:graphicData>
            </a:graphic>
          </wp:inline>
        </w:drawing>
      </w:r>
    </w:p>
    <w:p w14:paraId="0D7EFB58" w14:textId="001D7EDA" w:rsidR="00BA614E" w:rsidRPr="00E34FE7" w:rsidRDefault="00F200C9" w:rsidP="00BA614E">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 xml:space="preserve">Supplementary Figure </w:t>
      </w:r>
      <w:r w:rsidR="00911386">
        <w:rPr>
          <w:rFonts w:ascii="Times New Roman" w:hAnsi="Times New Roman" w:cs="Times New Roman"/>
          <w:b/>
          <w:sz w:val="20"/>
          <w:szCs w:val="20"/>
        </w:rPr>
        <w:t>5</w:t>
      </w:r>
      <w:r w:rsidR="00BA614E" w:rsidRPr="00E34FE7">
        <w:rPr>
          <w:rFonts w:ascii="Times New Roman" w:hAnsi="Times New Roman" w:cs="Times New Roman"/>
          <w:b/>
          <w:sz w:val="20"/>
          <w:szCs w:val="20"/>
        </w:rPr>
        <w:t>. Fold change in spontaneous locomotor activity in mice injected intraPVN with NPY in presence o</w:t>
      </w:r>
      <w:r w:rsidR="00BA614E">
        <w:rPr>
          <w:rFonts w:ascii="Times New Roman" w:hAnsi="Times New Roman" w:cs="Times New Roman"/>
          <w:b/>
          <w:sz w:val="20"/>
          <w:szCs w:val="20"/>
        </w:rPr>
        <w:t>r</w:t>
      </w:r>
      <w:r w:rsidR="00BA614E" w:rsidRPr="00E34FE7">
        <w:rPr>
          <w:rFonts w:ascii="Times New Roman" w:hAnsi="Times New Roman" w:cs="Times New Roman"/>
          <w:b/>
          <w:sz w:val="20"/>
          <w:szCs w:val="20"/>
        </w:rPr>
        <w:t xml:space="preserve"> absence of food. </w:t>
      </w:r>
      <w:r w:rsidR="00BA614E">
        <w:rPr>
          <w:rFonts w:ascii="Times New Roman" w:hAnsi="Times New Roman" w:cs="Times New Roman"/>
          <w:sz w:val="20"/>
          <w:szCs w:val="20"/>
        </w:rPr>
        <w:t xml:space="preserve">Fold change of spontaneous </w:t>
      </w:r>
      <w:r w:rsidR="00BA614E" w:rsidRPr="00E34FE7">
        <w:rPr>
          <w:rFonts w:ascii="Times New Roman" w:hAnsi="Times New Roman" w:cs="Times New Roman"/>
          <w:sz w:val="20"/>
          <w:szCs w:val="20"/>
        </w:rPr>
        <w:t xml:space="preserve">locomotor activity of </w:t>
      </w:r>
      <w:r w:rsidR="00BA614E">
        <w:rPr>
          <w:rFonts w:ascii="Times New Roman" w:hAnsi="Times New Roman" w:cs="Times New Roman"/>
          <w:sz w:val="20"/>
          <w:szCs w:val="20"/>
        </w:rPr>
        <w:t>mice after</w:t>
      </w:r>
      <w:r w:rsidR="00BA614E" w:rsidRPr="00E34FE7">
        <w:rPr>
          <w:rFonts w:ascii="Times New Roman" w:hAnsi="Times New Roman" w:cs="Times New Roman"/>
          <w:sz w:val="20"/>
          <w:szCs w:val="20"/>
        </w:rPr>
        <w:t xml:space="preserve"> intraPVN</w:t>
      </w:r>
      <w:r w:rsidR="00BA614E">
        <w:rPr>
          <w:rFonts w:ascii="Times New Roman" w:hAnsi="Times New Roman" w:cs="Times New Roman"/>
          <w:sz w:val="20"/>
          <w:szCs w:val="20"/>
        </w:rPr>
        <w:t xml:space="preserve"> injection of NPY</w:t>
      </w:r>
      <w:r w:rsidR="00BA614E" w:rsidRPr="00E34FE7">
        <w:rPr>
          <w:rFonts w:ascii="Times New Roman" w:hAnsi="Times New Roman" w:cs="Times New Roman"/>
          <w:sz w:val="20"/>
          <w:szCs w:val="20"/>
        </w:rPr>
        <w:t xml:space="preserve"> compared to CSF injected mice in</w:t>
      </w:r>
      <w:r w:rsidR="00BA614E">
        <w:rPr>
          <w:rFonts w:ascii="Times New Roman" w:hAnsi="Times New Roman" w:cs="Times New Roman"/>
          <w:sz w:val="20"/>
          <w:szCs w:val="20"/>
        </w:rPr>
        <w:t xml:space="preserve"> the</w:t>
      </w:r>
      <w:r w:rsidR="00BA614E" w:rsidRPr="00E34FE7">
        <w:rPr>
          <w:rFonts w:ascii="Times New Roman" w:hAnsi="Times New Roman" w:cs="Times New Roman"/>
          <w:sz w:val="20"/>
          <w:szCs w:val="20"/>
        </w:rPr>
        <w:t xml:space="preserve"> presence (black) or absence</w:t>
      </w:r>
      <w:r w:rsidR="00BA614E">
        <w:rPr>
          <w:rFonts w:ascii="Times New Roman" w:hAnsi="Times New Roman" w:cs="Times New Roman"/>
          <w:sz w:val="20"/>
          <w:szCs w:val="20"/>
        </w:rPr>
        <w:t xml:space="preserve"> of food (grey) monitored for</w:t>
      </w:r>
      <w:r w:rsidR="00BA614E" w:rsidRPr="00E34FE7">
        <w:rPr>
          <w:rFonts w:ascii="Times New Roman" w:hAnsi="Times New Roman" w:cs="Times New Roman"/>
          <w:sz w:val="20"/>
          <w:szCs w:val="20"/>
        </w:rPr>
        <w:t xml:space="preserve"> 6 hours post injection. </w:t>
      </w:r>
      <w:r w:rsidR="00BA614E">
        <w:rPr>
          <w:rFonts w:ascii="Times New Roman" w:hAnsi="Times New Roman" w:cs="Times New Roman"/>
          <w:sz w:val="20"/>
          <w:szCs w:val="20"/>
        </w:rPr>
        <w:t xml:space="preserve">Note that NPY markedly increases the locomotor activity both in the presence and absence of food, but the NPY induced increase of locomotor activity is significantly higher in the absence of food. </w:t>
      </w:r>
      <w:r w:rsidR="00BA614E" w:rsidRPr="00E34FE7">
        <w:rPr>
          <w:rFonts w:ascii="Times New Roman" w:hAnsi="Times New Roman" w:cs="Times New Roman"/>
          <w:sz w:val="20"/>
          <w:szCs w:val="20"/>
        </w:rPr>
        <w:t xml:space="preserve">Data are expressed as mean ± SEM. * p&lt;0.05. n = </w:t>
      </w:r>
      <w:r w:rsidR="00AB1358">
        <w:rPr>
          <w:rFonts w:ascii="Times New Roman" w:hAnsi="Times New Roman" w:cs="Times New Roman"/>
          <w:sz w:val="20"/>
          <w:szCs w:val="20"/>
        </w:rPr>
        <w:t>8</w:t>
      </w:r>
      <w:r w:rsidR="00BA614E" w:rsidRPr="00E34FE7">
        <w:rPr>
          <w:rFonts w:ascii="Times New Roman" w:hAnsi="Times New Roman" w:cs="Times New Roman"/>
          <w:sz w:val="20"/>
          <w:szCs w:val="20"/>
        </w:rPr>
        <w:t xml:space="preserve"> per group.</w:t>
      </w:r>
      <w:r w:rsidR="007F0EDA">
        <w:rPr>
          <w:rFonts w:ascii="Times New Roman" w:hAnsi="Times New Roman" w:cs="Times New Roman"/>
          <w:sz w:val="20"/>
          <w:szCs w:val="20"/>
        </w:rPr>
        <w:t xml:space="preserve"> C</w:t>
      </w:r>
      <w:r w:rsidR="007F0EDA" w:rsidRPr="007F0EDA">
        <w:rPr>
          <w:rFonts w:ascii="Times New Roman" w:hAnsi="Times New Roman" w:cs="Times New Roman"/>
          <w:sz w:val="20"/>
          <w:szCs w:val="20"/>
        </w:rPr>
        <w:t>omparisons between groups were carried out using Student’s t test</w:t>
      </w:r>
      <w:r w:rsidR="007F0EDA">
        <w:rPr>
          <w:rFonts w:ascii="Times New Roman" w:hAnsi="Times New Roman" w:cs="Times New Roman"/>
          <w:sz w:val="20"/>
          <w:szCs w:val="20"/>
        </w:rPr>
        <w:t xml:space="preserve">. </w:t>
      </w:r>
    </w:p>
    <w:p w14:paraId="5B7D11EC" w14:textId="77777777" w:rsidR="00BA614E" w:rsidRDefault="00BA614E" w:rsidP="00BA614E">
      <w:pPr>
        <w:spacing w:after="160" w:line="259" w:lineRule="auto"/>
        <w:rPr>
          <w:rFonts w:ascii="Times New Roman" w:hAnsi="Times New Roman" w:cs="Times New Roman"/>
          <w:i/>
          <w:sz w:val="20"/>
          <w:szCs w:val="20"/>
        </w:rPr>
      </w:pPr>
    </w:p>
    <w:p w14:paraId="682568FE" w14:textId="77777777" w:rsidR="00BA614E" w:rsidRDefault="00BA614E" w:rsidP="00BA614E">
      <w:pPr>
        <w:spacing w:after="160" w:line="259" w:lineRule="auto"/>
        <w:rPr>
          <w:rFonts w:ascii="Times New Roman" w:hAnsi="Times New Roman" w:cs="Times New Roman"/>
          <w:i/>
          <w:sz w:val="20"/>
          <w:szCs w:val="20"/>
        </w:rPr>
      </w:pPr>
      <w:r>
        <w:rPr>
          <w:rFonts w:ascii="Times New Roman" w:hAnsi="Times New Roman" w:cs="Times New Roman"/>
          <w:i/>
          <w:sz w:val="20"/>
          <w:szCs w:val="20"/>
        </w:rPr>
        <w:br w:type="page"/>
      </w:r>
      <w:r>
        <w:rPr>
          <w:rFonts w:ascii="Times New Roman" w:hAnsi="Times New Roman" w:cs="Times New Roman"/>
          <w:i/>
          <w:noProof/>
          <w:sz w:val="20"/>
          <w:szCs w:val="20"/>
          <w:lang w:val="hu-HU" w:eastAsia="hu-HU"/>
        </w:rPr>
        <w:lastRenderedPageBreak/>
        <w:drawing>
          <wp:inline distT="0" distB="0" distL="0" distR="0" wp14:anchorId="7B53B85F" wp14:editId="55D50162">
            <wp:extent cx="4499058" cy="6810375"/>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S3.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03483" cy="6817073"/>
                    </a:xfrm>
                    <a:prstGeom prst="rect">
                      <a:avLst/>
                    </a:prstGeom>
                  </pic:spPr>
                </pic:pic>
              </a:graphicData>
            </a:graphic>
          </wp:inline>
        </w:drawing>
      </w:r>
    </w:p>
    <w:p w14:paraId="7E39C571" w14:textId="2C118B00" w:rsidR="00BA614E" w:rsidRDefault="00F200C9" w:rsidP="00BA614E">
      <w:pPr>
        <w:spacing w:after="160" w:line="259" w:lineRule="auto"/>
        <w:rPr>
          <w:rFonts w:ascii="Times New Roman" w:hAnsi="Times New Roman" w:cs="Times New Roman"/>
          <w:i/>
          <w:sz w:val="20"/>
          <w:szCs w:val="20"/>
        </w:rPr>
      </w:pPr>
      <w:r>
        <w:rPr>
          <w:rFonts w:ascii="Times New Roman" w:hAnsi="Times New Roman" w:cs="Times New Roman"/>
          <w:b/>
          <w:sz w:val="20"/>
          <w:szCs w:val="20"/>
        </w:rPr>
        <w:t>Supplementary</w:t>
      </w:r>
      <w:r w:rsidRPr="008331E8">
        <w:rPr>
          <w:rFonts w:ascii="Times New Roman" w:hAnsi="Times New Roman" w:cs="Times New Roman"/>
          <w:b/>
          <w:sz w:val="20"/>
          <w:szCs w:val="20"/>
        </w:rPr>
        <w:t xml:space="preserve"> </w:t>
      </w:r>
      <w:r>
        <w:rPr>
          <w:rFonts w:ascii="Times New Roman" w:hAnsi="Times New Roman" w:cs="Times New Roman"/>
          <w:b/>
          <w:sz w:val="20"/>
          <w:szCs w:val="20"/>
        </w:rPr>
        <w:t xml:space="preserve">Figure </w:t>
      </w:r>
      <w:r w:rsidR="00911386">
        <w:rPr>
          <w:rFonts w:ascii="Times New Roman" w:hAnsi="Times New Roman" w:cs="Times New Roman"/>
          <w:b/>
          <w:sz w:val="20"/>
          <w:szCs w:val="20"/>
        </w:rPr>
        <w:t>6</w:t>
      </w:r>
      <w:r w:rsidR="00BA614E" w:rsidRPr="008331E8">
        <w:rPr>
          <w:rFonts w:ascii="Times New Roman" w:hAnsi="Times New Roman" w:cs="Times New Roman"/>
          <w:sz w:val="20"/>
          <w:szCs w:val="20"/>
        </w:rPr>
        <w:t xml:space="preserve">. </w:t>
      </w:r>
      <w:r w:rsidR="00BA614E" w:rsidRPr="008331E8">
        <w:rPr>
          <w:rFonts w:ascii="Times New Roman" w:hAnsi="Times New Roman" w:cs="Times New Roman"/>
          <w:b/>
          <w:sz w:val="20"/>
          <w:szCs w:val="20"/>
        </w:rPr>
        <w:t xml:space="preserve">Related to Figure </w:t>
      </w:r>
      <w:r w:rsidR="00BA614E">
        <w:rPr>
          <w:rFonts w:ascii="Times New Roman" w:hAnsi="Times New Roman" w:cs="Times New Roman"/>
          <w:b/>
          <w:sz w:val="20"/>
          <w:szCs w:val="20"/>
        </w:rPr>
        <w:t xml:space="preserve">5. </w:t>
      </w:r>
      <w:r w:rsidR="00BA614E" w:rsidRPr="00917058">
        <w:rPr>
          <w:rFonts w:ascii="Times New Roman" w:hAnsi="Times New Roman" w:cs="Times New Roman"/>
          <w:b/>
          <w:sz w:val="20"/>
          <w:szCs w:val="20"/>
        </w:rPr>
        <w:t xml:space="preserve">Effect of intraPVN administration of AM251 or NPLA alone on energy expenditure normalized by total lean body mass (A), spontaneous locomotor activity (B), and respiratory exchange ratio (RER) (C) </w:t>
      </w:r>
      <w:r w:rsidR="00AB1358">
        <w:rPr>
          <w:rFonts w:ascii="Times New Roman" w:hAnsi="Times New Roman" w:cs="Times New Roman"/>
          <w:b/>
          <w:sz w:val="20"/>
          <w:szCs w:val="20"/>
        </w:rPr>
        <w:t>of</w:t>
      </w:r>
      <w:r w:rsidR="00BA614E" w:rsidRPr="00917058">
        <w:rPr>
          <w:rFonts w:ascii="Times New Roman" w:hAnsi="Times New Roman" w:cs="Times New Roman"/>
          <w:b/>
          <w:sz w:val="20"/>
          <w:szCs w:val="20"/>
        </w:rPr>
        <w:t xml:space="preserve"> mice with no access to food.</w:t>
      </w:r>
      <w:r w:rsidR="00BA614E" w:rsidRPr="004F311C">
        <w:rPr>
          <w:rFonts w:ascii="Times New Roman" w:hAnsi="Times New Roman" w:cs="Times New Roman"/>
          <w:sz w:val="20"/>
          <w:szCs w:val="20"/>
        </w:rPr>
        <w:t xml:space="preserve"> </w:t>
      </w:r>
      <w:r w:rsidR="00BA614E">
        <w:rPr>
          <w:rFonts w:ascii="Times New Roman" w:hAnsi="Times New Roman" w:cs="Times New Roman"/>
          <w:sz w:val="20"/>
          <w:szCs w:val="20"/>
        </w:rPr>
        <w:t xml:space="preserve"> AM251 had no effect on the energy expenditure and the locomotor activity and only slightly increased the RER in the first period.  NPLA had no effect on any parameters. </w:t>
      </w:r>
      <w:r w:rsidR="00BA614E" w:rsidRPr="004F311C">
        <w:rPr>
          <w:rFonts w:ascii="Times New Roman" w:hAnsi="Times New Roman" w:cs="Times New Roman"/>
          <w:sz w:val="20"/>
          <w:szCs w:val="20"/>
        </w:rPr>
        <w:t xml:space="preserve"> Each group was injected either with CSF (grey</w:t>
      </w:r>
      <w:r w:rsidR="00AB1358">
        <w:rPr>
          <w:rFonts w:ascii="Times New Roman" w:hAnsi="Times New Roman" w:cs="Times New Roman"/>
          <w:sz w:val="20"/>
          <w:szCs w:val="20"/>
        </w:rPr>
        <w:t>, n=8 mice</w:t>
      </w:r>
      <w:r w:rsidR="00BA614E" w:rsidRPr="004F311C">
        <w:rPr>
          <w:rFonts w:ascii="Times New Roman" w:hAnsi="Times New Roman" w:cs="Times New Roman"/>
          <w:sz w:val="20"/>
          <w:szCs w:val="20"/>
        </w:rPr>
        <w:t xml:space="preserve">), </w:t>
      </w:r>
      <w:r w:rsidR="00BA614E">
        <w:rPr>
          <w:rFonts w:ascii="Times New Roman" w:hAnsi="Times New Roman" w:cs="Times New Roman"/>
          <w:sz w:val="20"/>
          <w:szCs w:val="20"/>
        </w:rPr>
        <w:t>AM251</w:t>
      </w:r>
      <w:r w:rsidR="00BA614E" w:rsidRPr="004F311C">
        <w:rPr>
          <w:rFonts w:ascii="Times New Roman" w:hAnsi="Times New Roman" w:cs="Times New Roman"/>
          <w:sz w:val="20"/>
          <w:szCs w:val="20"/>
        </w:rPr>
        <w:t xml:space="preserve"> (</w:t>
      </w:r>
      <w:r w:rsidR="00BA614E">
        <w:rPr>
          <w:rFonts w:ascii="Times New Roman" w:hAnsi="Times New Roman" w:cs="Times New Roman"/>
          <w:sz w:val="20"/>
          <w:szCs w:val="20"/>
        </w:rPr>
        <w:t>orange</w:t>
      </w:r>
      <w:r w:rsidR="00AB1358">
        <w:rPr>
          <w:rFonts w:ascii="Times New Roman" w:hAnsi="Times New Roman" w:cs="Times New Roman"/>
          <w:sz w:val="20"/>
          <w:szCs w:val="20"/>
        </w:rPr>
        <w:t>, n=8 mice</w:t>
      </w:r>
      <w:r w:rsidR="00BA614E" w:rsidRPr="004F311C">
        <w:rPr>
          <w:rFonts w:ascii="Times New Roman" w:hAnsi="Times New Roman" w:cs="Times New Roman"/>
          <w:sz w:val="20"/>
          <w:szCs w:val="20"/>
        </w:rPr>
        <w:t xml:space="preserve">), </w:t>
      </w:r>
      <w:r w:rsidR="00BA614E">
        <w:rPr>
          <w:rFonts w:ascii="Times New Roman" w:hAnsi="Times New Roman" w:cs="Times New Roman"/>
          <w:sz w:val="20"/>
          <w:szCs w:val="20"/>
        </w:rPr>
        <w:t xml:space="preserve">or </w:t>
      </w:r>
      <w:r w:rsidR="00BA614E" w:rsidRPr="004F311C">
        <w:rPr>
          <w:rFonts w:ascii="Times New Roman" w:hAnsi="Times New Roman" w:cs="Times New Roman"/>
          <w:sz w:val="20"/>
          <w:szCs w:val="20"/>
        </w:rPr>
        <w:t>NPLA (</w:t>
      </w:r>
      <w:r w:rsidR="00BA614E">
        <w:rPr>
          <w:rFonts w:ascii="Times New Roman" w:hAnsi="Times New Roman" w:cs="Times New Roman"/>
          <w:sz w:val="20"/>
          <w:szCs w:val="20"/>
        </w:rPr>
        <w:t xml:space="preserve">light </w:t>
      </w:r>
      <w:r w:rsidR="00BA614E" w:rsidRPr="004F311C">
        <w:rPr>
          <w:rFonts w:ascii="Times New Roman" w:hAnsi="Times New Roman" w:cs="Times New Roman"/>
          <w:sz w:val="20"/>
          <w:szCs w:val="20"/>
        </w:rPr>
        <w:t>blue</w:t>
      </w:r>
      <w:r w:rsidR="00AB1358">
        <w:rPr>
          <w:rFonts w:ascii="Times New Roman" w:hAnsi="Times New Roman" w:cs="Times New Roman"/>
          <w:sz w:val="20"/>
          <w:szCs w:val="20"/>
        </w:rPr>
        <w:t>, n=7 mice</w:t>
      </w:r>
      <w:r w:rsidR="00BA614E" w:rsidRPr="004F311C">
        <w:rPr>
          <w:rFonts w:ascii="Times New Roman" w:hAnsi="Times New Roman" w:cs="Times New Roman"/>
          <w:sz w:val="20"/>
          <w:szCs w:val="20"/>
        </w:rPr>
        <w:t xml:space="preserve">) at T=0, and food was replaced at T=7 h.  Bar graphs were calculated from the ANOVA analysis for each phase.  Data with different superscript letters are significantly different (P&lt;0.05) according to the ANOVA analysis followed by a Bonferroni post hoc test.  Data are expressed as mean ± SEM. </w:t>
      </w:r>
      <w:r w:rsidR="00BA614E">
        <w:rPr>
          <w:rFonts w:ascii="Times New Roman" w:hAnsi="Times New Roman" w:cs="Times New Roman"/>
          <w:i/>
          <w:sz w:val="20"/>
          <w:szCs w:val="20"/>
        </w:rPr>
        <w:br w:type="page"/>
      </w:r>
    </w:p>
    <w:p w14:paraId="095872D8" w14:textId="77777777" w:rsidR="00BA614E" w:rsidRDefault="00BA614E" w:rsidP="00BA614E">
      <w:pPr>
        <w:spacing w:after="160" w:line="259" w:lineRule="auto"/>
        <w:rPr>
          <w:rFonts w:ascii="Times New Roman" w:hAnsi="Times New Roman" w:cs="Times New Roman"/>
          <w:i/>
          <w:sz w:val="20"/>
          <w:szCs w:val="20"/>
        </w:rPr>
      </w:pPr>
      <w:r>
        <w:rPr>
          <w:rFonts w:ascii="Times New Roman" w:hAnsi="Times New Roman" w:cs="Times New Roman"/>
          <w:i/>
          <w:noProof/>
          <w:sz w:val="20"/>
          <w:szCs w:val="20"/>
          <w:lang w:val="hu-HU" w:eastAsia="hu-HU"/>
        </w:rPr>
        <w:lastRenderedPageBreak/>
        <w:drawing>
          <wp:inline distT="0" distB="0" distL="0" distR="0" wp14:anchorId="67A2E397" wp14:editId="6F0213A2">
            <wp:extent cx="5156968" cy="6638925"/>
            <wp:effectExtent l="0" t="0" r="5715"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3.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59945" cy="6642758"/>
                    </a:xfrm>
                    <a:prstGeom prst="rect">
                      <a:avLst/>
                    </a:prstGeom>
                  </pic:spPr>
                </pic:pic>
              </a:graphicData>
            </a:graphic>
          </wp:inline>
        </w:drawing>
      </w:r>
    </w:p>
    <w:p w14:paraId="213A8670" w14:textId="1854FEA6" w:rsidR="00BA614E" w:rsidRPr="008331E8" w:rsidRDefault="00F200C9" w:rsidP="00BA614E">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Supplementary</w:t>
      </w:r>
      <w:r w:rsidRPr="008331E8">
        <w:rPr>
          <w:rFonts w:ascii="Times New Roman" w:hAnsi="Times New Roman" w:cs="Times New Roman"/>
          <w:b/>
          <w:sz w:val="20"/>
          <w:szCs w:val="20"/>
        </w:rPr>
        <w:t xml:space="preserve"> </w:t>
      </w:r>
      <w:r>
        <w:rPr>
          <w:rFonts w:ascii="Times New Roman" w:hAnsi="Times New Roman" w:cs="Times New Roman"/>
          <w:b/>
          <w:sz w:val="20"/>
          <w:szCs w:val="20"/>
        </w:rPr>
        <w:t xml:space="preserve">Figure </w:t>
      </w:r>
      <w:r w:rsidR="00911386">
        <w:rPr>
          <w:rFonts w:ascii="Times New Roman" w:hAnsi="Times New Roman" w:cs="Times New Roman"/>
          <w:b/>
          <w:sz w:val="20"/>
          <w:szCs w:val="20"/>
        </w:rPr>
        <w:t>7</w:t>
      </w:r>
      <w:r w:rsidR="00BA614E" w:rsidRPr="008331E8">
        <w:rPr>
          <w:rFonts w:ascii="Times New Roman" w:hAnsi="Times New Roman" w:cs="Times New Roman"/>
          <w:sz w:val="20"/>
          <w:szCs w:val="20"/>
        </w:rPr>
        <w:t xml:space="preserve">. </w:t>
      </w:r>
      <w:r w:rsidR="00BA614E" w:rsidRPr="008331E8">
        <w:rPr>
          <w:rFonts w:ascii="Times New Roman" w:hAnsi="Times New Roman" w:cs="Times New Roman"/>
          <w:b/>
          <w:sz w:val="20"/>
          <w:szCs w:val="20"/>
        </w:rPr>
        <w:t>Related to Figure 6A,B</w:t>
      </w:r>
      <w:r w:rsidR="00BA614E" w:rsidRPr="008331E8">
        <w:rPr>
          <w:rFonts w:ascii="Times New Roman" w:hAnsi="Times New Roman" w:cs="Times New Roman"/>
          <w:sz w:val="20"/>
          <w:szCs w:val="20"/>
        </w:rPr>
        <w:t xml:space="preserve"> </w:t>
      </w:r>
      <w:r w:rsidR="00BA614E">
        <w:rPr>
          <w:rFonts w:ascii="Times New Roman" w:hAnsi="Times New Roman" w:cs="Times New Roman"/>
          <w:sz w:val="20"/>
          <w:szCs w:val="20"/>
        </w:rPr>
        <w:t>Cumulative f</w:t>
      </w:r>
      <w:r w:rsidR="00BA614E" w:rsidRPr="008331E8">
        <w:rPr>
          <w:rFonts w:ascii="Times New Roman" w:hAnsi="Times New Roman" w:cs="Times New Roman"/>
          <w:noProof/>
          <w:sz w:val="20"/>
          <w:szCs w:val="20"/>
          <w:lang w:eastAsia="hu-HU"/>
        </w:rPr>
        <w:t>ood intake (A</w:t>
      </w:r>
      <w:r w:rsidR="00BA614E">
        <w:rPr>
          <w:rFonts w:ascii="Times New Roman" w:hAnsi="Times New Roman" w:cs="Times New Roman"/>
          <w:noProof/>
          <w:sz w:val="20"/>
          <w:szCs w:val="20"/>
          <w:lang w:eastAsia="hu-HU"/>
        </w:rPr>
        <w:t>,B</w:t>
      </w:r>
      <w:r w:rsidR="00BA614E" w:rsidRPr="008331E8">
        <w:rPr>
          <w:rFonts w:ascii="Times New Roman" w:hAnsi="Times New Roman" w:cs="Times New Roman"/>
          <w:noProof/>
          <w:sz w:val="20"/>
          <w:szCs w:val="20"/>
          <w:lang w:eastAsia="hu-HU"/>
        </w:rPr>
        <w:t xml:space="preserve">) and </w:t>
      </w:r>
      <w:r w:rsidR="00BA614E">
        <w:rPr>
          <w:rFonts w:ascii="Times New Roman" w:hAnsi="Times New Roman" w:cs="Times New Roman"/>
          <w:noProof/>
          <w:sz w:val="20"/>
          <w:szCs w:val="20"/>
          <w:lang w:eastAsia="hu-HU"/>
        </w:rPr>
        <w:t>cummulative spontaneous activity (C,D</w:t>
      </w:r>
      <w:r w:rsidR="00BA614E" w:rsidRPr="008331E8">
        <w:rPr>
          <w:rFonts w:ascii="Times New Roman" w:hAnsi="Times New Roman" w:cs="Times New Roman"/>
          <w:noProof/>
          <w:sz w:val="20"/>
          <w:szCs w:val="20"/>
          <w:lang w:eastAsia="hu-HU"/>
        </w:rPr>
        <w:t xml:space="preserve">) of mice injected intraPVN with CSF (grey), NPY (black) alone, </w:t>
      </w:r>
      <w:r w:rsidR="00BA614E">
        <w:rPr>
          <w:rFonts w:ascii="Times New Roman" w:hAnsi="Times New Roman" w:cs="Times New Roman"/>
          <w:noProof/>
          <w:sz w:val="20"/>
          <w:szCs w:val="20"/>
          <w:lang w:eastAsia="hu-HU"/>
        </w:rPr>
        <w:t xml:space="preserve">AM251 alone (orange), NPLA alone (light blue) and </w:t>
      </w:r>
      <w:r w:rsidR="00BA614E" w:rsidRPr="008331E8">
        <w:rPr>
          <w:rFonts w:ascii="Times New Roman" w:hAnsi="Times New Roman" w:cs="Times New Roman"/>
          <w:noProof/>
          <w:sz w:val="20"/>
          <w:szCs w:val="20"/>
          <w:lang w:eastAsia="hu-HU"/>
        </w:rPr>
        <w:t>co-administrated with AM251</w:t>
      </w:r>
      <w:r w:rsidR="00BA614E">
        <w:rPr>
          <w:rFonts w:ascii="Times New Roman" w:hAnsi="Times New Roman" w:cs="Times New Roman"/>
          <w:noProof/>
          <w:sz w:val="20"/>
          <w:szCs w:val="20"/>
          <w:lang w:eastAsia="hu-HU"/>
        </w:rPr>
        <w:t>+NPY</w:t>
      </w:r>
      <w:r w:rsidR="00BA614E" w:rsidRPr="008331E8">
        <w:rPr>
          <w:rFonts w:ascii="Times New Roman" w:hAnsi="Times New Roman" w:cs="Times New Roman"/>
          <w:noProof/>
          <w:sz w:val="20"/>
          <w:szCs w:val="20"/>
          <w:lang w:eastAsia="hu-HU"/>
        </w:rPr>
        <w:t xml:space="preserve"> (red) or NPLA</w:t>
      </w:r>
      <w:r w:rsidR="00BA614E">
        <w:rPr>
          <w:rFonts w:ascii="Times New Roman" w:hAnsi="Times New Roman" w:cs="Times New Roman"/>
          <w:noProof/>
          <w:sz w:val="20"/>
          <w:szCs w:val="20"/>
          <w:lang w:eastAsia="hu-HU"/>
        </w:rPr>
        <w:t>+NPY</w:t>
      </w:r>
      <w:r w:rsidR="00BA614E" w:rsidRPr="008331E8">
        <w:rPr>
          <w:rFonts w:ascii="Times New Roman" w:hAnsi="Times New Roman" w:cs="Times New Roman"/>
          <w:noProof/>
          <w:sz w:val="20"/>
          <w:szCs w:val="20"/>
          <w:lang w:eastAsia="hu-HU"/>
        </w:rPr>
        <w:t xml:space="preserve"> (blue).  </w:t>
      </w:r>
      <w:r w:rsidR="00BA614E">
        <w:rPr>
          <w:rFonts w:ascii="Times New Roman" w:hAnsi="Times New Roman" w:cs="Times New Roman"/>
          <w:noProof/>
          <w:sz w:val="20"/>
          <w:szCs w:val="20"/>
          <w:lang w:eastAsia="hu-HU"/>
        </w:rPr>
        <w:t xml:space="preserve">Note that intraPVN administration of AM251 alone or in combination with NPY had onl minor effect on the food intake (A) and locomotor activity (C). Administration of NPLA alone did not influence the measured parameters (B,D), but NPLA prevented the effects of NPY on both the food intake (B) and the locomotor activity (D).  </w:t>
      </w:r>
      <w:r w:rsidR="00BA614E" w:rsidRPr="008331E8">
        <w:rPr>
          <w:rFonts w:ascii="Times New Roman" w:hAnsi="Times New Roman" w:cs="Times New Roman"/>
          <w:noProof/>
          <w:sz w:val="20"/>
          <w:szCs w:val="20"/>
          <w:lang w:eastAsia="hu-HU"/>
        </w:rPr>
        <w:t xml:space="preserve">Food intake and spontaneous locomotor activity was monitored over 8 hours post injection.  n = </w:t>
      </w:r>
      <w:r w:rsidR="00AB1358">
        <w:rPr>
          <w:rFonts w:ascii="Times New Roman" w:hAnsi="Times New Roman" w:cs="Times New Roman"/>
          <w:noProof/>
          <w:sz w:val="20"/>
          <w:szCs w:val="20"/>
          <w:lang w:eastAsia="hu-HU"/>
        </w:rPr>
        <w:t>8</w:t>
      </w:r>
      <w:r w:rsidR="00BA614E" w:rsidRPr="008331E8">
        <w:rPr>
          <w:rFonts w:ascii="Times New Roman" w:hAnsi="Times New Roman" w:cs="Times New Roman"/>
          <w:noProof/>
          <w:sz w:val="20"/>
          <w:szCs w:val="20"/>
          <w:lang w:eastAsia="hu-HU"/>
        </w:rPr>
        <w:t xml:space="preserve"> per group.</w:t>
      </w:r>
    </w:p>
    <w:p w14:paraId="5D44327B" w14:textId="77777777" w:rsidR="00BA614E" w:rsidRDefault="00BA614E" w:rsidP="00BA614E">
      <w:pPr>
        <w:spacing w:after="160" w:line="259" w:lineRule="auto"/>
        <w:rPr>
          <w:rFonts w:ascii="Times New Roman" w:hAnsi="Times New Roman" w:cs="Times New Roman"/>
          <w:i/>
          <w:sz w:val="20"/>
          <w:szCs w:val="20"/>
        </w:rPr>
      </w:pPr>
      <w:r>
        <w:rPr>
          <w:rFonts w:ascii="Times New Roman" w:hAnsi="Times New Roman" w:cs="Times New Roman"/>
          <w:i/>
          <w:sz w:val="20"/>
          <w:szCs w:val="20"/>
        </w:rPr>
        <w:br w:type="page"/>
      </w:r>
    </w:p>
    <w:p w14:paraId="1C517094" w14:textId="77777777" w:rsidR="00BA614E" w:rsidRPr="00B17637" w:rsidRDefault="00BA614E" w:rsidP="00BA614E">
      <w:pPr>
        <w:spacing w:after="160" w:line="259" w:lineRule="auto"/>
        <w:jc w:val="center"/>
        <w:rPr>
          <w:rFonts w:ascii="Times New Roman" w:hAnsi="Times New Roman" w:cs="Times New Roman"/>
          <w:i/>
          <w:sz w:val="20"/>
          <w:szCs w:val="20"/>
        </w:rPr>
      </w:pPr>
      <w:r w:rsidRPr="00B17637">
        <w:rPr>
          <w:rFonts w:ascii="Times New Roman" w:hAnsi="Times New Roman" w:cs="Times New Roman"/>
          <w:i/>
          <w:noProof/>
          <w:sz w:val="20"/>
          <w:szCs w:val="20"/>
          <w:lang w:val="hu-HU" w:eastAsia="hu-HU"/>
        </w:rPr>
        <w:lastRenderedPageBreak/>
        <w:drawing>
          <wp:inline distT="0" distB="0" distL="0" distR="0" wp14:anchorId="3DB830C0" wp14:editId="5E331C2D">
            <wp:extent cx="3159716" cy="5867400"/>
            <wp:effectExtent l="0" t="0" r="3175"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S4.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64770" cy="5876785"/>
                    </a:xfrm>
                    <a:prstGeom prst="rect">
                      <a:avLst/>
                    </a:prstGeom>
                  </pic:spPr>
                </pic:pic>
              </a:graphicData>
            </a:graphic>
          </wp:inline>
        </w:drawing>
      </w:r>
    </w:p>
    <w:p w14:paraId="7B5893B6" w14:textId="68EA338F" w:rsidR="00BA614E" w:rsidRPr="00E34FE7" w:rsidRDefault="00F200C9" w:rsidP="00BA614E">
      <w:pPr>
        <w:spacing w:after="0" w:line="240" w:lineRule="auto"/>
        <w:jc w:val="both"/>
        <w:rPr>
          <w:rFonts w:ascii="Times New Roman" w:hAnsi="Times New Roman" w:cs="Times New Roman"/>
          <w:sz w:val="20"/>
          <w:szCs w:val="20"/>
        </w:rPr>
      </w:pPr>
      <w:r w:rsidRPr="00B17637">
        <w:rPr>
          <w:rFonts w:ascii="Times New Roman" w:hAnsi="Times New Roman" w:cs="Times New Roman"/>
          <w:b/>
          <w:sz w:val="20"/>
          <w:szCs w:val="20"/>
        </w:rPr>
        <w:t xml:space="preserve">Supplementary Figure </w:t>
      </w:r>
      <w:r w:rsidR="00911386">
        <w:rPr>
          <w:rFonts w:ascii="Times New Roman" w:hAnsi="Times New Roman" w:cs="Times New Roman"/>
          <w:b/>
          <w:sz w:val="20"/>
          <w:szCs w:val="20"/>
        </w:rPr>
        <w:t>8</w:t>
      </w:r>
      <w:r w:rsidR="00BA614E" w:rsidRPr="00B17637">
        <w:rPr>
          <w:rFonts w:ascii="Times New Roman" w:hAnsi="Times New Roman" w:cs="Times New Roman"/>
          <w:sz w:val="20"/>
          <w:szCs w:val="20"/>
        </w:rPr>
        <w:t xml:space="preserve">. </w:t>
      </w:r>
      <w:r w:rsidR="00BA614E" w:rsidRPr="00B17637">
        <w:rPr>
          <w:rFonts w:ascii="Times New Roman" w:hAnsi="Times New Roman" w:cs="Times New Roman"/>
          <w:b/>
          <w:sz w:val="20"/>
          <w:szCs w:val="20"/>
        </w:rPr>
        <w:t>Related to Figure 6C</w:t>
      </w:r>
      <w:r w:rsidR="00BA614E" w:rsidRPr="00B17637">
        <w:rPr>
          <w:rFonts w:ascii="Times New Roman" w:hAnsi="Times New Roman" w:cs="Times New Roman"/>
          <w:sz w:val="20"/>
          <w:szCs w:val="20"/>
        </w:rPr>
        <w:t xml:space="preserve"> </w:t>
      </w:r>
      <w:r w:rsidR="00BA614E" w:rsidRPr="00B17637">
        <w:rPr>
          <w:rFonts w:ascii="Times New Roman" w:hAnsi="Times New Roman" w:cs="Times New Roman"/>
          <w:b/>
          <w:sz w:val="20"/>
          <w:szCs w:val="20"/>
        </w:rPr>
        <w:t xml:space="preserve">Spontaneous locomotor activity and respiratory exchange ratio after intraPVN injection of NPLA following an overnight fast.  </w:t>
      </w:r>
      <w:r w:rsidR="00BA614E" w:rsidRPr="00B17637">
        <w:rPr>
          <w:rFonts w:ascii="Times New Roman" w:hAnsi="Times New Roman" w:cs="Times New Roman"/>
          <w:sz w:val="20"/>
          <w:szCs w:val="20"/>
        </w:rPr>
        <w:t xml:space="preserve">(A) Spontaneous locomotor activity (beam breaks) and (B) respiratory exchange ratio (VCO2/VO2) registered within 6 hours post intra PVN injection of CSF or NPLA. Bar graph in A represents cumulative spontaneous activity. Bar graph in B represents mean ± SEM of ANOVA analysis. * p&lt;0.05, # P&lt;0.001, CSF versus NPLA injected mice. n = </w:t>
      </w:r>
      <w:r w:rsidR="00AB1358">
        <w:rPr>
          <w:rFonts w:ascii="Times New Roman" w:hAnsi="Times New Roman" w:cs="Times New Roman"/>
          <w:sz w:val="20"/>
          <w:szCs w:val="20"/>
        </w:rPr>
        <w:t>8</w:t>
      </w:r>
      <w:r w:rsidR="00BA614E" w:rsidRPr="00B17637">
        <w:rPr>
          <w:rFonts w:ascii="Times New Roman" w:hAnsi="Times New Roman" w:cs="Times New Roman"/>
          <w:sz w:val="20"/>
          <w:szCs w:val="20"/>
        </w:rPr>
        <w:t xml:space="preserve"> per group.</w:t>
      </w:r>
    </w:p>
    <w:p w14:paraId="0EEBE9EB" w14:textId="77777777" w:rsidR="006E7D65" w:rsidRPr="00E34FE7" w:rsidRDefault="006E7D65" w:rsidP="00E34FE7">
      <w:pPr>
        <w:spacing w:after="0" w:line="240" w:lineRule="auto"/>
        <w:jc w:val="both"/>
        <w:rPr>
          <w:rFonts w:ascii="Times New Roman" w:hAnsi="Times New Roman" w:cs="Times New Roman"/>
          <w:sz w:val="20"/>
          <w:szCs w:val="20"/>
        </w:rPr>
      </w:pPr>
    </w:p>
    <w:sectPr w:rsidR="006E7D65" w:rsidRPr="00E34FE7" w:rsidSect="009E34DE">
      <w:headerReference w:type="even" r:id="rId15"/>
      <w:headerReference w:type="default" r:id="rId16"/>
      <w:footerReference w:type="even" r:id="rId17"/>
      <w:footerReference w:type="default" r:id="rId18"/>
      <w:headerReference w:type="first" r:id="rId19"/>
      <w:footerReference w:type="first" r:id="rId2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1208A1" w14:textId="77777777" w:rsidR="00B50711" w:rsidRDefault="00B50711" w:rsidP="00F14BA9">
      <w:pPr>
        <w:spacing w:after="0" w:line="240" w:lineRule="auto"/>
      </w:pPr>
      <w:r>
        <w:separator/>
      </w:r>
    </w:p>
  </w:endnote>
  <w:endnote w:type="continuationSeparator" w:id="0">
    <w:p w14:paraId="092C8EB8" w14:textId="77777777" w:rsidR="00B50711" w:rsidRDefault="00B50711" w:rsidP="00F14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96A15" w14:textId="77777777" w:rsidR="004E5BCC" w:rsidRDefault="004E5BCC">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822899"/>
      <w:docPartObj>
        <w:docPartGallery w:val="Page Numbers (Bottom of Page)"/>
        <w:docPartUnique/>
      </w:docPartObj>
    </w:sdtPr>
    <w:sdtEndPr/>
    <w:sdtContent>
      <w:p w14:paraId="3402A721" w14:textId="2A72186B" w:rsidR="004E5BCC" w:rsidRDefault="004E5BCC">
        <w:pPr>
          <w:pStyle w:val="llb"/>
          <w:jc w:val="center"/>
        </w:pPr>
        <w:r>
          <w:fldChar w:fldCharType="begin"/>
        </w:r>
        <w:r>
          <w:instrText>PAGE   \* MERGEFORMAT</w:instrText>
        </w:r>
        <w:r>
          <w:fldChar w:fldCharType="separate"/>
        </w:r>
        <w:r w:rsidR="00345545" w:rsidRPr="00345545">
          <w:rPr>
            <w:noProof/>
            <w:lang w:val="hu-HU"/>
          </w:rPr>
          <w:t>12</w:t>
        </w:r>
        <w:r>
          <w:fldChar w:fldCharType="end"/>
        </w:r>
      </w:p>
    </w:sdtContent>
  </w:sdt>
  <w:p w14:paraId="30F6723B" w14:textId="77777777" w:rsidR="004E5BCC" w:rsidRDefault="004E5BCC">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70EE1" w14:textId="77777777" w:rsidR="004E5BCC" w:rsidRDefault="004E5BC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62B81" w14:textId="77777777" w:rsidR="00B50711" w:rsidRDefault="00B50711" w:rsidP="00F14BA9">
      <w:pPr>
        <w:spacing w:after="0" w:line="240" w:lineRule="auto"/>
      </w:pPr>
      <w:r>
        <w:separator/>
      </w:r>
    </w:p>
  </w:footnote>
  <w:footnote w:type="continuationSeparator" w:id="0">
    <w:p w14:paraId="06CBFEA2" w14:textId="77777777" w:rsidR="00B50711" w:rsidRDefault="00B50711" w:rsidP="00F14B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B4E74" w14:textId="77777777" w:rsidR="004E5BCC" w:rsidRDefault="004E5BCC">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46F0E" w14:textId="77777777" w:rsidR="004E5BCC" w:rsidRDefault="004E5BCC">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3B44B" w14:textId="77777777" w:rsidR="004E5BCC" w:rsidRDefault="004E5BCC">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D65"/>
    <w:rsid w:val="00000924"/>
    <w:rsid w:val="00020937"/>
    <w:rsid w:val="00035D77"/>
    <w:rsid w:val="00057348"/>
    <w:rsid w:val="0008232E"/>
    <w:rsid w:val="00087F52"/>
    <w:rsid w:val="0009639C"/>
    <w:rsid w:val="000B5E59"/>
    <w:rsid w:val="000C51D1"/>
    <w:rsid w:val="001105F3"/>
    <w:rsid w:val="00121D45"/>
    <w:rsid w:val="001679C4"/>
    <w:rsid w:val="00175DEB"/>
    <w:rsid w:val="001964B9"/>
    <w:rsid w:val="001C625E"/>
    <w:rsid w:val="001F1FFC"/>
    <w:rsid w:val="001F2342"/>
    <w:rsid w:val="00221A23"/>
    <w:rsid w:val="00230323"/>
    <w:rsid w:val="00252594"/>
    <w:rsid w:val="002649AB"/>
    <w:rsid w:val="00272B27"/>
    <w:rsid w:val="002832E4"/>
    <w:rsid w:val="002D4C15"/>
    <w:rsid w:val="003170D0"/>
    <w:rsid w:val="00330363"/>
    <w:rsid w:val="00345545"/>
    <w:rsid w:val="00362F67"/>
    <w:rsid w:val="00363F0A"/>
    <w:rsid w:val="00387702"/>
    <w:rsid w:val="003A682A"/>
    <w:rsid w:val="003D04A4"/>
    <w:rsid w:val="003F3274"/>
    <w:rsid w:val="003F3964"/>
    <w:rsid w:val="00416C30"/>
    <w:rsid w:val="00432DA5"/>
    <w:rsid w:val="00454CAD"/>
    <w:rsid w:val="004649EC"/>
    <w:rsid w:val="00480A71"/>
    <w:rsid w:val="004A31AC"/>
    <w:rsid w:val="004E5BCC"/>
    <w:rsid w:val="004F311C"/>
    <w:rsid w:val="00510D16"/>
    <w:rsid w:val="00554C77"/>
    <w:rsid w:val="005744A7"/>
    <w:rsid w:val="005A53C1"/>
    <w:rsid w:val="005B570D"/>
    <w:rsid w:val="005D2EF7"/>
    <w:rsid w:val="005F7C30"/>
    <w:rsid w:val="00693AD9"/>
    <w:rsid w:val="006E7D65"/>
    <w:rsid w:val="007330C0"/>
    <w:rsid w:val="00756757"/>
    <w:rsid w:val="0076233D"/>
    <w:rsid w:val="007635F3"/>
    <w:rsid w:val="00766FAA"/>
    <w:rsid w:val="007A4191"/>
    <w:rsid w:val="007B7971"/>
    <w:rsid w:val="007C2CCB"/>
    <w:rsid w:val="007D23D7"/>
    <w:rsid w:val="007E2883"/>
    <w:rsid w:val="007F0EDA"/>
    <w:rsid w:val="00812A51"/>
    <w:rsid w:val="00826737"/>
    <w:rsid w:val="008331E8"/>
    <w:rsid w:val="0083321C"/>
    <w:rsid w:val="00855E9A"/>
    <w:rsid w:val="008629D4"/>
    <w:rsid w:val="008802FE"/>
    <w:rsid w:val="00883958"/>
    <w:rsid w:val="008D508C"/>
    <w:rsid w:val="00911386"/>
    <w:rsid w:val="00914964"/>
    <w:rsid w:val="00917058"/>
    <w:rsid w:val="00935441"/>
    <w:rsid w:val="00942BA7"/>
    <w:rsid w:val="00957159"/>
    <w:rsid w:val="00970945"/>
    <w:rsid w:val="00971F86"/>
    <w:rsid w:val="009D15A8"/>
    <w:rsid w:val="009D7464"/>
    <w:rsid w:val="009D7E94"/>
    <w:rsid w:val="009E34DE"/>
    <w:rsid w:val="009E35C6"/>
    <w:rsid w:val="00A010B1"/>
    <w:rsid w:val="00A02E2A"/>
    <w:rsid w:val="00A23A67"/>
    <w:rsid w:val="00A6318F"/>
    <w:rsid w:val="00A974C0"/>
    <w:rsid w:val="00AB1358"/>
    <w:rsid w:val="00AE45B6"/>
    <w:rsid w:val="00AF670B"/>
    <w:rsid w:val="00B13D3F"/>
    <w:rsid w:val="00B17637"/>
    <w:rsid w:val="00B3690A"/>
    <w:rsid w:val="00B439B7"/>
    <w:rsid w:val="00B50711"/>
    <w:rsid w:val="00B60DA2"/>
    <w:rsid w:val="00B672E8"/>
    <w:rsid w:val="00B8270B"/>
    <w:rsid w:val="00BA614E"/>
    <w:rsid w:val="00BF7A00"/>
    <w:rsid w:val="00BF7D33"/>
    <w:rsid w:val="00C14865"/>
    <w:rsid w:val="00C6672E"/>
    <w:rsid w:val="00C9049D"/>
    <w:rsid w:val="00CD2401"/>
    <w:rsid w:val="00CE2D07"/>
    <w:rsid w:val="00CE75F2"/>
    <w:rsid w:val="00D12600"/>
    <w:rsid w:val="00D46BAC"/>
    <w:rsid w:val="00D605CD"/>
    <w:rsid w:val="00D63938"/>
    <w:rsid w:val="00D778ED"/>
    <w:rsid w:val="00DD0FEC"/>
    <w:rsid w:val="00DE10EB"/>
    <w:rsid w:val="00DE3F47"/>
    <w:rsid w:val="00DF7E1D"/>
    <w:rsid w:val="00E12846"/>
    <w:rsid w:val="00E13252"/>
    <w:rsid w:val="00E34FE7"/>
    <w:rsid w:val="00EB0DA0"/>
    <w:rsid w:val="00EE1752"/>
    <w:rsid w:val="00F02983"/>
    <w:rsid w:val="00F14BA9"/>
    <w:rsid w:val="00F200C9"/>
    <w:rsid w:val="00F23DB0"/>
    <w:rsid w:val="00F303D8"/>
    <w:rsid w:val="00F60526"/>
    <w:rsid w:val="00F65F7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B2676"/>
  <w15:docId w15:val="{76D98DBB-E2AB-4C94-8AA5-E99557B0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E7D65"/>
    <w:pPr>
      <w:spacing w:after="200" w:line="276" w:lineRule="auto"/>
    </w:pPr>
    <w:rPr>
      <w:rFonts w:eastAsiaTheme="minorEastAsia"/>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ndNoteBibliography">
    <w:name w:val="EndNote Bibliography"/>
    <w:basedOn w:val="Norml"/>
    <w:link w:val="EndNoteBibliographyChar"/>
    <w:rsid w:val="006E7D65"/>
    <w:pPr>
      <w:spacing w:line="240" w:lineRule="auto"/>
    </w:pPr>
    <w:rPr>
      <w:rFonts w:ascii="Calibri" w:hAnsi="Calibri"/>
      <w:noProof/>
    </w:rPr>
  </w:style>
  <w:style w:type="character" w:customStyle="1" w:styleId="EndNoteBibliographyChar">
    <w:name w:val="EndNote Bibliography Char"/>
    <w:basedOn w:val="Bekezdsalapbettpusa"/>
    <w:link w:val="EndNoteBibliography"/>
    <w:rsid w:val="006E7D65"/>
    <w:rPr>
      <w:rFonts w:ascii="Calibri" w:eastAsiaTheme="minorEastAsia" w:hAnsi="Calibri"/>
      <w:noProof/>
      <w:lang w:val="en-US"/>
    </w:rPr>
  </w:style>
  <w:style w:type="character" w:customStyle="1" w:styleId="textChar">
    <w:name w:val="text Char"/>
    <w:basedOn w:val="Bekezdsalapbettpusa"/>
    <w:link w:val="text"/>
    <w:locked/>
    <w:rsid w:val="006E7D65"/>
    <w:rPr>
      <w:rFonts w:ascii="Times New Roman" w:eastAsia="SimSun" w:hAnsi="Times New Roman" w:cs="Times New Roman"/>
      <w:spacing w:val="-1"/>
      <w:sz w:val="20"/>
      <w:szCs w:val="20"/>
    </w:rPr>
  </w:style>
  <w:style w:type="paragraph" w:customStyle="1" w:styleId="text">
    <w:name w:val="text"/>
    <w:basedOn w:val="Szvegtrzs"/>
    <w:link w:val="textChar"/>
    <w:qFormat/>
    <w:rsid w:val="006E7D65"/>
    <w:pPr>
      <w:spacing w:line="240" w:lineRule="auto"/>
      <w:ind w:firstLine="289"/>
      <w:jc w:val="both"/>
    </w:pPr>
    <w:rPr>
      <w:rFonts w:ascii="Times New Roman" w:eastAsia="SimSun" w:hAnsi="Times New Roman" w:cs="Times New Roman"/>
      <w:spacing w:val="-1"/>
      <w:sz w:val="20"/>
      <w:szCs w:val="20"/>
      <w:lang w:val="hu-HU"/>
    </w:rPr>
  </w:style>
  <w:style w:type="character" w:styleId="Jegyzethivatkozs">
    <w:name w:val="annotation reference"/>
    <w:basedOn w:val="Bekezdsalapbettpusa"/>
    <w:uiPriority w:val="99"/>
    <w:semiHidden/>
    <w:unhideWhenUsed/>
    <w:rsid w:val="006E7D65"/>
    <w:rPr>
      <w:sz w:val="16"/>
      <w:szCs w:val="16"/>
    </w:rPr>
  </w:style>
  <w:style w:type="paragraph" w:styleId="Jegyzetszveg">
    <w:name w:val="annotation text"/>
    <w:basedOn w:val="Norml"/>
    <w:link w:val="JegyzetszvegChar"/>
    <w:uiPriority w:val="99"/>
    <w:semiHidden/>
    <w:unhideWhenUsed/>
    <w:rsid w:val="006E7D65"/>
    <w:pPr>
      <w:spacing w:line="240" w:lineRule="auto"/>
    </w:pPr>
    <w:rPr>
      <w:rFonts w:eastAsia="Times New Roman" w:cs="Times New Roman"/>
      <w:sz w:val="20"/>
      <w:szCs w:val="20"/>
      <w:lang w:val="hu-HU"/>
    </w:rPr>
  </w:style>
  <w:style w:type="character" w:customStyle="1" w:styleId="JegyzetszvegChar">
    <w:name w:val="Jegyzetszöveg Char"/>
    <w:basedOn w:val="Bekezdsalapbettpusa"/>
    <w:link w:val="Jegyzetszveg"/>
    <w:uiPriority w:val="99"/>
    <w:semiHidden/>
    <w:rsid w:val="006E7D65"/>
    <w:rPr>
      <w:rFonts w:eastAsia="Times New Roman" w:cs="Times New Roman"/>
      <w:sz w:val="20"/>
      <w:szCs w:val="20"/>
    </w:rPr>
  </w:style>
  <w:style w:type="paragraph" w:styleId="Nincstrkz">
    <w:name w:val="No Spacing"/>
    <w:uiPriority w:val="1"/>
    <w:qFormat/>
    <w:rsid w:val="006E7D65"/>
    <w:pPr>
      <w:spacing w:after="0" w:line="240" w:lineRule="auto"/>
    </w:pPr>
    <w:rPr>
      <w:rFonts w:eastAsiaTheme="minorEastAsia"/>
    </w:rPr>
  </w:style>
  <w:style w:type="character" w:customStyle="1" w:styleId="st">
    <w:name w:val="st"/>
    <w:basedOn w:val="Bekezdsalapbettpusa"/>
    <w:rsid w:val="006E7D65"/>
  </w:style>
  <w:style w:type="paragraph" w:styleId="Csakszveg">
    <w:name w:val="Plain Text"/>
    <w:basedOn w:val="Norml"/>
    <w:link w:val="CsakszvegChar"/>
    <w:uiPriority w:val="99"/>
    <w:unhideWhenUsed/>
    <w:rsid w:val="006E7D65"/>
    <w:pPr>
      <w:spacing w:after="0" w:line="240" w:lineRule="auto"/>
    </w:pPr>
    <w:rPr>
      <w:rFonts w:ascii="Consolas" w:eastAsiaTheme="minorHAnsi" w:hAnsi="Consolas"/>
      <w:sz w:val="21"/>
      <w:szCs w:val="21"/>
    </w:rPr>
  </w:style>
  <w:style w:type="character" w:customStyle="1" w:styleId="CsakszvegChar">
    <w:name w:val="Csak szöveg Char"/>
    <w:basedOn w:val="Bekezdsalapbettpusa"/>
    <w:link w:val="Csakszveg"/>
    <w:uiPriority w:val="99"/>
    <w:rsid w:val="006E7D65"/>
    <w:rPr>
      <w:rFonts w:ascii="Consolas" w:hAnsi="Consolas"/>
      <w:sz w:val="21"/>
      <w:szCs w:val="21"/>
      <w:lang w:val="en-US"/>
    </w:rPr>
  </w:style>
  <w:style w:type="paragraph" w:styleId="Szvegtrzs">
    <w:name w:val="Body Text"/>
    <w:basedOn w:val="Norml"/>
    <w:link w:val="SzvegtrzsChar"/>
    <w:uiPriority w:val="99"/>
    <w:semiHidden/>
    <w:unhideWhenUsed/>
    <w:rsid w:val="006E7D65"/>
    <w:pPr>
      <w:spacing w:after="120"/>
    </w:pPr>
  </w:style>
  <w:style w:type="character" w:customStyle="1" w:styleId="SzvegtrzsChar">
    <w:name w:val="Szövegtörzs Char"/>
    <w:basedOn w:val="Bekezdsalapbettpusa"/>
    <w:link w:val="Szvegtrzs"/>
    <w:uiPriority w:val="99"/>
    <w:semiHidden/>
    <w:rsid w:val="006E7D65"/>
    <w:rPr>
      <w:rFonts w:eastAsiaTheme="minorEastAsia"/>
      <w:lang w:val="en-US"/>
    </w:rPr>
  </w:style>
  <w:style w:type="paragraph" w:styleId="Buborkszveg">
    <w:name w:val="Balloon Text"/>
    <w:basedOn w:val="Norml"/>
    <w:link w:val="BuborkszvegChar"/>
    <w:uiPriority w:val="99"/>
    <w:semiHidden/>
    <w:unhideWhenUsed/>
    <w:rsid w:val="006E7D6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E7D65"/>
    <w:rPr>
      <w:rFonts w:ascii="Segoe UI" w:eastAsiaTheme="minorEastAsia" w:hAnsi="Segoe UI" w:cs="Segoe UI"/>
      <w:sz w:val="18"/>
      <w:szCs w:val="18"/>
      <w:lang w:val="en-US"/>
    </w:rPr>
  </w:style>
  <w:style w:type="paragraph" w:styleId="Megjegyzstrgya">
    <w:name w:val="annotation subject"/>
    <w:basedOn w:val="Jegyzetszveg"/>
    <w:next w:val="Jegyzetszveg"/>
    <w:link w:val="MegjegyzstrgyaChar"/>
    <w:uiPriority w:val="99"/>
    <w:semiHidden/>
    <w:unhideWhenUsed/>
    <w:rsid w:val="005D2EF7"/>
    <w:rPr>
      <w:rFonts w:eastAsiaTheme="minorEastAsia" w:cstheme="minorBidi"/>
      <w:b/>
      <w:bCs/>
      <w:lang w:val="en-US"/>
    </w:rPr>
  </w:style>
  <w:style w:type="character" w:customStyle="1" w:styleId="MegjegyzstrgyaChar">
    <w:name w:val="Megjegyzés tárgya Char"/>
    <w:basedOn w:val="JegyzetszvegChar"/>
    <w:link w:val="Megjegyzstrgya"/>
    <w:uiPriority w:val="99"/>
    <w:semiHidden/>
    <w:rsid w:val="005D2EF7"/>
    <w:rPr>
      <w:rFonts w:eastAsiaTheme="minorEastAsia" w:cs="Times New Roman"/>
      <w:b/>
      <w:bCs/>
      <w:sz w:val="20"/>
      <w:szCs w:val="20"/>
      <w:lang w:val="en-US"/>
    </w:rPr>
  </w:style>
  <w:style w:type="paragraph" w:styleId="Vltozat">
    <w:name w:val="Revision"/>
    <w:hidden/>
    <w:uiPriority w:val="99"/>
    <w:semiHidden/>
    <w:rsid w:val="003170D0"/>
    <w:pPr>
      <w:spacing w:after="0" w:line="240" w:lineRule="auto"/>
    </w:pPr>
    <w:rPr>
      <w:rFonts w:eastAsiaTheme="minorEastAsia"/>
      <w:lang w:val="en-US"/>
    </w:rPr>
  </w:style>
  <w:style w:type="paragraph" w:styleId="lfej">
    <w:name w:val="header"/>
    <w:basedOn w:val="Norml"/>
    <w:link w:val="lfejChar"/>
    <w:uiPriority w:val="99"/>
    <w:unhideWhenUsed/>
    <w:rsid w:val="00F14BA9"/>
    <w:pPr>
      <w:tabs>
        <w:tab w:val="center" w:pos="4536"/>
        <w:tab w:val="right" w:pos="9072"/>
      </w:tabs>
      <w:spacing w:after="0" w:line="240" w:lineRule="auto"/>
    </w:pPr>
  </w:style>
  <w:style w:type="character" w:customStyle="1" w:styleId="lfejChar">
    <w:name w:val="Élőfej Char"/>
    <w:basedOn w:val="Bekezdsalapbettpusa"/>
    <w:link w:val="lfej"/>
    <w:uiPriority w:val="99"/>
    <w:rsid w:val="00F14BA9"/>
    <w:rPr>
      <w:rFonts w:eastAsiaTheme="minorEastAsia"/>
      <w:lang w:val="en-US"/>
    </w:rPr>
  </w:style>
  <w:style w:type="paragraph" w:styleId="llb">
    <w:name w:val="footer"/>
    <w:basedOn w:val="Norml"/>
    <w:link w:val="llbChar"/>
    <w:uiPriority w:val="99"/>
    <w:unhideWhenUsed/>
    <w:rsid w:val="00F14BA9"/>
    <w:pPr>
      <w:tabs>
        <w:tab w:val="center" w:pos="4536"/>
        <w:tab w:val="right" w:pos="9072"/>
      </w:tabs>
      <w:spacing w:after="0" w:line="240" w:lineRule="auto"/>
    </w:pPr>
  </w:style>
  <w:style w:type="character" w:customStyle="1" w:styleId="llbChar">
    <w:name w:val="Élőláb Char"/>
    <w:basedOn w:val="Bekezdsalapbettpusa"/>
    <w:link w:val="llb"/>
    <w:uiPriority w:val="99"/>
    <w:rsid w:val="00F14BA9"/>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795093">
      <w:bodyDiv w:val="1"/>
      <w:marLeft w:val="0"/>
      <w:marRight w:val="0"/>
      <w:marTop w:val="0"/>
      <w:marBottom w:val="0"/>
      <w:divBdr>
        <w:top w:val="none" w:sz="0" w:space="0" w:color="auto"/>
        <w:left w:val="none" w:sz="0" w:space="0" w:color="auto"/>
        <w:bottom w:val="none" w:sz="0" w:space="0" w:color="auto"/>
        <w:right w:val="none" w:sz="0" w:space="0" w:color="auto"/>
      </w:divBdr>
      <w:divsChild>
        <w:div w:id="1305309563">
          <w:marLeft w:val="0"/>
          <w:marRight w:val="0"/>
          <w:marTop w:val="0"/>
          <w:marBottom w:val="0"/>
          <w:divBdr>
            <w:top w:val="none" w:sz="0" w:space="0" w:color="auto"/>
            <w:left w:val="none" w:sz="0" w:space="0" w:color="auto"/>
            <w:bottom w:val="none" w:sz="0" w:space="0" w:color="auto"/>
            <w:right w:val="none" w:sz="0" w:space="0" w:color="auto"/>
          </w:divBdr>
          <w:divsChild>
            <w:div w:id="3629845">
              <w:marLeft w:val="0"/>
              <w:marRight w:val="0"/>
              <w:marTop w:val="0"/>
              <w:marBottom w:val="0"/>
              <w:divBdr>
                <w:top w:val="none" w:sz="0" w:space="0" w:color="auto"/>
                <w:left w:val="none" w:sz="0" w:space="0" w:color="auto"/>
                <w:bottom w:val="none" w:sz="0" w:space="0" w:color="auto"/>
                <w:right w:val="none" w:sz="0" w:space="0" w:color="auto"/>
              </w:divBdr>
            </w:div>
            <w:div w:id="805976450">
              <w:marLeft w:val="0"/>
              <w:marRight w:val="0"/>
              <w:marTop w:val="0"/>
              <w:marBottom w:val="0"/>
              <w:divBdr>
                <w:top w:val="none" w:sz="0" w:space="0" w:color="auto"/>
                <w:left w:val="none" w:sz="0" w:space="0" w:color="auto"/>
                <w:bottom w:val="none" w:sz="0" w:space="0" w:color="auto"/>
                <w:right w:val="none" w:sz="0" w:space="0" w:color="auto"/>
              </w:divBdr>
            </w:div>
            <w:div w:id="931012115">
              <w:marLeft w:val="0"/>
              <w:marRight w:val="0"/>
              <w:marTop w:val="0"/>
              <w:marBottom w:val="0"/>
              <w:divBdr>
                <w:top w:val="none" w:sz="0" w:space="0" w:color="auto"/>
                <w:left w:val="none" w:sz="0" w:space="0" w:color="auto"/>
                <w:bottom w:val="none" w:sz="0" w:space="0" w:color="auto"/>
                <w:right w:val="none" w:sz="0" w:space="0" w:color="auto"/>
              </w:divBdr>
            </w:div>
          </w:divsChild>
        </w:div>
        <w:div w:id="314842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 = '1.0' encoding = 'UTF-8' standalone = 'yes'?>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4.jpeg"/>
   <Relationship Id="rId11" Type="http://schemas.openxmlformats.org/officeDocument/2006/relationships/image" Target="media/image5.tiff"/>
   <Relationship Id="rId12" Type="http://schemas.openxmlformats.org/officeDocument/2006/relationships/image" Target="media/image6.tiff"/>
   <Relationship Id="rId13" Type="http://schemas.openxmlformats.org/officeDocument/2006/relationships/image" Target="media/image7.tiff"/>
   <Relationship Id="rId14" Type="http://schemas.openxmlformats.org/officeDocument/2006/relationships/image" Target="media/image8.tif"/>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tyles" Target="styles.xml"/>
   <Relationship Id="rId20" Type="http://schemas.openxmlformats.org/officeDocument/2006/relationships/footer" Target="footer3.xml"/>
   <Relationship Id="rId21" Type="http://schemas.openxmlformats.org/officeDocument/2006/relationships/fontTable" Target="fontTable.xml"/>
   <Relationship Id="rId22" Type="http://schemas.openxmlformats.org/officeDocument/2006/relationships/theme" Target="theme/theme1.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jpeg"/>
   <Relationship Id="rId8" Type="http://schemas.openxmlformats.org/officeDocument/2006/relationships/image" Target="media/image2.jpeg"/>
   <Relationship Id="rId9" Type="http://schemas.openxmlformats.org/officeDocument/2006/relationships/image" Target="media/image3.jpeg"/>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 = '1.0' encoding = 'UTF-8' standalone = 'yes'?>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139B7-1607-44C8-A97D-B9A4EFB74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14</TotalTime>
  <Pages>12</Pages>
  <Words>2981</Words>
  <Characters>20576</Characters>
  <Application>Microsoft Office Word</Application>
  <DocSecurity>0</DocSecurity>
  <Lines>171</Lines>
  <Paragraphs>47</Paragraphs>
  <ScaleCrop>false</ScaleCrop>
  <HeadingPairs>
    <vt:vector size="6" baseType="variant">
      <vt:variant>
        <vt:lpstr>Cím</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23510</CharactersWithSpaces>
  <SharedDoc>false</SharedDoc>
  <HyperlinksChanged>false</HyperlinksChanged>
  <AppVersion>15.0000</AppVersion>
  <Manager/>
  <HyperlinkBase/>
</Properties>
</file>

<file path=docProps/core.xml><?xml version="1.0" encoding="utf-8"?>
<cp:coreProperties xmlns:cp="http://schemas.openxmlformats.org/package/2006/metadata/core-properties" xmlns:dc="http://purl.org/dc/elements/1.1/" xmlns:dcterms="http://purl.org/dc/terms/" xmlns:xsi="http://www.w3.org/2001/XMLSchema-instance">
  <cp:lastPrinted>2018-08-13T10:04:00Z</cp:lastPrinted>
</cp:coreProperties>
</file>