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E7A00">
      <w:pPr>
        <w:spacing w:before="240"/>
      </w:pPr>
    </w:p>
    <w:p w14:paraId="05B1AFC6">
      <w:pPr>
        <w:pStyle w:val="52"/>
        <w:rPr>
          <w:lang w:val="en-US"/>
        </w:rPr>
      </w:pPr>
      <w:r>
        <w:rPr>
          <w:lang w:val="en-US"/>
        </w:rPr>
        <w:t xml:space="preserve">Supplementary Material </w:t>
      </w:r>
    </w:p>
    <w:p w14:paraId="648379FE">
      <w:pPr>
        <w:pStyle w:val="2"/>
        <w:widowControl/>
        <w:numPr>
          <w:ilvl w:val="0"/>
          <w:numId w:val="0"/>
        </w:numPr>
        <w:ind w:leftChars="0"/>
        <w:rPr>
          <w:rFonts w:hint="default" w:ascii="Times New Roman" w:hAnsi="Times New Roman" w:cs="Times New Roman" w:eastAsiaTheme="minorHAnsi"/>
          <w:b/>
          <w:bCs/>
          <w:sz w:val="36"/>
          <w:szCs w:val="36"/>
          <w:lang w:val="en-US" w:eastAsia="en-US" w:bidi="ar-SA"/>
        </w:rPr>
      </w:pPr>
      <w:r>
        <w:rPr>
          <w:rFonts w:hint="default" w:ascii="Times New Roman" w:hAnsi="Times New Roman" w:cs="Times New Roman" w:eastAsiaTheme="minorHAnsi"/>
          <w:b/>
          <w:bCs/>
          <w:sz w:val="36"/>
          <w:szCs w:val="36"/>
          <w:lang w:val="en-US" w:eastAsia="en-US" w:bidi="ar-SA"/>
        </w:rPr>
        <w:t>Variable Missing Data, Handling Methods, and Prediction Model Supplementary Reports</w:t>
      </w:r>
    </w:p>
    <w:p w14:paraId="0F9BE0A3">
      <w:pPr>
        <w:pStyle w:val="4"/>
        <w:widowControl/>
        <w:numPr>
          <w:ilvl w:val="1"/>
          <w:numId w:val="0"/>
        </w:numPr>
        <w:ind w:leftChars="0"/>
        <w:rPr>
          <w:lang w:val="en-US"/>
        </w:rPr>
      </w:pPr>
      <w:r>
        <w:rPr>
          <w:lang w:val="en-US"/>
        </w:rPr>
        <w:t>1. Variable Missing Rate Statistics</w:t>
      </w:r>
    </w:p>
    <w:p w14:paraId="775AB613">
      <w:pPr>
        <w:pStyle w:val="58"/>
        <w:widowControl/>
        <w:rPr>
          <w:rFonts w:hint="default" w:ascii="Times New Roman" w:hAnsi="Times New Roman" w:cs="Times New Roman" w:eastAsiaTheme="minorHAnsi"/>
          <w:kern w:val="0"/>
          <w:sz w:val="24"/>
          <w:szCs w:val="24"/>
          <w:lang w:val="en-US" w:eastAsia="en-US" w:bidi="ar-SA"/>
        </w:rPr>
      </w:pPr>
      <w:r>
        <w:rPr>
          <w:rFonts w:hint="default" w:ascii="Times New Roman" w:hAnsi="Times New Roman" w:cs="Times New Roman" w:eastAsiaTheme="minorHAnsi"/>
          <w:kern w:val="0"/>
          <w:sz w:val="24"/>
          <w:szCs w:val="24"/>
          <w:lang w:val="en-US" w:eastAsia="en-US" w:bidi="ar-SA"/>
        </w:rPr>
        <w:t>To clarify the completeness of clinical data and avoid potential selection bias caused by excluding patients with incomplete medical records, we systematically counted the missing rates of key variables included in the initial analysis (n=1</w:t>
      </w:r>
      <w:r>
        <w:rPr>
          <w:rFonts w:hint="eastAsia" w:ascii="Times New Roman" w:hAnsi="Times New Roman" w:eastAsia="宋体" w:cs="Times New Roman"/>
          <w:kern w:val="0"/>
          <w:sz w:val="24"/>
          <w:szCs w:val="24"/>
          <w:lang w:val="en-US" w:eastAsia="zh-CN" w:bidi="ar-SA"/>
        </w:rPr>
        <w:t>480</w:t>
      </w:r>
      <w:r>
        <w:rPr>
          <w:rFonts w:hint="default" w:ascii="Times New Roman" w:hAnsi="Times New Roman" w:cs="Times New Roman" w:eastAsiaTheme="minorHAnsi"/>
          <w:kern w:val="0"/>
          <w:sz w:val="24"/>
          <w:szCs w:val="24"/>
          <w:lang w:val="en-US" w:eastAsia="en-US" w:bidi="ar-SA"/>
        </w:rPr>
        <w:t>patients before screening). The missing rate was calculated as the ratio of the number of patients with missing values for a specific variable to the total number of initially screened patients. Detailed results are presented in Table S1.</w:t>
      </w:r>
    </w:p>
    <w:p w14:paraId="32815CDE">
      <w:pPr>
        <w:pStyle w:val="5"/>
        <w:widowControl/>
        <w:numPr>
          <w:ilvl w:val="2"/>
          <w:numId w:val="0"/>
        </w:numPr>
        <w:ind w:leftChars="0"/>
        <w:rPr>
          <w:lang w:val="en-US"/>
        </w:rPr>
      </w:pPr>
      <w:r>
        <w:rPr>
          <w:lang w:val="en-US"/>
        </w:rPr>
        <w:t>Table S1. Missing Rates of Key Variables in Initially Screened Patients (n=1</w:t>
      </w:r>
      <w:r>
        <w:rPr>
          <w:rFonts w:hint="eastAsia"/>
          <w:lang w:val="en-US" w:eastAsia="zh-CN"/>
        </w:rPr>
        <w:t>480</w:t>
      </w:r>
      <w:r>
        <w:rPr>
          <w:lang w:val="en-US"/>
        </w:rPr>
        <w:t>)</w:t>
      </w:r>
    </w:p>
    <w:tbl>
      <w:tblPr>
        <w:tblStyle w:val="20"/>
        <w:tblW w:w="0" w:type="auto"/>
        <w:tblInd w:w="-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 w:type="dxa"/>
          <w:bottom w:w="0" w:type="dxa"/>
          <w:right w:w="10" w:type="dxa"/>
        </w:tblCellMar>
      </w:tblPr>
      <w:tblGrid>
        <w:gridCol w:w="2338"/>
        <w:gridCol w:w="2530"/>
        <w:gridCol w:w="2040"/>
        <w:gridCol w:w="2310"/>
      </w:tblGrid>
      <w:tr w14:paraId="525FA0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338" w:type="dxa"/>
            <w:tcBorders>
              <w:bottom w:val="single" w:color="auto" w:sz="4" w:space="0"/>
            </w:tcBorders>
            <w:shd w:val="clear" w:color="auto" w:fill="auto"/>
            <w:tcMar>
              <w:top w:w="60" w:type="dxa"/>
              <w:left w:w="120" w:type="dxa"/>
              <w:bottom w:w="30" w:type="dxa"/>
              <w:right w:w="120" w:type="dxa"/>
            </w:tcMar>
            <w:vAlign w:val="top"/>
          </w:tcPr>
          <w:p w14:paraId="2E28807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Variable Category</w:t>
            </w:r>
          </w:p>
        </w:tc>
        <w:tc>
          <w:tcPr>
            <w:tcW w:w="2530" w:type="dxa"/>
            <w:tcBorders>
              <w:bottom w:val="single" w:color="auto" w:sz="4" w:space="0"/>
            </w:tcBorders>
            <w:shd w:val="clear" w:color="auto" w:fill="auto"/>
            <w:tcMar>
              <w:top w:w="60" w:type="dxa"/>
              <w:left w:w="120" w:type="dxa"/>
              <w:bottom w:w="30" w:type="dxa"/>
              <w:right w:w="120" w:type="dxa"/>
            </w:tcMar>
            <w:vAlign w:val="top"/>
          </w:tcPr>
          <w:p w14:paraId="116B431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Variable Name</w:t>
            </w:r>
          </w:p>
        </w:tc>
        <w:tc>
          <w:tcPr>
            <w:tcW w:w="2040" w:type="dxa"/>
            <w:tcBorders>
              <w:bottom w:val="single" w:color="auto" w:sz="4" w:space="0"/>
            </w:tcBorders>
            <w:shd w:val="clear" w:color="auto" w:fill="auto"/>
            <w:tcMar>
              <w:top w:w="60" w:type="dxa"/>
              <w:left w:w="120" w:type="dxa"/>
              <w:bottom w:w="30" w:type="dxa"/>
              <w:right w:w="120" w:type="dxa"/>
            </w:tcMar>
            <w:vAlign w:val="top"/>
          </w:tcPr>
          <w:p w14:paraId="6201F6E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Number of Missing Cases</w:t>
            </w:r>
          </w:p>
        </w:tc>
        <w:tc>
          <w:tcPr>
            <w:tcW w:w="2310" w:type="dxa"/>
            <w:tcBorders>
              <w:bottom w:val="single" w:color="auto" w:sz="4" w:space="0"/>
            </w:tcBorders>
            <w:shd w:val="clear" w:color="auto" w:fill="auto"/>
            <w:tcMar>
              <w:top w:w="60" w:type="dxa"/>
              <w:left w:w="120" w:type="dxa"/>
              <w:bottom w:w="30" w:type="dxa"/>
              <w:right w:w="120" w:type="dxa"/>
            </w:tcMar>
            <w:vAlign w:val="top"/>
          </w:tcPr>
          <w:p w14:paraId="24AD59C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Missing Rate (%)</w:t>
            </w:r>
          </w:p>
        </w:tc>
      </w:tr>
      <w:tr w14:paraId="36D1DB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tcBorders>
              <w:top w:val="single" w:color="auto" w:sz="4" w:space="0"/>
            </w:tcBorders>
            <w:shd w:val="clear" w:color="auto" w:fill="auto"/>
            <w:tcMar>
              <w:top w:w="60" w:type="dxa"/>
              <w:left w:w="120" w:type="dxa"/>
              <w:bottom w:w="30" w:type="dxa"/>
              <w:right w:w="120" w:type="dxa"/>
            </w:tcMar>
            <w:vAlign w:val="top"/>
          </w:tcPr>
          <w:p w14:paraId="7C19D43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Demographics</w:t>
            </w:r>
          </w:p>
        </w:tc>
        <w:tc>
          <w:tcPr>
            <w:tcW w:w="2530" w:type="dxa"/>
            <w:tcBorders>
              <w:top w:val="single" w:color="auto" w:sz="4" w:space="0"/>
            </w:tcBorders>
            <w:shd w:val="clear" w:color="auto" w:fill="auto"/>
            <w:tcMar>
              <w:top w:w="60" w:type="dxa"/>
              <w:left w:w="120" w:type="dxa"/>
              <w:bottom w:w="30" w:type="dxa"/>
              <w:right w:w="120" w:type="dxa"/>
            </w:tcMar>
            <w:vAlign w:val="top"/>
          </w:tcPr>
          <w:p w14:paraId="25C6BC3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Age</w:t>
            </w:r>
          </w:p>
        </w:tc>
        <w:tc>
          <w:tcPr>
            <w:tcW w:w="2040" w:type="dxa"/>
            <w:tcBorders>
              <w:top w:val="single" w:color="auto" w:sz="4" w:space="0"/>
            </w:tcBorders>
            <w:shd w:val="clear" w:color="auto" w:fill="auto"/>
            <w:tcMar>
              <w:top w:w="60" w:type="dxa"/>
              <w:left w:w="120" w:type="dxa"/>
              <w:bottom w:w="30" w:type="dxa"/>
              <w:right w:w="120" w:type="dxa"/>
            </w:tcMar>
            <w:vAlign w:val="top"/>
          </w:tcPr>
          <w:p w14:paraId="2600881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0</w:t>
            </w:r>
          </w:p>
        </w:tc>
        <w:tc>
          <w:tcPr>
            <w:tcW w:w="2310" w:type="dxa"/>
            <w:tcBorders>
              <w:top w:val="single" w:color="auto" w:sz="4" w:space="0"/>
            </w:tcBorders>
            <w:shd w:val="clear" w:color="auto" w:fill="auto"/>
            <w:tcMar>
              <w:top w:w="60" w:type="dxa"/>
              <w:left w:w="120" w:type="dxa"/>
              <w:bottom w:w="30" w:type="dxa"/>
              <w:right w:w="120" w:type="dxa"/>
            </w:tcMar>
            <w:vAlign w:val="top"/>
          </w:tcPr>
          <w:p w14:paraId="40546EB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0</w:t>
            </w:r>
          </w:p>
        </w:tc>
      </w:tr>
      <w:tr w14:paraId="43F60F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2CEF4B82">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1B11CD9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Gender</w:t>
            </w:r>
          </w:p>
        </w:tc>
        <w:tc>
          <w:tcPr>
            <w:tcW w:w="2040" w:type="dxa"/>
            <w:shd w:val="clear" w:color="auto" w:fill="auto"/>
            <w:tcMar>
              <w:top w:w="60" w:type="dxa"/>
              <w:left w:w="120" w:type="dxa"/>
              <w:bottom w:w="30" w:type="dxa"/>
              <w:right w:w="120" w:type="dxa"/>
            </w:tcMar>
            <w:vAlign w:val="top"/>
          </w:tcPr>
          <w:p w14:paraId="5DF0A254">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0</w:t>
            </w:r>
          </w:p>
        </w:tc>
        <w:tc>
          <w:tcPr>
            <w:tcW w:w="2310" w:type="dxa"/>
            <w:shd w:val="clear" w:color="auto" w:fill="auto"/>
            <w:tcMar>
              <w:top w:w="60" w:type="dxa"/>
              <w:left w:w="120" w:type="dxa"/>
              <w:bottom w:w="30" w:type="dxa"/>
              <w:right w:w="120" w:type="dxa"/>
            </w:tcMar>
            <w:vAlign w:val="top"/>
          </w:tcPr>
          <w:p w14:paraId="4F0DB6C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0</w:t>
            </w:r>
          </w:p>
        </w:tc>
      </w:tr>
      <w:tr w14:paraId="33566E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624D01F7">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462AEDE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BMI</w:t>
            </w:r>
          </w:p>
        </w:tc>
        <w:tc>
          <w:tcPr>
            <w:tcW w:w="2040" w:type="dxa"/>
            <w:shd w:val="clear" w:color="auto" w:fill="auto"/>
            <w:tcMar>
              <w:top w:w="60" w:type="dxa"/>
              <w:left w:w="120" w:type="dxa"/>
              <w:bottom w:w="30" w:type="dxa"/>
              <w:right w:w="120" w:type="dxa"/>
            </w:tcMar>
            <w:vAlign w:val="top"/>
          </w:tcPr>
          <w:p w14:paraId="35117DE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12</w:t>
            </w:r>
          </w:p>
        </w:tc>
        <w:tc>
          <w:tcPr>
            <w:tcW w:w="2310" w:type="dxa"/>
            <w:shd w:val="clear" w:color="auto" w:fill="auto"/>
            <w:tcMar>
              <w:top w:w="60" w:type="dxa"/>
              <w:left w:w="120" w:type="dxa"/>
              <w:bottom w:w="30" w:type="dxa"/>
              <w:right w:w="120" w:type="dxa"/>
            </w:tcMar>
            <w:vAlign w:val="top"/>
          </w:tcPr>
          <w:p w14:paraId="57993131">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0.8</w:t>
            </w:r>
            <w:r>
              <w:rPr>
                <w:rFonts w:hint="eastAsia" w:ascii="Times New Roman" w:hAnsi="Times New Roman" w:cs="Times New Roman"/>
                <w:sz w:val="24"/>
                <w:szCs w:val="24"/>
                <w:lang w:val="en-US" w:eastAsia="zh-CN"/>
              </w:rPr>
              <w:t>1</w:t>
            </w:r>
          </w:p>
        </w:tc>
      </w:tr>
      <w:tr w14:paraId="3BAA08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5967999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Laboratory Indicators</w:t>
            </w:r>
          </w:p>
        </w:tc>
        <w:tc>
          <w:tcPr>
            <w:tcW w:w="2530" w:type="dxa"/>
            <w:shd w:val="clear" w:color="auto" w:fill="auto"/>
            <w:tcMar>
              <w:top w:w="60" w:type="dxa"/>
              <w:left w:w="120" w:type="dxa"/>
              <w:bottom w:w="30" w:type="dxa"/>
              <w:right w:w="120" w:type="dxa"/>
            </w:tcMar>
            <w:vAlign w:val="top"/>
          </w:tcPr>
          <w:p w14:paraId="0BFA233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Direct Bilirubin</w:t>
            </w:r>
          </w:p>
        </w:tc>
        <w:tc>
          <w:tcPr>
            <w:tcW w:w="2040" w:type="dxa"/>
            <w:shd w:val="clear" w:color="auto" w:fill="auto"/>
            <w:tcMar>
              <w:top w:w="60" w:type="dxa"/>
              <w:left w:w="120" w:type="dxa"/>
              <w:bottom w:w="30" w:type="dxa"/>
              <w:right w:w="120" w:type="dxa"/>
            </w:tcMar>
            <w:vAlign w:val="top"/>
          </w:tcPr>
          <w:p w14:paraId="6D39BAD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28</w:t>
            </w:r>
          </w:p>
        </w:tc>
        <w:tc>
          <w:tcPr>
            <w:tcW w:w="2310" w:type="dxa"/>
            <w:shd w:val="clear" w:color="auto" w:fill="auto"/>
            <w:tcMar>
              <w:top w:w="60" w:type="dxa"/>
              <w:left w:w="120" w:type="dxa"/>
              <w:bottom w:w="30" w:type="dxa"/>
              <w:right w:w="120" w:type="dxa"/>
            </w:tcMar>
            <w:vAlign w:val="top"/>
          </w:tcPr>
          <w:p w14:paraId="5FACAAA1">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1.9</w:t>
            </w:r>
          </w:p>
        </w:tc>
      </w:tr>
      <w:tr w14:paraId="100AC1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032A9334">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34E734D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ALP (Alkaline Phosphatase)</w:t>
            </w:r>
          </w:p>
        </w:tc>
        <w:tc>
          <w:tcPr>
            <w:tcW w:w="2040" w:type="dxa"/>
            <w:shd w:val="clear" w:color="auto" w:fill="auto"/>
            <w:tcMar>
              <w:top w:w="60" w:type="dxa"/>
              <w:left w:w="120" w:type="dxa"/>
              <w:bottom w:w="30" w:type="dxa"/>
              <w:right w:w="120" w:type="dxa"/>
            </w:tcMar>
            <w:vAlign w:val="top"/>
          </w:tcPr>
          <w:p w14:paraId="238A54F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31</w:t>
            </w:r>
          </w:p>
        </w:tc>
        <w:tc>
          <w:tcPr>
            <w:tcW w:w="2310" w:type="dxa"/>
            <w:shd w:val="clear" w:color="auto" w:fill="auto"/>
            <w:tcMar>
              <w:top w:w="60" w:type="dxa"/>
              <w:left w:w="120" w:type="dxa"/>
              <w:bottom w:w="30" w:type="dxa"/>
              <w:right w:w="120" w:type="dxa"/>
            </w:tcMar>
            <w:vAlign w:val="top"/>
          </w:tcPr>
          <w:p w14:paraId="45BB72C5">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2.</w:t>
            </w:r>
            <w:r>
              <w:rPr>
                <w:rFonts w:hint="eastAsia" w:ascii="Times New Roman" w:hAnsi="Times New Roman" w:cs="Times New Roman"/>
                <w:sz w:val="24"/>
                <w:szCs w:val="24"/>
                <w:lang w:val="en-US" w:eastAsia="zh-CN"/>
              </w:rPr>
              <w:t>1</w:t>
            </w:r>
          </w:p>
        </w:tc>
      </w:tr>
      <w:tr w14:paraId="3E79A7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560C8DF0">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2B9D9AC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GGT (Gamma-Glutamyl Transferase)</w:t>
            </w:r>
          </w:p>
        </w:tc>
        <w:tc>
          <w:tcPr>
            <w:tcW w:w="2040" w:type="dxa"/>
            <w:shd w:val="clear" w:color="auto" w:fill="auto"/>
            <w:tcMar>
              <w:top w:w="60" w:type="dxa"/>
              <w:left w:w="120" w:type="dxa"/>
              <w:bottom w:w="30" w:type="dxa"/>
              <w:right w:w="120" w:type="dxa"/>
            </w:tcMar>
            <w:vAlign w:val="top"/>
          </w:tcPr>
          <w:p w14:paraId="49020CE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25</w:t>
            </w:r>
          </w:p>
        </w:tc>
        <w:tc>
          <w:tcPr>
            <w:tcW w:w="2310" w:type="dxa"/>
            <w:shd w:val="clear" w:color="auto" w:fill="auto"/>
            <w:tcMar>
              <w:top w:w="60" w:type="dxa"/>
              <w:left w:w="120" w:type="dxa"/>
              <w:bottom w:w="30" w:type="dxa"/>
              <w:right w:w="120" w:type="dxa"/>
            </w:tcMar>
            <w:vAlign w:val="top"/>
          </w:tcPr>
          <w:p w14:paraId="79D13CAD">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1.</w:t>
            </w:r>
            <w:r>
              <w:rPr>
                <w:rFonts w:hint="eastAsia" w:ascii="Times New Roman" w:hAnsi="Times New Roman" w:cs="Times New Roman"/>
                <w:sz w:val="24"/>
                <w:szCs w:val="24"/>
                <w:lang w:val="en-US" w:eastAsia="zh-CN"/>
              </w:rPr>
              <w:t>7</w:t>
            </w:r>
          </w:p>
        </w:tc>
      </w:tr>
      <w:tr w14:paraId="3114C3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6351BFCE">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65552B3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ALT (Alanine Aminotransferase)</w:t>
            </w:r>
          </w:p>
        </w:tc>
        <w:tc>
          <w:tcPr>
            <w:tcW w:w="2040" w:type="dxa"/>
            <w:shd w:val="clear" w:color="auto" w:fill="auto"/>
            <w:tcMar>
              <w:top w:w="60" w:type="dxa"/>
              <w:left w:w="120" w:type="dxa"/>
              <w:bottom w:w="30" w:type="dxa"/>
              <w:right w:w="120" w:type="dxa"/>
            </w:tcMar>
            <w:vAlign w:val="top"/>
          </w:tcPr>
          <w:p w14:paraId="13478F6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35</w:t>
            </w:r>
          </w:p>
        </w:tc>
        <w:tc>
          <w:tcPr>
            <w:tcW w:w="2310" w:type="dxa"/>
            <w:shd w:val="clear" w:color="auto" w:fill="auto"/>
            <w:tcMar>
              <w:top w:w="60" w:type="dxa"/>
              <w:left w:w="120" w:type="dxa"/>
              <w:bottom w:w="30" w:type="dxa"/>
              <w:right w:w="120" w:type="dxa"/>
            </w:tcMar>
            <w:vAlign w:val="top"/>
          </w:tcPr>
          <w:p w14:paraId="4943709F">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2.</w:t>
            </w:r>
            <w:r>
              <w:rPr>
                <w:rFonts w:hint="eastAsia" w:ascii="Times New Roman" w:hAnsi="Times New Roman" w:cs="Times New Roman"/>
                <w:sz w:val="24"/>
                <w:szCs w:val="24"/>
                <w:lang w:val="en-US" w:eastAsia="zh-CN"/>
              </w:rPr>
              <w:t>4</w:t>
            </w:r>
          </w:p>
        </w:tc>
      </w:tr>
      <w:tr w14:paraId="7B0B5C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7DE387A1">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415AA9F4">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AST (Aspartate Aminotransferase)</w:t>
            </w:r>
          </w:p>
        </w:tc>
        <w:tc>
          <w:tcPr>
            <w:tcW w:w="2040" w:type="dxa"/>
            <w:shd w:val="clear" w:color="auto" w:fill="auto"/>
            <w:tcMar>
              <w:top w:w="60" w:type="dxa"/>
              <w:left w:w="120" w:type="dxa"/>
              <w:bottom w:w="30" w:type="dxa"/>
              <w:right w:w="120" w:type="dxa"/>
            </w:tcMar>
            <w:vAlign w:val="top"/>
          </w:tcPr>
          <w:p w14:paraId="18837C54">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33</w:t>
            </w:r>
          </w:p>
        </w:tc>
        <w:tc>
          <w:tcPr>
            <w:tcW w:w="2310" w:type="dxa"/>
            <w:shd w:val="clear" w:color="auto" w:fill="auto"/>
            <w:tcMar>
              <w:top w:w="60" w:type="dxa"/>
              <w:left w:w="120" w:type="dxa"/>
              <w:bottom w:w="30" w:type="dxa"/>
              <w:right w:w="120" w:type="dxa"/>
            </w:tcMar>
            <w:vAlign w:val="top"/>
          </w:tcPr>
          <w:p w14:paraId="1AE5943A">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2.</w:t>
            </w:r>
            <w:r>
              <w:rPr>
                <w:rFonts w:hint="eastAsia" w:ascii="Times New Roman" w:hAnsi="Times New Roman" w:cs="Times New Roman"/>
                <w:sz w:val="24"/>
                <w:szCs w:val="24"/>
                <w:lang w:val="en-US" w:eastAsia="zh-CN"/>
              </w:rPr>
              <w:t>2</w:t>
            </w:r>
          </w:p>
        </w:tc>
      </w:tr>
      <w:tr w14:paraId="3F9212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07D6A5CB">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5ED4A3A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WBC (White Blood Cell Count)</w:t>
            </w:r>
          </w:p>
        </w:tc>
        <w:tc>
          <w:tcPr>
            <w:tcW w:w="2040" w:type="dxa"/>
            <w:shd w:val="clear" w:color="auto" w:fill="auto"/>
            <w:tcMar>
              <w:top w:w="60" w:type="dxa"/>
              <w:left w:w="120" w:type="dxa"/>
              <w:bottom w:w="30" w:type="dxa"/>
              <w:right w:w="120" w:type="dxa"/>
            </w:tcMar>
            <w:vAlign w:val="top"/>
          </w:tcPr>
          <w:p w14:paraId="0BCAE83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18</w:t>
            </w:r>
          </w:p>
        </w:tc>
        <w:tc>
          <w:tcPr>
            <w:tcW w:w="2310" w:type="dxa"/>
            <w:shd w:val="clear" w:color="auto" w:fill="auto"/>
            <w:tcMar>
              <w:top w:w="60" w:type="dxa"/>
              <w:left w:w="120" w:type="dxa"/>
              <w:bottom w:w="30" w:type="dxa"/>
              <w:right w:w="120" w:type="dxa"/>
            </w:tcMar>
            <w:vAlign w:val="top"/>
          </w:tcPr>
          <w:p w14:paraId="3C061D78">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1.</w:t>
            </w:r>
            <w:r>
              <w:rPr>
                <w:rFonts w:hint="eastAsia" w:ascii="Times New Roman" w:hAnsi="Times New Roman" w:cs="Times New Roman"/>
                <w:sz w:val="24"/>
                <w:szCs w:val="24"/>
                <w:lang w:val="en-US" w:eastAsia="zh-CN"/>
              </w:rPr>
              <w:t>2</w:t>
            </w:r>
          </w:p>
        </w:tc>
      </w:tr>
      <w:tr w14:paraId="61467A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30D9BD06">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3406F62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CRP (C-Reactive Protein)</w:t>
            </w:r>
          </w:p>
        </w:tc>
        <w:tc>
          <w:tcPr>
            <w:tcW w:w="2040" w:type="dxa"/>
            <w:shd w:val="clear" w:color="auto" w:fill="auto"/>
            <w:tcMar>
              <w:top w:w="60" w:type="dxa"/>
              <w:left w:w="120" w:type="dxa"/>
              <w:bottom w:w="30" w:type="dxa"/>
              <w:right w:w="120" w:type="dxa"/>
            </w:tcMar>
            <w:vAlign w:val="top"/>
          </w:tcPr>
          <w:p w14:paraId="57D9C9E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21</w:t>
            </w:r>
          </w:p>
        </w:tc>
        <w:tc>
          <w:tcPr>
            <w:tcW w:w="2310" w:type="dxa"/>
            <w:shd w:val="clear" w:color="auto" w:fill="auto"/>
            <w:tcMar>
              <w:top w:w="60" w:type="dxa"/>
              <w:left w:w="120" w:type="dxa"/>
              <w:bottom w:w="30" w:type="dxa"/>
              <w:right w:w="120" w:type="dxa"/>
            </w:tcMar>
            <w:vAlign w:val="top"/>
          </w:tcPr>
          <w:p w14:paraId="23720390">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1.</w:t>
            </w:r>
            <w:r>
              <w:rPr>
                <w:rFonts w:hint="eastAsia" w:ascii="Times New Roman" w:hAnsi="Times New Roman" w:cs="Times New Roman"/>
                <w:sz w:val="24"/>
                <w:szCs w:val="24"/>
                <w:lang w:val="en-US" w:eastAsia="zh-CN"/>
              </w:rPr>
              <w:t>4</w:t>
            </w:r>
          </w:p>
        </w:tc>
      </w:tr>
      <w:tr w14:paraId="6284B3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2F9FEC14">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5A1DEB2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PT (Prothrombin Time)</w:t>
            </w:r>
          </w:p>
        </w:tc>
        <w:tc>
          <w:tcPr>
            <w:tcW w:w="2040" w:type="dxa"/>
            <w:shd w:val="clear" w:color="auto" w:fill="auto"/>
            <w:tcMar>
              <w:top w:w="60" w:type="dxa"/>
              <w:left w:w="120" w:type="dxa"/>
              <w:bottom w:w="30" w:type="dxa"/>
              <w:right w:w="120" w:type="dxa"/>
            </w:tcMar>
            <w:vAlign w:val="top"/>
          </w:tcPr>
          <w:p w14:paraId="7A3DDC6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24</w:t>
            </w:r>
          </w:p>
        </w:tc>
        <w:tc>
          <w:tcPr>
            <w:tcW w:w="2310" w:type="dxa"/>
            <w:shd w:val="clear" w:color="auto" w:fill="auto"/>
            <w:tcMar>
              <w:top w:w="60" w:type="dxa"/>
              <w:left w:w="120" w:type="dxa"/>
              <w:bottom w:w="30" w:type="dxa"/>
              <w:right w:w="120" w:type="dxa"/>
            </w:tcMar>
            <w:vAlign w:val="top"/>
          </w:tcPr>
          <w:p w14:paraId="75B44FB4">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1.</w:t>
            </w:r>
            <w:r>
              <w:rPr>
                <w:rFonts w:hint="eastAsia" w:ascii="Times New Roman" w:hAnsi="Times New Roman" w:cs="Times New Roman"/>
                <w:sz w:val="24"/>
                <w:szCs w:val="24"/>
                <w:lang w:val="en-US" w:eastAsia="zh-CN"/>
              </w:rPr>
              <w:t>6</w:t>
            </w:r>
          </w:p>
        </w:tc>
      </w:tr>
      <w:tr w14:paraId="5402C6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7491C277">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05F0DDE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APTT (Activated Partial Thromboplastin Time)</w:t>
            </w:r>
          </w:p>
        </w:tc>
        <w:tc>
          <w:tcPr>
            <w:tcW w:w="2040" w:type="dxa"/>
            <w:shd w:val="clear" w:color="auto" w:fill="auto"/>
            <w:tcMar>
              <w:top w:w="60" w:type="dxa"/>
              <w:left w:w="120" w:type="dxa"/>
              <w:bottom w:w="30" w:type="dxa"/>
              <w:right w:w="120" w:type="dxa"/>
            </w:tcMar>
            <w:vAlign w:val="top"/>
          </w:tcPr>
          <w:p w14:paraId="1C41696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27</w:t>
            </w:r>
          </w:p>
        </w:tc>
        <w:tc>
          <w:tcPr>
            <w:tcW w:w="2310" w:type="dxa"/>
            <w:shd w:val="clear" w:color="auto" w:fill="auto"/>
            <w:tcMar>
              <w:top w:w="60" w:type="dxa"/>
              <w:left w:w="120" w:type="dxa"/>
              <w:bottom w:w="30" w:type="dxa"/>
              <w:right w:w="120" w:type="dxa"/>
            </w:tcMar>
            <w:vAlign w:val="top"/>
          </w:tcPr>
          <w:p w14:paraId="7F3A08DF">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1.</w:t>
            </w:r>
            <w:r>
              <w:rPr>
                <w:rFonts w:hint="eastAsia" w:ascii="Times New Roman" w:hAnsi="Times New Roman" w:cs="Times New Roman"/>
                <w:sz w:val="24"/>
                <w:szCs w:val="24"/>
                <w:lang w:val="en-US" w:eastAsia="zh-CN"/>
              </w:rPr>
              <w:t>8</w:t>
            </w:r>
          </w:p>
        </w:tc>
      </w:tr>
      <w:tr w14:paraId="12D3C5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31A562A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Imaging Findings</w:t>
            </w:r>
          </w:p>
        </w:tc>
        <w:tc>
          <w:tcPr>
            <w:tcW w:w="2530" w:type="dxa"/>
            <w:shd w:val="clear" w:color="auto" w:fill="auto"/>
            <w:tcMar>
              <w:top w:w="60" w:type="dxa"/>
              <w:left w:w="120" w:type="dxa"/>
              <w:bottom w:w="30" w:type="dxa"/>
              <w:right w:w="120" w:type="dxa"/>
            </w:tcMar>
            <w:vAlign w:val="top"/>
          </w:tcPr>
          <w:p w14:paraId="7F9768B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Maximum Stone Diameter</w:t>
            </w:r>
          </w:p>
        </w:tc>
        <w:tc>
          <w:tcPr>
            <w:tcW w:w="2040" w:type="dxa"/>
            <w:shd w:val="clear" w:color="auto" w:fill="auto"/>
            <w:tcMar>
              <w:top w:w="60" w:type="dxa"/>
              <w:left w:w="120" w:type="dxa"/>
              <w:bottom w:w="30" w:type="dxa"/>
              <w:right w:w="120" w:type="dxa"/>
            </w:tcMar>
            <w:vAlign w:val="top"/>
          </w:tcPr>
          <w:p w14:paraId="7536E9B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42</w:t>
            </w:r>
          </w:p>
        </w:tc>
        <w:tc>
          <w:tcPr>
            <w:tcW w:w="2310" w:type="dxa"/>
            <w:shd w:val="clear" w:color="auto" w:fill="auto"/>
            <w:tcMar>
              <w:top w:w="60" w:type="dxa"/>
              <w:left w:w="120" w:type="dxa"/>
              <w:bottom w:w="30" w:type="dxa"/>
              <w:right w:w="120" w:type="dxa"/>
            </w:tcMar>
            <w:vAlign w:val="top"/>
          </w:tcPr>
          <w:p w14:paraId="56765197">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2.8</w:t>
            </w:r>
          </w:p>
        </w:tc>
      </w:tr>
      <w:tr w14:paraId="2C5F47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11B79A51">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6A65F92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Common Bile Duct Diameter</w:t>
            </w:r>
          </w:p>
        </w:tc>
        <w:tc>
          <w:tcPr>
            <w:tcW w:w="2040" w:type="dxa"/>
            <w:shd w:val="clear" w:color="auto" w:fill="auto"/>
            <w:tcMar>
              <w:top w:w="60" w:type="dxa"/>
              <w:left w:w="120" w:type="dxa"/>
              <w:bottom w:w="30" w:type="dxa"/>
              <w:right w:w="120" w:type="dxa"/>
            </w:tcMar>
            <w:vAlign w:val="top"/>
          </w:tcPr>
          <w:p w14:paraId="7F44859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38</w:t>
            </w:r>
          </w:p>
        </w:tc>
        <w:tc>
          <w:tcPr>
            <w:tcW w:w="2310" w:type="dxa"/>
            <w:shd w:val="clear" w:color="auto" w:fill="auto"/>
            <w:tcMar>
              <w:top w:w="60" w:type="dxa"/>
              <w:left w:w="120" w:type="dxa"/>
              <w:bottom w:w="30" w:type="dxa"/>
              <w:right w:w="120" w:type="dxa"/>
            </w:tcMar>
            <w:vAlign w:val="top"/>
          </w:tcPr>
          <w:p w14:paraId="70817ACB">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2.6</w:t>
            </w:r>
          </w:p>
        </w:tc>
      </w:tr>
      <w:tr w14:paraId="4F6D78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6863D317">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614B226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Concurrent Intrahepatic Bile Duct Stones</w:t>
            </w:r>
          </w:p>
        </w:tc>
        <w:tc>
          <w:tcPr>
            <w:tcW w:w="2040" w:type="dxa"/>
            <w:shd w:val="clear" w:color="auto" w:fill="auto"/>
            <w:tcMar>
              <w:top w:w="60" w:type="dxa"/>
              <w:left w:w="120" w:type="dxa"/>
              <w:bottom w:w="30" w:type="dxa"/>
              <w:right w:w="120" w:type="dxa"/>
            </w:tcMar>
            <w:vAlign w:val="top"/>
          </w:tcPr>
          <w:p w14:paraId="1BA69DB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30</w:t>
            </w:r>
          </w:p>
        </w:tc>
        <w:tc>
          <w:tcPr>
            <w:tcW w:w="2310" w:type="dxa"/>
            <w:shd w:val="clear" w:color="auto" w:fill="auto"/>
            <w:tcMar>
              <w:top w:w="60" w:type="dxa"/>
              <w:left w:w="120" w:type="dxa"/>
              <w:bottom w:w="30" w:type="dxa"/>
              <w:right w:w="120" w:type="dxa"/>
            </w:tcMar>
            <w:vAlign w:val="top"/>
          </w:tcPr>
          <w:p w14:paraId="7EBCE828">
            <w:pPr>
              <w:pStyle w:val="58"/>
              <w:widowControl/>
              <w:rPr>
                <w:rFonts w:hint="eastAsia"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2</w:t>
            </w:r>
          </w:p>
        </w:tc>
      </w:tr>
      <w:tr w14:paraId="7554DC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355993C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Comorbidities &amp; Surgery History</w:t>
            </w:r>
          </w:p>
        </w:tc>
        <w:tc>
          <w:tcPr>
            <w:tcW w:w="2530" w:type="dxa"/>
            <w:shd w:val="clear" w:color="auto" w:fill="auto"/>
            <w:tcMar>
              <w:top w:w="60" w:type="dxa"/>
              <w:left w:w="120" w:type="dxa"/>
              <w:bottom w:w="30" w:type="dxa"/>
              <w:right w:w="120" w:type="dxa"/>
            </w:tcMar>
            <w:vAlign w:val="top"/>
          </w:tcPr>
          <w:p w14:paraId="2D00A5B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Hypertension</w:t>
            </w:r>
          </w:p>
        </w:tc>
        <w:tc>
          <w:tcPr>
            <w:tcW w:w="2040" w:type="dxa"/>
            <w:shd w:val="clear" w:color="auto" w:fill="auto"/>
            <w:tcMar>
              <w:top w:w="60" w:type="dxa"/>
              <w:left w:w="120" w:type="dxa"/>
              <w:bottom w:w="30" w:type="dxa"/>
              <w:right w:w="120" w:type="dxa"/>
            </w:tcMar>
            <w:vAlign w:val="top"/>
          </w:tcPr>
          <w:p w14:paraId="5A3FB03D">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15</w:t>
            </w:r>
          </w:p>
        </w:tc>
        <w:tc>
          <w:tcPr>
            <w:tcW w:w="2310" w:type="dxa"/>
            <w:shd w:val="clear" w:color="auto" w:fill="auto"/>
            <w:tcMar>
              <w:top w:w="60" w:type="dxa"/>
              <w:left w:w="120" w:type="dxa"/>
              <w:bottom w:w="30" w:type="dxa"/>
              <w:right w:w="120" w:type="dxa"/>
            </w:tcMar>
            <w:vAlign w:val="top"/>
          </w:tcPr>
          <w:p w14:paraId="36798F6F">
            <w:pPr>
              <w:pStyle w:val="58"/>
              <w:widowControl/>
              <w:rPr>
                <w:rFonts w:hint="eastAsia"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1</w:t>
            </w:r>
          </w:p>
        </w:tc>
      </w:tr>
      <w:tr w14:paraId="3C766A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71E860C9">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3A9619B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Diabetes Mellitus</w:t>
            </w:r>
          </w:p>
        </w:tc>
        <w:tc>
          <w:tcPr>
            <w:tcW w:w="2040" w:type="dxa"/>
            <w:shd w:val="clear" w:color="auto" w:fill="auto"/>
            <w:tcMar>
              <w:top w:w="60" w:type="dxa"/>
              <w:left w:w="120" w:type="dxa"/>
              <w:bottom w:w="30" w:type="dxa"/>
              <w:right w:w="120" w:type="dxa"/>
            </w:tcMar>
            <w:vAlign w:val="top"/>
          </w:tcPr>
          <w:p w14:paraId="3285F56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17</w:t>
            </w:r>
          </w:p>
        </w:tc>
        <w:tc>
          <w:tcPr>
            <w:tcW w:w="2310" w:type="dxa"/>
            <w:shd w:val="clear" w:color="auto" w:fill="auto"/>
            <w:tcMar>
              <w:top w:w="60" w:type="dxa"/>
              <w:left w:w="120" w:type="dxa"/>
              <w:bottom w:w="30" w:type="dxa"/>
              <w:right w:w="120" w:type="dxa"/>
            </w:tcMar>
            <w:vAlign w:val="top"/>
          </w:tcPr>
          <w:p w14:paraId="1C5B6EFD">
            <w:pPr>
              <w:pStyle w:val="58"/>
              <w:widowControl/>
              <w:rPr>
                <w:rFonts w:hint="eastAsia" w:ascii="Times New Roman" w:hAnsi="Times New Roman" w:eastAsia="等线" w:cs="Times New Roman"/>
                <w:sz w:val="24"/>
                <w:szCs w:val="24"/>
                <w:lang w:val="en-US" w:eastAsia="zh-CN"/>
              </w:rPr>
            </w:pPr>
            <w:r>
              <w:rPr>
                <w:rFonts w:hint="default" w:ascii="Times New Roman" w:hAnsi="Times New Roman" w:cs="Times New Roman"/>
                <w:sz w:val="24"/>
                <w:szCs w:val="24"/>
                <w:lang w:val="en-US"/>
              </w:rPr>
              <w:t>1.</w:t>
            </w:r>
            <w:r>
              <w:rPr>
                <w:rFonts w:hint="eastAsia" w:ascii="Times New Roman" w:hAnsi="Times New Roman" w:cs="Times New Roman"/>
                <w:sz w:val="24"/>
                <w:szCs w:val="24"/>
                <w:lang w:val="en-US" w:eastAsia="zh-CN"/>
              </w:rPr>
              <w:t>1</w:t>
            </w:r>
          </w:p>
        </w:tc>
      </w:tr>
      <w:tr w14:paraId="23283F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6AB9E1B3">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68FBCAB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Hyperlipidemia</w:t>
            </w:r>
          </w:p>
        </w:tc>
        <w:tc>
          <w:tcPr>
            <w:tcW w:w="2040" w:type="dxa"/>
            <w:shd w:val="clear" w:color="auto" w:fill="auto"/>
            <w:tcMar>
              <w:top w:w="60" w:type="dxa"/>
              <w:left w:w="120" w:type="dxa"/>
              <w:bottom w:w="30" w:type="dxa"/>
              <w:right w:w="120" w:type="dxa"/>
            </w:tcMar>
            <w:vAlign w:val="top"/>
          </w:tcPr>
          <w:p w14:paraId="6B0F1DED">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20</w:t>
            </w:r>
          </w:p>
        </w:tc>
        <w:tc>
          <w:tcPr>
            <w:tcW w:w="2310" w:type="dxa"/>
            <w:shd w:val="clear" w:color="auto" w:fill="auto"/>
            <w:tcMar>
              <w:top w:w="60" w:type="dxa"/>
              <w:left w:w="120" w:type="dxa"/>
              <w:bottom w:w="30" w:type="dxa"/>
              <w:right w:w="120" w:type="dxa"/>
            </w:tcMar>
            <w:vAlign w:val="top"/>
          </w:tcPr>
          <w:p w14:paraId="4001AEB7">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1.4</w:t>
            </w:r>
          </w:p>
        </w:tc>
      </w:tr>
      <w:tr w14:paraId="737FC6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1FBAC0BD">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00F5EE5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Chronic Liver Disease</w:t>
            </w:r>
          </w:p>
        </w:tc>
        <w:tc>
          <w:tcPr>
            <w:tcW w:w="2040" w:type="dxa"/>
            <w:shd w:val="clear" w:color="auto" w:fill="auto"/>
            <w:tcMar>
              <w:top w:w="60" w:type="dxa"/>
              <w:left w:w="120" w:type="dxa"/>
              <w:bottom w:w="30" w:type="dxa"/>
              <w:right w:w="120" w:type="dxa"/>
            </w:tcMar>
            <w:vAlign w:val="top"/>
          </w:tcPr>
          <w:p w14:paraId="3BFEE34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22</w:t>
            </w:r>
          </w:p>
        </w:tc>
        <w:tc>
          <w:tcPr>
            <w:tcW w:w="2310" w:type="dxa"/>
            <w:shd w:val="clear" w:color="auto" w:fill="auto"/>
            <w:tcMar>
              <w:top w:w="60" w:type="dxa"/>
              <w:left w:w="120" w:type="dxa"/>
              <w:bottom w:w="30" w:type="dxa"/>
              <w:right w:w="120" w:type="dxa"/>
            </w:tcMar>
            <w:vAlign w:val="top"/>
          </w:tcPr>
          <w:p w14:paraId="282AB4CA">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1.5</w:t>
            </w:r>
          </w:p>
        </w:tc>
      </w:tr>
      <w:tr w14:paraId="2F50E1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038AE454">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62B8A95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Previous Biliary Surgery</w:t>
            </w:r>
          </w:p>
        </w:tc>
        <w:tc>
          <w:tcPr>
            <w:tcW w:w="2040" w:type="dxa"/>
            <w:shd w:val="clear" w:color="auto" w:fill="auto"/>
            <w:tcMar>
              <w:top w:w="60" w:type="dxa"/>
              <w:left w:w="120" w:type="dxa"/>
              <w:bottom w:w="30" w:type="dxa"/>
              <w:right w:w="120" w:type="dxa"/>
            </w:tcMar>
            <w:vAlign w:val="top"/>
          </w:tcPr>
          <w:p w14:paraId="13724D9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14</w:t>
            </w:r>
          </w:p>
        </w:tc>
        <w:tc>
          <w:tcPr>
            <w:tcW w:w="2310" w:type="dxa"/>
            <w:shd w:val="clear" w:color="auto" w:fill="auto"/>
            <w:tcMar>
              <w:top w:w="60" w:type="dxa"/>
              <w:left w:w="120" w:type="dxa"/>
              <w:bottom w:w="30" w:type="dxa"/>
              <w:right w:w="120" w:type="dxa"/>
            </w:tcMar>
            <w:vAlign w:val="top"/>
          </w:tcPr>
          <w:p w14:paraId="4D9112FA">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0.9</w:t>
            </w:r>
          </w:p>
        </w:tc>
      </w:tr>
      <w:tr w14:paraId="657649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38BA335F">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58F23D4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Intraoperative T-tube Placement</w:t>
            </w:r>
          </w:p>
        </w:tc>
        <w:tc>
          <w:tcPr>
            <w:tcW w:w="2040" w:type="dxa"/>
            <w:shd w:val="clear" w:color="auto" w:fill="auto"/>
            <w:tcMar>
              <w:top w:w="60" w:type="dxa"/>
              <w:left w:w="120" w:type="dxa"/>
              <w:bottom w:w="30" w:type="dxa"/>
              <w:right w:w="120" w:type="dxa"/>
            </w:tcMar>
            <w:vAlign w:val="top"/>
          </w:tcPr>
          <w:p w14:paraId="4AC7073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9</w:t>
            </w:r>
          </w:p>
        </w:tc>
        <w:tc>
          <w:tcPr>
            <w:tcW w:w="2310" w:type="dxa"/>
            <w:shd w:val="clear" w:color="auto" w:fill="auto"/>
            <w:tcMar>
              <w:top w:w="60" w:type="dxa"/>
              <w:left w:w="120" w:type="dxa"/>
              <w:bottom w:w="30" w:type="dxa"/>
              <w:right w:w="120" w:type="dxa"/>
            </w:tcMar>
            <w:vAlign w:val="top"/>
          </w:tcPr>
          <w:p w14:paraId="4615A30F">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0.6</w:t>
            </w:r>
          </w:p>
        </w:tc>
      </w:tr>
      <w:tr w14:paraId="371C30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6D103D4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Clinical Symptoms</w:t>
            </w:r>
          </w:p>
        </w:tc>
        <w:tc>
          <w:tcPr>
            <w:tcW w:w="2530" w:type="dxa"/>
            <w:shd w:val="clear" w:color="auto" w:fill="auto"/>
            <w:tcMar>
              <w:top w:w="60" w:type="dxa"/>
              <w:left w:w="120" w:type="dxa"/>
              <w:bottom w:w="30" w:type="dxa"/>
              <w:right w:w="120" w:type="dxa"/>
            </w:tcMar>
            <w:vAlign w:val="top"/>
          </w:tcPr>
          <w:p w14:paraId="06BEED2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Pain</w:t>
            </w:r>
          </w:p>
        </w:tc>
        <w:tc>
          <w:tcPr>
            <w:tcW w:w="2040" w:type="dxa"/>
            <w:shd w:val="clear" w:color="auto" w:fill="auto"/>
            <w:tcMar>
              <w:top w:w="60" w:type="dxa"/>
              <w:left w:w="120" w:type="dxa"/>
              <w:bottom w:w="30" w:type="dxa"/>
              <w:right w:w="120" w:type="dxa"/>
            </w:tcMar>
            <w:vAlign w:val="top"/>
          </w:tcPr>
          <w:p w14:paraId="1FF7D0FB">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16</w:t>
            </w:r>
          </w:p>
        </w:tc>
        <w:tc>
          <w:tcPr>
            <w:tcW w:w="2310" w:type="dxa"/>
            <w:shd w:val="clear" w:color="auto" w:fill="auto"/>
            <w:tcMar>
              <w:top w:w="60" w:type="dxa"/>
              <w:left w:w="120" w:type="dxa"/>
              <w:bottom w:w="30" w:type="dxa"/>
              <w:right w:w="120" w:type="dxa"/>
            </w:tcMar>
            <w:vAlign w:val="top"/>
          </w:tcPr>
          <w:p w14:paraId="1B6DE59B">
            <w:pPr>
              <w:pStyle w:val="58"/>
              <w:widowControl/>
              <w:rPr>
                <w:rFonts w:hint="default" w:ascii="Times New Roman" w:hAnsi="Times New Roman" w:eastAsia="等线" w:cs="Times New Roman"/>
                <w:sz w:val="24"/>
                <w:szCs w:val="24"/>
                <w:lang w:val="en-US" w:eastAsia="zh-CN"/>
              </w:rPr>
            </w:pPr>
            <w:r>
              <w:rPr>
                <w:rFonts w:hint="eastAsia" w:ascii="Times New Roman" w:hAnsi="Times New Roman" w:cs="Times New Roman"/>
                <w:sz w:val="24"/>
                <w:szCs w:val="24"/>
                <w:lang w:val="en-US" w:eastAsia="zh-CN"/>
              </w:rPr>
              <w:t>1.1</w:t>
            </w:r>
          </w:p>
        </w:tc>
      </w:tr>
      <w:tr w14:paraId="5E07A1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03A9C1DB">
            <w:pPr>
              <w:pStyle w:val="58"/>
              <w:widowControl/>
              <w:rPr>
                <w:rFonts w:hint="default" w:ascii="Times New Roman" w:hAnsi="Times New Roman" w:cs="Times New Roman"/>
                <w:sz w:val="24"/>
                <w:szCs w:val="24"/>
                <w:lang w:val="en-US"/>
              </w:rPr>
            </w:pPr>
          </w:p>
        </w:tc>
        <w:tc>
          <w:tcPr>
            <w:tcW w:w="2530" w:type="dxa"/>
            <w:shd w:val="clear" w:color="auto" w:fill="auto"/>
            <w:tcMar>
              <w:top w:w="60" w:type="dxa"/>
              <w:left w:w="120" w:type="dxa"/>
              <w:bottom w:w="30" w:type="dxa"/>
              <w:right w:w="120" w:type="dxa"/>
            </w:tcMar>
            <w:vAlign w:val="top"/>
          </w:tcPr>
          <w:p w14:paraId="1381F5D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Fever</w:t>
            </w:r>
          </w:p>
        </w:tc>
        <w:tc>
          <w:tcPr>
            <w:tcW w:w="2040" w:type="dxa"/>
            <w:shd w:val="clear" w:color="auto" w:fill="auto"/>
            <w:tcMar>
              <w:top w:w="60" w:type="dxa"/>
              <w:left w:w="120" w:type="dxa"/>
              <w:bottom w:w="30" w:type="dxa"/>
              <w:right w:w="120" w:type="dxa"/>
            </w:tcMar>
            <w:vAlign w:val="top"/>
          </w:tcPr>
          <w:p w14:paraId="6F82BCD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19</w:t>
            </w:r>
          </w:p>
        </w:tc>
        <w:tc>
          <w:tcPr>
            <w:tcW w:w="2310" w:type="dxa"/>
            <w:shd w:val="clear" w:color="auto" w:fill="auto"/>
            <w:tcMar>
              <w:top w:w="60" w:type="dxa"/>
              <w:left w:w="120" w:type="dxa"/>
              <w:bottom w:w="30" w:type="dxa"/>
              <w:right w:w="120" w:type="dxa"/>
            </w:tcMar>
            <w:vAlign w:val="top"/>
          </w:tcPr>
          <w:p w14:paraId="53D2AB1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1.38</w:t>
            </w:r>
          </w:p>
        </w:tc>
      </w:tr>
      <w:tr w14:paraId="73D872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338" w:type="dxa"/>
            <w:shd w:val="clear" w:color="auto" w:fill="auto"/>
            <w:tcMar>
              <w:top w:w="60" w:type="dxa"/>
              <w:left w:w="120" w:type="dxa"/>
              <w:bottom w:w="30" w:type="dxa"/>
              <w:right w:w="120" w:type="dxa"/>
            </w:tcMar>
            <w:vAlign w:val="top"/>
          </w:tcPr>
          <w:p w14:paraId="234B4FA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Follow-up Data</w:t>
            </w:r>
          </w:p>
        </w:tc>
        <w:tc>
          <w:tcPr>
            <w:tcW w:w="2530" w:type="dxa"/>
            <w:shd w:val="clear" w:color="auto" w:fill="auto"/>
            <w:tcMar>
              <w:top w:w="60" w:type="dxa"/>
              <w:left w:w="120" w:type="dxa"/>
              <w:bottom w:w="30" w:type="dxa"/>
              <w:right w:w="120" w:type="dxa"/>
            </w:tcMar>
            <w:vAlign w:val="top"/>
          </w:tcPr>
          <w:p w14:paraId="1AFC5DD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Follow-up Duration (≥3 months)</w:t>
            </w:r>
          </w:p>
        </w:tc>
        <w:tc>
          <w:tcPr>
            <w:tcW w:w="2040" w:type="dxa"/>
            <w:shd w:val="clear" w:color="auto" w:fill="auto"/>
            <w:tcMar>
              <w:top w:w="60" w:type="dxa"/>
              <w:left w:w="120" w:type="dxa"/>
              <w:bottom w:w="30" w:type="dxa"/>
              <w:right w:w="120" w:type="dxa"/>
            </w:tcMar>
            <w:vAlign w:val="top"/>
          </w:tcPr>
          <w:p w14:paraId="6A86815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53</w:t>
            </w:r>
          </w:p>
        </w:tc>
        <w:tc>
          <w:tcPr>
            <w:tcW w:w="2310" w:type="dxa"/>
            <w:shd w:val="clear" w:color="auto" w:fill="auto"/>
            <w:tcMar>
              <w:top w:w="60" w:type="dxa"/>
              <w:left w:w="120" w:type="dxa"/>
              <w:bottom w:w="30" w:type="dxa"/>
              <w:right w:w="120" w:type="dxa"/>
            </w:tcMar>
            <w:vAlign w:val="top"/>
          </w:tcPr>
          <w:p w14:paraId="65A287A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3.85</w:t>
            </w:r>
          </w:p>
        </w:tc>
      </w:tr>
    </w:tbl>
    <w:p w14:paraId="730231D2">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As shown in Table S1, the missing rates of all variables were below 5%, with the highest missing rates observed for "Follow-up Duration (≥3 months)"and "Maximum Stone Diameter". Key predictors selected by LASSO regression had missing rates far below the 10% threshold that may introduce significant selection bias. This indicates high data completeness, and the exclusion of patients with incomplete medical records had minimal impact on the overall representativeness of the study population.</w:t>
      </w:r>
    </w:p>
    <w:p w14:paraId="6290A1BC">
      <w:pPr>
        <w:pStyle w:val="4"/>
        <w:widowControl/>
        <w:numPr>
          <w:ilvl w:val="1"/>
          <w:numId w:val="0"/>
        </w:numPr>
        <w:ind w:leftChars="0"/>
        <w:rPr>
          <w:lang w:val="en-US"/>
        </w:rPr>
      </w:pPr>
      <w:r>
        <w:rPr>
          <w:lang w:val="en-US"/>
        </w:rPr>
        <w:t>2. Missing Value Handling Methods</w:t>
      </w:r>
    </w:p>
    <w:p w14:paraId="2BC7233D">
      <w:pPr>
        <w:pStyle w:val="5"/>
        <w:widowControl/>
        <w:numPr>
          <w:ilvl w:val="2"/>
          <w:numId w:val="0"/>
        </w:numPr>
        <w:ind w:leftChars="0"/>
        <w:rPr>
          <w:lang w:val="en-US"/>
        </w:rPr>
      </w:pPr>
      <w:r>
        <w:rPr>
          <w:lang w:val="en-US"/>
        </w:rPr>
        <w:t>2.1 Pre-screening Strategy for Missing Data</w:t>
      </w:r>
    </w:p>
    <w:p w14:paraId="28EA995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Before formal data analysis, we conducted a systematic review of the medical records of all initially screened patients (n=1</w:t>
      </w:r>
      <w:r>
        <w:rPr>
          <w:rFonts w:hint="eastAsia" w:ascii="Times New Roman" w:hAnsi="Times New Roman" w:cs="Times New Roman"/>
          <w:sz w:val="24"/>
          <w:szCs w:val="24"/>
          <w:lang w:val="en-US" w:eastAsia="zh-CN"/>
        </w:rPr>
        <w:t>480</w:t>
      </w:r>
      <w:r>
        <w:rPr>
          <w:rFonts w:hint="default" w:ascii="Times New Roman" w:hAnsi="Times New Roman" w:cs="Times New Roman"/>
          <w:sz w:val="24"/>
          <w:szCs w:val="24"/>
          <w:lang w:val="en-US"/>
        </w:rPr>
        <w:t>). For variables with minor missingness (missing rate &lt;5%), we adopted the following measures to maximize data retention:</w:t>
      </w:r>
    </w:p>
    <w:p w14:paraId="0BBBEE53">
      <w:pPr>
        <w:pStyle w:val="58"/>
        <w:widowControl/>
        <w:numPr>
          <w:ilvl w:val="0"/>
          <w:numId w:val="3"/>
        </w:numPr>
        <w:ind w:left="720" w:hanging="72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Laboratory and imaging variables</w:t>
      </w:r>
      <w:r>
        <w:rPr>
          <w:rFonts w:hint="default" w:ascii="Times New Roman" w:hAnsi="Times New Roman" w:cs="Times New Roman"/>
          <w:sz w:val="24"/>
          <w:szCs w:val="24"/>
          <w:lang w:val="en-US"/>
        </w:rPr>
        <w:t>: For indicators such as Direct Bilirubin, ALP, Maximum Stone Diameter, and Common Bile Duct Diameter, we cross-checked electronic medical records with paper-based documents (e.g., laboratory test reports, imaging film interpretations) to supplement missing values.</w:t>
      </w:r>
    </w:p>
    <w:p w14:paraId="77667031">
      <w:pPr>
        <w:pStyle w:val="58"/>
        <w:widowControl/>
        <w:numPr>
          <w:ilvl w:val="0"/>
          <w:numId w:val="3"/>
        </w:numPr>
        <w:ind w:left="720" w:hanging="72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Comorbidity and surgery history variables</w:t>
      </w:r>
      <w:r>
        <w:rPr>
          <w:rFonts w:hint="default" w:ascii="Times New Roman" w:hAnsi="Times New Roman" w:cs="Times New Roman"/>
          <w:sz w:val="24"/>
          <w:szCs w:val="24"/>
          <w:lang w:val="en-US"/>
        </w:rPr>
        <w:t>: For information on Hypertension, Diabetes Mellitus, and Previous Biliary Surgery, we consulted attending physicians and nursing records to confirm unclear or missing data.</w:t>
      </w:r>
    </w:p>
    <w:p w14:paraId="3287A9EE">
      <w:pPr>
        <w:pStyle w:val="58"/>
        <w:widowControl/>
        <w:numPr>
          <w:ilvl w:val="0"/>
          <w:numId w:val="3"/>
        </w:numPr>
        <w:ind w:left="720" w:hanging="72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Follow-up data</w:t>
      </w:r>
      <w:r>
        <w:rPr>
          <w:rFonts w:hint="default" w:ascii="Times New Roman" w:hAnsi="Times New Roman" w:cs="Times New Roman"/>
          <w:sz w:val="24"/>
          <w:szCs w:val="24"/>
          <w:lang w:val="en-US"/>
        </w:rPr>
        <w:t>: For missing Follow-up Duration information, we contacted patients or their family members via telephone to supplement records, reducing the number of patients excluded due to insufficient follow-up from 78 to 53.</w:t>
      </w:r>
    </w:p>
    <w:p w14:paraId="40940EF4">
      <w:pPr>
        <w:pStyle w:val="5"/>
        <w:widowControl/>
        <w:numPr>
          <w:ilvl w:val="2"/>
          <w:numId w:val="0"/>
        </w:numPr>
        <w:ind w:left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2.2 Decision to Exclude Patients with Incomplete Records</w:t>
      </w:r>
    </w:p>
    <w:p w14:paraId="4F3EB66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After pre-screening and supplementary data collection, 117 patients still had incomplete key variables (e.g., simultaneous missing of Maximum Stone Diameter and Common Bile Duct Diameter, or missing Direct Bilirubin combined with Follow-up Duration &lt;3 months). We decided to exclude these patients instead of using imputation methods, based on the following considerations:</w:t>
      </w:r>
    </w:p>
    <w:p w14:paraId="680A83D7">
      <w:pPr>
        <w:pStyle w:val="58"/>
        <w:widowControl/>
        <w:numPr>
          <w:ilvl w:val="0"/>
          <w:numId w:val="4"/>
        </w:numPr>
        <w:tabs>
          <w:tab w:val="left" w:pos="720"/>
        </w:tabs>
        <w:ind w:left="720" w:hanging="72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Low overall missing rate</w:t>
      </w:r>
      <w:r>
        <w:rPr>
          <w:rFonts w:hint="default" w:ascii="Times New Roman" w:hAnsi="Times New Roman" w:cs="Times New Roman"/>
          <w:sz w:val="24"/>
          <w:szCs w:val="24"/>
          <w:lang w:val="en-US"/>
        </w:rPr>
        <w:t xml:space="preserve">: As shown in Table S1, all key variables had missing rates &lt;5%, and the 117 excluded patients accounted for only </w:t>
      </w:r>
      <w:r>
        <w:rPr>
          <w:rFonts w:hint="eastAsia" w:ascii="Times New Roman" w:hAnsi="Times New Roman" w:cs="Times New Roman"/>
          <w:sz w:val="24"/>
          <w:szCs w:val="24"/>
          <w:lang w:val="en-US" w:eastAsia="zh-CN"/>
        </w:rPr>
        <w:t>7.9</w:t>
      </w:r>
      <w:r>
        <w:rPr>
          <w:rFonts w:hint="default" w:ascii="Times New Roman" w:hAnsi="Times New Roman" w:cs="Times New Roman"/>
          <w:sz w:val="24"/>
          <w:szCs w:val="24"/>
          <w:lang w:val="en-US"/>
        </w:rPr>
        <w:t>% of the initial cohort—unlikely to significantly affect the study’s statistical power or population representativeness.</w:t>
      </w:r>
    </w:p>
    <w:p w14:paraId="394C1529">
      <w:pPr>
        <w:pStyle w:val="58"/>
        <w:widowControl/>
        <w:numPr>
          <w:ilvl w:val="0"/>
          <w:numId w:val="4"/>
        </w:numPr>
        <w:tabs>
          <w:tab w:val="left" w:pos="720"/>
        </w:tabs>
        <w:ind w:left="720" w:hanging="72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Avoidance of imputation bias</w:t>
      </w:r>
      <w:r>
        <w:rPr>
          <w:rFonts w:hint="default" w:ascii="Times New Roman" w:hAnsi="Times New Roman" w:cs="Times New Roman"/>
          <w:sz w:val="24"/>
          <w:szCs w:val="24"/>
          <w:lang w:val="en-US"/>
        </w:rPr>
        <w:t>: For clinically meaningful variables (e.g., Maximum Stone Diameter, Direct Bilirubin), imputation methods (e.g., mean imputation, multiple imputation) may introduce artificial errors. For example, imputing missing Maximum Stone Diameter with the cohort mean (9.66 mm) could obscure the actual recurrence risk difference between patients with large stones (&gt;15 mm) and small stones (&lt;10 mm)—a key finding of this study.</w:t>
      </w:r>
    </w:p>
    <w:p w14:paraId="270E885D">
      <w:pPr>
        <w:pStyle w:val="58"/>
        <w:widowControl/>
        <w:numPr>
          <w:ilvl w:val="0"/>
          <w:numId w:val="4"/>
        </w:numPr>
        <w:tabs>
          <w:tab w:val="left" w:pos="720"/>
        </w:tabs>
        <w:ind w:left="720" w:hanging="720"/>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Consistency with clinical practice</w:t>
      </w:r>
      <w:r>
        <w:rPr>
          <w:rFonts w:hint="default" w:ascii="Times New Roman" w:hAnsi="Times New Roman" w:cs="Times New Roman"/>
          <w:sz w:val="24"/>
          <w:szCs w:val="24"/>
          <w:lang w:val="en-US"/>
        </w:rPr>
        <w:t>: In real-world clinical risk assessment, missing key indicators (e.g., imaging parameters for stone size) often prevents accurate recurrence risk evaluation. Excluding patients with incomplete key variables aligns with the clinical workflow of using complete data for risk stratification.</w:t>
      </w:r>
    </w:p>
    <w:p w14:paraId="535DF65F">
      <w:pPr>
        <w:pStyle w:val="5"/>
        <w:widowControl/>
        <w:numPr>
          <w:ilvl w:val="2"/>
          <w:numId w:val="0"/>
        </w:numPr>
        <w:ind w:left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2.3 Baseline Characteristics Comparison Between Excluded and Included Patients</w:t>
      </w:r>
    </w:p>
    <w:p w14:paraId="6454066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To verify whether excluding patients with incomplete records introduced selection bias, we compared the baseline characteristics of the excluded group (n=117) and the finally included group (n=1258), and calculated </w:t>
      </w:r>
      <w:r>
        <w:rPr>
          <w:rFonts w:hint="default" w:ascii="Times New Roman" w:hAnsi="Times New Roman" w:cs="Times New Roman"/>
          <w:b/>
          <w:bCs/>
          <w:sz w:val="24"/>
          <w:szCs w:val="24"/>
          <w:lang w:val="en-US"/>
        </w:rPr>
        <w:t>Standardized Mean Differences (SMD)</w:t>
      </w:r>
      <w:r>
        <w:rPr>
          <w:rFonts w:hint="default" w:ascii="Times New Roman" w:hAnsi="Times New Roman" w:cs="Times New Roman"/>
          <w:sz w:val="24"/>
          <w:szCs w:val="24"/>
          <w:lang w:val="en-US"/>
        </w:rPr>
        <w:t xml:space="preserve"> (SMD &lt; 0.1 indicates good baseline balance). Detailed results are presented in Table S2.</w:t>
      </w:r>
    </w:p>
    <w:p w14:paraId="4402EE51">
      <w:pPr>
        <w:pStyle w:val="5"/>
        <w:widowControl/>
        <w:numPr>
          <w:ilvl w:val="2"/>
          <w:numId w:val="0"/>
        </w:numPr>
        <w:ind w:leftChars="0"/>
        <w:rPr>
          <w:lang w:val="en-US"/>
        </w:rPr>
      </w:pPr>
      <w:r>
        <w:rPr>
          <w:lang w:val="en-US"/>
        </w:rPr>
        <w:t>Table S2. Baseline Characteristics Comparison Between Excluded and Included Patients</w:t>
      </w:r>
    </w:p>
    <w:p w14:paraId="7AF7D84E">
      <w:pPr>
        <w:pStyle w:val="58"/>
        <w:widowControl/>
        <w:rPr>
          <w:lang w:val="en-US"/>
        </w:rPr>
      </w:pPr>
    </w:p>
    <w:tbl>
      <w:tblPr>
        <w:tblStyle w:val="20"/>
        <w:tblW w:w="0" w:type="auto"/>
        <w:tblInd w:w="-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 w:type="dxa"/>
          <w:bottom w:w="0" w:type="dxa"/>
          <w:right w:w="10" w:type="dxa"/>
        </w:tblCellMar>
      </w:tblPr>
      <w:tblGrid>
        <w:gridCol w:w="2079"/>
        <w:gridCol w:w="1990"/>
        <w:gridCol w:w="1984"/>
        <w:gridCol w:w="2155"/>
        <w:gridCol w:w="1814"/>
      </w:tblGrid>
      <w:tr w14:paraId="2718F6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760" w:type="dxa"/>
            <w:tcBorders>
              <w:bottom w:val="single" w:color="auto" w:sz="4" w:space="0"/>
            </w:tcBorders>
            <w:shd w:val="clear" w:color="auto" w:fill="auto"/>
            <w:tcMar>
              <w:top w:w="60" w:type="dxa"/>
              <w:left w:w="120" w:type="dxa"/>
              <w:bottom w:w="30" w:type="dxa"/>
              <w:right w:w="120" w:type="dxa"/>
            </w:tcMar>
            <w:vAlign w:val="top"/>
          </w:tcPr>
          <w:p w14:paraId="6F2DD54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Variable</w:t>
            </w:r>
          </w:p>
        </w:tc>
        <w:tc>
          <w:tcPr>
            <w:tcW w:w="2760" w:type="dxa"/>
            <w:tcBorders>
              <w:bottom w:val="single" w:color="auto" w:sz="4" w:space="0"/>
            </w:tcBorders>
            <w:shd w:val="clear" w:color="auto" w:fill="auto"/>
            <w:tcMar>
              <w:top w:w="60" w:type="dxa"/>
              <w:left w:w="120" w:type="dxa"/>
              <w:bottom w:w="30" w:type="dxa"/>
              <w:right w:w="120" w:type="dxa"/>
            </w:tcMar>
            <w:vAlign w:val="top"/>
          </w:tcPr>
          <w:p w14:paraId="36DDBBE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Excluded Group (n=117)</w:t>
            </w:r>
          </w:p>
        </w:tc>
        <w:tc>
          <w:tcPr>
            <w:tcW w:w="2760" w:type="dxa"/>
            <w:tcBorders>
              <w:bottom w:val="single" w:color="auto" w:sz="4" w:space="0"/>
            </w:tcBorders>
            <w:shd w:val="clear" w:color="auto" w:fill="auto"/>
            <w:tcMar>
              <w:top w:w="60" w:type="dxa"/>
              <w:left w:w="120" w:type="dxa"/>
              <w:bottom w:w="30" w:type="dxa"/>
              <w:right w:w="120" w:type="dxa"/>
            </w:tcMar>
            <w:vAlign w:val="top"/>
          </w:tcPr>
          <w:p w14:paraId="2823380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Included Group (n=1</w:t>
            </w:r>
            <w:r>
              <w:rPr>
                <w:rFonts w:hint="eastAsia" w:ascii="Times New Roman" w:hAnsi="Times New Roman" w:cs="Times New Roman"/>
                <w:sz w:val="24"/>
                <w:szCs w:val="24"/>
                <w:lang w:val="en-US" w:eastAsia="zh-CN"/>
              </w:rPr>
              <w:t>363</w:t>
            </w:r>
            <w:r>
              <w:rPr>
                <w:rFonts w:hint="default" w:ascii="Times New Roman" w:hAnsi="Times New Roman" w:cs="Times New Roman"/>
                <w:sz w:val="24"/>
                <w:szCs w:val="24"/>
                <w:lang w:val="en-US"/>
              </w:rPr>
              <w:t>)</w:t>
            </w:r>
          </w:p>
        </w:tc>
        <w:tc>
          <w:tcPr>
            <w:tcW w:w="2760" w:type="dxa"/>
            <w:tcBorders>
              <w:bottom w:val="single" w:color="auto" w:sz="4" w:space="0"/>
            </w:tcBorders>
            <w:shd w:val="clear" w:color="auto" w:fill="auto"/>
            <w:tcMar>
              <w:top w:w="60" w:type="dxa"/>
              <w:left w:w="120" w:type="dxa"/>
              <w:bottom w:w="30" w:type="dxa"/>
              <w:right w:w="120" w:type="dxa"/>
            </w:tcMar>
            <w:vAlign w:val="top"/>
          </w:tcPr>
          <w:p w14:paraId="755551C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Standardized Mean Difference (SMD)</w:t>
            </w:r>
          </w:p>
        </w:tc>
        <w:tc>
          <w:tcPr>
            <w:tcW w:w="2760" w:type="dxa"/>
            <w:tcBorders>
              <w:bottom w:val="single" w:color="auto" w:sz="4" w:space="0"/>
            </w:tcBorders>
            <w:shd w:val="clear" w:color="auto" w:fill="auto"/>
            <w:tcMar>
              <w:top w:w="60" w:type="dxa"/>
              <w:left w:w="120" w:type="dxa"/>
              <w:bottom w:w="30" w:type="dxa"/>
              <w:right w:w="120" w:type="dxa"/>
            </w:tcMar>
            <w:vAlign w:val="top"/>
          </w:tcPr>
          <w:p w14:paraId="5DD607CB">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p-value</w:t>
            </w:r>
          </w:p>
        </w:tc>
      </w:tr>
      <w:tr w14:paraId="7CDC3C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tcBorders>
              <w:top w:val="single" w:color="auto" w:sz="4" w:space="0"/>
            </w:tcBorders>
            <w:shd w:val="clear" w:color="auto" w:fill="auto"/>
            <w:tcMar>
              <w:top w:w="60" w:type="dxa"/>
              <w:left w:w="120" w:type="dxa"/>
              <w:bottom w:w="30" w:type="dxa"/>
              <w:right w:w="120" w:type="dxa"/>
            </w:tcMar>
            <w:vAlign w:val="top"/>
          </w:tcPr>
          <w:p w14:paraId="4EB205A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Age, mean ± SD (years)</w:t>
            </w:r>
          </w:p>
        </w:tc>
        <w:tc>
          <w:tcPr>
            <w:tcW w:w="2760" w:type="dxa"/>
            <w:tcBorders>
              <w:top w:val="single" w:color="auto" w:sz="4" w:space="0"/>
            </w:tcBorders>
            <w:shd w:val="clear" w:color="auto" w:fill="auto"/>
            <w:tcMar>
              <w:top w:w="60" w:type="dxa"/>
              <w:left w:w="120" w:type="dxa"/>
              <w:bottom w:w="30" w:type="dxa"/>
              <w:right w:w="120" w:type="dxa"/>
            </w:tcMar>
            <w:vAlign w:val="center"/>
          </w:tcPr>
          <w:p w14:paraId="0FAE5082">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57.2 ± 14.8</w:t>
            </w:r>
          </w:p>
        </w:tc>
        <w:tc>
          <w:tcPr>
            <w:tcW w:w="2760" w:type="dxa"/>
            <w:tcBorders>
              <w:top w:val="single" w:color="auto" w:sz="4" w:space="0"/>
            </w:tcBorders>
            <w:shd w:val="clear" w:color="auto" w:fill="auto"/>
            <w:tcMar>
              <w:top w:w="60" w:type="dxa"/>
              <w:left w:w="120" w:type="dxa"/>
              <w:bottom w:w="30" w:type="dxa"/>
              <w:right w:w="120" w:type="dxa"/>
            </w:tcMar>
            <w:vAlign w:val="center"/>
          </w:tcPr>
          <w:p w14:paraId="4850A700">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57.4 ± 14.9</w:t>
            </w:r>
          </w:p>
        </w:tc>
        <w:tc>
          <w:tcPr>
            <w:tcW w:w="2760" w:type="dxa"/>
            <w:tcBorders>
              <w:top w:val="single" w:color="auto" w:sz="4" w:space="0"/>
            </w:tcBorders>
            <w:shd w:val="clear" w:color="auto" w:fill="auto"/>
            <w:tcMar>
              <w:top w:w="60" w:type="dxa"/>
              <w:left w:w="120" w:type="dxa"/>
              <w:bottom w:w="30" w:type="dxa"/>
              <w:right w:w="120" w:type="dxa"/>
            </w:tcMar>
            <w:vAlign w:val="center"/>
          </w:tcPr>
          <w:p w14:paraId="7AE947B4">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0.01</w:t>
            </w:r>
          </w:p>
        </w:tc>
        <w:tc>
          <w:tcPr>
            <w:tcW w:w="2760" w:type="dxa"/>
            <w:tcBorders>
              <w:top w:val="single" w:color="auto" w:sz="4" w:space="0"/>
            </w:tcBorders>
            <w:shd w:val="clear" w:color="auto" w:fill="auto"/>
            <w:tcMar>
              <w:top w:w="60" w:type="dxa"/>
              <w:left w:w="120" w:type="dxa"/>
              <w:bottom w:w="30" w:type="dxa"/>
              <w:right w:w="120" w:type="dxa"/>
            </w:tcMar>
            <w:vAlign w:val="center"/>
          </w:tcPr>
          <w:p w14:paraId="185786F5">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0.892</w:t>
            </w:r>
          </w:p>
        </w:tc>
      </w:tr>
      <w:tr w14:paraId="173FDB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4A5BD3C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Gender, n (%) [Male]</w:t>
            </w:r>
          </w:p>
        </w:tc>
        <w:tc>
          <w:tcPr>
            <w:tcW w:w="2760" w:type="dxa"/>
            <w:shd w:val="clear" w:color="auto" w:fill="auto"/>
            <w:tcMar>
              <w:top w:w="60" w:type="dxa"/>
              <w:left w:w="120" w:type="dxa"/>
              <w:bottom w:w="30" w:type="dxa"/>
              <w:right w:w="120" w:type="dxa"/>
            </w:tcMar>
            <w:vAlign w:val="center"/>
          </w:tcPr>
          <w:p w14:paraId="4BB6BC97">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61 (52.1%)</w:t>
            </w:r>
          </w:p>
        </w:tc>
        <w:tc>
          <w:tcPr>
            <w:tcW w:w="2760" w:type="dxa"/>
            <w:shd w:val="clear" w:color="auto" w:fill="auto"/>
            <w:tcMar>
              <w:top w:w="60" w:type="dxa"/>
              <w:left w:w="120" w:type="dxa"/>
              <w:bottom w:w="30" w:type="dxa"/>
              <w:right w:w="120" w:type="dxa"/>
            </w:tcMar>
            <w:vAlign w:val="center"/>
          </w:tcPr>
          <w:p w14:paraId="3DFBB2E8">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689 (50.5%)</w:t>
            </w:r>
          </w:p>
        </w:tc>
        <w:tc>
          <w:tcPr>
            <w:tcW w:w="2760" w:type="dxa"/>
            <w:shd w:val="clear" w:color="auto" w:fill="auto"/>
            <w:tcMar>
              <w:top w:w="60" w:type="dxa"/>
              <w:left w:w="120" w:type="dxa"/>
              <w:bottom w:w="30" w:type="dxa"/>
              <w:right w:w="120" w:type="dxa"/>
            </w:tcMar>
            <w:vAlign w:val="center"/>
          </w:tcPr>
          <w:p w14:paraId="6971F92A">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0.03</w:t>
            </w:r>
          </w:p>
        </w:tc>
        <w:tc>
          <w:tcPr>
            <w:tcW w:w="2760" w:type="dxa"/>
            <w:shd w:val="clear" w:color="auto" w:fill="auto"/>
            <w:tcMar>
              <w:top w:w="60" w:type="dxa"/>
              <w:left w:w="120" w:type="dxa"/>
              <w:bottom w:w="30" w:type="dxa"/>
              <w:right w:w="120" w:type="dxa"/>
            </w:tcMar>
            <w:vAlign w:val="center"/>
          </w:tcPr>
          <w:p w14:paraId="665C3C7C">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0.74</w:t>
            </w:r>
          </w:p>
        </w:tc>
      </w:tr>
      <w:tr w14:paraId="515A1F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3E4FB01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BMI, mean ± SD (kg/m²)</w:t>
            </w:r>
          </w:p>
        </w:tc>
        <w:tc>
          <w:tcPr>
            <w:tcW w:w="2760" w:type="dxa"/>
            <w:shd w:val="clear" w:color="auto" w:fill="auto"/>
            <w:tcMar>
              <w:top w:w="60" w:type="dxa"/>
              <w:left w:w="120" w:type="dxa"/>
              <w:bottom w:w="30" w:type="dxa"/>
              <w:right w:w="120" w:type="dxa"/>
            </w:tcMar>
            <w:vAlign w:val="center"/>
          </w:tcPr>
          <w:p w14:paraId="29EEA52A">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24.3 ± 3.5</w:t>
            </w:r>
          </w:p>
        </w:tc>
        <w:tc>
          <w:tcPr>
            <w:tcW w:w="2760" w:type="dxa"/>
            <w:shd w:val="clear" w:color="auto" w:fill="auto"/>
            <w:tcMar>
              <w:top w:w="60" w:type="dxa"/>
              <w:left w:w="120" w:type="dxa"/>
              <w:bottom w:w="30" w:type="dxa"/>
              <w:right w:w="120" w:type="dxa"/>
            </w:tcMar>
            <w:vAlign w:val="center"/>
          </w:tcPr>
          <w:p w14:paraId="4A918840">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24.2 ± 3.5</w:t>
            </w:r>
          </w:p>
        </w:tc>
        <w:tc>
          <w:tcPr>
            <w:tcW w:w="2760" w:type="dxa"/>
            <w:shd w:val="clear" w:color="auto" w:fill="auto"/>
            <w:tcMar>
              <w:top w:w="60" w:type="dxa"/>
              <w:left w:w="120" w:type="dxa"/>
              <w:bottom w:w="30" w:type="dxa"/>
              <w:right w:w="120" w:type="dxa"/>
            </w:tcMar>
            <w:vAlign w:val="center"/>
          </w:tcPr>
          <w:p w14:paraId="1E942127">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0.03</w:t>
            </w:r>
          </w:p>
        </w:tc>
        <w:tc>
          <w:tcPr>
            <w:tcW w:w="2760" w:type="dxa"/>
            <w:shd w:val="clear" w:color="auto" w:fill="auto"/>
            <w:tcMar>
              <w:top w:w="60" w:type="dxa"/>
              <w:left w:w="120" w:type="dxa"/>
              <w:bottom w:w="30" w:type="dxa"/>
              <w:right w:w="120" w:type="dxa"/>
            </w:tcMar>
            <w:vAlign w:val="center"/>
          </w:tcPr>
          <w:p w14:paraId="71D740FA">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0.816</w:t>
            </w:r>
          </w:p>
        </w:tc>
      </w:tr>
      <w:tr w14:paraId="64B184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227FE82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Maximum Stone Diameter, mean ± SD (mm)</w:t>
            </w:r>
          </w:p>
        </w:tc>
        <w:tc>
          <w:tcPr>
            <w:tcW w:w="2760" w:type="dxa"/>
            <w:shd w:val="clear" w:color="auto" w:fill="auto"/>
            <w:tcMar>
              <w:top w:w="60" w:type="dxa"/>
              <w:left w:w="120" w:type="dxa"/>
              <w:bottom w:w="30" w:type="dxa"/>
              <w:right w:w="120" w:type="dxa"/>
            </w:tcMar>
            <w:vAlign w:val="center"/>
          </w:tcPr>
          <w:p w14:paraId="6FBD6A07">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9.7 ± 5.7 (n=98)</w:t>
            </w:r>
          </w:p>
        </w:tc>
        <w:tc>
          <w:tcPr>
            <w:tcW w:w="2760" w:type="dxa"/>
            <w:shd w:val="clear" w:color="auto" w:fill="auto"/>
            <w:tcMar>
              <w:top w:w="60" w:type="dxa"/>
              <w:left w:w="120" w:type="dxa"/>
              <w:bottom w:w="30" w:type="dxa"/>
              <w:right w:w="120" w:type="dxa"/>
            </w:tcMar>
            <w:vAlign w:val="center"/>
          </w:tcPr>
          <w:p w14:paraId="79753120">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9.6 ± 5.9 (n=1315)</w:t>
            </w:r>
          </w:p>
        </w:tc>
        <w:tc>
          <w:tcPr>
            <w:tcW w:w="2760" w:type="dxa"/>
            <w:shd w:val="clear" w:color="auto" w:fill="auto"/>
            <w:tcMar>
              <w:top w:w="60" w:type="dxa"/>
              <w:left w:w="120" w:type="dxa"/>
              <w:bottom w:w="30" w:type="dxa"/>
              <w:right w:w="120" w:type="dxa"/>
            </w:tcMar>
            <w:vAlign w:val="center"/>
          </w:tcPr>
          <w:p w14:paraId="704A0075">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0.02</w:t>
            </w:r>
          </w:p>
        </w:tc>
        <w:tc>
          <w:tcPr>
            <w:tcW w:w="2760" w:type="dxa"/>
            <w:shd w:val="clear" w:color="auto" w:fill="auto"/>
            <w:tcMar>
              <w:top w:w="60" w:type="dxa"/>
              <w:left w:w="120" w:type="dxa"/>
              <w:bottom w:w="30" w:type="dxa"/>
              <w:right w:w="120" w:type="dxa"/>
            </w:tcMar>
            <w:vAlign w:val="center"/>
          </w:tcPr>
          <w:p w14:paraId="282817BE">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0.867</w:t>
            </w:r>
          </w:p>
        </w:tc>
      </w:tr>
      <w:tr w14:paraId="266088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627DD3C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Common Bile Duct Diameter, mean ± SD (mm)</w:t>
            </w:r>
          </w:p>
        </w:tc>
        <w:tc>
          <w:tcPr>
            <w:tcW w:w="2760" w:type="dxa"/>
            <w:shd w:val="clear" w:color="auto" w:fill="auto"/>
            <w:tcMar>
              <w:top w:w="60" w:type="dxa"/>
              <w:left w:w="120" w:type="dxa"/>
              <w:bottom w:w="30" w:type="dxa"/>
              <w:right w:w="120" w:type="dxa"/>
            </w:tcMar>
            <w:vAlign w:val="center"/>
          </w:tcPr>
          <w:p w14:paraId="3E3EB1A7">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12.6 ± 5.8 (n=95)</w:t>
            </w:r>
          </w:p>
        </w:tc>
        <w:tc>
          <w:tcPr>
            <w:tcW w:w="2760" w:type="dxa"/>
            <w:shd w:val="clear" w:color="auto" w:fill="auto"/>
            <w:tcMar>
              <w:top w:w="60" w:type="dxa"/>
              <w:left w:w="120" w:type="dxa"/>
              <w:bottom w:w="30" w:type="dxa"/>
              <w:right w:w="120" w:type="dxa"/>
            </w:tcMar>
            <w:vAlign w:val="center"/>
          </w:tcPr>
          <w:p w14:paraId="21852B50">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12.8 ± 5.8 (n=1325)</w:t>
            </w:r>
          </w:p>
        </w:tc>
        <w:tc>
          <w:tcPr>
            <w:tcW w:w="2760" w:type="dxa"/>
            <w:shd w:val="clear" w:color="auto" w:fill="auto"/>
            <w:tcMar>
              <w:top w:w="60" w:type="dxa"/>
              <w:left w:w="120" w:type="dxa"/>
              <w:bottom w:w="30" w:type="dxa"/>
              <w:right w:w="120" w:type="dxa"/>
            </w:tcMar>
            <w:vAlign w:val="center"/>
          </w:tcPr>
          <w:p w14:paraId="38C21A26">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0.03</w:t>
            </w:r>
          </w:p>
        </w:tc>
        <w:tc>
          <w:tcPr>
            <w:tcW w:w="2760" w:type="dxa"/>
            <w:shd w:val="clear" w:color="auto" w:fill="auto"/>
            <w:tcMar>
              <w:top w:w="60" w:type="dxa"/>
              <w:left w:w="120" w:type="dxa"/>
              <w:bottom w:w="30" w:type="dxa"/>
              <w:right w:w="120" w:type="dxa"/>
            </w:tcMar>
            <w:vAlign w:val="center"/>
          </w:tcPr>
          <w:p w14:paraId="689D8745">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0.791</w:t>
            </w:r>
          </w:p>
        </w:tc>
      </w:tr>
      <w:tr w14:paraId="106A8C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6FB404B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Direct Bilirubin, mean ± SD (μmol/L)</w:t>
            </w:r>
          </w:p>
        </w:tc>
        <w:tc>
          <w:tcPr>
            <w:tcW w:w="2760" w:type="dxa"/>
            <w:shd w:val="clear" w:color="auto" w:fill="auto"/>
            <w:tcMar>
              <w:top w:w="60" w:type="dxa"/>
              <w:left w:w="120" w:type="dxa"/>
              <w:bottom w:w="30" w:type="dxa"/>
              <w:right w:w="120" w:type="dxa"/>
            </w:tcMar>
            <w:vAlign w:val="center"/>
          </w:tcPr>
          <w:p w14:paraId="5301D2C7">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27.1 ± 39.2 (n=92)</w:t>
            </w:r>
          </w:p>
        </w:tc>
        <w:tc>
          <w:tcPr>
            <w:tcW w:w="2760" w:type="dxa"/>
            <w:shd w:val="clear" w:color="auto" w:fill="auto"/>
            <w:tcMar>
              <w:top w:w="60" w:type="dxa"/>
              <w:left w:w="120" w:type="dxa"/>
              <w:bottom w:w="30" w:type="dxa"/>
              <w:right w:w="120" w:type="dxa"/>
            </w:tcMar>
            <w:vAlign w:val="center"/>
          </w:tcPr>
          <w:p w14:paraId="41AC1649">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26.7 ± 40.1 (n=1335)</w:t>
            </w:r>
          </w:p>
        </w:tc>
        <w:tc>
          <w:tcPr>
            <w:tcW w:w="2760" w:type="dxa"/>
            <w:shd w:val="clear" w:color="auto" w:fill="auto"/>
            <w:tcMar>
              <w:top w:w="60" w:type="dxa"/>
              <w:left w:w="120" w:type="dxa"/>
              <w:bottom w:w="30" w:type="dxa"/>
              <w:right w:w="120" w:type="dxa"/>
            </w:tcMar>
            <w:vAlign w:val="center"/>
          </w:tcPr>
          <w:p w14:paraId="764FD120">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0.01</w:t>
            </w:r>
          </w:p>
        </w:tc>
        <w:tc>
          <w:tcPr>
            <w:tcW w:w="2760" w:type="dxa"/>
            <w:shd w:val="clear" w:color="auto" w:fill="auto"/>
            <w:tcMar>
              <w:top w:w="60" w:type="dxa"/>
              <w:left w:w="120" w:type="dxa"/>
              <w:bottom w:w="30" w:type="dxa"/>
              <w:right w:w="120" w:type="dxa"/>
            </w:tcMar>
            <w:vAlign w:val="center"/>
          </w:tcPr>
          <w:p w14:paraId="19ED2682">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0.923</w:t>
            </w:r>
          </w:p>
        </w:tc>
      </w:tr>
      <w:tr w14:paraId="7FF00F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48E8804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Recurrence Rate, </w:t>
            </w:r>
          </w:p>
          <w:p w14:paraId="786D45A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n (%) [Yes]</w:t>
            </w:r>
          </w:p>
        </w:tc>
        <w:tc>
          <w:tcPr>
            <w:tcW w:w="2760" w:type="dxa"/>
            <w:shd w:val="clear" w:color="auto" w:fill="auto"/>
            <w:tcMar>
              <w:top w:w="60" w:type="dxa"/>
              <w:left w:w="120" w:type="dxa"/>
              <w:bottom w:w="30" w:type="dxa"/>
              <w:right w:w="120" w:type="dxa"/>
            </w:tcMar>
            <w:vAlign w:val="center"/>
          </w:tcPr>
          <w:p w14:paraId="783FB554">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13 (11.1%) (n=89)</w:t>
            </w:r>
          </w:p>
        </w:tc>
        <w:tc>
          <w:tcPr>
            <w:tcW w:w="2760" w:type="dxa"/>
            <w:shd w:val="clear" w:color="auto" w:fill="auto"/>
            <w:tcMar>
              <w:top w:w="60" w:type="dxa"/>
              <w:left w:w="120" w:type="dxa"/>
              <w:bottom w:w="30" w:type="dxa"/>
              <w:right w:w="120" w:type="dxa"/>
            </w:tcMar>
            <w:vAlign w:val="center"/>
          </w:tcPr>
          <w:p w14:paraId="6FCE116E">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156 (11.5%) (n=1363)</w:t>
            </w:r>
          </w:p>
        </w:tc>
        <w:tc>
          <w:tcPr>
            <w:tcW w:w="2760" w:type="dxa"/>
            <w:shd w:val="clear" w:color="auto" w:fill="auto"/>
            <w:tcMar>
              <w:top w:w="60" w:type="dxa"/>
              <w:left w:w="120" w:type="dxa"/>
              <w:bottom w:w="30" w:type="dxa"/>
              <w:right w:w="120" w:type="dxa"/>
            </w:tcMar>
            <w:vAlign w:val="center"/>
          </w:tcPr>
          <w:p w14:paraId="0C1D04A5">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0.02</w:t>
            </w:r>
          </w:p>
        </w:tc>
        <w:tc>
          <w:tcPr>
            <w:tcW w:w="2760" w:type="dxa"/>
            <w:shd w:val="clear" w:color="auto" w:fill="auto"/>
            <w:tcMar>
              <w:top w:w="60" w:type="dxa"/>
              <w:left w:w="120" w:type="dxa"/>
              <w:bottom w:w="30" w:type="dxa"/>
              <w:right w:w="120" w:type="dxa"/>
            </w:tcMar>
            <w:vAlign w:val="center"/>
          </w:tcPr>
          <w:p w14:paraId="500184B3">
            <w:pPr>
              <w:keepNext w:val="0"/>
              <w:keepLines w:val="0"/>
              <w:widowControl/>
              <w:suppressLineNumbers w:val="0"/>
              <w:spacing w:before="0" w:beforeAutospacing="0" w:after="0" w:afterAutospacing="0" w:line="336" w:lineRule="atLeast"/>
              <w:ind w:left="0" w:leftChars="0" w:right="0" w:rightChars="0" w:firstLine="0" w:firstLineChars="0"/>
              <w:jc w:val="left"/>
              <w:rPr>
                <w:rFonts w:hint="default" w:ascii="Times New Roman" w:hAnsi="Times New Roman" w:eastAsia="等线" w:cs="Times New Roman"/>
                <w:kern w:val="0"/>
                <w:sz w:val="24"/>
                <w:szCs w:val="24"/>
                <w:lang w:val="en-US" w:eastAsia="zh-CN" w:bidi="ar"/>
              </w:rPr>
            </w:pPr>
            <w:r>
              <w:rPr>
                <w:rFonts w:hint="default" w:ascii="Times New Roman" w:hAnsi="Times New Roman" w:eastAsia="等线" w:cs="Times New Roman"/>
                <w:kern w:val="0"/>
                <w:sz w:val="24"/>
                <w:szCs w:val="24"/>
                <w:lang w:val="en-US" w:eastAsia="zh-CN" w:bidi="ar"/>
              </w:rPr>
              <w:t>0.875</w:t>
            </w:r>
          </w:p>
        </w:tc>
      </w:tr>
    </w:tbl>
    <w:p w14:paraId="343F81AB">
      <w:pPr>
        <w:pStyle w:val="58"/>
        <w:widowControl/>
        <w:rPr>
          <w:rFonts w:hint="default" w:ascii="Times New Roman" w:hAnsi="Times New Roman" w:cs="Times New Roman"/>
          <w:sz w:val="24"/>
          <w:szCs w:val="24"/>
          <w:lang w:val="en-US"/>
        </w:rPr>
      </w:pPr>
      <w:r>
        <w:rPr>
          <w:rFonts w:hint="default" w:ascii="Times New Roman" w:hAnsi="Times New Roman" w:cs="Times New Roman"/>
          <w:i/>
          <w:iCs/>
          <w:sz w:val="24"/>
          <w:szCs w:val="24"/>
          <w:lang w:val="en-US"/>
        </w:rPr>
        <w:t>Note: For variables with partial missingness in the excluded group, only patients with available data were included in the calculation: n=98 for Maximum Stone Diameter, n=95 for Common Bile Duct Diameter, n=92 for Direct Bilirubin, and n=89 for Recurrence Rate.</w:t>
      </w:r>
    </w:p>
    <w:p w14:paraId="32DEDAA2">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All SMD values were &lt; 0.1, and all p-values &gt; 0.05, confirming no statistically significant differences in baseline characteristics between the two groups. Excluding patients with incomplete records did not introduce selection bias.</w:t>
      </w:r>
    </w:p>
    <w:p w14:paraId="0D79046F">
      <w:pPr>
        <w:pStyle w:val="4"/>
        <w:widowControl/>
        <w:numPr>
          <w:ilvl w:val="1"/>
          <w:numId w:val="0"/>
        </w:numPr>
        <w:ind w:leftChars="0"/>
        <w:rPr>
          <w:lang w:val="en-US"/>
        </w:rPr>
      </w:pPr>
      <w:r>
        <w:rPr>
          <w:lang w:val="en-US"/>
        </w:rPr>
        <w:t>3. TRIPOD Checklist Compliance</w:t>
      </w:r>
    </w:p>
    <w:p w14:paraId="60F2C754">
      <w:pPr>
        <w:pStyle w:val="58"/>
        <w:widowControl/>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We adhered to the TRIPOD (Transparent Reporting of a Multivariable Prediction Model for Individual Prognosis or Diagnosis) statement to ensure transparent reporting of the prediction model. Compliance details are presented in Table S3.</w:t>
      </w:r>
    </w:p>
    <w:p w14:paraId="4010D460">
      <w:pPr>
        <w:pStyle w:val="5"/>
        <w:widowControl/>
        <w:numPr>
          <w:ilvl w:val="2"/>
          <w:numId w:val="0"/>
        </w:numPr>
        <w:ind w:leftChars="0"/>
        <w:rPr>
          <w:lang w:val="en-US"/>
        </w:rPr>
      </w:pPr>
      <w:r>
        <w:rPr>
          <w:lang w:val="en-US"/>
        </w:rPr>
        <w:t>Table S3. TRIPOD Checklist Compliance</w:t>
      </w:r>
    </w:p>
    <w:p w14:paraId="5FBBD11A">
      <w:pPr>
        <w:pStyle w:val="58"/>
        <w:widowControl/>
        <w:rPr>
          <w:lang w:val="en-US"/>
        </w:rPr>
      </w:pPr>
    </w:p>
    <w:tbl>
      <w:tblPr>
        <w:tblStyle w:val="20"/>
        <w:tblW w:w="0" w:type="auto"/>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 w:type="dxa"/>
          <w:bottom w:w="0" w:type="dxa"/>
          <w:right w:w="10" w:type="dxa"/>
        </w:tblCellMar>
      </w:tblPr>
      <w:tblGrid>
        <w:gridCol w:w="1960"/>
        <w:gridCol w:w="7548"/>
      </w:tblGrid>
      <w:tr w14:paraId="5A001E2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tcBorders>
              <w:bottom w:val="single" w:color="auto" w:sz="4" w:space="0"/>
            </w:tcBorders>
            <w:shd w:val="clear" w:color="auto" w:fill="auto"/>
            <w:tcMar>
              <w:top w:w="60" w:type="dxa"/>
              <w:left w:w="120" w:type="dxa"/>
              <w:bottom w:w="30" w:type="dxa"/>
              <w:right w:w="120" w:type="dxa"/>
            </w:tcMar>
            <w:vAlign w:val="top"/>
          </w:tcPr>
          <w:p w14:paraId="166F6AE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Title</w:t>
            </w:r>
          </w:p>
        </w:tc>
        <w:tc>
          <w:tcPr>
            <w:tcW w:w="7548" w:type="dxa"/>
            <w:tcBorders>
              <w:bottom w:val="single" w:color="auto" w:sz="4" w:space="0"/>
            </w:tcBorders>
            <w:shd w:val="clear" w:color="auto" w:fill="auto"/>
            <w:tcMar>
              <w:top w:w="60" w:type="dxa"/>
              <w:left w:w="120" w:type="dxa"/>
              <w:bottom w:w="30" w:type="dxa"/>
              <w:right w:w="120" w:type="dxa"/>
            </w:tcMar>
            <w:vAlign w:val="top"/>
          </w:tcPr>
          <w:p w14:paraId="251799C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Compliance Details</w:t>
            </w:r>
          </w:p>
        </w:tc>
      </w:tr>
      <w:tr w14:paraId="452F099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tcBorders>
              <w:top w:val="single" w:color="auto" w:sz="4" w:space="0"/>
            </w:tcBorders>
            <w:shd w:val="clear" w:color="auto" w:fill="auto"/>
            <w:tcMar>
              <w:top w:w="60" w:type="dxa"/>
              <w:left w:w="120" w:type="dxa"/>
              <w:bottom w:w="30" w:type="dxa"/>
              <w:right w:w="120" w:type="dxa"/>
            </w:tcMar>
            <w:vAlign w:val="top"/>
          </w:tcPr>
          <w:p w14:paraId="16375E2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Title and Abstract</w:t>
            </w:r>
          </w:p>
        </w:tc>
        <w:tc>
          <w:tcPr>
            <w:tcW w:w="7548" w:type="dxa"/>
            <w:tcBorders>
              <w:top w:val="single" w:color="auto" w:sz="4" w:space="0"/>
            </w:tcBorders>
            <w:shd w:val="clear" w:color="auto" w:fill="auto"/>
            <w:tcMar>
              <w:top w:w="60" w:type="dxa"/>
              <w:left w:w="120" w:type="dxa"/>
              <w:bottom w:w="30" w:type="dxa"/>
              <w:right w:w="120" w:type="dxa"/>
            </w:tcMar>
            <w:vAlign w:val="top"/>
          </w:tcPr>
          <w:p w14:paraId="304198E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title and abstract clearly state the model’s purpose (predicting extrahepatic bile duct stone [EHBDS] recurrence after common bile duct exploration [CBDE]) and core methods (Random Forest [RF] model + SHAP analysis).</w:t>
            </w:r>
          </w:p>
        </w:tc>
      </w:tr>
      <w:tr w14:paraId="2F67905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4C5BBD7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Background and Rationale</w:t>
            </w:r>
          </w:p>
        </w:tc>
        <w:tc>
          <w:tcPr>
            <w:tcW w:w="7548" w:type="dxa"/>
            <w:shd w:val="clear" w:color="auto" w:fill="auto"/>
            <w:tcMar>
              <w:top w:w="60" w:type="dxa"/>
              <w:left w:w="120" w:type="dxa"/>
              <w:bottom w:w="30" w:type="dxa"/>
              <w:right w:w="120" w:type="dxa"/>
            </w:tcMar>
            <w:vAlign w:val="top"/>
          </w:tcPr>
          <w:p w14:paraId="0664E29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Explained the clinical burden of post-CBDE EHBDS recurrence and limitations of traditional risk assessment methods.</w:t>
            </w:r>
          </w:p>
        </w:tc>
      </w:tr>
      <w:tr w14:paraId="2DCC8C1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2FD18FC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Objectives</w:t>
            </w:r>
          </w:p>
        </w:tc>
        <w:tc>
          <w:tcPr>
            <w:tcW w:w="7548" w:type="dxa"/>
            <w:shd w:val="clear" w:color="auto" w:fill="auto"/>
            <w:tcMar>
              <w:top w:w="60" w:type="dxa"/>
              <w:left w:w="120" w:type="dxa"/>
              <w:bottom w:w="30" w:type="dxa"/>
              <w:right w:w="120" w:type="dxa"/>
            </w:tcMar>
            <w:vAlign w:val="top"/>
          </w:tcPr>
          <w:p w14:paraId="70EB653B">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Clearly defined three core objectives: model development, performance validation, and interpretability analysis of key predictors.</w:t>
            </w:r>
          </w:p>
        </w:tc>
      </w:tr>
      <w:tr w14:paraId="729B0CB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5AF259A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Study Design</w:t>
            </w:r>
          </w:p>
        </w:tc>
        <w:tc>
          <w:tcPr>
            <w:tcW w:w="7548" w:type="dxa"/>
            <w:shd w:val="clear" w:color="auto" w:fill="auto"/>
            <w:tcMar>
              <w:top w:w="60" w:type="dxa"/>
              <w:left w:w="120" w:type="dxa"/>
              <w:bottom w:w="30" w:type="dxa"/>
              <w:right w:w="120" w:type="dxa"/>
            </w:tcMar>
            <w:vAlign w:val="top"/>
          </w:tcPr>
          <w:p w14:paraId="6A5E734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Retrospective cohort study; specified a 7:3 split ratio for training (70%) and validation (30%) cohorts.</w:t>
            </w:r>
          </w:p>
        </w:tc>
      </w:tr>
      <w:tr w14:paraId="49EEB05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1C8C3FCB">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Participants</w:t>
            </w:r>
          </w:p>
        </w:tc>
        <w:tc>
          <w:tcPr>
            <w:tcW w:w="7548" w:type="dxa"/>
            <w:shd w:val="clear" w:color="auto" w:fill="auto"/>
            <w:tcMar>
              <w:top w:w="60" w:type="dxa"/>
              <w:left w:w="120" w:type="dxa"/>
              <w:bottom w:w="30" w:type="dxa"/>
              <w:right w:w="120" w:type="dxa"/>
            </w:tcMar>
            <w:vAlign w:val="top"/>
          </w:tcPr>
          <w:p w14:paraId="5610854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Defined inclusion/exclusion criteria, enrollment period (2010–2024), and data source (Huangshi Central Hospital</w:t>
            </w:r>
            <w:r>
              <w:rPr>
                <w:rFonts w:hint="eastAsia" w:ascii="Times New Roman" w:hAnsi="Times New Roman" w:cs="Times New Roman"/>
                <w:sz w:val="24"/>
                <w:szCs w:val="24"/>
                <w:lang w:val="en-US" w:eastAsia="zh-CN"/>
              </w:rPr>
              <w:t xml:space="preserve"> and </w:t>
            </w:r>
            <w:r>
              <w:rPr>
                <w:rFonts w:hint="default" w:ascii="Times New Roman" w:hAnsi="Times New Roman" w:cs="Times New Roman"/>
                <w:sz w:val="24"/>
                <w:szCs w:val="24"/>
                <w:lang w:val="en-US"/>
              </w:rPr>
              <w:t>Honghu People's Hospital).</w:t>
            </w:r>
          </w:p>
        </w:tc>
      </w:tr>
      <w:tr w14:paraId="0A4710A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56883EE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Outcome Measure</w:t>
            </w:r>
          </w:p>
        </w:tc>
        <w:tc>
          <w:tcPr>
            <w:tcW w:w="7548" w:type="dxa"/>
            <w:shd w:val="clear" w:color="auto" w:fill="auto"/>
            <w:tcMar>
              <w:top w:w="60" w:type="dxa"/>
              <w:left w:w="120" w:type="dxa"/>
              <w:bottom w:w="30" w:type="dxa"/>
              <w:right w:w="120" w:type="dxa"/>
            </w:tcMar>
            <w:vAlign w:val="top"/>
          </w:tcPr>
          <w:p w14:paraId="0DB0ED0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Defined "EHBDS recurrence" as radiologically confirmed reappearance of stones ≥3 months after CBDE; diagnosis was adjudicated by two senior radiologists.</w:t>
            </w:r>
          </w:p>
        </w:tc>
      </w:tr>
      <w:tr w14:paraId="52056F0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4C60874B">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Predictors</w:t>
            </w:r>
          </w:p>
        </w:tc>
        <w:tc>
          <w:tcPr>
            <w:tcW w:w="7548" w:type="dxa"/>
            <w:shd w:val="clear" w:color="auto" w:fill="auto"/>
            <w:tcMar>
              <w:top w:w="60" w:type="dxa"/>
              <w:left w:w="120" w:type="dxa"/>
              <w:bottom w:w="30" w:type="dxa"/>
              <w:right w:w="120" w:type="dxa"/>
            </w:tcMar>
            <w:vAlign w:val="top"/>
          </w:tcPr>
          <w:p w14:paraId="475813D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Listed 28 initial variables and 8 predictors selected via LASSO regression; provided detailed measurement methods for each variable.</w:t>
            </w:r>
          </w:p>
        </w:tc>
      </w:tr>
      <w:tr w14:paraId="6026204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78429EB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Data Sources and Measurement</w:t>
            </w:r>
          </w:p>
        </w:tc>
        <w:tc>
          <w:tcPr>
            <w:tcW w:w="7548" w:type="dxa"/>
            <w:shd w:val="clear" w:color="auto" w:fill="auto"/>
            <w:tcMar>
              <w:top w:w="60" w:type="dxa"/>
              <w:left w:w="120" w:type="dxa"/>
              <w:bottom w:w="30" w:type="dxa"/>
              <w:right w:w="120" w:type="dxa"/>
            </w:tcMar>
            <w:vAlign w:val="top"/>
          </w:tcPr>
          <w:p w14:paraId="7A56FCC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Specified data extraction from electronic medical records and paper-based archives; imaging data (e.g., MRCP, CT) were reviewed independently by two radiologists.</w:t>
            </w:r>
          </w:p>
        </w:tc>
      </w:tr>
      <w:tr w14:paraId="4E63401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27C8AE4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Sample Size</w:t>
            </w:r>
          </w:p>
        </w:tc>
        <w:tc>
          <w:tcPr>
            <w:tcW w:w="7548" w:type="dxa"/>
            <w:shd w:val="clear" w:color="auto" w:fill="auto"/>
            <w:tcMar>
              <w:top w:w="60" w:type="dxa"/>
              <w:left w:w="120" w:type="dxa"/>
              <w:bottom w:w="30" w:type="dxa"/>
              <w:right w:w="120" w:type="dxa"/>
            </w:tcMar>
            <w:vAlign w:val="top"/>
          </w:tcPr>
          <w:p w14:paraId="477CE252">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Final sample size (n=1258) met the "10 events per predictor" rule (recurrence events: 159; 159/8 ≈ 20 events per predictor).</w:t>
            </w:r>
          </w:p>
        </w:tc>
      </w:tr>
      <w:tr w14:paraId="007224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54B7C19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Missing Data</w:t>
            </w:r>
          </w:p>
        </w:tc>
        <w:tc>
          <w:tcPr>
            <w:tcW w:w="7548" w:type="dxa"/>
            <w:shd w:val="clear" w:color="auto" w:fill="auto"/>
            <w:tcMar>
              <w:top w:w="60" w:type="dxa"/>
              <w:left w:w="120" w:type="dxa"/>
              <w:bottom w:w="30" w:type="dxa"/>
              <w:right w:w="120" w:type="dxa"/>
            </w:tcMar>
            <w:vAlign w:val="top"/>
          </w:tcPr>
          <w:p w14:paraId="70D81BC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Reported variable-specific missing rates (Table S1) and detailed handling methods (pre-screening, supplementary collection, exclusion); verified no bias via sensitivity analysis (Table S2).</w:t>
            </w:r>
          </w:p>
        </w:tc>
      </w:tr>
      <w:tr w14:paraId="0F72F06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23ECF88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Development</w:t>
            </w:r>
          </w:p>
        </w:tc>
        <w:tc>
          <w:tcPr>
            <w:tcW w:w="7548" w:type="dxa"/>
            <w:shd w:val="clear" w:color="auto" w:fill="auto"/>
            <w:tcMar>
              <w:top w:w="60" w:type="dxa"/>
              <w:left w:w="120" w:type="dxa"/>
              <w:bottom w:w="30" w:type="dxa"/>
              <w:right w:w="120" w:type="dxa"/>
            </w:tcMar>
            <w:vAlign w:val="top"/>
          </w:tcPr>
          <w:p w14:paraId="336201B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Described LASSO regression for variable selection, RF model training, and hyperparameter optimization (grid search + 5-fold cross-validation).</w:t>
            </w:r>
          </w:p>
        </w:tc>
      </w:tr>
      <w:tr w14:paraId="2D585AC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6D22420D">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Specification</w:t>
            </w:r>
          </w:p>
        </w:tc>
        <w:tc>
          <w:tcPr>
            <w:tcW w:w="7548" w:type="dxa"/>
            <w:shd w:val="clear" w:color="auto" w:fill="auto"/>
            <w:tcMar>
              <w:top w:w="60" w:type="dxa"/>
              <w:left w:w="120" w:type="dxa"/>
              <w:bottom w:w="30" w:type="dxa"/>
              <w:right w:w="120" w:type="dxa"/>
            </w:tcMar>
            <w:vAlign w:val="top"/>
          </w:tcPr>
          <w:p w14:paraId="31A7CFD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Provided key RF model parameters (e.g., number of decision trees = 500, maximum depth = 10) and output type (recurrence probability, range: 0.01–0.99).</w:t>
            </w:r>
          </w:p>
        </w:tc>
      </w:tr>
      <w:tr w14:paraId="3E9E730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5BA0E5D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Performance</w:t>
            </w:r>
          </w:p>
        </w:tc>
        <w:tc>
          <w:tcPr>
            <w:tcW w:w="7548" w:type="dxa"/>
            <w:shd w:val="clear" w:color="auto" w:fill="auto"/>
            <w:tcMar>
              <w:top w:w="60" w:type="dxa"/>
              <w:left w:w="120" w:type="dxa"/>
              <w:bottom w:w="30" w:type="dxa"/>
              <w:right w:w="120" w:type="dxa"/>
            </w:tcMar>
            <w:vAlign w:val="top"/>
          </w:tcPr>
          <w:p w14:paraId="538AE48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Reported comprehensive performance metrics: AUC (training cohort: 97.99%, validation cohort: 93.66%), accuracy, sensitivity, specificity, calibration curves, and decision curve analysis (DCA) results.</w:t>
            </w:r>
          </w:p>
        </w:tc>
      </w:tr>
      <w:tr w14:paraId="2F89EC7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71C522D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Internal Validation</w:t>
            </w:r>
          </w:p>
        </w:tc>
        <w:tc>
          <w:tcPr>
            <w:tcW w:w="7548" w:type="dxa"/>
            <w:shd w:val="clear" w:color="auto" w:fill="auto"/>
            <w:tcMar>
              <w:top w:w="60" w:type="dxa"/>
              <w:left w:w="120" w:type="dxa"/>
              <w:bottom w:w="30" w:type="dxa"/>
              <w:right w:w="120" w:type="dxa"/>
            </w:tcMar>
            <w:vAlign w:val="top"/>
          </w:tcPr>
          <w:p w14:paraId="70ADEB8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Used an independent validation cohort (30% of total samples) to evaluate performance; results confirmed consistent model robustness.</w:t>
            </w:r>
          </w:p>
        </w:tc>
      </w:tr>
      <w:tr w14:paraId="439D596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0FE9DE9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External Validation</w:t>
            </w:r>
          </w:p>
        </w:tc>
        <w:tc>
          <w:tcPr>
            <w:tcW w:w="7548" w:type="dxa"/>
            <w:shd w:val="clear" w:color="auto" w:fill="auto"/>
            <w:tcMar>
              <w:top w:w="60" w:type="dxa"/>
              <w:left w:w="120" w:type="dxa"/>
              <w:bottom w:w="30" w:type="dxa"/>
              <w:right w:w="120" w:type="dxa"/>
            </w:tcMar>
            <w:vAlign w:val="top"/>
          </w:tcPr>
          <w:p w14:paraId="0BDBCFD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Completed; an external cohort (n=105) was included to verify model generalization, with results reported in the main analysis of model performance.</w:t>
            </w:r>
          </w:p>
        </w:tc>
      </w:tr>
      <w:tr w14:paraId="00AA5E2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6B7228B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Updates</w:t>
            </w:r>
          </w:p>
        </w:tc>
        <w:tc>
          <w:tcPr>
            <w:tcW w:w="7548" w:type="dxa"/>
            <w:shd w:val="clear" w:color="auto" w:fill="auto"/>
            <w:tcMar>
              <w:top w:w="60" w:type="dxa"/>
              <w:left w:w="120" w:type="dxa"/>
              <w:bottom w:w="30" w:type="dxa"/>
              <w:right w:w="120" w:type="dxa"/>
            </w:tcMar>
            <w:vAlign w:val="top"/>
          </w:tcPr>
          <w:p w14:paraId="3C44A1E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Not applicable (no model updates during the study period).</w:t>
            </w:r>
          </w:p>
        </w:tc>
      </w:tr>
      <w:tr w14:paraId="4671F1A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7ACCA75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Implementation</w:t>
            </w:r>
          </w:p>
        </w:tc>
        <w:tc>
          <w:tcPr>
            <w:tcW w:w="7548" w:type="dxa"/>
            <w:shd w:val="clear" w:color="auto" w:fill="auto"/>
            <w:tcMar>
              <w:top w:w="60" w:type="dxa"/>
              <w:left w:w="120" w:type="dxa"/>
              <w:bottom w:w="30" w:type="dxa"/>
              <w:right w:w="120" w:type="dxa"/>
            </w:tcMar>
            <w:vAlign w:val="top"/>
          </w:tcPr>
          <w:p w14:paraId="059392D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Developed a nomogram (Figure 8 in the main text) to visualize the model for clinical application.</w:t>
            </w:r>
          </w:p>
        </w:tc>
      </w:tr>
      <w:tr w14:paraId="7C8B579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063DDC9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Limitations</w:t>
            </w:r>
          </w:p>
        </w:tc>
        <w:tc>
          <w:tcPr>
            <w:tcW w:w="7548" w:type="dxa"/>
            <w:shd w:val="clear" w:color="auto" w:fill="auto"/>
            <w:tcMar>
              <w:top w:w="60" w:type="dxa"/>
              <w:left w:w="120" w:type="dxa"/>
              <w:bottom w:w="30" w:type="dxa"/>
              <w:right w:w="120" w:type="dxa"/>
            </w:tcMar>
            <w:vAlign w:val="top"/>
          </w:tcPr>
          <w:p w14:paraId="4350D724">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Discussed limitations:lack of long-term follow-up (&gt;5 years), and potential ambiguity in distinguishing "residual stones" from "recurrent stones."</w:t>
            </w:r>
          </w:p>
        </w:tc>
      </w:tr>
      <w:tr w14:paraId="2A728B3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55815C42">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Interpretation</w:t>
            </w:r>
          </w:p>
        </w:tc>
        <w:tc>
          <w:tcPr>
            <w:tcW w:w="7548" w:type="dxa"/>
            <w:shd w:val="clear" w:color="auto" w:fill="auto"/>
            <w:tcMar>
              <w:top w:w="60" w:type="dxa"/>
              <w:left w:w="120" w:type="dxa"/>
              <w:bottom w:w="30" w:type="dxa"/>
              <w:right w:w="120" w:type="dxa"/>
            </w:tcMar>
            <w:vAlign w:val="top"/>
          </w:tcPr>
          <w:p w14:paraId="1FB2C27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Used SHAP analysis to explain the contribution of key predictors (e.g., Maximum Stone Diameter &gt;15 mm as a high-risk threshold) and their interactions.</w:t>
            </w:r>
          </w:p>
        </w:tc>
      </w:tr>
      <w:tr w14:paraId="5E0BCEC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2EC5D55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Ethics Approval</w:t>
            </w:r>
          </w:p>
        </w:tc>
        <w:tc>
          <w:tcPr>
            <w:tcW w:w="7548" w:type="dxa"/>
            <w:shd w:val="clear" w:color="auto" w:fill="auto"/>
            <w:tcMar>
              <w:top w:w="60" w:type="dxa"/>
              <w:left w:w="120" w:type="dxa"/>
              <w:bottom w:w="30" w:type="dxa"/>
              <w:right w:w="120" w:type="dxa"/>
            </w:tcMar>
            <w:vAlign w:val="top"/>
          </w:tcPr>
          <w:p w14:paraId="6B4CBF4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highlight w:val="yellow"/>
                <w:lang w:val="en-US"/>
              </w:rPr>
              <w:t>Approved by the Institutional Ethics Committee of Huangshi Central Hospital (Approval No.: HCH-2024-012); informed consent was waived due to the retrospective nature of the study.</w:t>
            </w:r>
            <w:bookmarkStart w:id="0" w:name="_GoBack"/>
            <w:bookmarkEnd w:id="0"/>
          </w:p>
        </w:tc>
      </w:tr>
      <w:tr w14:paraId="59FF1D6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76131D8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Data Sharing</w:t>
            </w:r>
          </w:p>
        </w:tc>
        <w:tc>
          <w:tcPr>
            <w:tcW w:w="7548" w:type="dxa"/>
            <w:shd w:val="clear" w:color="auto" w:fill="auto"/>
            <w:tcMar>
              <w:top w:w="60" w:type="dxa"/>
              <w:left w:w="120" w:type="dxa"/>
              <w:bottom w:w="30" w:type="dxa"/>
              <w:right w:w="120" w:type="dxa"/>
            </w:tcMar>
            <w:vAlign w:val="top"/>
          </w:tcPr>
          <w:p w14:paraId="5FB5A60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De-identified data are available upon reasonable request to the corresponding author.</w:t>
            </w:r>
          </w:p>
        </w:tc>
      </w:tr>
      <w:tr w14:paraId="41F6E1E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1960" w:type="dxa"/>
            <w:shd w:val="clear" w:color="auto" w:fill="auto"/>
            <w:tcMar>
              <w:top w:w="60" w:type="dxa"/>
              <w:left w:w="120" w:type="dxa"/>
              <w:bottom w:w="30" w:type="dxa"/>
              <w:right w:w="120" w:type="dxa"/>
            </w:tcMar>
            <w:vAlign w:val="top"/>
          </w:tcPr>
          <w:p w14:paraId="42B43A4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Funding</w:t>
            </w:r>
          </w:p>
        </w:tc>
        <w:tc>
          <w:tcPr>
            <w:tcW w:w="7548" w:type="dxa"/>
            <w:shd w:val="clear" w:color="auto" w:fill="auto"/>
            <w:tcMar>
              <w:top w:w="60" w:type="dxa"/>
              <w:left w:w="120" w:type="dxa"/>
              <w:bottom w:w="30" w:type="dxa"/>
              <w:right w:w="120" w:type="dxa"/>
            </w:tcMar>
            <w:vAlign w:val="top"/>
          </w:tcPr>
          <w:p w14:paraId="3A35F35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Stated no specific financial support for this study.</w:t>
            </w:r>
          </w:p>
        </w:tc>
      </w:tr>
    </w:tbl>
    <w:p w14:paraId="424A13C7">
      <w:pPr>
        <w:pStyle w:val="4"/>
        <w:widowControl/>
        <w:numPr>
          <w:ilvl w:val="1"/>
          <w:numId w:val="0"/>
        </w:numPr>
        <w:ind w:leftChars="0"/>
        <w:rPr>
          <w:lang w:val="en-US"/>
        </w:rPr>
      </w:pPr>
      <w:r>
        <w:rPr>
          <w:lang w:val="en-US"/>
        </w:rPr>
        <w:t>4. PROBAST Bias Risk Assessment</w:t>
      </w:r>
    </w:p>
    <w:p w14:paraId="67582CC3">
      <w:pPr>
        <w:pStyle w:val="58"/>
        <w:widowControl/>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We used the PROBAST (Prediction Model Risk of Bias Assessment Tool) to evaluate bias risk across six core domains. Results are presented in Table S4.</w:t>
      </w:r>
    </w:p>
    <w:p w14:paraId="671D51D1">
      <w:pPr>
        <w:pStyle w:val="5"/>
        <w:widowControl/>
        <w:numPr>
          <w:ilvl w:val="2"/>
          <w:numId w:val="0"/>
        </w:numPr>
        <w:ind w:leftChars="0"/>
        <w:rPr>
          <w:lang w:val="en-US"/>
        </w:rPr>
      </w:pPr>
      <w:r>
        <w:rPr>
          <w:lang w:val="en-US"/>
        </w:rPr>
        <w:t>Table S4. PROBAST Bias Risk Assessment (Low/High/Unclear)</w:t>
      </w:r>
    </w:p>
    <w:tbl>
      <w:tblPr>
        <w:tblStyle w:val="20"/>
        <w:tblW w:w="0" w:type="auto"/>
        <w:tblInd w:w="-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 w:type="dxa"/>
          <w:bottom w:w="0" w:type="dxa"/>
          <w:right w:w="10" w:type="dxa"/>
        </w:tblCellMar>
      </w:tblPr>
      <w:tblGrid>
        <w:gridCol w:w="2760"/>
        <w:gridCol w:w="1578"/>
        <w:gridCol w:w="5270"/>
      </w:tblGrid>
      <w:tr w14:paraId="7BA800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tcBorders>
              <w:bottom w:val="single" w:color="auto" w:sz="4" w:space="0"/>
            </w:tcBorders>
            <w:shd w:val="clear" w:color="auto" w:fill="auto"/>
            <w:tcMar>
              <w:top w:w="60" w:type="dxa"/>
              <w:left w:w="120" w:type="dxa"/>
              <w:bottom w:w="30" w:type="dxa"/>
              <w:right w:w="120" w:type="dxa"/>
            </w:tcMar>
            <w:vAlign w:val="top"/>
          </w:tcPr>
          <w:p w14:paraId="4979A1A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Domain</w:t>
            </w:r>
          </w:p>
        </w:tc>
        <w:tc>
          <w:tcPr>
            <w:tcW w:w="1578" w:type="dxa"/>
            <w:tcBorders>
              <w:bottom w:val="single" w:color="auto" w:sz="4" w:space="0"/>
            </w:tcBorders>
            <w:shd w:val="clear" w:color="auto" w:fill="auto"/>
            <w:tcMar>
              <w:top w:w="60" w:type="dxa"/>
              <w:left w:w="120" w:type="dxa"/>
              <w:bottom w:w="30" w:type="dxa"/>
              <w:right w:w="120" w:type="dxa"/>
            </w:tcMar>
            <w:vAlign w:val="top"/>
          </w:tcPr>
          <w:p w14:paraId="1033BFF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Risk Level</w:t>
            </w:r>
          </w:p>
        </w:tc>
        <w:tc>
          <w:tcPr>
            <w:tcW w:w="5270" w:type="dxa"/>
            <w:tcBorders>
              <w:bottom w:val="single" w:color="auto" w:sz="4" w:space="0"/>
            </w:tcBorders>
            <w:shd w:val="clear" w:color="auto" w:fill="auto"/>
            <w:tcMar>
              <w:top w:w="60" w:type="dxa"/>
              <w:left w:w="120" w:type="dxa"/>
              <w:bottom w:w="30" w:type="dxa"/>
              <w:right w:w="120" w:type="dxa"/>
            </w:tcMar>
            <w:vAlign w:val="top"/>
          </w:tcPr>
          <w:p w14:paraId="4E3D726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Rationale</w:t>
            </w:r>
          </w:p>
        </w:tc>
      </w:tr>
      <w:tr w14:paraId="04EBF8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tcBorders>
              <w:top w:val="single" w:color="auto" w:sz="4" w:space="0"/>
            </w:tcBorders>
            <w:shd w:val="clear" w:color="auto" w:fill="auto"/>
            <w:tcMar>
              <w:top w:w="60" w:type="dxa"/>
              <w:left w:w="120" w:type="dxa"/>
              <w:bottom w:w="30" w:type="dxa"/>
              <w:right w:w="120" w:type="dxa"/>
            </w:tcMar>
            <w:vAlign w:val="top"/>
          </w:tcPr>
          <w:p w14:paraId="747671FA">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Participants</w:t>
            </w:r>
          </w:p>
        </w:tc>
        <w:tc>
          <w:tcPr>
            <w:tcW w:w="1578" w:type="dxa"/>
            <w:tcBorders>
              <w:top w:val="single" w:color="auto" w:sz="4" w:space="0"/>
            </w:tcBorders>
            <w:shd w:val="clear" w:color="auto" w:fill="auto"/>
            <w:tcMar>
              <w:top w:w="60" w:type="dxa"/>
              <w:left w:w="120" w:type="dxa"/>
              <w:bottom w:w="30" w:type="dxa"/>
              <w:right w:w="120" w:type="dxa"/>
            </w:tcMar>
            <w:vAlign w:val="top"/>
          </w:tcPr>
          <w:p w14:paraId="29E7548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Low</w:t>
            </w:r>
          </w:p>
        </w:tc>
        <w:tc>
          <w:tcPr>
            <w:tcW w:w="5270" w:type="dxa"/>
            <w:tcBorders>
              <w:top w:val="single" w:color="auto" w:sz="4" w:space="0"/>
            </w:tcBorders>
            <w:shd w:val="clear" w:color="auto" w:fill="auto"/>
            <w:tcMar>
              <w:top w:w="60" w:type="dxa"/>
              <w:left w:w="120" w:type="dxa"/>
              <w:bottom w:w="30" w:type="dxa"/>
              <w:right w:w="120" w:type="dxa"/>
            </w:tcMar>
            <w:vAlign w:val="top"/>
          </w:tcPr>
          <w:p w14:paraId="0E2BB73D">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Clear inclusion/exclusion criteria; baseline characteristics were balanced between excluded and included patients (Table S2), with no evidence of selection bias.</w:t>
            </w:r>
          </w:p>
        </w:tc>
      </w:tr>
      <w:tr w14:paraId="01D468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1BA39B2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Predictors</w:t>
            </w:r>
          </w:p>
        </w:tc>
        <w:tc>
          <w:tcPr>
            <w:tcW w:w="1578" w:type="dxa"/>
            <w:shd w:val="clear" w:color="auto" w:fill="auto"/>
            <w:tcMar>
              <w:top w:w="60" w:type="dxa"/>
              <w:left w:w="120" w:type="dxa"/>
              <w:bottom w:w="30" w:type="dxa"/>
              <w:right w:w="120" w:type="dxa"/>
            </w:tcMar>
            <w:vAlign w:val="top"/>
          </w:tcPr>
          <w:p w14:paraId="6C7A40E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Low</w:t>
            </w:r>
          </w:p>
        </w:tc>
        <w:tc>
          <w:tcPr>
            <w:tcW w:w="5270" w:type="dxa"/>
            <w:shd w:val="clear" w:color="auto" w:fill="auto"/>
            <w:tcMar>
              <w:top w:w="60" w:type="dxa"/>
              <w:left w:w="120" w:type="dxa"/>
              <w:bottom w:w="30" w:type="dxa"/>
              <w:right w:w="120" w:type="dxa"/>
            </w:tcMar>
            <w:vAlign w:val="top"/>
          </w:tcPr>
          <w:p w14:paraId="548E9B0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All predictors were measured via standard clinical procedures (e.g., laboratory tests, imaging); missing rates were &lt;5% (Table S1), and no imputation was used to avoid artificial bias.</w:t>
            </w:r>
          </w:p>
        </w:tc>
      </w:tr>
      <w:tr w14:paraId="0F7D3E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4E2F9574">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Outcome</w:t>
            </w:r>
          </w:p>
        </w:tc>
        <w:tc>
          <w:tcPr>
            <w:tcW w:w="1578" w:type="dxa"/>
            <w:shd w:val="clear" w:color="auto" w:fill="auto"/>
            <w:tcMar>
              <w:top w:w="60" w:type="dxa"/>
              <w:left w:w="120" w:type="dxa"/>
              <w:bottom w:w="30" w:type="dxa"/>
              <w:right w:w="120" w:type="dxa"/>
            </w:tcMar>
            <w:vAlign w:val="top"/>
          </w:tcPr>
          <w:p w14:paraId="660AC2A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Low</w:t>
            </w:r>
          </w:p>
        </w:tc>
        <w:tc>
          <w:tcPr>
            <w:tcW w:w="5270" w:type="dxa"/>
            <w:shd w:val="clear" w:color="auto" w:fill="auto"/>
            <w:tcMar>
              <w:top w:w="60" w:type="dxa"/>
              <w:left w:w="120" w:type="dxa"/>
              <w:bottom w:w="30" w:type="dxa"/>
              <w:right w:w="120" w:type="dxa"/>
            </w:tcMar>
            <w:vAlign w:val="top"/>
          </w:tcPr>
          <w:p w14:paraId="6132861F">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outcome (EHBDS recurrence) was defined by objective radiological evidence (MRCP/ERCP) and adjudicated by two independent radiologists to minimize diagnostic bias.</w:t>
            </w:r>
          </w:p>
        </w:tc>
      </w:tr>
      <w:tr w14:paraId="369AD5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35758414">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Development</w:t>
            </w:r>
          </w:p>
        </w:tc>
        <w:tc>
          <w:tcPr>
            <w:tcW w:w="1578" w:type="dxa"/>
            <w:shd w:val="clear" w:color="auto" w:fill="auto"/>
            <w:tcMar>
              <w:top w:w="60" w:type="dxa"/>
              <w:left w:w="120" w:type="dxa"/>
              <w:bottom w:w="30" w:type="dxa"/>
              <w:right w:w="120" w:type="dxa"/>
            </w:tcMar>
            <w:vAlign w:val="top"/>
          </w:tcPr>
          <w:p w14:paraId="13C13C48">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Low</w:t>
            </w:r>
          </w:p>
        </w:tc>
        <w:tc>
          <w:tcPr>
            <w:tcW w:w="5270" w:type="dxa"/>
            <w:shd w:val="clear" w:color="auto" w:fill="auto"/>
            <w:tcMar>
              <w:top w:w="60" w:type="dxa"/>
              <w:left w:w="120" w:type="dxa"/>
              <w:bottom w:w="30" w:type="dxa"/>
              <w:right w:w="120" w:type="dxa"/>
            </w:tcMar>
            <w:vAlign w:val="top"/>
          </w:tcPr>
          <w:p w14:paraId="51ECBD6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LASSO regression was used to reduce overfitting; hyperparameters were optimized via 5-fold cross-validation; all performance metrics were reported transparently.</w:t>
            </w:r>
          </w:p>
        </w:tc>
      </w:tr>
      <w:tr w14:paraId="39C726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2EBCC15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Validation</w:t>
            </w:r>
          </w:p>
        </w:tc>
        <w:tc>
          <w:tcPr>
            <w:tcW w:w="1578" w:type="dxa"/>
            <w:shd w:val="clear" w:color="auto" w:fill="auto"/>
            <w:tcMar>
              <w:top w:w="60" w:type="dxa"/>
              <w:left w:w="120" w:type="dxa"/>
              <w:bottom w:w="30" w:type="dxa"/>
              <w:right w:w="120" w:type="dxa"/>
            </w:tcMar>
            <w:vAlign w:val="top"/>
          </w:tcPr>
          <w:p w14:paraId="7FD094F9">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Low</w:t>
            </w:r>
          </w:p>
        </w:tc>
        <w:tc>
          <w:tcPr>
            <w:tcW w:w="5270" w:type="dxa"/>
            <w:shd w:val="clear" w:color="auto" w:fill="auto"/>
            <w:tcMar>
              <w:top w:w="60" w:type="dxa"/>
              <w:left w:w="120" w:type="dxa"/>
              <w:bottom w:w="30" w:type="dxa"/>
              <w:right w:w="120" w:type="dxa"/>
            </w:tcMar>
            <w:vAlign w:val="top"/>
          </w:tcPr>
          <w:p w14:paraId="00C8445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An independent validation cohort (30% of total samples) was used; model performance in the validation cohort (AUC: 93.66%) was consistent with the training cohort (AUC: 97.99%), confirming robustness.</w:t>
            </w:r>
          </w:p>
        </w:tc>
      </w:tr>
      <w:tr w14:paraId="7EAA18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77FEBF5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Model Reporting</w:t>
            </w:r>
          </w:p>
        </w:tc>
        <w:tc>
          <w:tcPr>
            <w:tcW w:w="1578" w:type="dxa"/>
            <w:shd w:val="clear" w:color="auto" w:fill="auto"/>
            <w:tcMar>
              <w:top w:w="60" w:type="dxa"/>
              <w:left w:w="120" w:type="dxa"/>
              <w:bottom w:w="30" w:type="dxa"/>
              <w:right w:w="120" w:type="dxa"/>
            </w:tcMar>
            <w:vAlign w:val="top"/>
          </w:tcPr>
          <w:p w14:paraId="5F4F3CB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Low</w:t>
            </w:r>
          </w:p>
        </w:tc>
        <w:tc>
          <w:tcPr>
            <w:tcW w:w="5270" w:type="dxa"/>
            <w:shd w:val="clear" w:color="auto" w:fill="auto"/>
            <w:tcMar>
              <w:top w:w="60" w:type="dxa"/>
              <w:left w:w="120" w:type="dxa"/>
              <w:bottom w:w="30" w:type="dxa"/>
              <w:right w:w="120" w:type="dxa"/>
            </w:tcMar>
            <w:vAlign w:val="top"/>
          </w:tcPr>
          <w:p w14:paraId="1A90B4AE">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All key details were reported: variable missing rates, handling methods, model parameters, performance metrics, and limitations; a nomogram was provided for clinical application.</w:t>
            </w:r>
          </w:p>
        </w:tc>
      </w:tr>
    </w:tbl>
    <w:p w14:paraId="2B4BE805">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Overall Bias Risk</w:t>
      </w:r>
      <w:r>
        <w:rPr>
          <w:rFonts w:hint="default" w:ascii="Times New Roman" w:hAnsi="Times New Roman" w:cs="Times New Roman"/>
          <w:sz w:val="24"/>
          <w:szCs w:val="24"/>
          <w:lang w:val="en-US"/>
        </w:rPr>
        <w:t>: Low (no high-risk domains identified; all domains met PROBAST criteria for low bias).</w:t>
      </w:r>
    </w:p>
    <w:p w14:paraId="57941723">
      <w:pPr>
        <w:pStyle w:val="4"/>
        <w:widowControl/>
        <w:numPr>
          <w:ilvl w:val="1"/>
          <w:numId w:val="0"/>
        </w:numPr>
        <w:ind w:leftChars="0"/>
        <w:rPr>
          <w:lang w:val="en-US"/>
        </w:rPr>
      </w:pPr>
      <w:r>
        <w:rPr>
          <w:lang w:val="en-US"/>
        </w:rPr>
        <w:t>5. Model Card</w:t>
      </w:r>
    </w:p>
    <w:p w14:paraId="53035BCC">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To facilitate clinical application, we developed a "model card" summarizing key information about the RF-based EHBDS recurrence prediction model. Details are presented in Table S5.</w:t>
      </w:r>
    </w:p>
    <w:p w14:paraId="7C608C3A">
      <w:pPr>
        <w:pStyle w:val="5"/>
        <w:widowControl/>
        <w:numPr>
          <w:ilvl w:val="2"/>
          <w:numId w:val="0"/>
        </w:numPr>
        <w:ind w:leftChars="0"/>
        <w:rPr>
          <w:lang w:val="en-US"/>
        </w:rPr>
      </w:pPr>
      <w:r>
        <w:rPr>
          <w:lang w:val="en-US"/>
        </w:rPr>
        <w:t>Table S5. Model Card for RF-Based Post-CBDE EHBDS Recurrence Prediction</w:t>
      </w:r>
    </w:p>
    <w:tbl>
      <w:tblPr>
        <w:tblStyle w:val="20"/>
        <w:tblW w:w="0" w:type="auto"/>
        <w:tblInd w:w="-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 w:type="dxa"/>
          <w:bottom w:w="0" w:type="dxa"/>
          <w:right w:w="10" w:type="dxa"/>
        </w:tblCellMar>
      </w:tblPr>
      <w:tblGrid>
        <w:gridCol w:w="2760"/>
        <w:gridCol w:w="6508"/>
      </w:tblGrid>
      <w:tr w14:paraId="3CB705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tcBorders>
              <w:bottom w:val="single" w:color="auto" w:sz="4" w:space="0"/>
            </w:tcBorders>
            <w:shd w:val="clear" w:color="auto" w:fill="auto"/>
            <w:tcMar>
              <w:top w:w="60" w:type="dxa"/>
              <w:left w:w="120" w:type="dxa"/>
              <w:bottom w:w="30" w:type="dxa"/>
              <w:right w:w="120" w:type="dxa"/>
            </w:tcMar>
            <w:vAlign w:val="top"/>
          </w:tcPr>
          <w:p w14:paraId="66577833">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Item</w:t>
            </w:r>
          </w:p>
        </w:tc>
        <w:tc>
          <w:tcPr>
            <w:tcW w:w="6508" w:type="dxa"/>
            <w:tcBorders>
              <w:bottom w:val="single" w:color="auto" w:sz="4" w:space="0"/>
            </w:tcBorders>
            <w:shd w:val="clear" w:color="auto" w:fill="auto"/>
            <w:tcMar>
              <w:top w:w="60" w:type="dxa"/>
              <w:left w:w="120" w:type="dxa"/>
              <w:bottom w:w="30" w:type="dxa"/>
              <w:right w:w="120" w:type="dxa"/>
            </w:tcMar>
            <w:vAlign w:val="top"/>
          </w:tcPr>
          <w:p w14:paraId="2677BC4B">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Details</w:t>
            </w:r>
          </w:p>
        </w:tc>
      </w:tr>
      <w:tr w14:paraId="61ED71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tcBorders>
              <w:top w:val="single" w:color="auto" w:sz="4" w:space="0"/>
            </w:tcBorders>
            <w:shd w:val="clear" w:color="auto" w:fill="auto"/>
            <w:tcMar>
              <w:top w:w="60" w:type="dxa"/>
              <w:left w:w="120" w:type="dxa"/>
              <w:bottom w:w="30" w:type="dxa"/>
              <w:right w:w="120" w:type="dxa"/>
            </w:tcMar>
            <w:vAlign w:val="top"/>
          </w:tcPr>
          <w:p w14:paraId="5D976CE9">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Applicable Population</w:t>
            </w:r>
          </w:p>
        </w:tc>
        <w:tc>
          <w:tcPr>
            <w:tcW w:w="6508" w:type="dxa"/>
            <w:tcBorders>
              <w:top w:val="single" w:color="auto" w:sz="4" w:space="0"/>
            </w:tcBorders>
            <w:shd w:val="clear" w:color="auto" w:fill="auto"/>
            <w:tcMar>
              <w:top w:w="60" w:type="dxa"/>
              <w:left w:w="120" w:type="dxa"/>
              <w:bottom w:w="30" w:type="dxa"/>
              <w:right w:w="120" w:type="dxa"/>
            </w:tcMar>
            <w:vAlign w:val="top"/>
          </w:tcPr>
          <w:p w14:paraId="0D3AF386">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Adult patients (age ≥18 years) diagnosed with extrahepatic bile duct stones (EHBDS) who underwent common bile duct exploration (CBDE) as the primary surgical treatment, with a follow-up duration of ≥3 months.</w:t>
            </w:r>
          </w:p>
        </w:tc>
      </w:tr>
      <w:tr w14:paraId="76AC85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1150799B">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Input Variables</w:t>
            </w:r>
          </w:p>
        </w:tc>
        <w:tc>
          <w:tcPr>
            <w:tcW w:w="6508" w:type="dxa"/>
            <w:shd w:val="clear" w:color="auto" w:fill="auto"/>
            <w:tcMar>
              <w:top w:w="60" w:type="dxa"/>
              <w:left w:w="120" w:type="dxa"/>
              <w:bottom w:w="30" w:type="dxa"/>
              <w:right w:w="120" w:type="dxa"/>
            </w:tcMar>
            <w:vAlign w:val="top"/>
          </w:tcPr>
          <w:p w14:paraId="43EE6117">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8 key predictors (all measurable via routine clinical tests):1. Age (years)2. Maximum Stone Diameter (mm)3. Common Bile Duct Diameter (mm)4. Concurrent Intrahepatic Bile Duct Stones (Yes/No)5. Previous Biliary Surgery (Yes/No)6. Direct Bilirubin (μmol/L)7. ALP (U/L)8. GGT (U/L)</w:t>
            </w:r>
          </w:p>
        </w:tc>
      </w:tr>
      <w:tr w14:paraId="4F54BC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4BD8D013">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Output Result</w:t>
            </w:r>
          </w:p>
        </w:tc>
        <w:tc>
          <w:tcPr>
            <w:tcW w:w="6508" w:type="dxa"/>
            <w:shd w:val="clear" w:color="auto" w:fill="auto"/>
            <w:tcMar>
              <w:top w:w="60" w:type="dxa"/>
              <w:left w:w="120" w:type="dxa"/>
              <w:bottom w:w="30" w:type="dxa"/>
              <w:right w:w="120" w:type="dxa"/>
            </w:tcMar>
            <w:vAlign w:val="top"/>
          </w:tcPr>
          <w:p w14:paraId="3F1CDD21">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 Probability of post-CBDE EHBDS recurrence (range: 0.01–0.99)2. Risk stratification:- Low risk: Recurrence probability ≤0.2   - Moderate risk: Recurrence probability 0.2–0.6   - High risk: Recurrence probability &gt;0.6</w:t>
            </w:r>
          </w:p>
        </w:tc>
      </w:tr>
      <w:tr w14:paraId="29C651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21DBAB06">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Failure Modes</w:t>
            </w:r>
          </w:p>
        </w:tc>
        <w:tc>
          <w:tcPr>
            <w:tcW w:w="6508" w:type="dxa"/>
            <w:shd w:val="clear" w:color="auto" w:fill="auto"/>
            <w:tcMar>
              <w:top w:w="60" w:type="dxa"/>
              <w:left w:w="120" w:type="dxa"/>
              <w:bottom w:w="30" w:type="dxa"/>
              <w:right w:w="120" w:type="dxa"/>
            </w:tcMar>
            <w:vAlign w:val="top"/>
          </w:tcPr>
          <w:p w14:paraId="3A56B5E0">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 Inapplicable to patients treated with ERCP (Endoscopic Retrograde Cholangiopancreatography) or EST (Endoscopic Sphincterotomy) (not CBDE).2. Reduced accuracy in patients with rare chronic liver diseases (e.g., primary biliary cholangitis) not included in the original cohort.3. Unreliable results if ≥2 input variables are missing (no imputation supported).</w:t>
            </w:r>
          </w:p>
        </w:tc>
      </w:tr>
      <w:tr w14:paraId="7E6D1C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56E5E396">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Performance Metrics</w:t>
            </w:r>
          </w:p>
        </w:tc>
        <w:tc>
          <w:tcPr>
            <w:tcW w:w="6508" w:type="dxa"/>
            <w:shd w:val="clear" w:color="auto" w:fill="auto"/>
            <w:tcMar>
              <w:top w:w="60" w:type="dxa"/>
              <w:left w:w="120" w:type="dxa"/>
              <w:bottom w:w="30" w:type="dxa"/>
              <w:right w:w="120" w:type="dxa"/>
            </w:tcMar>
            <w:vAlign w:val="top"/>
          </w:tcPr>
          <w:p w14:paraId="1FA957D2">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Validation cohort performance: - AUC: 93.66% - Accuracy: 0.902 - Sensitivity: 0.813 - Specificity: 0.915</w:t>
            </w:r>
          </w:p>
        </w:tc>
      </w:tr>
      <w:tr w14:paraId="221326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 w:type="dxa"/>
            <w:bottom w:w="0" w:type="dxa"/>
            <w:right w:w="10" w:type="dxa"/>
          </w:tblCellMar>
        </w:tblPrEx>
        <w:tc>
          <w:tcPr>
            <w:tcW w:w="2760" w:type="dxa"/>
            <w:shd w:val="clear" w:color="auto" w:fill="auto"/>
            <w:tcMar>
              <w:top w:w="60" w:type="dxa"/>
              <w:left w:w="120" w:type="dxa"/>
              <w:bottom w:w="30" w:type="dxa"/>
              <w:right w:w="120" w:type="dxa"/>
            </w:tcMar>
            <w:vAlign w:val="top"/>
          </w:tcPr>
          <w:p w14:paraId="64F4243F">
            <w:pPr>
              <w:pStyle w:val="58"/>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Clinical Application</w:t>
            </w:r>
          </w:p>
        </w:tc>
        <w:tc>
          <w:tcPr>
            <w:tcW w:w="6508" w:type="dxa"/>
            <w:shd w:val="clear" w:color="auto" w:fill="auto"/>
            <w:tcMar>
              <w:top w:w="60" w:type="dxa"/>
              <w:left w:w="120" w:type="dxa"/>
              <w:bottom w:w="30" w:type="dxa"/>
              <w:right w:w="120" w:type="dxa"/>
            </w:tcMar>
            <w:vAlign w:val="top"/>
          </w:tcPr>
          <w:p w14:paraId="76A56BB5">
            <w:pPr>
              <w:pStyle w:val="58"/>
              <w:widowControl/>
              <w:rPr>
                <w:rFonts w:hint="default" w:ascii="Times New Roman" w:hAnsi="Times New Roman" w:cs="Times New Roman"/>
                <w:sz w:val="24"/>
                <w:szCs w:val="24"/>
                <w:lang w:val="en-US"/>
              </w:rPr>
            </w:pPr>
            <w:r>
              <w:rPr>
                <w:rFonts w:hint="default" w:ascii="Times New Roman" w:hAnsi="Times New Roman" w:cs="Times New Roman"/>
                <w:sz w:val="24"/>
                <w:szCs w:val="24"/>
                <w:lang w:val="en-US"/>
              </w:rPr>
              <w:t>1. Guide follow-up frequency: High-risk patients (probability &gt;0.6): follow-up every 3 months; Moderate-risk patients (0.2–0.6): follow-up every 6 months; Low-risk patients (≤0.2): follow-up every 12 months.2. Support targeted interventions: Consider prophylactic ursodeoxycholic acid treatment for high-risk patients to reduce recurrence risk.</w:t>
            </w:r>
          </w:p>
        </w:tc>
      </w:tr>
    </w:tbl>
    <w:p w14:paraId="781FA22C">
      <w:pPr>
        <w:spacing w:before="240"/>
      </w:pPr>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FF27">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AB28">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EDBA">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1A5B">
    <w:r>
      <w:rPr>
        <w:b/>
        <w:color w:val="A6A6A6" w:themeColor="background1" w:themeShade="A6"/>
        <w:lang w:val="en-GB" w:eastAsia="en-GB"/>
      </w:rPr>
      <w:drawing>
        <wp:inline distT="0" distB="0" distL="0" distR="0">
          <wp:extent cx="1382395" cy="496570"/>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4909" cy="551877"/>
                  </a:xfrm>
                  <a:prstGeom prst="rect">
                    <a:avLst/>
                  </a:prstGeom>
                  <a:noFill/>
                  <a:ln>
                    <a:noFill/>
                  </a:ln>
                </pic:spPr>
              </pic:pic>
            </a:graphicData>
          </a:graphic>
        </wp:inline>
      </w:drawing>
    </w:r>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40ED0631"/>
    <w:multiLevelType w:val="multilevel"/>
    <w:tmpl w:val="40ED0631"/>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0F5B0251"/>
    <w:rsid w:val="139B35B0"/>
    <w:rsid w:val="20CC72B1"/>
    <w:rsid w:val="24470093"/>
    <w:rsid w:val="2EFF3DDC"/>
    <w:rsid w:val="36A42673"/>
    <w:rsid w:val="4220038F"/>
    <w:rsid w:val="42B415E6"/>
    <w:rsid w:val="4C26537C"/>
    <w:rsid w:val="56517BEE"/>
    <w:rsid w:val="56593F29"/>
    <w:rsid w:val="56625346"/>
    <w:rsid w:val="58F80111"/>
    <w:rsid w:val="70A22DB5"/>
    <w:rsid w:val="763777E5"/>
    <w:rsid w:val="7A9A0005"/>
    <w:rsid w:val="7EB03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55"/>
    <w:qFormat/>
    <w:uiPriority w:val="2"/>
    <w:pPr>
      <w:numPr>
        <w:ilvl w:val="0"/>
        <w:numId w:val="1"/>
      </w:numPr>
      <w:spacing w:before="240"/>
      <w:contextualSpacing w:val="0"/>
      <w:outlineLvl w:val="0"/>
    </w:pPr>
    <w:rPr>
      <w:b/>
    </w:rPr>
  </w:style>
  <w:style w:type="paragraph" w:styleId="4">
    <w:name w:val="heading 2"/>
    <w:basedOn w:val="2"/>
    <w:next w:val="1"/>
    <w:link w:val="56"/>
    <w:qFormat/>
    <w:uiPriority w:val="2"/>
    <w:pPr>
      <w:numPr>
        <w:ilvl w:val="1"/>
      </w:numPr>
      <w:spacing w:after="200"/>
      <w:outlineLvl w:val="1"/>
    </w:pPr>
  </w:style>
  <w:style w:type="paragraph" w:styleId="5">
    <w:name w:val="heading 3"/>
    <w:basedOn w:val="1"/>
    <w:next w:val="1"/>
    <w:link w:val="57"/>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qFormat/>
    <w:uiPriority w:val="1"/>
  </w:style>
  <w:style w:type="table" w:default="1" w:styleId="2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qFormat/>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qFormat/>
    <w:uiPriority w:val="99"/>
    <w:pPr>
      <w:tabs>
        <w:tab w:val="center" w:pos="4844"/>
        <w:tab w:val="right" w:pos="9689"/>
      </w:tabs>
      <w:spacing w:after="0"/>
    </w:pPr>
  </w:style>
  <w:style w:type="paragraph" w:styleId="14">
    <w:name w:val="header"/>
    <w:basedOn w:val="1"/>
    <w:link w:val="42"/>
    <w:unhideWhenUsed/>
    <w:qFormat/>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qFormat/>
    <w:uiPriority w:val="99"/>
    <w:pPr>
      <w:spacing w:after="0"/>
    </w:pPr>
    <w:rPr>
      <w:sz w:val="20"/>
      <w:szCs w:val="20"/>
    </w:rPr>
  </w:style>
  <w:style w:type="paragraph" w:styleId="17">
    <w:name w:val="Normal (Web)"/>
    <w:basedOn w:val="1"/>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annotation reference"/>
    <w:basedOn w:val="22"/>
    <w:semiHidden/>
    <w:unhideWhenUsed/>
    <w:qFormat/>
    <w:uiPriority w:val="99"/>
    <w:rPr>
      <w:sz w:val="16"/>
      <w:szCs w:val="16"/>
    </w:rPr>
  </w:style>
  <w:style w:type="character" w:styleId="30">
    <w:name w:val="footnote reference"/>
    <w:basedOn w:val="22"/>
    <w:semiHidden/>
    <w:unhideWhenUsed/>
    <w:qFormat/>
    <w:uiPriority w:val="99"/>
    <w:rPr>
      <w:vertAlign w:val="superscript"/>
    </w:rPr>
  </w:style>
  <w:style w:type="character" w:customStyle="1" w:styleId="31">
    <w:name w:val="Heading 1 Char"/>
    <w:basedOn w:val="22"/>
    <w:link w:val="2"/>
    <w:qFormat/>
    <w:uiPriority w:val="2"/>
    <w:rPr>
      <w:rFonts w:ascii="Times New Roman" w:hAnsi="Times New Roman" w:eastAsia="Cambria" w:cs="Times New Roman"/>
      <w:b/>
      <w:sz w:val="24"/>
      <w:szCs w:val="24"/>
    </w:rPr>
  </w:style>
  <w:style w:type="character" w:customStyle="1" w:styleId="32">
    <w:name w:val="Heading 2 Char"/>
    <w:basedOn w:val="22"/>
    <w:link w:val="4"/>
    <w:qFormat/>
    <w:uiPriority w:val="2"/>
    <w:rPr>
      <w:rFonts w:ascii="Times New Roman" w:hAnsi="Times New Roman" w:eastAsia="Cambria" w:cs="Times New Roman"/>
      <w:b/>
      <w:sz w:val="24"/>
      <w:szCs w:val="24"/>
    </w:rPr>
  </w:style>
  <w:style w:type="character" w:customStyle="1" w:styleId="33">
    <w:name w:val="Subtitle Char"/>
    <w:basedOn w:val="22"/>
    <w:link w:val="15"/>
    <w:qFormat/>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qFormat/>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qFormat/>
    <w:uiPriority w:val="99"/>
    <w:rPr>
      <w:rFonts w:ascii="Times New Roman" w:hAnsi="Times New Roman"/>
      <w:sz w:val="20"/>
      <w:szCs w:val="20"/>
    </w:rPr>
  </w:style>
  <w:style w:type="character" w:customStyle="1" w:styleId="38">
    <w:name w:val="Comment Subject Char"/>
    <w:basedOn w:val="37"/>
    <w:link w:val="19"/>
    <w:semiHidden/>
    <w:qFormat/>
    <w:uiPriority w:val="99"/>
    <w:rPr>
      <w:rFonts w:ascii="Times New Roman" w:hAnsi="Times New Roman"/>
      <w:b/>
      <w:bCs/>
      <w:sz w:val="20"/>
      <w:szCs w:val="20"/>
    </w:rPr>
  </w:style>
  <w:style w:type="character" w:customStyle="1" w:styleId="39">
    <w:name w:val="Endnote Text Char"/>
    <w:basedOn w:val="22"/>
    <w:link w:val="11"/>
    <w:semiHidden/>
    <w:qFormat/>
    <w:uiPriority w:val="99"/>
    <w:rPr>
      <w:rFonts w:ascii="Times New Roman" w:hAnsi="Times New Roman"/>
      <w:sz w:val="20"/>
      <w:szCs w:val="20"/>
    </w:rPr>
  </w:style>
  <w:style w:type="character" w:customStyle="1" w:styleId="40">
    <w:name w:val="Footer Char"/>
    <w:basedOn w:val="22"/>
    <w:link w:val="13"/>
    <w:qFormat/>
    <w:uiPriority w:val="99"/>
    <w:rPr>
      <w:rFonts w:ascii="Times New Roman" w:hAnsi="Times New Roman"/>
      <w:sz w:val="24"/>
    </w:rPr>
  </w:style>
  <w:style w:type="character" w:customStyle="1" w:styleId="41">
    <w:name w:val="Footnote Text Char"/>
    <w:basedOn w:val="22"/>
    <w:link w:val="16"/>
    <w:semiHidden/>
    <w:qFormat/>
    <w:uiPriority w:val="99"/>
    <w:rPr>
      <w:rFonts w:ascii="Times New Roman" w:hAnsi="Times New Roman"/>
      <w:sz w:val="20"/>
      <w:szCs w:val="20"/>
    </w:rPr>
  </w:style>
  <w:style w:type="character" w:customStyle="1" w:styleId="42">
    <w:name w:val="Header Char"/>
    <w:basedOn w:val="22"/>
    <w:link w:val="14"/>
    <w:qFormat/>
    <w:uiPriority w:val="99"/>
    <w:rPr>
      <w:rFonts w:ascii="Times New Roman" w:hAnsi="Times New Roman"/>
      <w:b/>
      <w:sz w:val="24"/>
    </w:rPr>
  </w:style>
  <w:style w:type="character" w:customStyle="1" w:styleId="43">
    <w:name w:val="Intense Emphasis"/>
    <w:basedOn w:val="22"/>
    <w:unhideWhenUsed/>
    <w:qFormat/>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qFormat/>
    <w:uiPriority w:val="2"/>
    <w:rPr>
      <w:rFonts w:ascii="Times New Roman" w:hAnsi="Times New Roman" w:eastAsiaTheme="majorEastAsia" w:cstheme="majorBidi"/>
      <w:b/>
      <w:sz w:val="24"/>
      <w:szCs w:val="24"/>
    </w:rPr>
  </w:style>
  <w:style w:type="character" w:customStyle="1" w:styleId="46">
    <w:name w:val="Heading 4 Char"/>
    <w:basedOn w:val="22"/>
    <w:link w:val="6"/>
    <w:qFormat/>
    <w:uiPriority w:val="2"/>
    <w:rPr>
      <w:rFonts w:ascii="Times New Roman" w:hAnsi="Times New Roman" w:eastAsiaTheme="majorEastAsia" w:cstheme="majorBidi"/>
      <w:b/>
      <w:iCs/>
      <w:sz w:val="24"/>
      <w:szCs w:val="24"/>
    </w:rPr>
  </w:style>
  <w:style w:type="character" w:customStyle="1" w:styleId="47">
    <w:name w:val="Heading 5 Char"/>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 w:type="paragraph" w:customStyle="1" w:styleId="53">
    <w:name w:val="Revision"/>
    <w:hidden/>
    <w:semiHidden/>
    <w:qFormat/>
    <w:uiPriority w:val="99"/>
    <w:pPr>
      <w:spacing w:after="0" w:line="240" w:lineRule="auto"/>
    </w:pPr>
    <w:rPr>
      <w:rFonts w:ascii="Times New Roman" w:hAnsi="Times New Roman" w:eastAsiaTheme="minorHAnsi" w:cstheme="minorBidi"/>
      <w:sz w:val="24"/>
      <w:szCs w:val="22"/>
      <w:lang w:val="en-US" w:eastAsia="en-US" w:bidi="ar-SA"/>
    </w:rPr>
  </w:style>
  <w:style w:type="paragraph" w:customStyle="1" w:styleId="54">
    <w:name w:val="1"/>
    <w:basedOn w:val="1"/>
    <w:qFormat/>
    <w:uiPriority w:val="0"/>
    <w:pPr>
      <w:keepNext w:val="0"/>
      <w:keepLines w:val="0"/>
      <w:widowControl/>
      <w:suppressLineNumbers w:val="0"/>
      <w:spacing w:before="120" w:beforeAutospacing="0" w:after="120" w:afterAutospacing="0" w:line="288" w:lineRule="auto"/>
      <w:ind w:left="0" w:right="0"/>
      <w:jc w:val="left"/>
    </w:pPr>
    <w:rPr>
      <w:rFonts w:hint="default" w:ascii="Arial" w:hAnsi="Arial" w:eastAsia="等线" w:cs="Arial"/>
      <w:color w:val="8F959E"/>
      <w:kern w:val="0"/>
      <w:sz w:val="22"/>
      <w:szCs w:val="22"/>
      <w:lang w:val="en-US" w:eastAsia="zh-CN" w:bidi="ar"/>
    </w:rPr>
  </w:style>
  <w:style w:type="character" w:customStyle="1" w:styleId="55">
    <w:name w:val="标题 1 字符"/>
    <w:basedOn w:val="22"/>
    <w:link w:val="2"/>
    <w:qFormat/>
    <w:uiPriority w:val="0"/>
    <w:rPr>
      <w:rFonts w:hint="default" w:ascii="Arial" w:hAnsi="Arial" w:eastAsia="等线" w:cs="Arial"/>
      <w:b/>
      <w:bCs/>
      <w:sz w:val="36"/>
      <w:szCs w:val="36"/>
    </w:rPr>
  </w:style>
  <w:style w:type="character" w:customStyle="1" w:styleId="56">
    <w:name w:val="标题 2 字符"/>
    <w:basedOn w:val="22"/>
    <w:link w:val="4"/>
    <w:qFormat/>
    <w:uiPriority w:val="0"/>
    <w:rPr>
      <w:rFonts w:hint="default" w:ascii="Arial" w:hAnsi="Arial" w:eastAsia="等线" w:cs="Arial"/>
      <w:b/>
      <w:bCs/>
      <w:sz w:val="32"/>
      <w:szCs w:val="32"/>
    </w:rPr>
  </w:style>
  <w:style w:type="character" w:customStyle="1" w:styleId="57">
    <w:name w:val="标题 3 字符"/>
    <w:basedOn w:val="22"/>
    <w:link w:val="5"/>
    <w:qFormat/>
    <w:uiPriority w:val="0"/>
    <w:rPr>
      <w:rFonts w:hint="default" w:ascii="Arial" w:hAnsi="Arial" w:eastAsia="等线" w:cs="Arial"/>
      <w:b/>
      <w:bCs/>
      <w:sz w:val="30"/>
      <w:szCs w:val="30"/>
    </w:rPr>
  </w:style>
  <w:style w:type="paragraph" w:customStyle="1" w:styleId="58">
    <w:name w:val="2"/>
    <w:basedOn w:val="1"/>
    <w:qFormat/>
    <w:uiPriority w:val="0"/>
    <w:pPr>
      <w:keepNext w:val="0"/>
      <w:keepLines w:val="0"/>
      <w:widowControl/>
      <w:suppressLineNumbers w:val="0"/>
      <w:spacing w:before="120" w:beforeAutospacing="0" w:after="120" w:afterAutospacing="0" w:line="288" w:lineRule="auto"/>
      <w:ind w:left="0" w:right="0"/>
      <w:jc w:val="left"/>
    </w:pPr>
    <w:rPr>
      <w:rFonts w:hint="default" w:ascii="Arial" w:hAnsi="Arial" w:eastAsia="等线" w:cs="Arial"/>
      <w:kern w:val="0"/>
      <w:sz w:val="22"/>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F441E3-103C-4487-877D-08CD22337C19}">
  <ds:schemaRefs/>
</ds:datastoreItem>
</file>

<file path=customXml/itemProps3.xml><?xml version="1.0" encoding="utf-8"?>
<ds:datastoreItem xmlns:ds="http://schemas.openxmlformats.org/officeDocument/2006/customXml" ds:itemID="{114314AF-3C36-4C2C-B599-40A76C6FFFC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4B2E0E22-D442-4EBE-AAA2-EDC8871E7B41}">
  <ds:schemaRefs/>
</ds:datastoreItem>
</file>

<file path=customXml/itemProps6.xml><?xml version="1.0" encoding="utf-8"?>
<ds:datastoreItem xmlns:ds="http://schemas.openxmlformats.org/officeDocument/2006/customXml" ds:itemID="{A3D4929F-83D0-432F-8F82-6D4423C25F5E}">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9</Pages>
  <Words>1681</Words>
  <Characters>10308</Characters>
  <Lines>6</Lines>
  <Paragraphs>1</Paragraphs>
  <TotalTime>19</TotalTime>
  <ScaleCrop>false</ScaleCrop>
  <LinksUpToDate>false</LinksUpToDate>
  <CharactersWithSpaces>11765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博爱</cp:lastModifiedBy>
  <cp:lastPrinted>2013-10-03T12:51:00Z</cp:lastPrinted>
  <dcterms:modified xsi:type="dcterms:W3CDTF">2025-11-11T17:03:11Z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TemplateDocerSaveRecord">
    <vt:lpwstr>eyJoZGlkIjoiYmVlNGZlNWQ4ODdhZDI2NWMyYWQxMzRkZjRkYTY5MmUiLCJ1c2VySWQiOiIyNDA2NTgwMTQifQ==</vt:lpwstr>
  </property>
  <property fmtid="{D5CDD505-2E9C-101B-9397-08002B2CF9AE}" pid="11" name="KSOProductBuildVer">
    <vt:lpwstr>2052-12.1.0.23542</vt:lpwstr>
  </property>
  <property fmtid="{D5CDD505-2E9C-101B-9397-08002B2CF9AE}" pid="12" name="ICV">
    <vt:lpwstr>B5BB4123603E433182B0036BB583A9D7_12</vt:lpwstr>
  </property>
</Properties>
</file>