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14B2A" w14:textId="50A8B00C" w:rsidR="00E3034A" w:rsidRPr="00E41A9C" w:rsidRDefault="00E3034A" w:rsidP="00E3034A">
      <w:pPr>
        <w:pStyle w:val="NormalWeb"/>
        <w:jc w:val="both"/>
        <w:rPr>
          <w:b/>
          <w:bCs/>
          <w:color w:val="000000" w:themeColor="text1"/>
        </w:rPr>
      </w:pPr>
      <w:r w:rsidRPr="00E41A9C">
        <w:rPr>
          <w:b/>
          <w:bCs/>
          <w:color w:val="000000" w:themeColor="text1"/>
        </w:rPr>
        <w:t>S</w:t>
      </w:r>
      <w:r w:rsidR="00723E22">
        <w:rPr>
          <w:b/>
          <w:bCs/>
          <w:color w:val="000000" w:themeColor="text1"/>
        </w:rPr>
        <w:t>upporting</w:t>
      </w:r>
      <w:r w:rsidRPr="00E41A9C">
        <w:rPr>
          <w:b/>
          <w:bCs/>
          <w:color w:val="000000" w:themeColor="text1"/>
        </w:rPr>
        <w:t xml:space="preserve"> </w:t>
      </w:r>
      <w:r w:rsidR="00723E22">
        <w:rPr>
          <w:b/>
          <w:bCs/>
          <w:color w:val="000000" w:themeColor="text1"/>
        </w:rPr>
        <w:t>Information</w:t>
      </w:r>
    </w:p>
    <w:p w14:paraId="7E7D51D0" w14:textId="77777777" w:rsidR="00E3034A" w:rsidRPr="00E41A9C" w:rsidRDefault="00E3034A" w:rsidP="00E3034A">
      <w:pPr>
        <w:pStyle w:val="NormalWeb"/>
        <w:jc w:val="both"/>
      </w:pPr>
      <w:r w:rsidRPr="00E41A9C">
        <w:rPr>
          <w:noProof/>
          <w:lang w:eastAsia="ja-JP"/>
        </w:rPr>
        <w:drawing>
          <wp:inline distT="0" distB="0" distL="0" distR="0" wp14:anchorId="62D2BC89" wp14:editId="4997C356">
            <wp:extent cx="5661190" cy="2152650"/>
            <wp:effectExtent l="0" t="0" r="0" b="0"/>
            <wp:docPr id="1088394357" name="Picture 8"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94357" name="Picture 8" descr="A screenshot of a video g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686406" cy="2162238"/>
                    </a:xfrm>
                    <a:prstGeom prst="rect">
                      <a:avLst/>
                    </a:prstGeom>
                  </pic:spPr>
                </pic:pic>
              </a:graphicData>
            </a:graphic>
          </wp:inline>
        </w:drawing>
      </w:r>
    </w:p>
    <w:p w14:paraId="28B88450" w14:textId="71F13152" w:rsidR="00E3034A" w:rsidRPr="00E41A9C" w:rsidRDefault="00E3034A" w:rsidP="00E3034A">
      <w:pPr>
        <w:pStyle w:val="Caption"/>
        <w:ind w:rightChars="122" w:right="293"/>
        <w:jc w:val="both"/>
        <w:rPr>
          <w:rFonts w:ascii="Times New Roman" w:hAnsi="Times New Roman" w:cs="Times New Roman"/>
          <w:noProof/>
          <w:sz w:val="24"/>
          <w:szCs w:val="24"/>
        </w:rPr>
      </w:pPr>
      <w:r w:rsidRPr="00E41A9C">
        <w:rPr>
          <w:rFonts w:ascii="Times New Roman" w:hAnsi="Times New Roman" w:cs="Times New Roman"/>
          <w:b/>
          <w:bCs/>
          <w:sz w:val="24"/>
          <w:szCs w:val="24"/>
        </w:rPr>
        <w:t xml:space="preserve">Figure S1. </w:t>
      </w:r>
      <w:r w:rsidRPr="00E41A9C">
        <w:rPr>
          <w:rFonts w:ascii="Times New Roman" w:hAnsi="Times New Roman" w:cs="Times New Roman"/>
          <w:b/>
          <w:bCs/>
          <w:noProof/>
          <w:sz w:val="24"/>
          <w:szCs w:val="24"/>
        </w:rPr>
        <w:t xml:space="preserve">Experimental design evaluating therapeutic efficacy. </w:t>
      </w:r>
      <w:r w:rsidRPr="00E41A9C">
        <w:rPr>
          <w:rFonts w:ascii="Times New Roman" w:hAnsi="Times New Roman" w:cs="Times New Roman"/>
          <w:noProof/>
          <w:sz w:val="24"/>
          <w:szCs w:val="24"/>
        </w:rPr>
        <w:t>GL261 tumor-bearing mice were divided into four groups: control (CTRL), RT, BCP, and combination (COMB), and received treatments when the tumor volume reached 80–100 mm</w:t>
      </w:r>
      <w:r w:rsidRPr="00E41A9C">
        <w:rPr>
          <w:rFonts w:ascii="Times New Roman" w:hAnsi="Times New Roman" w:cs="Times New Roman"/>
          <w:noProof/>
          <w:sz w:val="24"/>
          <w:szCs w:val="24"/>
          <w:vertAlign w:val="superscript"/>
        </w:rPr>
        <w:t>3</w:t>
      </w:r>
      <w:r w:rsidRPr="00E41A9C">
        <w:rPr>
          <w:rFonts w:ascii="Times New Roman" w:hAnsi="Times New Roman" w:cs="Times New Roman"/>
          <w:noProof/>
          <w:sz w:val="24"/>
          <w:szCs w:val="24"/>
        </w:rPr>
        <w:t>. On day 4, 4 Gy X-ray irradiation was applied after the first vehicle or BCP dose. The vehicle and BCP were administered intraperitoneally daily for 14 days. Tumor volumes and body weights were monitored until the tumor sizes reached 1500 mm</w:t>
      </w:r>
      <w:r w:rsidRPr="00E41A9C">
        <w:rPr>
          <w:rFonts w:ascii="Times New Roman" w:hAnsi="Times New Roman" w:cs="Times New Roman"/>
          <w:noProof/>
          <w:sz w:val="24"/>
          <w:szCs w:val="24"/>
          <w:vertAlign w:val="superscript"/>
        </w:rPr>
        <w:t>3</w:t>
      </w:r>
      <w:r w:rsidRPr="00E41A9C">
        <w:rPr>
          <w:rFonts w:ascii="Times New Roman" w:hAnsi="Times New Roman" w:cs="Times New Roman"/>
          <w:noProof/>
          <w:sz w:val="24"/>
          <w:szCs w:val="24"/>
        </w:rPr>
        <w:t>, which served as the experimental endpoint.</w:t>
      </w:r>
    </w:p>
    <w:p w14:paraId="49B8AC55" w14:textId="77777777" w:rsidR="00E3034A" w:rsidRPr="00E41A9C" w:rsidRDefault="00E3034A" w:rsidP="00E3034A">
      <w:pPr>
        <w:rPr>
          <w:rFonts w:ascii="Times New Roman" w:hAnsi="Times New Roman" w:cs="Times New Roman"/>
          <w:b/>
          <w:bCs/>
          <w:color w:val="000000" w:themeColor="text1"/>
        </w:rPr>
      </w:pPr>
      <w:r w:rsidRPr="00E41A9C">
        <w:rPr>
          <w:rFonts w:ascii="Times New Roman" w:hAnsi="Times New Roman" w:cs="Times New Roman"/>
          <w:b/>
          <w:bCs/>
          <w:color w:val="000000" w:themeColor="text1"/>
        </w:rPr>
        <w:br w:type="page"/>
      </w:r>
    </w:p>
    <w:p w14:paraId="4CB8065B" w14:textId="77777777" w:rsidR="00E3034A" w:rsidRPr="00E41A9C" w:rsidRDefault="00E3034A" w:rsidP="00E3034A">
      <w:pPr>
        <w:pStyle w:val="NormalWeb"/>
        <w:jc w:val="center"/>
      </w:pPr>
      <w:r w:rsidRPr="00E41A9C">
        <w:rPr>
          <w:noProof/>
          <w:lang w:eastAsia="ja-JP"/>
        </w:rPr>
        <w:lastRenderedPageBreak/>
        <w:drawing>
          <wp:inline distT="0" distB="0" distL="0" distR="0" wp14:anchorId="5E2DA5D6" wp14:editId="183FFCA7">
            <wp:extent cx="5148487" cy="3767476"/>
            <wp:effectExtent l="0" t="0" r="0" b="0"/>
            <wp:docPr id="831188912" name="Picture 9"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88912" name="Picture 9" descr="A graph of a graph&#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64049" cy="3778863"/>
                    </a:xfrm>
                    <a:prstGeom prst="rect">
                      <a:avLst/>
                    </a:prstGeom>
                  </pic:spPr>
                </pic:pic>
              </a:graphicData>
            </a:graphic>
          </wp:inline>
        </w:drawing>
      </w:r>
    </w:p>
    <w:p w14:paraId="4AD8A3DB" w14:textId="6FCADFAB" w:rsidR="00E3034A" w:rsidRPr="00E41A9C" w:rsidRDefault="00E3034A" w:rsidP="00E3034A">
      <w:pPr>
        <w:pStyle w:val="Caption"/>
        <w:ind w:rightChars="122" w:right="293"/>
        <w:jc w:val="both"/>
        <w:rPr>
          <w:rFonts w:ascii="Times New Roman" w:hAnsi="Times New Roman" w:cs="Times New Roman"/>
          <w:sz w:val="24"/>
          <w:szCs w:val="24"/>
        </w:rPr>
      </w:pPr>
      <w:r w:rsidRPr="00E41A9C">
        <w:rPr>
          <w:rFonts w:ascii="Times New Roman" w:hAnsi="Times New Roman" w:cs="Times New Roman"/>
          <w:b/>
          <w:bCs/>
          <w:sz w:val="24"/>
          <w:szCs w:val="24"/>
        </w:rPr>
        <w:t>Figure S2. The 1-year survival curve of patients with GBM with different CNR2 (CB2) levels extracted from the Xena database.</w:t>
      </w:r>
      <w:r w:rsidRPr="00E41A9C">
        <w:rPr>
          <w:rFonts w:ascii="Times New Roman" w:hAnsi="Times New Roman" w:cs="Times New Roman"/>
          <w:sz w:val="24"/>
          <w:szCs w:val="24"/>
        </w:rPr>
        <w:t xml:space="preserve"> The CB2 level is inversely related to the overall survival, with patients with GBM expressing higher CB2 levels having a poorer prognosis. </w:t>
      </w:r>
    </w:p>
    <w:p w14:paraId="7412D761" w14:textId="77777777" w:rsidR="00E3034A" w:rsidRPr="00E41A9C" w:rsidRDefault="00E3034A" w:rsidP="00E3034A">
      <w:pPr>
        <w:pStyle w:val="NormalWeb"/>
        <w:jc w:val="both"/>
        <w:rPr>
          <w:b/>
          <w:color w:val="000000" w:themeColor="text1"/>
        </w:rPr>
      </w:pPr>
    </w:p>
    <w:p w14:paraId="11DDA7BE" w14:textId="77777777" w:rsidR="00E3034A" w:rsidRPr="00E41A9C" w:rsidRDefault="00E3034A" w:rsidP="00E3034A">
      <w:pPr>
        <w:jc w:val="center"/>
        <w:rPr>
          <w:rFonts w:ascii="Times New Roman" w:hAnsi="Times New Roman" w:cs="Times New Roman"/>
        </w:rPr>
      </w:pPr>
      <w:r w:rsidRPr="00E41A9C">
        <w:rPr>
          <w:rFonts w:ascii="Times New Roman" w:hAnsi="Times New Roman" w:cs="Times New Roman"/>
          <w:noProof/>
          <w:lang w:eastAsia="ja-JP"/>
        </w:rPr>
        <w:lastRenderedPageBreak/>
        <w:drawing>
          <wp:inline distT="0" distB="0" distL="0" distR="0" wp14:anchorId="69CC5A72" wp14:editId="5FB6C810">
            <wp:extent cx="4880901" cy="3648075"/>
            <wp:effectExtent l="0" t="0" r="0" b="0"/>
            <wp:docPr id="12411009" name="Picture 10" descr="A blue dotted line with points an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009" name="Picture 10" descr="A blue dotted line with points and lines on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87542" cy="3653039"/>
                    </a:xfrm>
                    <a:prstGeom prst="rect">
                      <a:avLst/>
                    </a:prstGeom>
                  </pic:spPr>
                </pic:pic>
              </a:graphicData>
            </a:graphic>
          </wp:inline>
        </w:drawing>
      </w:r>
    </w:p>
    <w:p w14:paraId="7F78CF1B" w14:textId="4F0A26FF" w:rsidR="0032561E" w:rsidRDefault="00E3034A" w:rsidP="00E3034A">
      <w:pPr>
        <w:jc w:val="both"/>
        <w:rPr>
          <w:rFonts w:ascii="Times New Roman" w:hAnsi="Times New Roman" w:cs="Times New Roman"/>
        </w:rPr>
      </w:pPr>
      <w:r w:rsidRPr="00E41A9C">
        <w:rPr>
          <w:rFonts w:ascii="Times New Roman" w:hAnsi="Times New Roman" w:cs="Times New Roman"/>
          <w:b/>
          <w:bCs/>
        </w:rPr>
        <w:t xml:space="preserve">Figure S3. Radiation survival curves of U87MG and GL261 cells. </w:t>
      </w:r>
      <w:r w:rsidRPr="00E41A9C">
        <w:rPr>
          <w:rFonts w:ascii="Times New Roman" w:hAnsi="Times New Roman" w:cs="Times New Roman"/>
        </w:rPr>
        <w:t>Radiation survival curves depicting the response of U87MG and GL261 cells to radiation based on the colony formation assay results. Error bars represent the standard error of the mean (SEM</w:t>
      </w:r>
      <w:proofErr w:type="gramStart"/>
      <w:r w:rsidRPr="00E41A9C">
        <w:rPr>
          <w:rFonts w:ascii="Times New Roman" w:hAnsi="Times New Roman" w:cs="Times New Roman"/>
        </w:rPr>
        <w:t>)</w:t>
      </w:r>
      <w:proofErr w:type="gramEnd"/>
      <w:r w:rsidRPr="00E41A9C">
        <w:rPr>
          <w:rFonts w:ascii="Times New Roman" w:hAnsi="Times New Roman" w:cs="Times New Roman"/>
        </w:rPr>
        <w:t xml:space="preserve"> and range based on three biological replicates.</w:t>
      </w:r>
    </w:p>
    <w:p w14:paraId="5386E72B" w14:textId="77777777" w:rsidR="0032561E" w:rsidRDefault="0032561E">
      <w:pPr>
        <w:spacing w:after="200" w:line="276" w:lineRule="auto"/>
        <w:rPr>
          <w:rFonts w:ascii="Times New Roman" w:hAnsi="Times New Roman" w:cs="Times New Roman"/>
        </w:rPr>
      </w:pPr>
      <w:r>
        <w:rPr>
          <w:rFonts w:ascii="Times New Roman" w:hAnsi="Times New Roman" w:cs="Times New Roman"/>
        </w:rPr>
        <w:br w:type="page"/>
      </w:r>
    </w:p>
    <w:p w14:paraId="1D0B2153" w14:textId="77777777" w:rsidR="00E3034A" w:rsidRPr="00E41A9C" w:rsidRDefault="00E3034A" w:rsidP="00E3034A">
      <w:pPr>
        <w:jc w:val="both"/>
        <w:rPr>
          <w:rFonts w:ascii="Times New Roman" w:hAnsi="Times New Roman" w:cs="Times New Roman"/>
        </w:rPr>
      </w:pPr>
    </w:p>
    <w:p w14:paraId="58AE29A8" w14:textId="77777777" w:rsidR="00E3034A" w:rsidRPr="00E41A9C" w:rsidRDefault="00E3034A" w:rsidP="00E3034A">
      <w:pPr>
        <w:jc w:val="center"/>
        <w:rPr>
          <w:rFonts w:ascii="Times New Roman" w:hAnsi="Times New Roman" w:cs="Times New Roman"/>
        </w:rPr>
      </w:pPr>
      <w:r w:rsidRPr="00E41A9C">
        <w:rPr>
          <w:rFonts w:ascii="Times New Roman" w:hAnsi="Times New Roman" w:cs="Times New Roman"/>
          <w:noProof/>
          <w:lang w:eastAsia="ja-JP"/>
        </w:rPr>
        <w:drawing>
          <wp:inline distT="0" distB="0" distL="0" distR="0" wp14:anchorId="0226094C" wp14:editId="083F6947">
            <wp:extent cx="5162830" cy="3778048"/>
            <wp:effectExtent l="0" t="0" r="0" b="0"/>
            <wp:docPr id="199802147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4075"/>
                    <a:stretch/>
                  </pic:blipFill>
                  <pic:spPr bwMode="auto">
                    <a:xfrm>
                      <a:off x="0" y="0"/>
                      <a:ext cx="5177265" cy="3788611"/>
                    </a:xfrm>
                    <a:prstGeom prst="rect">
                      <a:avLst/>
                    </a:prstGeom>
                    <a:noFill/>
                    <a:ln>
                      <a:noFill/>
                    </a:ln>
                    <a:extLst>
                      <a:ext uri="{53640926-AAD7-44D8-BBD7-CCE9431645EC}">
                        <a14:shadowObscured xmlns:a14="http://schemas.microsoft.com/office/drawing/2010/main"/>
                      </a:ext>
                    </a:extLst>
                  </pic:spPr>
                </pic:pic>
              </a:graphicData>
            </a:graphic>
          </wp:inline>
        </w:drawing>
      </w:r>
    </w:p>
    <w:p w14:paraId="2C80ECC5" w14:textId="152861ED" w:rsidR="00E3034A" w:rsidRPr="00E41A9C" w:rsidRDefault="00E3034A" w:rsidP="00E3034A">
      <w:pPr>
        <w:jc w:val="both"/>
        <w:rPr>
          <w:rFonts w:ascii="Times New Roman" w:hAnsi="Times New Roman" w:cs="Times New Roman"/>
        </w:rPr>
      </w:pPr>
      <w:r w:rsidRPr="00E41A9C">
        <w:rPr>
          <w:rFonts w:ascii="Times New Roman" w:hAnsi="Times New Roman" w:cs="Times New Roman"/>
          <w:b/>
          <w:bCs/>
        </w:rPr>
        <w:t>Figure S4. The combined effect of BCP and RT on NF-</w:t>
      </w:r>
      <w:proofErr w:type="spellStart"/>
      <w:r w:rsidRPr="00E41A9C">
        <w:rPr>
          <w:rFonts w:ascii="Times New Roman" w:hAnsi="Times New Roman" w:cs="Times New Roman"/>
          <w:b/>
          <w:bCs/>
        </w:rPr>
        <w:t>κB</w:t>
      </w:r>
      <w:proofErr w:type="spellEnd"/>
      <w:r w:rsidRPr="00E41A9C">
        <w:rPr>
          <w:rFonts w:ascii="Times New Roman" w:hAnsi="Times New Roman" w:cs="Times New Roman"/>
          <w:b/>
          <w:bCs/>
        </w:rPr>
        <w:t xml:space="preserve"> levels in GBM cells. </w:t>
      </w:r>
      <w:r w:rsidRPr="00E41A9C">
        <w:rPr>
          <w:rFonts w:ascii="Times New Roman" w:hAnsi="Times New Roman" w:cs="Times New Roman"/>
        </w:rPr>
        <w:t>(A) Fluorescence staining of NF-</w:t>
      </w:r>
      <w:proofErr w:type="spellStart"/>
      <w:r w:rsidRPr="00E41A9C">
        <w:rPr>
          <w:rFonts w:ascii="Times New Roman" w:hAnsi="Times New Roman" w:cs="Times New Roman"/>
        </w:rPr>
        <w:t>κB</w:t>
      </w:r>
      <w:proofErr w:type="spellEnd"/>
      <w:r w:rsidRPr="00E41A9C">
        <w:rPr>
          <w:rFonts w:ascii="Times New Roman" w:hAnsi="Times New Roman" w:cs="Times New Roman"/>
        </w:rPr>
        <w:t xml:space="preserve"> (green) and nucleus (DAPI, blue) in U87MG and (B) GL261 cells post-treatment. The scale bar represents 20 µm. (C) Quantification of NF-</w:t>
      </w:r>
      <w:proofErr w:type="spellStart"/>
      <w:r w:rsidRPr="00E41A9C">
        <w:rPr>
          <w:rFonts w:ascii="Times New Roman" w:hAnsi="Times New Roman" w:cs="Times New Roman"/>
        </w:rPr>
        <w:t>κB</w:t>
      </w:r>
      <w:proofErr w:type="spellEnd"/>
      <w:r w:rsidRPr="00E41A9C">
        <w:rPr>
          <w:rFonts w:ascii="Times New Roman" w:hAnsi="Times New Roman" w:cs="Times New Roman"/>
        </w:rPr>
        <w:t xml:space="preserve"> p65 activity in U87MG cells under various treatment conditions, expressed in ng p65 per µg protein lysate. Error bars represent SEM and range across four biological replicates.</w:t>
      </w:r>
    </w:p>
    <w:p w14:paraId="69081A21" w14:textId="77777777" w:rsidR="00E3034A" w:rsidRPr="00E41A9C" w:rsidRDefault="00E3034A" w:rsidP="00E3034A">
      <w:pPr>
        <w:pStyle w:val="NoSpacing"/>
        <w:rPr>
          <w:rFonts w:ascii="Times New Roman" w:hAnsi="Times New Roman" w:cs="Times New Roman"/>
        </w:rPr>
      </w:pPr>
      <w:r w:rsidRPr="00E41A9C">
        <w:rPr>
          <w:rFonts w:ascii="Times New Roman" w:hAnsi="Times New Roman" w:cs="Times New Roman"/>
          <w:noProof/>
          <w:lang w:eastAsia="ja-JP"/>
        </w:rPr>
        <w:lastRenderedPageBreak/>
        <w:drawing>
          <wp:inline distT="0" distB="0" distL="0" distR="0" wp14:anchorId="03B672E9" wp14:editId="0962FBE7">
            <wp:extent cx="5106009" cy="3706495"/>
            <wp:effectExtent l="0" t="0" r="0" b="0"/>
            <wp:docPr id="1283240292" name="圖片 9" descr="一張含有 螢幕擷取畫面, 鮮豔,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40292" name="圖片 9" descr="一張含有 螢幕擷取畫面, 鮮豔, 設計 的圖片&#10;&#10;自動產生的描述"/>
                    <pic:cNvPicPr>
                      <a:picLocks noChangeAspect="1" noChangeArrowheads="1"/>
                    </pic:cNvPicPr>
                  </pic:nvPicPr>
                  <pic:blipFill rotWithShape="1">
                    <a:blip r:embed="rId8">
                      <a:extLst>
                        <a:ext uri="{28A0092B-C50C-407E-A947-70E740481C1C}">
                          <a14:useLocalDpi xmlns:a14="http://schemas.microsoft.com/office/drawing/2010/main" val="0"/>
                        </a:ext>
                      </a:extLst>
                    </a:blip>
                    <a:srcRect r="3839"/>
                    <a:stretch/>
                  </pic:blipFill>
                  <pic:spPr bwMode="auto">
                    <a:xfrm>
                      <a:off x="0" y="0"/>
                      <a:ext cx="5106009" cy="3706495"/>
                    </a:xfrm>
                    <a:prstGeom prst="rect">
                      <a:avLst/>
                    </a:prstGeom>
                    <a:noFill/>
                    <a:ln>
                      <a:noFill/>
                    </a:ln>
                    <a:extLst>
                      <a:ext uri="{53640926-AAD7-44D8-BBD7-CCE9431645EC}">
                        <a14:shadowObscured xmlns:a14="http://schemas.microsoft.com/office/drawing/2010/main"/>
                      </a:ext>
                    </a:extLst>
                  </pic:spPr>
                </pic:pic>
              </a:graphicData>
            </a:graphic>
          </wp:inline>
        </w:drawing>
      </w:r>
    </w:p>
    <w:p w14:paraId="76DF58A6" w14:textId="7CF5B77D" w:rsidR="00E3034A" w:rsidRPr="00E41A9C" w:rsidRDefault="00E3034A" w:rsidP="00E3034A">
      <w:pPr>
        <w:jc w:val="both"/>
        <w:rPr>
          <w:rFonts w:ascii="Times New Roman" w:hAnsi="Times New Roman" w:cs="Times New Roman"/>
          <w:color w:val="000000" w:themeColor="text1"/>
        </w:rPr>
      </w:pPr>
      <w:r w:rsidRPr="00E41A9C">
        <w:rPr>
          <w:rFonts w:ascii="Times New Roman" w:hAnsi="Times New Roman" w:cs="Times New Roman"/>
          <w:b/>
          <w:bCs/>
        </w:rPr>
        <w:t>Figure S5.</w:t>
      </w:r>
      <w:r w:rsidRPr="00E41A9C">
        <w:rPr>
          <w:rFonts w:ascii="Times New Roman" w:hAnsi="Times New Roman" w:cs="Times New Roman"/>
          <w:b/>
          <w:bCs/>
          <w:noProof/>
        </w:rPr>
        <w:t xml:space="preserve"> BCP combined with RT decreased RT-induced elevation of CB2.</w:t>
      </w:r>
      <w:r w:rsidRPr="00E41A9C">
        <w:rPr>
          <w:rFonts w:ascii="Times New Roman" w:hAnsi="Times New Roman" w:cs="Times New Roman"/>
          <w:color w:val="000000" w:themeColor="text1"/>
        </w:rPr>
        <w:t xml:space="preserve"> (A) Representative images and quantification of CB2 expression in U87MG and (B) GL261 cells after various treatments. </w:t>
      </w:r>
      <w:r w:rsidRPr="00E41A9C">
        <w:rPr>
          <w:rFonts w:ascii="Times New Roman" w:hAnsi="Times New Roman" w:cs="Times New Roman"/>
          <w:noProof/>
        </w:rPr>
        <w:t xml:space="preserve">“a” compares to CTRL; “b” compares to RT. Statistical significance: 1, </w:t>
      </w:r>
      <w:r w:rsidRPr="00E41A9C">
        <w:rPr>
          <w:rFonts w:ascii="Times New Roman" w:hAnsi="Times New Roman" w:cs="Times New Roman"/>
          <w:i/>
          <w:iCs/>
          <w:noProof/>
        </w:rPr>
        <w:t>P</w:t>
      </w:r>
      <w:r w:rsidRPr="00E41A9C">
        <w:rPr>
          <w:rFonts w:ascii="Times New Roman" w:hAnsi="Times New Roman" w:cs="Times New Roman"/>
          <w:noProof/>
        </w:rPr>
        <w:t xml:space="preserve"> &lt; 0.05; 2, </w:t>
      </w:r>
      <w:r w:rsidRPr="00E41A9C">
        <w:rPr>
          <w:rFonts w:ascii="Times New Roman" w:hAnsi="Times New Roman" w:cs="Times New Roman"/>
          <w:i/>
          <w:iCs/>
          <w:noProof/>
        </w:rPr>
        <w:t>P</w:t>
      </w:r>
      <w:r w:rsidRPr="00E41A9C">
        <w:rPr>
          <w:rFonts w:ascii="Times New Roman" w:hAnsi="Times New Roman" w:cs="Times New Roman"/>
          <w:noProof/>
        </w:rPr>
        <w:t xml:space="preserve"> &lt; 0.01; 3, </w:t>
      </w:r>
      <w:r w:rsidRPr="00E41A9C">
        <w:rPr>
          <w:rFonts w:ascii="Times New Roman" w:hAnsi="Times New Roman" w:cs="Times New Roman"/>
          <w:i/>
          <w:iCs/>
          <w:noProof/>
        </w:rPr>
        <w:t>P</w:t>
      </w:r>
      <w:r w:rsidRPr="00E41A9C">
        <w:rPr>
          <w:rFonts w:ascii="Times New Roman" w:hAnsi="Times New Roman" w:cs="Times New Roman"/>
          <w:noProof/>
        </w:rPr>
        <w:t xml:space="preserve"> &lt; 0.001. </w:t>
      </w:r>
      <w:r w:rsidRPr="00E41A9C">
        <w:rPr>
          <w:rFonts w:ascii="Times New Roman" w:hAnsi="Times New Roman" w:cs="Times New Roman"/>
        </w:rPr>
        <w:t>Error bars indicate SEM and range of three biological replicates; One-way ANOVA was used for the analysis.</w:t>
      </w:r>
    </w:p>
    <w:p w14:paraId="7158D163" w14:textId="77777777" w:rsidR="00E3034A" w:rsidRPr="00E41A9C" w:rsidRDefault="00E3034A" w:rsidP="00E3034A">
      <w:pPr>
        <w:jc w:val="both"/>
        <w:rPr>
          <w:rFonts w:ascii="Times New Roman" w:hAnsi="Times New Roman" w:cs="Times New Roman"/>
        </w:rPr>
      </w:pPr>
    </w:p>
    <w:p w14:paraId="7765B12E" w14:textId="77777777" w:rsidR="00E3034A" w:rsidRPr="00E41A9C" w:rsidRDefault="00E3034A" w:rsidP="00E3034A">
      <w:pPr>
        <w:jc w:val="both"/>
        <w:rPr>
          <w:rFonts w:ascii="Times New Roman" w:hAnsi="Times New Roman" w:cs="Times New Roman"/>
        </w:rPr>
      </w:pPr>
    </w:p>
    <w:p w14:paraId="134B3969" w14:textId="77777777" w:rsidR="00E3034A" w:rsidRPr="00E41A9C" w:rsidRDefault="00E3034A" w:rsidP="00E3034A">
      <w:pPr>
        <w:jc w:val="center"/>
        <w:rPr>
          <w:rFonts w:ascii="Times New Roman" w:hAnsi="Times New Roman" w:cs="Times New Roman"/>
        </w:rPr>
      </w:pPr>
      <w:r w:rsidRPr="00E41A9C">
        <w:rPr>
          <w:rFonts w:ascii="Times New Roman" w:hAnsi="Times New Roman" w:cs="Times New Roman"/>
          <w:noProof/>
          <w:lang w:eastAsia="ja-JP"/>
        </w:rPr>
        <w:lastRenderedPageBreak/>
        <w:drawing>
          <wp:inline distT="0" distB="0" distL="0" distR="0" wp14:anchorId="35667808" wp14:editId="371796CD">
            <wp:extent cx="5427320" cy="4213555"/>
            <wp:effectExtent l="0" t="0" r="0" b="0"/>
            <wp:docPr id="176608413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
                      <a:extLst>
                        <a:ext uri="{28A0092B-C50C-407E-A947-70E740481C1C}">
                          <a14:useLocalDpi xmlns:a14="http://schemas.microsoft.com/office/drawing/2010/main" val="0"/>
                        </a:ext>
                      </a:extLst>
                    </a:blip>
                    <a:srcRect t="2298" r="3378" b="3128"/>
                    <a:stretch/>
                  </pic:blipFill>
                  <pic:spPr bwMode="auto">
                    <a:xfrm>
                      <a:off x="0" y="0"/>
                      <a:ext cx="5437504" cy="4221461"/>
                    </a:xfrm>
                    <a:prstGeom prst="rect">
                      <a:avLst/>
                    </a:prstGeom>
                    <a:noFill/>
                    <a:ln>
                      <a:noFill/>
                    </a:ln>
                    <a:extLst>
                      <a:ext uri="{53640926-AAD7-44D8-BBD7-CCE9431645EC}">
                        <a14:shadowObscured xmlns:a14="http://schemas.microsoft.com/office/drawing/2010/main"/>
                      </a:ext>
                    </a:extLst>
                  </pic:spPr>
                </pic:pic>
              </a:graphicData>
            </a:graphic>
          </wp:inline>
        </w:drawing>
      </w:r>
    </w:p>
    <w:p w14:paraId="47E622D2" w14:textId="4CFAEA27" w:rsidR="00F3606C" w:rsidRPr="00E3034A" w:rsidRDefault="00E3034A" w:rsidP="00E3034A">
      <w:pPr>
        <w:jc w:val="both"/>
        <w:rPr>
          <w:rFonts w:ascii="Times New Roman" w:hAnsi="Times New Roman" w:cs="Times New Roman"/>
        </w:rPr>
      </w:pPr>
      <w:r w:rsidRPr="00E41A9C">
        <w:rPr>
          <w:rFonts w:ascii="Times New Roman" w:hAnsi="Times New Roman" w:cs="Times New Roman"/>
          <w:b/>
          <w:bCs/>
        </w:rPr>
        <w:t xml:space="preserve">Figure S6. Tumor growth curves of subcutaneous GL261-bearing mice under various treatment conditions. </w:t>
      </w:r>
      <w:r w:rsidRPr="00E41A9C">
        <w:rPr>
          <w:rFonts w:ascii="Times New Roman" w:hAnsi="Times New Roman" w:cs="Times New Roman"/>
        </w:rPr>
        <w:t xml:space="preserve">Individual tumor growth curves are illustrated for (A) CTRL, (B) RT 4 </w:t>
      </w:r>
      <w:proofErr w:type="spellStart"/>
      <w:r w:rsidRPr="00E41A9C">
        <w:rPr>
          <w:rFonts w:ascii="Times New Roman" w:hAnsi="Times New Roman" w:cs="Times New Roman"/>
        </w:rPr>
        <w:t>Gy</w:t>
      </w:r>
      <w:proofErr w:type="spellEnd"/>
      <w:r w:rsidRPr="00E41A9C">
        <w:rPr>
          <w:rFonts w:ascii="Times New Roman" w:hAnsi="Times New Roman" w:cs="Times New Roman"/>
        </w:rPr>
        <w:t>, (C) BCP 200 mg/kg, and (D) COMB groups. Each group comprised four mice for the assessment of long-term survival outcomes after the combined treatment with BCP and RT.</w:t>
      </w:r>
    </w:p>
    <w:sectPr w:rsidR="00F3606C" w:rsidRPr="00E303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34A"/>
    <w:rsid w:val="002820C8"/>
    <w:rsid w:val="00290D5F"/>
    <w:rsid w:val="0032561E"/>
    <w:rsid w:val="004616B2"/>
    <w:rsid w:val="00723E22"/>
    <w:rsid w:val="00A67C13"/>
    <w:rsid w:val="00AC2FA8"/>
    <w:rsid w:val="00AE7C4E"/>
    <w:rsid w:val="00D66ED8"/>
    <w:rsid w:val="00E0214B"/>
    <w:rsid w:val="00E3034A"/>
    <w:rsid w:val="00E37F4E"/>
    <w:rsid w:val="00F360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7BA46"/>
  <w15:docId w15:val="{457A5EA4-DED2-4CB7-80F8-054FB047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34A"/>
    <w:pPr>
      <w:spacing w:after="0" w:line="240" w:lineRule="auto"/>
    </w:pPr>
    <w:rPr>
      <w:rFonts w:ascii="新細明體" w:eastAsia="新細明體" w:hAnsi="新細明體" w:cs="新細明體"/>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034A"/>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E3034A"/>
    <w:rPr>
      <w:sz w:val="20"/>
      <w:szCs w:val="20"/>
    </w:rPr>
  </w:style>
  <w:style w:type="paragraph" w:styleId="NoSpacing">
    <w:name w:val="No Spacing"/>
    <w:uiPriority w:val="1"/>
    <w:qFormat/>
    <w:rsid w:val="00E3034A"/>
    <w:pPr>
      <w:spacing w:after="0" w:line="240" w:lineRule="auto"/>
    </w:pPr>
    <w:rPr>
      <w:rFonts w:ascii="新細明體" w:eastAsia="新細明體" w:hAnsi="新細明體" w:cs="新細明體"/>
      <w:sz w:val="24"/>
      <w:szCs w:val="24"/>
      <w:lang w:eastAsia="zh-TW"/>
    </w:rPr>
  </w:style>
  <w:style w:type="paragraph" w:styleId="BalloonText">
    <w:name w:val="Balloon Text"/>
    <w:basedOn w:val="Normal"/>
    <w:link w:val="BalloonTextChar"/>
    <w:uiPriority w:val="99"/>
    <w:semiHidden/>
    <w:unhideWhenUsed/>
    <w:rsid w:val="00E3034A"/>
    <w:rPr>
      <w:rFonts w:ascii="Tahoma" w:hAnsi="Tahoma" w:cs="Tahoma"/>
      <w:sz w:val="16"/>
      <w:szCs w:val="16"/>
    </w:rPr>
  </w:style>
  <w:style w:type="character" w:customStyle="1" w:styleId="BalloonTextChar">
    <w:name w:val="Balloon Text Char"/>
    <w:basedOn w:val="DefaultParagraphFont"/>
    <w:link w:val="BalloonText"/>
    <w:uiPriority w:val="99"/>
    <w:semiHidden/>
    <w:rsid w:val="00E3034A"/>
    <w:rPr>
      <w:rFonts w:ascii="Tahoma" w:eastAsia="新細明體" w:hAnsi="Tahoma" w:cs="Tahoma"/>
      <w:sz w:val="16"/>
      <w:szCs w:val="16"/>
      <w:lang w:eastAsia="zh-TW"/>
    </w:rPr>
  </w:style>
  <w:style w:type="character" w:styleId="CommentReference">
    <w:name w:val="annotation reference"/>
    <w:basedOn w:val="DefaultParagraphFont"/>
    <w:uiPriority w:val="99"/>
    <w:semiHidden/>
    <w:unhideWhenUsed/>
    <w:rsid w:val="00E3034A"/>
    <w:rPr>
      <w:sz w:val="16"/>
      <w:szCs w:val="16"/>
    </w:rPr>
  </w:style>
  <w:style w:type="paragraph" w:styleId="CommentText">
    <w:name w:val="annotation text"/>
    <w:basedOn w:val="Normal"/>
    <w:link w:val="CommentTextChar"/>
    <w:uiPriority w:val="99"/>
    <w:semiHidden/>
    <w:unhideWhenUsed/>
    <w:rsid w:val="00E3034A"/>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E3034A"/>
    <w:rPr>
      <w:rFonts w:ascii="Times New Roman" w:eastAsia="新細明體" w:hAnsi="Times New Roman" w:cs="新細明體"/>
      <w:sz w:val="20"/>
      <w:szCs w:val="20"/>
      <w:lang w:eastAsia="zh-TW"/>
    </w:rPr>
  </w:style>
  <w:style w:type="paragraph" w:styleId="CommentSubject">
    <w:name w:val="annotation subject"/>
    <w:basedOn w:val="CommentText"/>
    <w:next w:val="CommentText"/>
    <w:link w:val="CommentSubjectChar"/>
    <w:uiPriority w:val="99"/>
    <w:semiHidden/>
    <w:unhideWhenUsed/>
    <w:rsid w:val="00E3034A"/>
    <w:rPr>
      <w:b/>
      <w:bCs/>
    </w:rPr>
  </w:style>
  <w:style w:type="character" w:customStyle="1" w:styleId="CommentSubjectChar">
    <w:name w:val="Comment Subject Char"/>
    <w:basedOn w:val="CommentTextChar"/>
    <w:link w:val="CommentSubject"/>
    <w:uiPriority w:val="99"/>
    <w:semiHidden/>
    <w:rsid w:val="00E3034A"/>
    <w:rPr>
      <w:rFonts w:ascii="Times New Roman" w:eastAsia="新細明體" w:hAnsi="Times New Roman" w:cs="新細明體"/>
      <w:b/>
      <w:bCs/>
      <w:sz w:val="20"/>
      <w:szCs w:val="20"/>
      <w:lang w:eastAsia="zh-TW"/>
    </w:rPr>
  </w:style>
  <w:style w:type="paragraph" w:styleId="Revision">
    <w:name w:val="Revision"/>
    <w:hidden/>
    <w:uiPriority w:val="99"/>
    <w:semiHidden/>
    <w:rsid w:val="0032561E"/>
    <w:pPr>
      <w:spacing w:after="0" w:line="240" w:lineRule="auto"/>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361</Words>
  <Characters>1921</Characters>
  <Application>Microsoft Office Word</Application>
  <DocSecurity>0</DocSecurity>
  <Lines>40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莊惠燕</cp:lastModifiedBy>
  <cp:revision>3</cp:revision>
  <dcterms:created xsi:type="dcterms:W3CDTF">2024-09-30T04:22:00Z</dcterms:created>
  <dcterms:modified xsi:type="dcterms:W3CDTF">2024-10-01T02:28:00Z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Prop">
    <vt:lpwstr>b627ce03df684759a2843a7480395470</vt:lpwstr>
  </property>
  <property fmtid="{D5CDD505-2E9C-101B-9397-08002B2CF9AE}" pid="3" name="GrammarlyDocumentId">
    <vt:lpwstr>a636979e6126da9e1223961e944baaa5059a55a455e7a6ebd9f0b113d4a293fb</vt:lpwstr>
  </property>
</Properties>
</file>