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39E00" w14:textId="3BFD833F" w:rsidR="00D13DE9" w:rsidRPr="00E845AA" w:rsidRDefault="00DA19A0" w:rsidP="009C2FA4">
      <w:pPr>
        <w:jc w:val="center"/>
        <w:rPr>
          <w:rFonts w:ascii="Arial" w:hAnsi="Arial" w:cs="Arial"/>
          <w:b/>
          <w:bCs/>
          <w:sz w:val="20"/>
          <w:szCs w:val="20"/>
        </w:rPr>
      </w:pPr>
      <w:r w:rsidRPr="00E845AA">
        <w:rPr>
          <w:rFonts w:ascii="Arial" w:hAnsi="Arial" w:cs="Arial"/>
          <w:b/>
          <w:bCs/>
          <w:sz w:val="20"/>
          <w:szCs w:val="20"/>
        </w:rPr>
        <w:t>Supplementa</w:t>
      </w:r>
      <w:r w:rsidR="008556CC" w:rsidRPr="00E845AA">
        <w:rPr>
          <w:rFonts w:ascii="Arial" w:hAnsi="Arial" w:cs="Arial"/>
          <w:b/>
          <w:bCs/>
          <w:sz w:val="20"/>
          <w:szCs w:val="20"/>
        </w:rPr>
        <w:t>l</w:t>
      </w:r>
      <w:r w:rsidRPr="00E845AA">
        <w:rPr>
          <w:rFonts w:ascii="Arial" w:hAnsi="Arial" w:cs="Arial"/>
          <w:b/>
          <w:bCs/>
          <w:sz w:val="20"/>
          <w:szCs w:val="20"/>
        </w:rPr>
        <w:t xml:space="preserve"> material</w:t>
      </w:r>
      <w:r w:rsidR="00BB0A7A" w:rsidRPr="00E845AA">
        <w:rPr>
          <w:rFonts w:ascii="Arial" w:hAnsi="Arial" w:cs="Arial"/>
          <w:b/>
          <w:bCs/>
          <w:sz w:val="20"/>
          <w:szCs w:val="20"/>
        </w:rPr>
        <w:t xml:space="preserve"> to manuscript entitled:</w:t>
      </w:r>
    </w:p>
    <w:p w14:paraId="415FB61F" w14:textId="77777777" w:rsidR="003E7D24" w:rsidRPr="009C2FA4" w:rsidRDefault="003E7D24" w:rsidP="009C2FA4">
      <w:pPr>
        <w:jc w:val="center"/>
        <w:rPr>
          <w:b/>
          <w:bCs/>
        </w:rPr>
      </w:pPr>
    </w:p>
    <w:p w14:paraId="515B2996" w14:textId="3F91DCB5" w:rsidR="00735478" w:rsidRDefault="00BB0A7A" w:rsidP="003E7D24">
      <w:pPr>
        <w:jc w:val="center"/>
        <w:rPr>
          <w:b/>
          <w:bCs/>
        </w:rPr>
      </w:pPr>
      <w:r w:rsidRPr="009C2FA4">
        <w:rPr>
          <w:b/>
          <w:bCs/>
        </w:rPr>
        <w:t>“</w:t>
      </w:r>
      <w:r w:rsidR="00BE16C7" w:rsidRPr="00BE16C7">
        <w:rPr>
          <w:rFonts w:ascii="Arial" w:hAnsi="Arial" w:cs="Arial"/>
          <w:b/>
          <w:bCs/>
          <w:sz w:val="20"/>
          <w:szCs w:val="20"/>
        </w:rPr>
        <w:t>Cannabidiol lacks direct effect on cortical excitability: A randomized, double blind, placebo controlled, 3-way crossover trial</w:t>
      </w:r>
      <w:r w:rsidRPr="009C2FA4">
        <w:rPr>
          <w:b/>
          <w:bCs/>
        </w:rPr>
        <w:t>”</w:t>
      </w:r>
    </w:p>
    <w:p w14:paraId="6978A2D0" w14:textId="77777777" w:rsidR="003E7D24" w:rsidRPr="009C2FA4" w:rsidRDefault="003E7D24" w:rsidP="009C2FA4">
      <w:pPr>
        <w:jc w:val="center"/>
        <w:rPr>
          <w:b/>
          <w:bCs/>
        </w:rPr>
      </w:pPr>
    </w:p>
    <w:p w14:paraId="5AC4E1FA" w14:textId="26F6B493" w:rsidR="00E448A0" w:rsidRPr="00E448A0" w:rsidRDefault="00E448A0" w:rsidP="00E448A0">
      <w:pPr>
        <w:shd w:val="clear" w:color="auto" w:fill="FFFFFF"/>
        <w:spacing w:before="100" w:beforeAutospacing="1" w:after="100" w:afterAutospacing="1" w:line="480" w:lineRule="auto"/>
        <w:jc w:val="center"/>
        <w:rPr>
          <w:rFonts w:ascii="Arial" w:hAnsi="Arial" w:cs="Arial"/>
          <w:sz w:val="20"/>
          <w:szCs w:val="20"/>
        </w:rPr>
      </w:pPr>
      <w:r w:rsidRPr="00E448A0">
        <w:rPr>
          <w:rFonts w:ascii="Arial" w:eastAsia="Times New Roman" w:hAnsi="Arial" w:cs="Arial"/>
          <w:color w:val="1C1D1E"/>
          <w:sz w:val="20"/>
          <w:szCs w:val="20"/>
        </w:rPr>
        <w:t xml:space="preserve">A.A. </w:t>
      </w:r>
      <w:proofErr w:type="spellStart"/>
      <w:r w:rsidRPr="00E448A0">
        <w:rPr>
          <w:rFonts w:ascii="Arial" w:eastAsia="Times New Roman" w:hAnsi="Arial" w:cs="Arial"/>
          <w:color w:val="1C1D1E"/>
          <w:sz w:val="20"/>
          <w:szCs w:val="20"/>
        </w:rPr>
        <w:t>Gorbenko</w:t>
      </w:r>
      <w:r w:rsidRPr="00E448A0">
        <w:rPr>
          <w:rFonts w:ascii="Arial" w:eastAsia="Times New Roman" w:hAnsi="Arial" w:cs="Arial"/>
          <w:color w:val="1C1D1E"/>
          <w:sz w:val="20"/>
          <w:szCs w:val="20"/>
          <w:vertAlign w:val="superscript"/>
        </w:rPr>
        <w:t>1,2</w:t>
      </w:r>
      <w:proofErr w:type="spellEnd"/>
      <w:r w:rsidRPr="00E448A0">
        <w:rPr>
          <w:rFonts w:ascii="Arial" w:eastAsia="Times New Roman" w:hAnsi="Arial" w:cs="Arial"/>
          <w:color w:val="1C1D1E"/>
          <w:sz w:val="20"/>
          <w:szCs w:val="20"/>
        </w:rPr>
        <w:t xml:space="preserve">, </w:t>
      </w:r>
      <w:proofErr w:type="spellStart"/>
      <w:r w:rsidRPr="00E448A0">
        <w:rPr>
          <w:rFonts w:ascii="Arial" w:eastAsia="Times New Roman" w:hAnsi="Arial" w:cs="Arial"/>
          <w:color w:val="1C1D1E"/>
          <w:sz w:val="20"/>
          <w:szCs w:val="20"/>
        </w:rPr>
        <w:t>C.M.K.E</w:t>
      </w:r>
      <w:proofErr w:type="spellEnd"/>
      <w:r w:rsidRPr="00E448A0">
        <w:rPr>
          <w:rFonts w:ascii="Arial" w:eastAsia="Times New Roman" w:hAnsi="Arial" w:cs="Arial"/>
          <w:color w:val="1C1D1E"/>
          <w:sz w:val="20"/>
          <w:szCs w:val="20"/>
        </w:rPr>
        <w:t xml:space="preserve">. de </w:t>
      </w:r>
      <w:proofErr w:type="spellStart"/>
      <w:r w:rsidRPr="00E448A0">
        <w:rPr>
          <w:rFonts w:ascii="Arial" w:eastAsia="Times New Roman" w:hAnsi="Arial" w:cs="Arial"/>
          <w:color w:val="1C1D1E"/>
          <w:sz w:val="20"/>
          <w:szCs w:val="20"/>
        </w:rPr>
        <w:t>Cuba</w:t>
      </w:r>
      <w:r w:rsidRPr="00E448A0">
        <w:rPr>
          <w:rFonts w:ascii="Arial" w:eastAsia="Times New Roman" w:hAnsi="Arial" w:cs="Arial"/>
          <w:color w:val="1C1D1E"/>
          <w:sz w:val="20"/>
          <w:szCs w:val="20"/>
          <w:vertAlign w:val="superscript"/>
        </w:rPr>
        <w:t>1,2</w:t>
      </w:r>
      <w:proofErr w:type="spellEnd"/>
      <w:r w:rsidRPr="00E448A0">
        <w:rPr>
          <w:rFonts w:ascii="Arial" w:eastAsia="Times New Roman" w:hAnsi="Arial" w:cs="Arial"/>
          <w:color w:val="1C1D1E"/>
          <w:sz w:val="20"/>
          <w:szCs w:val="20"/>
        </w:rPr>
        <w:t xml:space="preserve">, A. A. de </w:t>
      </w:r>
      <w:proofErr w:type="spellStart"/>
      <w:r w:rsidRPr="00E448A0">
        <w:rPr>
          <w:rFonts w:ascii="Arial" w:eastAsia="Times New Roman" w:hAnsi="Arial" w:cs="Arial"/>
          <w:color w:val="1C1D1E"/>
          <w:sz w:val="20"/>
          <w:szCs w:val="20"/>
        </w:rPr>
        <w:t>Goede</w:t>
      </w:r>
      <w:r w:rsidRPr="00E448A0">
        <w:rPr>
          <w:rFonts w:ascii="Arial" w:eastAsia="Times New Roman" w:hAnsi="Arial" w:cs="Arial"/>
          <w:color w:val="1C1D1E"/>
          <w:sz w:val="20"/>
          <w:szCs w:val="20"/>
          <w:vertAlign w:val="superscript"/>
        </w:rPr>
        <w:t>1</w:t>
      </w:r>
      <w:proofErr w:type="spellEnd"/>
      <w:r w:rsidRPr="00E448A0">
        <w:rPr>
          <w:rFonts w:ascii="Arial" w:eastAsia="Times New Roman" w:hAnsi="Arial" w:cs="Arial"/>
          <w:color w:val="1C1D1E"/>
          <w:sz w:val="20"/>
          <w:szCs w:val="20"/>
        </w:rPr>
        <w:t xml:space="preserve">, </w:t>
      </w:r>
      <w:proofErr w:type="spellStart"/>
      <w:r w:rsidR="000C466B">
        <w:rPr>
          <w:rFonts w:ascii="Arial" w:eastAsia="Times New Roman" w:hAnsi="Arial" w:cs="Arial"/>
          <w:color w:val="1C1D1E"/>
          <w:sz w:val="20"/>
          <w:szCs w:val="20"/>
        </w:rPr>
        <w:t>T.E</w:t>
      </w:r>
      <w:proofErr w:type="spellEnd"/>
      <w:r w:rsidR="000C466B">
        <w:rPr>
          <w:rFonts w:ascii="Arial" w:eastAsia="Times New Roman" w:hAnsi="Arial" w:cs="Arial"/>
          <w:color w:val="1C1D1E"/>
          <w:sz w:val="20"/>
          <w:szCs w:val="20"/>
        </w:rPr>
        <w:t xml:space="preserve">. </w:t>
      </w:r>
      <w:proofErr w:type="spellStart"/>
      <w:r w:rsidR="000C466B">
        <w:rPr>
          <w:rFonts w:ascii="Arial" w:eastAsia="Times New Roman" w:hAnsi="Arial" w:cs="Arial"/>
          <w:color w:val="1C1D1E"/>
          <w:sz w:val="20"/>
          <w:szCs w:val="20"/>
        </w:rPr>
        <w:t>Post</w:t>
      </w:r>
      <w:r w:rsidR="000C466B" w:rsidRPr="000C466B">
        <w:rPr>
          <w:rFonts w:ascii="Arial" w:eastAsia="Times New Roman" w:hAnsi="Arial" w:cs="Arial"/>
          <w:color w:val="1C1D1E"/>
          <w:sz w:val="20"/>
          <w:szCs w:val="20"/>
          <w:vertAlign w:val="superscript"/>
        </w:rPr>
        <w:t>1</w:t>
      </w:r>
      <w:proofErr w:type="spellEnd"/>
      <w:r w:rsidR="000C466B">
        <w:rPr>
          <w:rFonts w:ascii="Arial" w:eastAsia="Times New Roman" w:hAnsi="Arial" w:cs="Arial"/>
          <w:color w:val="1C1D1E"/>
          <w:sz w:val="20"/>
          <w:szCs w:val="20"/>
        </w:rPr>
        <w:t xml:space="preserve">, </w:t>
      </w:r>
      <w:r w:rsidRPr="00E448A0">
        <w:rPr>
          <w:rFonts w:ascii="Arial" w:eastAsia="Times New Roman" w:hAnsi="Arial" w:cs="Arial"/>
          <w:color w:val="1C1D1E"/>
          <w:sz w:val="20"/>
          <w:szCs w:val="20"/>
        </w:rPr>
        <w:t xml:space="preserve">R. </w:t>
      </w:r>
      <w:proofErr w:type="spellStart"/>
      <w:r w:rsidRPr="00E448A0">
        <w:rPr>
          <w:rFonts w:ascii="Arial" w:eastAsia="Times New Roman" w:hAnsi="Arial" w:cs="Arial"/>
          <w:color w:val="1C1D1E"/>
          <w:sz w:val="20"/>
          <w:szCs w:val="20"/>
        </w:rPr>
        <w:t>Bohoslavsky</w:t>
      </w:r>
      <w:r w:rsidRPr="00E448A0">
        <w:rPr>
          <w:rFonts w:ascii="Arial" w:eastAsia="Times New Roman" w:hAnsi="Arial" w:cs="Arial"/>
          <w:color w:val="1C1D1E"/>
          <w:sz w:val="20"/>
          <w:szCs w:val="20"/>
          <w:vertAlign w:val="superscript"/>
        </w:rPr>
        <w:t>1</w:t>
      </w:r>
      <w:proofErr w:type="spellEnd"/>
      <w:r w:rsidRPr="00E448A0">
        <w:rPr>
          <w:rFonts w:ascii="Arial" w:eastAsia="Times New Roman" w:hAnsi="Arial" w:cs="Arial"/>
          <w:color w:val="1C1D1E"/>
          <w:sz w:val="20"/>
          <w:szCs w:val="20"/>
        </w:rPr>
        <w:t xml:space="preserve">, </w:t>
      </w:r>
      <w:r w:rsidRPr="00226762">
        <w:rPr>
          <w:rFonts w:ascii="Arial" w:eastAsia="Times New Roman" w:hAnsi="Arial" w:cs="Arial"/>
          <w:color w:val="1C1D1E"/>
          <w:sz w:val="20"/>
          <w:szCs w:val="20"/>
        </w:rPr>
        <w:t xml:space="preserve">P.K. </w:t>
      </w:r>
      <w:proofErr w:type="spellStart"/>
      <w:r w:rsidRPr="00226762">
        <w:rPr>
          <w:rFonts w:ascii="Arial" w:eastAsia="Times New Roman" w:hAnsi="Arial" w:cs="Arial"/>
          <w:color w:val="1C1D1E"/>
          <w:sz w:val="20"/>
          <w:szCs w:val="20"/>
        </w:rPr>
        <w:t>Strugala</w:t>
      </w:r>
      <w:r w:rsidRPr="00226762">
        <w:rPr>
          <w:rFonts w:ascii="Arial" w:eastAsia="Times New Roman" w:hAnsi="Arial" w:cs="Arial"/>
          <w:color w:val="1C1D1E"/>
          <w:sz w:val="20"/>
          <w:szCs w:val="20"/>
          <w:vertAlign w:val="superscript"/>
        </w:rPr>
        <w:t>1</w:t>
      </w:r>
      <w:proofErr w:type="spellEnd"/>
      <w:r w:rsidRPr="00226762">
        <w:rPr>
          <w:rFonts w:ascii="Arial" w:eastAsia="Times New Roman" w:hAnsi="Arial" w:cs="Arial"/>
          <w:color w:val="1C1D1E"/>
          <w:sz w:val="20"/>
          <w:szCs w:val="20"/>
        </w:rPr>
        <w:t xml:space="preserve">, </w:t>
      </w:r>
      <w:proofErr w:type="spellStart"/>
      <w:r w:rsidRPr="00E448A0">
        <w:rPr>
          <w:rFonts w:ascii="Arial" w:eastAsia="Times New Roman" w:hAnsi="Arial" w:cs="Arial"/>
          <w:color w:val="1C1D1E"/>
          <w:sz w:val="20"/>
          <w:szCs w:val="20"/>
        </w:rPr>
        <w:t>J.A.A.C</w:t>
      </w:r>
      <w:proofErr w:type="spellEnd"/>
      <w:r w:rsidRPr="00E448A0">
        <w:rPr>
          <w:rFonts w:ascii="Arial" w:eastAsia="Times New Roman" w:hAnsi="Arial" w:cs="Arial"/>
          <w:color w:val="1C1D1E"/>
          <w:sz w:val="20"/>
          <w:szCs w:val="20"/>
        </w:rPr>
        <w:t xml:space="preserve">. </w:t>
      </w:r>
      <w:proofErr w:type="spellStart"/>
      <w:r w:rsidRPr="00E448A0">
        <w:rPr>
          <w:rFonts w:ascii="Arial" w:eastAsia="Times New Roman" w:hAnsi="Arial" w:cs="Arial"/>
          <w:color w:val="1C1D1E"/>
          <w:sz w:val="20"/>
          <w:szCs w:val="20"/>
        </w:rPr>
        <w:t>Heuberger</w:t>
      </w:r>
      <w:r w:rsidRPr="00E448A0">
        <w:rPr>
          <w:rFonts w:ascii="Arial" w:eastAsia="Times New Roman" w:hAnsi="Arial" w:cs="Arial"/>
          <w:color w:val="1C1D1E"/>
          <w:sz w:val="20"/>
          <w:szCs w:val="20"/>
          <w:vertAlign w:val="superscript"/>
        </w:rPr>
        <w:t>1</w:t>
      </w:r>
      <w:proofErr w:type="spellEnd"/>
      <w:r w:rsidRPr="00E448A0">
        <w:rPr>
          <w:rFonts w:ascii="Arial" w:eastAsia="Times New Roman" w:hAnsi="Arial" w:cs="Arial"/>
          <w:color w:val="1C1D1E"/>
          <w:sz w:val="20"/>
          <w:szCs w:val="20"/>
        </w:rPr>
        <w:t xml:space="preserve">, G.J. </w:t>
      </w:r>
      <w:proofErr w:type="spellStart"/>
      <w:r w:rsidRPr="00E448A0">
        <w:rPr>
          <w:rFonts w:ascii="Arial" w:eastAsia="Times New Roman" w:hAnsi="Arial" w:cs="Arial"/>
          <w:color w:val="1C1D1E"/>
          <w:sz w:val="20"/>
          <w:szCs w:val="20"/>
        </w:rPr>
        <w:t>Groeneveld</w:t>
      </w:r>
      <w:r w:rsidRPr="00E448A0">
        <w:rPr>
          <w:rFonts w:ascii="Arial" w:eastAsia="Times New Roman" w:hAnsi="Arial" w:cs="Arial"/>
          <w:color w:val="1C1D1E"/>
          <w:sz w:val="20"/>
          <w:szCs w:val="20"/>
          <w:vertAlign w:val="superscript"/>
        </w:rPr>
        <w:t>1,2</w:t>
      </w:r>
      <w:proofErr w:type="spellEnd"/>
    </w:p>
    <w:p w14:paraId="3E8020E8" w14:textId="77777777" w:rsidR="00E448A0" w:rsidRDefault="00E448A0" w:rsidP="00E448A0">
      <w:pPr>
        <w:shd w:val="clear" w:color="auto" w:fill="FFFFFF"/>
        <w:spacing w:after="0" w:line="480" w:lineRule="auto"/>
        <w:rPr>
          <w:rFonts w:ascii="Arial" w:eastAsia="Times New Roman" w:hAnsi="Arial" w:cs="Arial"/>
          <w:color w:val="1C1D1E"/>
          <w:kern w:val="0"/>
          <w:sz w:val="20"/>
          <w:szCs w:val="20"/>
        </w:rPr>
      </w:pPr>
    </w:p>
    <w:p w14:paraId="4E1E1826" w14:textId="48C616C8" w:rsidR="00E448A0" w:rsidRPr="00226762" w:rsidRDefault="00E448A0" w:rsidP="00DD5EEE">
      <w:pPr>
        <w:shd w:val="clear" w:color="auto" w:fill="FFFFFF"/>
        <w:spacing w:after="0" w:line="480" w:lineRule="auto"/>
        <w:jc w:val="center"/>
        <w:rPr>
          <w:rFonts w:ascii="Arial" w:eastAsia="Times New Roman" w:hAnsi="Arial" w:cs="Arial"/>
          <w:color w:val="1C1D1E"/>
          <w:kern w:val="0"/>
          <w:sz w:val="20"/>
          <w:szCs w:val="20"/>
        </w:rPr>
      </w:pPr>
      <w:r w:rsidRPr="00226762">
        <w:rPr>
          <w:rFonts w:ascii="Arial" w:eastAsia="Times New Roman" w:hAnsi="Arial" w:cs="Arial"/>
          <w:color w:val="1C1D1E"/>
          <w:kern w:val="0"/>
          <w:sz w:val="20"/>
          <w:szCs w:val="20"/>
        </w:rPr>
        <w:t>1: Centre for Human Drug Research, Leiden, The Netherlands;</w:t>
      </w:r>
    </w:p>
    <w:p w14:paraId="73914BF5" w14:textId="7264CBC6" w:rsidR="00E448A0" w:rsidRPr="00226762" w:rsidRDefault="00E448A0" w:rsidP="00DD5EEE">
      <w:pPr>
        <w:shd w:val="clear" w:color="auto" w:fill="FFFFFF"/>
        <w:spacing w:after="0" w:line="480" w:lineRule="auto"/>
        <w:jc w:val="center"/>
        <w:rPr>
          <w:rFonts w:ascii="Arial" w:eastAsia="Times New Roman" w:hAnsi="Arial" w:cs="Arial"/>
          <w:color w:val="1C1D1E"/>
          <w:kern w:val="0"/>
          <w:sz w:val="20"/>
          <w:szCs w:val="20"/>
        </w:rPr>
      </w:pPr>
      <w:r w:rsidRPr="00226762">
        <w:rPr>
          <w:rFonts w:ascii="Arial" w:eastAsia="Times New Roman" w:hAnsi="Arial" w:cs="Arial"/>
          <w:color w:val="1C1D1E"/>
          <w:kern w:val="0"/>
          <w:sz w:val="20"/>
          <w:szCs w:val="20"/>
        </w:rPr>
        <w:t>2: Leiden University Medical Centre, Leiden, The Netherlands</w:t>
      </w:r>
      <w:r>
        <w:rPr>
          <w:rFonts w:ascii="Arial" w:eastAsia="Times New Roman" w:hAnsi="Arial" w:cs="Arial"/>
          <w:color w:val="1C1D1E"/>
          <w:kern w:val="0"/>
          <w:sz w:val="20"/>
          <w:szCs w:val="20"/>
        </w:rPr>
        <w:t>.</w:t>
      </w:r>
    </w:p>
    <w:p w14:paraId="62375142" w14:textId="0FB989FE" w:rsidR="00E448A0" w:rsidRDefault="00E448A0" w:rsidP="00D2463B">
      <w:pPr>
        <w:spacing w:line="276" w:lineRule="auto"/>
        <w:rPr>
          <w:rFonts w:ascii="Arial" w:hAnsi="Arial" w:cs="Arial"/>
          <w:b/>
          <w:bCs/>
          <w:sz w:val="20"/>
          <w:szCs w:val="20"/>
        </w:rPr>
      </w:pPr>
      <w:r>
        <w:rPr>
          <w:rFonts w:ascii="Arial" w:hAnsi="Arial" w:cs="Arial"/>
          <w:b/>
          <w:bCs/>
          <w:sz w:val="20"/>
          <w:szCs w:val="20"/>
        </w:rPr>
        <w:br w:type="page"/>
      </w:r>
    </w:p>
    <w:p w14:paraId="2685B22E" w14:textId="555D6E4A" w:rsidR="00727D8A" w:rsidRPr="003E7D24" w:rsidRDefault="00727D8A" w:rsidP="00D2463B">
      <w:pPr>
        <w:spacing w:line="276" w:lineRule="auto"/>
        <w:rPr>
          <w:rFonts w:ascii="Arial" w:hAnsi="Arial" w:cs="Arial"/>
          <w:b/>
          <w:bCs/>
          <w:sz w:val="20"/>
          <w:szCs w:val="20"/>
        </w:rPr>
      </w:pPr>
      <w:r w:rsidRPr="003E7D24">
        <w:rPr>
          <w:rFonts w:ascii="Arial" w:hAnsi="Arial" w:cs="Arial"/>
          <w:b/>
          <w:bCs/>
          <w:sz w:val="20"/>
          <w:szCs w:val="20"/>
        </w:rPr>
        <w:lastRenderedPageBreak/>
        <w:t>Inclusion and exclusion criteria.</w:t>
      </w:r>
    </w:p>
    <w:p w14:paraId="5C82869D" w14:textId="77777777" w:rsidR="0006203B" w:rsidRPr="003E7D24" w:rsidRDefault="0006203B" w:rsidP="00D2463B">
      <w:pPr>
        <w:spacing w:line="276" w:lineRule="auto"/>
        <w:rPr>
          <w:rFonts w:ascii="Arial" w:hAnsi="Arial" w:cs="Arial"/>
          <w:b/>
          <w:bCs/>
          <w:sz w:val="20"/>
          <w:szCs w:val="20"/>
        </w:rPr>
      </w:pPr>
      <w:r w:rsidRPr="003E7D24">
        <w:rPr>
          <w:rFonts w:ascii="Arial" w:hAnsi="Arial" w:cs="Arial"/>
          <w:b/>
          <w:bCs/>
          <w:sz w:val="20"/>
          <w:szCs w:val="20"/>
        </w:rPr>
        <w:t>Inclusion criteria:</w:t>
      </w:r>
    </w:p>
    <w:p w14:paraId="132D1388" w14:textId="77777777" w:rsidR="00357DDB" w:rsidRPr="003E7D24" w:rsidRDefault="00357DDB" w:rsidP="00357DDB">
      <w:pPr>
        <w:pStyle w:val="TextTi11"/>
        <w:numPr>
          <w:ilvl w:val="0"/>
          <w:numId w:val="1"/>
        </w:numPr>
        <w:spacing w:after="0" w:line="276" w:lineRule="auto"/>
        <w:rPr>
          <w:rFonts w:cs="Arial"/>
          <w:sz w:val="20"/>
          <w:lang w:val="en-GB"/>
        </w:rPr>
      </w:pPr>
      <w:r w:rsidRPr="003E7D24">
        <w:rPr>
          <w:rFonts w:cs="Arial"/>
          <w:sz w:val="20"/>
          <w:lang w:val="en-GB"/>
        </w:rPr>
        <w:t>Signed informed consent prior to any study-mandated procedure.</w:t>
      </w:r>
    </w:p>
    <w:p w14:paraId="435311C3" w14:textId="77777777" w:rsidR="00357DDB" w:rsidRPr="003E7D24" w:rsidRDefault="00357DDB" w:rsidP="00357DDB">
      <w:pPr>
        <w:pStyle w:val="TextTi11"/>
        <w:numPr>
          <w:ilvl w:val="0"/>
          <w:numId w:val="1"/>
        </w:numPr>
        <w:spacing w:after="0" w:line="276" w:lineRule="auto"/>
        <w:rPr>
          <w:rFonts w:cs="Arial"/>
          <w:sz w:val="20"/>
          <w:lang w:val="en-GB"/>
        </w:rPr>
      </w:pPr>
      <w:r w:rsidRPr="003E7D24">
        <w:rPr>
          <w:rFonts w:cs="Arial"/>
          <w:sz w:val="20"/>
          <w:lang w:val="en-GB"/>
        </w:rPr>
        <w:t>Healthy male subjects, 18 up and to 55 years of age, inclusive at screening.</w:t>
      </w:r>
    </w:p>
    <w:p w14:paraId="64DD3902" w14:textId="77777777" w:rsidR="00357DDB" w:rsidRPr="003E7D24" w:rsidRDefault="00357DDB" w:rsidP="00357DDB">
      <w:pPr>
        <w:pStyle w:val="TextTi11"/>
        <w:numPr>
          <w:ilvl w:val="0"/>
          <w:numId w:val="1"/>
        </w:numPr>
        <w:spacing w:after="0" w:line="276" w:lineRule="auto"/>
        <w:rPr>
          <w:rFonts w:cs="Arial"/>
          <w:sz w:val="20"/>
          <w:lang w:val="en-GB"/>
        </w:rPr>
      </w:pPr>
      <w:r w:rsidRPr="003E7D24">
        <w:rPr>
          <w:rFonts w:cs="Arial"/>
          <w:sz w:val="20"/>
          <w:lang w:val="en-GB"/>
        </w:rPr>
        <w:t>Body mass index (BMI) between 18 and 30 kg/</w:t>
      </w:r>
      <w:proofErr w:type="spellStart"/>
      <w:r w:rsidRPr="003E7D24">
        <w:rPr>
          <w:rFonts w:cs="Arial"/>
          <w:sz w:val="20"/>
          <w:lang w:val="en-GB"/>
        </w:rPr>
        <w:t>m</w:t>
      </w:r>
      <w:r w:rsidRPr="003E7D24">
        <w:rPr>
          <w:rFonts w:cs="Arial"/>
          <w:sz w:val="20"/>
          <w:vertAlign w:val="superscript"/>
          <w:lang w:val="en-GB"/>
        </w:rPr>
        <w:t>2</w:t>
      </w:r>
      <w:proofErr w:type="spellEnd"/>
      <w:r w:rsidRPr="003E7D24">
        <w:rPr>
          <w:rFonts w:cs="Arial"/>
          <w:sz w:val="20"/>
          <w:lang w:val="en-GB"/>
        </w:rPr>
        <w:t>, inclusive at screening, and with a minimum weight of 50 kg.</w:t>
      </w:r>
    </w:p>
    <w:p w14:paraId="15E0F365" w14:textId="77777777" w:rsidR="00357DDB" w:rsidRPr="003E7D24" w:rsidRDefault="00357DDB" w:rsidP="00357DDB">
      <w:pPr>
        <w:pStyle w:val="TextTi11"/>
        <w:numPr>
          <w:ilvl w:val="0"/>
          <w:numId w:val="1"/>
        </w:numPr>
        <w:spacing w:after="0"/>
        <w:rPr>
          <w:rFonts w:cs="Arial"/>
          <w:sz w:val="20"/>
          <w:lang w:val="en-GB"/>
        </w:rPr>
      </w:pPr>
      <w:r w:rsidRPr="003E7D24">
        <w:rPr>
          <w:rFonts w:cs="Arial"/>
          <w:sz w:val="20"/>
          <w:lang w:val="en-GB"/>
        </w:rPr>
        <w:t>All subjects must practice effective contraception during the study and be willing and able to continue contraception for at least 90 days after their last dose of study treatment.</w:t>
      </w:r>
    </w:p>
    <w:p w14:paraId="6678B921" w14:textId="6D849E53" w:rsidR="0006203B" w:rsidRPr="003E7D24" w:rsidRDefault="00357DDB" w:rsidP="00D2463B">
      <w:pPr>
        <w:pStyle w:val="TextTi11"/>
        <w:numPr>
          <w:ilvl w:val="0"/>
          <w:numId w:val="1"/>
        </w:numPr>
        <w:spacing w:after="0" w:line="276" w:lineRule="auto"/>
        <w:rPr>
          <w:rFonts w:cs="Arial"/>
          <w:sz w:val="20"/>
          <w:lang w:val="en-GB"/>
        </w:rPr>
      </w:pPr>
      <w:r w:rsidRPr="003E7D24">
        <w:rPr>
          <w:rFonts w:cs="Arial"/>
          <w:sz w:val="20"/>
          <w:lang w:val="en-GB"/>
        </w:rPr>
        <w:t>Has the ability to communicate well with the investigator in the Dutch language and willing to comply with the study restrictions.</w:t>
      </w:r>
    </w:p>
    <w:p w14:paraId="02340D6F" w14:textId="77777777" w:rsidR="00262666" w:rsidRPr="003E7D24" w:rsidRDefault="00262666" w:rsidP="00262666">
      <w:pPr>
        <w:pStyle w:val="TextTi11"/>
        <w:spacing w:after="0" w:line="276" w:lineRule="auto"/>
        <w:ind w:left="720"/>
        <w:rPr>
          <w:rFonts w:cs="Arial"/>
          <w:sz w:val="20"/>
          <w:lang w:val="en-GB"/>
        </w:rPr>
      </w:pPr>
    </w:p>
    <w:p w14:paraId="539543F2" w14:textId="77777777" w:rsidR="00262666" w:rsidRPr="003E7D24" w:rsidRDefault="0006203B" w:rsidP="00D2463B">
      <w:pPr>
        <w:spacing w:line="276" w:lineRule="auto"/>
        <w:rPr>
          <w:rFonts w:ascii="Arial" w:hAnsi="Arial" w:cs="Arial"/>
          <w:b/>
          <w:bCs/>
          <w:sz w:val="20"/>
          <w:szCs w:val="20"/>
        </w:rPr>
      </w:pPr>
      <w:r w:rsidRPr="003E7D24">
        <w:rPr>
          <w:rFonts w:ascii="Arial" w:hAnsi="Arial" w:cs="Arial"/>
          <w:b/>
          <w:bCs/>
          <w:sz w:val="20"/>
          <w:szCs w:val="20"/>
        </w:rPr>
        <w:t>Exclusion criteria:</w:t>
      </w:r>
    </w:p>
    <w:p w14:paraId="205C8E15"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Evidence of any active or chronic disease or condition that could interfere with, or for which the treatment of might interfere with, the conduct of the study, or that would pose an unacceptable risk to the subject in the opinion of the investigator (following a detailed medical history, physical examination, vital signs (systolic and diastolic blood pressure, pulse rate, body temperature) and 12-lead electrocardiogram (ECG)). Minor deviations from the normal range may be accepted, if judged by the investigator to have no clinical relevance.</w:t>
      </w:r>
    </w:p>
    <w:p w14:paraId="19C37613"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Clinically significant abnormalities, as judged by the investigator, in laboratory test results (including hepatic and renal panels, complete blood count, chemistry panel and urinalysis). In the case of uncertain or questionable results, tests performed during screening may be repeated before randomization to confirm eligibility or judged to be clinically irrelevant for healthy subjects.</w:t>
      </w:r>
    </w:p>
    <w:p w14:paraId="7A958473"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Positive Hepatitis B surface antigen (HBsAg), Hepatitis C antibody (HCV Ab), or human immunodeficiency virus antibody (HIV Ab) at screening.</w:t>
      </w:r>
    </w:p>
    <w:p w14:paraId="55072FE7"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Systolic blood pressure (SBP) greater than 140 or less than 90 mm Hg, and diastolic blood pressure (</w:t>
      </w:r>
      <w:proofErr w:type="spellStart"/>
      <w:r w:rsidRPr="003E7D24">
        <w:rPr>
          <w:rFonts w:cs="Arial"/>
          <w:sz w:val="20"/>
        </w:rPr>
        <w:t>DBP</w:t>
      </w:r>
      <w:proofErr w:type="spellEnd"/>
      <w:r w:rsidRPr="003E7D24">
        <w:rPr>
          <w:rFonts w:cs="Arial"/>
          <w:sz w:val="20"/>
        </w:rPr>
        <w:t>) greater than 90 or less than 50 mm Hg at screening.</w:t>
      </w:r>
    </w:p>
    <w:p w14:paraId="0FC5A223" w14:textId="77777777" w:rsidR="00262666" w:rsidRPr="003E7D24" w:rsidRDefault="00262666" w:rsidP="00262666">
      <w:pPr>
        <w:pStyle w:val="ListParagraph"/>
        <w:numPr>
          <w:ilvl w:val="0"/>
          <w:numId w:val="2"/>
        </w:numPr>
        <w:rPr>
          <w:rFonts w:ascii="Arial" w:hAnsi="Arial" w:cs="Arial"/>
          <w:sz w:val="20"/>
          <w:szCs w:val="20"/>
        </w:rPr>
      </w:pPr>
      <w:r w:rsidRPr="003E7D24">
        <w:rPr>
          <w:rFonts w:ascii="Arial" w:hAnsi="Arial" w:cs="Arial"/>
          <w:sz w:val="20"/>
          <w:szCs w:val="20"/>
        </w:rPr>
        <w:t>Abnormal findings in the resting ECG at screening defined as:</w:t>
      </w:r>
    </w:p>
    <w:p w14:paraId="2BE9DDCD" w14:textId="77777777" w:rsidR="00262666" w:rsidRPr="003E7D24" w:rsidRDefault="00262666" w:rsidP="00262666">
      <w:pPr>
        <w:pStyle w:val="ListParagraph"/>
        <w:numPr>
          <w:ilvl w:val="1"/>
          <w:numId w:val="2"/>
        </w:numPr>
        <w:rPr>
          <w:rFonts w:ascii="Arial" w:hAnsi="Arial" w:cs="Arial"/>
          <w:sz w:val="20"/>
          <w:szCs w:val="20"/>
        </w:rPr>
      </w:pPr>
      <w:proofErr w:type="spellStart"/>
      <w:r w:rsidRPr="003E7D24">
        <w:rPr>
          <w:rFonts w:ascii="Arial" w:hAnsi="Arial" w:cs="Arial"/>
          <w:sz w:val="20"/>
          <w:szCs w:val="20"/>
        </w:rPr>
        <w:t>QTcF</w:t>
      </w:r>
      <w:proofErr w:type="spellEnd"/>
      <w:r w:rsidRPr="003E7D24">
        <w:rPr>
          <w:rFonts w:ascii="Arial" w:hAnsi="Arial" w:cs="Arial"/>
          <w:sz w:val="20"/>
          <w:szCs w:val="20"/>
        </w:rPr>
        <w:t xml:space="preserve">&gt; 450 or &lt; 300 msec for men and </w:t>
      </w:r>
      <w:proofErr w:type="spellStart"/>
      <w:r w:rsidRPr="003E7D24">
        <w:rPr>
          <w:rFonts w:ascii="Arial" w:hAnsi="Arial" w:cs="Arial"/>
          <w:sz w:val="20"/>
          <w:szCs w:val="20"/>
        </w:rPr>
        <w:t>QTcF</w:t>
      </w:r>
      <w:proofErr w:type="spellEnd"/>
      <w:r w:rsidRPr="003E7D24">
        <w:rPr>
          <w:rFonts w:ascii="Arial" w:hAnsi="Arial" w:cs="Arial"/>
          <w:sz w:val="20"/>
          <w:szCs w:val="20"/>
        </w:rPr>
        <w:t xml:space="preserve">&gt; 470 or &lt; 300 msec for women </w:t>
      </w:r>
    </w:p>
    <w:p w14:paraId="45EEC715" w14:textId="77777777" w:rsidR="00262666" w:rsidRPr="003E7D24" w:rsidRDefault="00262666" w:rsidP="00262666">
      <w:pPr>
        <w:pStyle w:val="ListParagraph"/>
        <w:numPr>
          <w:ilvl w:val="1"/>
          <w:numId w:val="2"/>
        </w:numPr>
        <w:rPr>
          <w:rFonts w:ascii="Arial" w:hAnsi="Arial" w:cs="Arial"/>
          <w:sz w:val="20"/>
          <w:szCs w:val="20"/>
        </w:rPr>
      </w:pPr>
      <w:r w:rsidRPr="003E7D24">
        <w:rPr>
          <w:rFonts w:ascii="Arial" w:hAnsi="Arial" w:cs="Arial"/>
          <w:sz w:val="20"/>
          <w:szCs w:val="20"/>
        </w:rPr>
        <w:t>Notable resting bradycardia (HR &lt; 40 bpm) or tachycardia (HR &gt; 100 bpm)</w:t>
      </w:r>
    </w:p>
    <w:p w14:paraId="745840A6" w14:textId="77777777" w:rsidR="00262666" w:rsidRPr="003E7D24" w:rsidRDefault="00262666" w:rsidP="00262666">
      <w:pPr>
        <w:pStyle w:val="ListParagraph"/>
        <w:numPr>
          <w:ilvl w:val="1"/>
          <w:numId w:val="2"/>
        </w:numPr>
        <w:rPr>
          <w:rFonts w:ascii="Arial" w:hAnsi="Arial" w:cs="Arial"/>
          <w:sz w:val="20"/>
          <w:szCs w:val="20"/>
        </w:rPr>
      </w:pPr>
      <w:r w:rsidRPr="003E7D24">
        <w:rPr>
          <w:rFonts w:ascii="Arial" w:hAnsi="Arial" w:cs="Arial"/>
          <w:sz w:val="20"/>
          <w:szCs w:val="20"/>
        </w:rPr>
        <w:t>Personal or family history of congenital long QT syndrome or sudden death;</w:t>
      </w:r>
    </w:p>
    <w:p w14:paraId="78B52034" w14:textId="77777777" w:rsidR="00262666" w:rsidRPr="003E7D24" w:rsidRDefault="00262666" w:rsidP="00262666">
      <w:pPr>
        <w:pStyle w:val="ListParagraph"/>
        <w:numPr>
          <w:ilvl w:val="1"/>
          <w:numId w:val="2"/>
        </w:numPr>
        <w:rPr>
          <w:rFonts w:ascii="Arial" w:hAnsi="Arial" w:cs="Arial"/>
          <w:sz w:val="20"/>
          <w:szCs w:val="20"/>
        </w:rPr>
      </w:pPr>
      <w:r w:rsidRPr="003E7D24">
        <w:rPr>
          <w:rFonts w:ascii="Arial" w:hAnsi="Arial" w:cs="Arial"/>
          <w:sz w:val="20"/>
          <w:szCs w:val="20"/>
        </w:rPr>
        <w:t xml:space="preserve">ECG with QRS and/or T wave judged to be </w:t>
      </w:r>
      <w:proofErr w:type="spellStart"/>
      <w:r w:rsidRPr="003E7D24">
        <w:rPr>
          <w:rFonts w:ascii="Arial" w:hAnsi="Arial" w:cs="Arial"/>
          <w:sz w:val="20"/>
          <w:szCs w:val="20"/>
        </w:rPr>
        <w:t>unfavourable</w:t>
      </w:r>
      <w:proofErr w:type="spellEnd"/>
      <w:r w:rsidRPr="003E7D24">
        <w:rPr>
          <w:rFonts w:ascii="Arial" w:hAnsi="Arial" w:cs="Arial"/>
          <w:sz w:val="20"/>
          <w:szCs w:val="20"/>
        </w:rPr>
        <w:t xml:space="preserve"> for a consistently accurate QT measurement (e.g., neuromuscular artefact that cannot be readily eliminated, arrhythmias, indistinct QRS onset, low amplitude T wave, merged T- and U-waves, prominent U waves);</w:t>
      </w:r>
    </w:p>
    <w:p w14:paraId="66F24553" w14:textId="0ED30534" w:rsidR="00262666" w:rsidRPr="003E7D24" w:rsidRDefault="00262666" w:rsidP="00FC31A3">
      <w:pPr>
        <w:pStyle w:val="ListParagraph"/>
        <w:numPr>
          <w:ilvl w:val="1"/>
          <w:numId w:val="2"/>
        </w:numPr>
        <w:spacing w:after="0"/>
        <w:rPr>
          <w:rFonts w:ascii="Arial" w:hAnsi="Arial" w:cs="Arial"/>
          <w:sz w:val="20"/>
          <w:szCs w:val="20"/>
        </w:rPr>
      </w:pPr>
      <w:r w:rsidRPr="003E7D24">
        <w:rPr>
          <w:rFonts w:ascii="Arial" w:hAnsi="Arial" w:cs="Arial"/>
          <w:sz w:val="20"/>
          <w:szCs w:val="20"/>
        </w:rPr>
        <w:t xml:space="preserve">Evidence of atrial fibrillation, atrial flutter, complete branch block, Wolf-Parkinson-White Syndrome, or cardiac pacemaker </w:t>
      </w:r>
    </w:p>
    <w:p w14:paraId="775A7716"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Participation in an investigational drug or device study (last dosing of previous study was within 90 days prior to first dosing of this study).</w:t>
      </w:r>
    </w:p>
    <w:p w14:paraId="64978372"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History of abuse of addictive substances (alcohol, illegal substances) or current use of more than 21 units alcohol per week, drug abuse, or regular user of sedatives, hypnotics, tranquilizers, or any other addictive agent</w:t>
      </w:r>
    </w:p>
    <w:p w14:paraId="239AA161"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 xml:space="preserve">Positive test for drugs of abuse at screening </w:t>
      </w:r>
      <w:r w:rsidRPr="003E7D24">
        <w:rPr>
          <w:rFonts w:cs="Arial"/>
          <w:sz w:val="20"/>
          <w:lang w:eastAsia="en-AU"/>
        </w:rPr>
        <w:t>(cocaine, amphetamines, opiates (morphine), benzodiazepines and cannabinoids)</w:t>
      </w:r>
      <w:r w:rsidRPr="003E7D24">
        <w:rPr>
          <w:rFonts w:cs="Arial"/>
          <w:sz w:val="20"/>
        </w:rPr>
        <w:t xml:space="preserve">. </w:t>
      </w:r>
    </w:p>
    <w:p w14:paraId="7E2DCE77"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 xml:space="preserve">Alcohol will not be allowed from at least 24 hours before screening or dosing. </w:t>
      </w:r>
    </w:p>
    <w:p w14:paraId="3E56AF54"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Smoker of more than 10 cigarettes per day prior to screening or who use tobacco products equivalent to more than 10 cigarettes per day and unable to abstain from smoking whilst in the unit.</w:t>
      </w:r>
    </w:p>
    <w:p w14:paraId="1E910C59"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lastRenderedPageBreak/>
        <w:t>Excessive caffeine consumption (more than eight cups of coffee or equivalent per day</w:t>
      </w:r>
    </w:p>
    <w:p w14:paraId="3D937C36"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Any confirmed significant allergic reactions (urticaria or anaphylaxis) against any drug, multiple drug allergies (non-active hay fever is acceptable).</w:t>
      </w:r>
    </w:p>
    <w:p w14:paraId="5E110133"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 xml:space="preserve">Loss or donation of blood over 500 mL </w:t>
      </w:r>
      <w:r w:rsidRPr="003E7D24">
        <w:rPr>
          <w:rFonts w:cs="Arial"/>
          <w:sz w:val="20"/>
          <w:lang w:eastAsia="en-AU"/>
        </w:rPr>
        <w:t xml:space="preserve">within 3 months </w:t>
      </w:r>
      <w:r w:rsidRPr="003E7D24">
        <w:rPr>
          <w:rFonts w:cs="Arial"/>
          <w:sz w:val="20"/>
        </w:rPr>
        <w:t>prior to screening or intention to donate blood or blood products during the study.</w:t>
      </w:r>
    </w:p>
    <w:p w14:paraId="4D67FCB5"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 xml:space="preserve">Any known factor, condition, or disease that might interfere with treatment compliance, study conduct or interpretation of the results such as drug or alcohol dependence or psychiatric disease. </w:t>
      </w:r>
    </w:p>
    <w:p w14:paraId="29569D46"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History or presence of conditions which, in the judgment of the investigator, might increase the risk of performing TMS, including but not limited to epilepsy or febrile seizures, intracranial mass lesion, hydrocephalus, clinically significant head injury or trauma, metal objects in the brain or skull, cochlear implant or a deep brain stimulation device.</w:t>
      </w:r>
    </w:p>
    <w:p w14:paraId="7ADC4105" w14:textId="77777777" w:rsidR="00262666" w:rsidRPr="003E7D24" w:rsidRDefault="00262666" w:rsidP="00262666">
      <w:pPr>
        <w:pStyle w:val="TextTi11"/>
        <w:numPr>
          <w:ilvl w:val="0"/>
          <w:numId w:val="2"/>
        </w:numPr>
        <w:spacing w:after="0" w:line="276" w:lineRule="auto"/>
        <w:rPr>
          <w:rFonts w:cs="Arial"/>
          <w:sz w:val="20"/>
        </w:rPr>
      </w:pPr>
      <w:r w:rsidRPr="003E7D24">
        <w:rPr>
          <w:rFonts w:cs="Arial"/>
          <w:sz w:val="20"/>
        </w:rPr>
        <w:t xml:space="preserve">Any condition that could interfere with the quality or ability to perform TMS, such as an abnormal sleeping pattern (e.g., working night shifts), dreadlocks or hairpieces that cannot be removed or a </w:t>
      </w:r>
      <w:proofErr w:type="spellStart"/>
      <w:r w:rsidRPr="003E7D24">
        <w:rPr>
          <w:rFonts w:cs="Arial"/>
          <w:sz w:val="20"/>
        </w:rPr>
        <w:t>rMT</w:t>
      </w:r>
      <w:proofErr w:type="spellEnd"/>
      <w:r w:rsidRPr="003E7D24">
        <w:rPr>
          <w:rFonts w:cs="Arial"/>
          <w:sz w:val="20"/>
        </w:rPr>
        <w:t xml:space="preserve"> of more than 75% of the maximum stimulator output as measured using TMS-EMG during screening.</w:t>
      </w:r>
    </w:p>
    <w:p w14:paraId="1E77D6D5" w14:textId="471D8C1E" w:rsidR="00727D8A" w:rsidRPr="003E7D24" w:rsidRDefault="00727D8A" w:rsidP="00D2463B">
      <w:pPr>
        <w:spacing w:line="276" w:lineRule="auto"/>
        <w:rPr>
          <w:rFonts w:ascii="Arial" w:hAnsi="Arial" w:cs="Arial"/>
          <w:b/>
          <w:bCs/>
          <w:sz w:val="20"/>
          <w:szCs w:val="20"/>
        </w:rPr>
      </w:pPr>
      <w:r w:rsidRPr="003E7D24">
        <w:rPr>
          <w:rFonts w:ascii="Arial" w:hAnsi="Arial" w:cs="Arial"/>
          <w:b/>
          <w:bCs/>
          <w:sz w:val="20"/>
          <w:szCs w:val="20"/>
        </w:rPr>
        <w:br w:type="page"/>
      </w:r>
    </w:p>
    <w:p w14:paraId="1692810B" w14:textId="56EF2034" w:rsidR="00727D8A" w:rsidRDefault="005E6BA5" w:rsidP="00D2463B">
      <w:pPr>
        <w:spacing w:line="276" w:lineRule="auto"/>
        <w:rPr>
          <w:rFonts w:ascii="Arial" w:hAnsi="Arial" w:cs="Arial"/>
          <w:b/>
          <w:bCs/>
          <w:sz w:val="20"/>
          <w:szCs w:val="20"/>
        </w:rPr>
      </w:pPr>
      <w:r>
        <w:rPr>
          <w:rFonts w:ascii="Arial" w:hAnsi="Arial" w:cs="Arial"/>
          <w:b/>
          <w:bCs/>
          <w:sz w:val="20"/>
          <w:szCs w:val="20"/>
        </w:rPr>
        <w:lastRenderedPageBreak/>
        <w:t xml:space="preserve">TMS-EEG data synthesis. </w:t>
      </w:r>
    </w:p>
    <w:p w14:paraId="39105272" w14:textId="5CD08B39" w:rsidR="00646994" w:rsidRDefault="00646994" w:rsidP="00646994">
      <w:pPr>
        <w:spacing w:line="276" w:lineRule="auto"/>
        <w:rPr>
          <w:rFonts w:ascii="Arial" w:hAnsi="Arial" w:cs="Arial"/>
          <w:sz w:val="20"/>
          <w:szCs w:val="20"/>
        </w:rPr>
      </w:pPr>
      <w:r w:rsidRPr="2D5B0A93">
        <w:rPr>
          <w:rFonts w:ascii="Arial" w:hAnsi="Arial" w:cs="Arial"/>
          <w:sz w:val="20"/>
          <w:szCs w:val="20"/>
        </w:rPr>
        <w:t>TMS-EEG responses were analyzed using the common average montage. The continuous data was segmented in epochs which were baseline corrected by subtracting the mean EEG amplitude measured over a period of 500-50 msec prior to the single or conditioning pulse. To reduce artifacts caused by the magnetic pulse and muscle activation on the scalp, principal component analysis (</w:t>
      </w:r>
      <w:proofErr w:type="spellStart"/>
      <w:r w:rsidRPr="2D5B0A93">
        <w:rPr>
          <w:rFonts w:ascii="Arial" w:hAnsi="Arial" w:cs="Arial"/>
          <w:sz w:val="20"/>
          <w:szCs w:val="20"/>
        </w:rPr>
        <w:t>PCA</w:t>
      </w:r>
      <w:proofErr w:type="spellEnd"/>
      <w:r w:rsidRPr="2D5B0A93">
        <w:rPr>
          <w:rFonts w:ascii="Arial" w:hAnsi="Arial" w:cs="Arial"/>
          <w:sz w:val="20"/>
          <w:szCs w:val="20"/>
        </w:rPr>
        <w:t xml:space="preserve">) is </w:t>
      </w:r>
      <w:proofErr w:type="spellStart"/>
      <w:r w:rsidRPr="2D5B0A93">
        <w:rPr>
          <w:rFonts w:ascii="Arial" w:hAnsi="Arial" w:cs="Arial"/>
          <w:sz w:val="20"/>
          <w:szCs w:val="20"/>
        </w:rPr>
        <w:t>applied</w:t>
      </w:r>
      <w:sdt>
        <w:sdtPr>
          <w:rPr>
            <w:rFonts w:ascii="Arial" w:hAnsi="Arial" w:cs="Arial"/>
            <w:color w:val="000000"/>
            <w:sz w:val="20"/>
            <w:szCs w:val="20"/>
            <w:vertAlign w:val="superscript"/>
          </w:rPr>
          <w:tag w:val="MENDELEY_CITATION_v3_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"/>
          <w:id w:val="-1444994802"/>
          <w:placeholder>
            <w:docPart w:val="AA9264BEBDD648748DB5AE3F54077569"/>
          </w:placeholder>
        </w:sdtPr>
        <w:sdtContent>
          <w:r w:rsidR="00282ABF" w:rsidRPr="00282ABF">
            <w:rPr>
              <w:rFonts w:ascii="Arial" w:hAnsi="Arial" w:cs="Arial"/>
              <w:color w:val="000000"/>
              <w:sz w:val="20"/>
              <w:szCs w:val="20"/>
              <w:vertAlign w:val="superscript"/>
            </w:rPr>
            <w:t>1</w:t>
          </w:r>
          <w:proofErr w:type="spellEnd"/>
        </w:sdtContent>
      </w:sdt>
      <w:r w:rsidRPr="2D5B0A93">
        <w:rPr>
          <w:rFonts w:ascii="Arial" w:hAnsi="Arial" w:cs="Arial"/>
          <w:sz w:val="20"/>
          <w:szCs w:val="20"/>
        </w:rPr>
        <w:t>. After removing the first 4 out of 25 principal components, individual trials were filtered (bandpass filter;</w:t>
      </w:r>
      <w:r>
        <w:rPr>
          <w:rFonts w:ascii="Arial" w:hAnsi="Arial" w:cs="Arial"/>
          <w:sz w:val="20"/>
          <w:szCs w:val="20"/>
        </w:rPr>
        <w:t xml:space="preserve"> </w:t>
      </w:r>
      <w:r w:rsidRPr="2D5B0A93">
        <w:rPr>
          <w:rFonts w:ascii="Arial" w:hAnsi="Arial" w:cs="Arial"/>
          <w:sz w:val="20"/>
          <w:szCs w:val="20"/>
        </w:rPr>
        <w:t xml:space="preserve">1-35 Hz) and averaged over 75 repetitions to create the TMS evoked potential (TEP) for each EEG electrode. Before averaging, EEG trials containing a lot of noise (e.g., eye-blinks or muscle activity) were excluded. For this we applied the criterion to detect extreme outliers: TEP amplitude &gt; </w:t>
      </w:r>
      <w:proofErr w:type="spellStart"/>
      <w:r w:rsidRPr="2D5B0A93">
        <w:rPr>
          <w:rFonts w:ascii="Arial" w:hAnsi="Arial" w:cs="Arial"/>
          <w:sz w:val="20"/>
          <w:szCs w:val="20"/>
        </w:rPr>
        <w:t>Q3+3</w:t>
      </w:r>
      <w:proofErr w:type="spellEnd"/>
      <w:r w:rsidRPr="2D5B0A93">
        <w:rPr>
          <w:rFonts w:ascii="Arial" w:hAnsi="Arial" w:cs="Arial"/>
          <w:sz w:val="20"/>
          <w:szCs w:val="20"/>
        </w:rPr>
        <w:t>*</w:t>
      </w:r>
      <w:proofErr w:type="spellStart"/>
      <w:r w:rsidRPr="2D5B0A93">
        <w:rPr>
          <w:rFonts w:ascii="Arial" w:hAnsi="Arial" w:cs="Arial"/>
          <w:sz w:val="20"/>
          <w:szCs w:val="20"/>
        </w:rPr>
        <w:t>IQR</w:t>
      </w:r>
      <w:proofErr w:type="spellEnd"/>
      <w:r w:rsidRPr="2D5B0A93">
        <w:rPr>
          <w:rFonts w:ascii="Arial" w:hAnsi="Arial" w:cs="Arial"/>
          <w:sz w:val="20"/>
          <w:szCs w:val="20"/>
        </w:rPr>
        <w:t xml:space="preserve"> (</w:t>
      </w:r>
      <w:proofErr w:type="spellStart"/>
      <w:r w:rsidRPr="2D5B0A93">
        <w:rPr>
          <w:rFonts w:ascii="Arial" w:hAnsi="Arial" w:cs="Arial"/>
          <w:sz w:val="20"/>
          <w:szCs w:val="20"/>
        </w:rPr>
        <w:t>Q3</w:t>
      </w:r>
      <w:proofErr w:type="spellEnd"/>
      <w:r w:rsidRPr="2D5B0A93">
        <w:rPr>
          <w:rFonts w:ascii="Arial" w:hAnsi="Arial" w:cs="Arial"/>
          <w:sz w:val="20"/>
          <w:szCs w:val="20"/>
        </w:rPr>
        <w:t xml:space="preserve"> = third quartile; </w:t>
      </w:r>
      <w:proofErr w:type="spellStart"/>
      <w:r w:rsidRPr="2D5B0A93">
        <w:rPr>
          <w:rFonts w:ascii="Arial" w:hAnsi="Arial" w:cs="Arial"/>
          <w:sz w:val="20"/>
          <w:szCs w:val="20"/>
        </w:rPr>
        <w:t>IQR</w:t>
      </w:r>
      <w:proofErr w:type="spellEnd"/>
      <w:r w:rsidRPr="2D5B0A93">
        <w:rPr>
          <w:rFonts w:ascii="Arial" w:hAnsi="Arial" w:cs="Arial"/>
          <w:sz w:val="20"/>
          <w:szCs w:val="20"/>
        </w:rPr>
        <w:t xml:space="preserve"> = interquartile range).</w:t>
      </w:r>
    </w:p>
    <w:p w14:paraId="5B229972" w14:textId="77777777" w:rsidR="005E6BA5" w:rsidRDefault="005E6BA5" w:rsidP="00D2463B">
      <w:pPr>
        <w:spacing w:line="276" w:lineRule="auto"/>
        <w:rPr>
          <w:rFonts w:ascii="Arial" w:hAnsi="Arial" w:cs="Arial"/>
          <w:b/>
          <w:bCs/>
          <w:sz w:val="20"/>
          <w:szCs w:val="20"/>
        </w:rPr>
      </w:pPr>
    </w:p>
    <w:p w14:paraId="271F3CD2" w14:textId="77777777" w:rsidR="005E6BA5" w:rsidRDefault="005E6BA5" w:rsidP="00D2463B">
      <w:pPr>
        <w:spacing w:line="276" w:lineRule="auto"/>
        <w:rPr>
          <w:rFonts w:ascii="Arial" w:hAnsi="Arial" w:cs="Arial"/>
          <w:b/>
          <w:bCs/>
          <w:sz w:val="20"/>
          <w:szCs w:val="20"/>
        </w:rPr>
      </w:pPr>
    </w:p>
    <w:p w14:paraId="16F64303" w14:textId="77777777" w:rsidR="005E6BA5" w:rsidRDefault="005E6BA5" w:rsidP="00D2463B">
      <w:pPr>
        <w:spacing w:line="276" w:lineRule="auto"/>
        <w:rPr>
          <w:rFonts w:ascii="Arial" w:hAnsi="Arial" w:cs="Arial"/>
          <w:b/>
          <w:bCs/>
          <w:sz w:val="20"/>
          <w:szCs w:val="20"/>
        </w:rPr>
      </w:pPr>
    </w:p>
    <w:p w14:paraId="36A3F23F" w14:textId="3C3C87C3" w:rsidR="005E6BA5" w:rsidRDefault="005E6BA5" w:rsidP="00D2463B">
      <w:pPr>
        <w:spacing w:line="276" w:lineRule="auto"/>
        <w:rPr>
          <w:rFonts w:ascii="Arial" w:hAnsi="Arial" w:cs="Arial"/>
          <w:b/>
          <w:bCs/>
          <w:sz w:val="20"/>
          <w:szCs w:val="20"/>
        </w:rPr>
      </w:pPr>
      <w:r>
        <w:rPr>
          <w:rFonts w:ascii="Arial" w:hAnsi="Arial" w:cs="Arial"/>
          <w:b/>
          <w:bCs/>
          <w:sz w:val="20"/>
          <w:szCs w:val="20"/>
        </w:rPr>
        <w:br w:type="page"/>
      </w:r>
    </w:p>
    <w:p w14:paraId="79312625" w14:textId="106871A6" w:rsidR="005E6BA5" w:rsidRDefault="00942E42" w:rsidP="00D2463B">
      <w:pPr>
        <w:spacing w:line="276" w:lineRule="auto"/>
        <w:rPr>
          <w:rFonts w:ascii="Arial" w:hAnsi="Arial" w:cs="Arial"/>
          <w:b/>
          <w:bCs/>
          <w:sz w:val="20"/>
          <w:szCs w:val="20"/>
        </w:rPr>
      </w:pPr>
      <w:proofErr w:type="spellStart"/>
      <w:r>
        <w:rPr>
          <w:rFonts w:ascii="Arial" w:hAnsi="Arial" w:cs="Arial"/>
          <w:b/>
          <w:bCs/>
          <w:sz w:val="20"/>
          <w:szCs w:val="20"/>
        </w:rPr>
        <w:lastRenderedPageBreak/>
        <w:t>NeuroCart</w:t>
      </w:r>
      <w:proofErr w:type="spellEnd"/>
      <w:r w:rsidR="00646994">
        <w:rPr>
          <w:rFonts w:ascii="Arial" w:hAnsi="Arial" w:cs="Arial"/>
          <w:b/>
          <w:bCs/>
          <w:sz w:val="20"/>
          <w:szCs w:val="20"/>
        </w:rPr>
        <w:t xml:space="preserve"> ®</w:t>
      </w:r>
      <w:r>
        <w:rPr>
          <w:rFonts w:ascii="Arial" w:hAnsi="Arial" w:cs="Arial"/>
          <w:b/>
          <w:bCs/>
          <w:sz w:val="20"/>
          <w:szCs w:val="20"/>
        </w:rPr>
        <w:t xml:space="preserve"> test </w:t>
      </w:r>
      <w:r w:rsidR="00150D93">
        <w:rPr>
          <w:rFonts w:ascii="Arial" w:hAnsi="Arial" w:cs="Arial"/>
          <w:b/>
          <w:bCs/>
          <w:sz w:val="20"/>
          <w:szCs w:val="20"/>
        </w:rPr>
        <w:t xml:space="preserve">procedure </w:t>
      </w:r>
      <w:r>
        <w:rPr>
          <w:rFonts w:ascii="Arial" w:hAnsi="Arial" w:cs="Arial"/>
          <w:b/>
          <w:bCs/>
          <w:sz w:val="20"/>
          <w:szCs w:val="20"/>
        </w:rPr>
        <w:t xml:space="preserve">descriptions. </w:t>
      </w:r>
    </w:p>
    <w:p w14:paraId="37406395" w14:textId="126265A8" w:rsidR="00DD5EEE" w:rsidRDefault="00DD5EEE" w:rsidP="00DD5EEE">
      <w:pPr>
        <w:spacing w:line="276" w:lineRule="auto"/>
        <w:rPr>
          <w:rFonts w:ascii="Arial" w:hAnsi="Arial" w:cs="Arial"/>
          <w:sz w:val="20"/>
          <w:szCs w:val="20"/>
        </w:rPr>
      </w:pPr>
      <w:r>
        <w:rPr>
          <w:rFonts w:ascii="Arial" w:hAnsi="Arial" w:cs="Arial"/>
          <w:sz w:val="20"/>
          <w:szCs w:val="20"/>
          <w:lang w:val="en-GB"/>
        </w:rPr>
        <w:t>Saccadic eye movements are</w:t>
      </w:r>
      <w:r w:rsidRPr="00DD71F4">
        <w:rPr>
          <w:rFonts w:ascii="Arial" w:hAnsi="Arial" w:cs="Arial"/>
          <w:sz w:val="20"/>
          <w:szCs w:val="20"/>
          <w:lang w:val="en-GB"/>
        </w:rPr>
        <w:t xml:space="preserve"> </w:t>
      </w:r>
      <w:r>
        <w:rPr>
          <w:rFonts w:ascii="Arial" w:hAnsi="Arial" w:cs="Arial"/>
          <w:sz w:val="20"/>
          <w:szCs w:val="20"/>
          <w:lang w:val="en-GB"/>
        </w:rPr>
        <w:t xml:space="preserve">a </w:t>
      </w:r>
      <w:r w:rsidRPr="00DD71F4">
        <w:rPr>
          <w:rFonts w:ascii="Arial" w:hAnsi="Arial" w:cs="Arial"/>
          <w:sz w:val="20"/>
          <w:szCs w:val="20"/>
          <w:lang w:val="en-GB"/>
        </w:rPr>
        <w:t xml:space="preserve">sensitive </w:t>
      </w:r>
      <w:r>
        <w:rPr>
          <w:rFonts w:ascii="Arial" w:hAnsi="Arial" w:cs="Arial"/>
          <w:sz w:val="20"/>
          <w:szCs w:val="20"/>
          <w:lang w:val="en-GB"/>
        </w:rPr>
        <w:t>measure of</w:t>
      </w:r>
      <w:r w:rsidRPr="00DD71F4">
        <w:rPr>
          <w:rFonts w:ascii="Arial" w:hAnsi="Arial" w:cs="Arial"/>
          <w:sz w:val="20"/>
          <w:szCs w:val="20"/>
          <w:lang w:val="en-GB"/>
        </w:rPr>
        <w:t xml:space="preserve"> </w:t>
      </w:r>
      <w:proofErr w:type="spellStart"/>
      <w:r w:rsidRPr="00DD71F4">
        <w:rPr>
          <w:rFonts w:ascii="Arial" w:hAnsi="Arial" w:cs="Arial"/>
          <w:sz w:val="20"/>
          <w:szCs w:val="20"/>
          <w:lang w:val="en-GB"/>
        </w:rPr>
        <w:t>sedation</w:t>
      </w:r>
      <w:sdt>
        <w:sdtPr>
          <w:rPr>
            <w:rFonts w:ascii="Arial" w:hAnsi="Arial" w:cs="Arial"/>
            <w:color w:val="000000"/>
            <w:sz w:val="20"/>
            <w:szCs w:val="20"/>
            <w:vertAlign w:val="superscript"/>
            <w:lang w:val="en-GB"/>
          </w:rPr>
          <w:tag w:val="MENDELEY_CITATION_v3_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"/>
          <w:id w:val="1176995918"/>
          <w:placeholder>
            <w:docPart w:val="36F16859018E4D73A4DB19400F5FCA8C"/>
          </w:placeholder>
        </w:sdtPr>
        <w:sdtContent>
          <w:r w:rsidR="00282ABF" w:rsidRPr="00282ABF">
            <w:rPr>
              <w:rFonts w:ascii="Arial" w:hAnsi="Arial" w:cs="Arial"/>
              <w:color w:val="000000"/>
              <w:sz w:val="20"/>
              <w:szCs w:val="20"/>
              <w:vertAlign w:val="superscript"/>
              <w:lang w:val="en-GB"/>
            </w:rPr>
            <w:t>2</w:t>
          </w:r>
          <w:proofErr w:type="spellEnd"/>
        </w:sdtContent>
      </w:sdt>
      <w:r w:rsidRPr="00DD71F4">
        <w:rPr>
          <w:rFonts w:ascii="Arial" w:hAnsi="Arial" w:cs="Arial"/>
          <w:sz w:val="20"/>
          <w:szCs w:val="20"/>
          <w:lang w:val="en-GB"/>
        </w:rPr>
        <w:t>.</w:t>
      </w:r>
      <w:r>
        <w:rPr>
          <w:rFonts w:ascii="Arial" w:hAnsi="Arial" w:cs="Arial"/>
          <w:sz w:val="20"/>
          <w:szCs w:val="20"/>
          <w:lang w:val="en-GB"/>
        </w:rPr>
        <w:t xml:space="preserve"> For the assessment of </w:t>
      </w:r>
      <w:r>
        <w:rPr>
          <w:rFonts w:ascii="Arial" w:hAnsi="Arial" w:cs="Arial"/>
          <w:sz w:val="20"/>
          <w:szCs w:val="20"/>
        </w:rPr>
        <w:t>s</w:t>
      </w:r>
      <w:r w:rsidRPr="006C35E5">
        <w:rPr>
          <w:rFonts w:ascii="Arial" w:hAnsi="Arial" w:cs="Arial"/>
          <w:sz w:val="20"/>
          <w:szCs w:val="20"/>
        </w:rPr>
        <w:t>accadic eye movements</w:t>
      </w:r>
      <w:r>
        <w:rPr>
          <w:rFonts w:ascii="Arial" w:hAnsi="Arial" w:cs="Arial"/>
          <w:sz w:val="20"/>
          <w:szCs w:val="20"/>
        </w:rPr>
        <w:t xml:space="preserve">, participants followed </w:t>
      </w:r>
      <w:r w:rsidRPr="006C35E5">
        <w:rPr>
          <w:rFonts w:ascii="Arial" w:hAnsi="Arial" w:cs="Arial"/>
          <w:sz w:val="20"/>
          <w:szCs w:val="20"/>
        </w:rPr>
        <w:t>a dot</w:t>
      </w:r>
      <w:r>
        <w:rPr>
          <w:rFonts w:ascii="Arial" w:hAnsi="Arial" w:cs="Arial"/>
          <w:sz w:val="20"/>
          <w:szCs w:val="20"/>
        </w:rPr>
        <w:t xml:space="preserve"> that jumped from side to side o</w:t>
      </w:r>
      <w:r w:rsidRPr="006C35E5">
        <w:rPr>
          <w:rFonts w:ascii="Arial" w:hAnsi="Arial" w:cs="Arial"/>
          <w:sz w:val="20"/>
          <w:szCs w:val="20"/>
        </w:rPr>
        <w:t xml:space="preserve">n a computer screen. </w:t>
      </w:r>
      <w:r>
        <w:rPr>
          <w:rFonts w:ascii="Arial" w:hAnsi="Arial" w:cs="Arial"/>
          <w:sz w:val="20"/>
          <w:szCs w:val="20"/>
        </w:rPr>
        <w:t>The parameter collected was saccadic peak velocity (</w:t>
      </w:r>
      <w:proofErr w:type="spellStart"/>
      <w:r>
        <w:rPr>
          <w:rFonts w:ascii="Arial" w:hAnsi="Arial" w:cs="Arial"/>
          <w:sz w:val="20"/>
          <w:szCs w:val="20"/>
        </w:rPr>
        <w:t>SPV</w:t>
      </w:r>
      <w:proofErr w:type="spellEnd"/>
      <w:r>
        <w:rPr>
          <w:rFonts w:ascii="Arial" w:hAnsi="Arial" w:cs="Arial"/>
          <w:sz w:val="20"/>
          <w:szCs w:val="20"/>
        </w:rPr>
        <w:t>) in deg/</w:t>
      </w:r>
      <w:proofErr w:type="spellStart"/>
      <w:r>
        <w:rPr>
          <w:rFonts w:ascii="Arial" w:hAnsi="Arial" w:cs="Arial"/>
          <w:sz w:val="20"/>
          <w:szCs w:val="20"/>
        </w:rPr>
        <w:t>sec</w:t>
      </w:r>
      <w:sdt>
        <w:sdtPr>
          <w:rPr>
            <w:rFonts w:ascii="Arial" w:hAnsi="Arial" w:cs="Arial"/>
            <w:color w:val="000000"/>
            <w:sz w:val="20"/>
            <w:szCs w:val="20"/>
            <w:vertAlign w:val="superscript"/>
          </w:rPr>
          <w:tag w:val="MENDELEY_CITATION_v3_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"/>
          <w:id w:val="710918021"/>
          <w:placeholder>
            <w:docPart w:val="36F16859018E4D73A4DB19400F5FCA8C"/>
          </w:placeholder>
        </w:sdtPr>
        <w:sdtContent>
          <w:r w:rsidR="00282ABF" w:rsidRPr="00282ABF">
            <w:rPr>
              <w:rFonts w:ascii="Arial" w:hAnsi="Arial" w:cs="Arial"/>
              <w:color w:val="000000"/>
              <w:sz w:val="20"/>
              <w:szCs w:val="20"/>
              <w:vertAlign w:val="superscript"/>
            </w:rPr>
            <w:t>2,3</w:t>
          </w:r>
          <w:proofErr w:type="spellEnd"/>
        </w:sdtContent>
      </w:sdt>
      <w:r>
        <w:rPr>
          <w:rFonts w:ascii="Arial" w:hAnsi="Arial" w:cs="Arial"/>
          <w:sz w:val="20"/>
          <w:szCs w:val="20"/>
        </w:rPr>
        <w:t>.</w:t>
      </w:r>
    </w:p>
    <w:p w14:paraId="3C392352" w14:textId="299211A5" w:rsidR="00DD5EEE" w:rsidRDefault="00DD5EEE" w:rsidP="00DD5EEE">
      <w:pPr>
        <w:spacing w:line="276" w:lineRule="auto"/>
        <w:rPr>
          <w:rFonts w:ascii="Arial" w:hAnsi="Arial" w:cs="Arial"/>
          <w:color w:val="1C1D1E"/>
          <w:sz w:val="20"/>
          <w:szCs w:val="20"/>
          <w:shd w:val="clear" w:color="auto" w:fill="FFFFFF"/>
        </w:rPr>
      </w:pPr>
      <w:r>
        <w:rPr>
          <w:rFonts w:ascii="Arial" w:hAnsi="Arial" w:cs="Arial"/>
          <w:color w:val="1C1D1E"/>
          <w:sz w:val="20"/>
          <w:szCs w:val="20"/>
          <w:shd w:val="clear" w:color="auto" w:fill="FFFFFF"/>
        </w:rPr>
        <w:t xml:space="preserve">Smooth pursuit eye movements were performed as a measure of visuomotor </w:t>
      </w:r>
      <w:proofErr w:type="spellStart"/>
      <w:r>
        <w:rPr>
          <w:rFonts w:ascii="Arial" w:hAnsi="Arial" w:cs="Arial"/>
          <w:color w:val="1C1D1E"/>
          <w:sz w:val="20"/>
          <w:szCs w:val="20"/>
          <w:shd w:val="clear" w:color="auto" w:fill="FFFFFF"/>
        </w:rPr>
        <w:t>coordination</w:t>
      </w:r>
      <w:sdt>
        <w:sdtPr>
          <w:rPr>
            <w:rFonts w:ascii="Arial" w:hAnsi="Arial" w:cs="Arial"/>
            <w:color w:val="000000"/>
            <w:sz w:val="20"/>
            <w:szCs w:val="20"/>
            <w:shd w:val="clear" w:color="auto" w:fill="FFFFFF"/>
            <w:vertAlign w:val="superscript"/>
          </w:rPr>
          <w:tag w:val="MENDELEY_CITATION_v3_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"/>
          <w:id w:val="151495028"/>
          <w:placeholder>
            <w:docPart w:val="36F16859018E4D73A4DB19400F5FCA8C"/>
          </w:placeholder>
        </w:sdtPr>
        <w:sdtContent>
          <w:r w:rsidR="00282ABF" w:rsidRPr="00282ABF">
            <w:rPr>
              <w:rFonts w:ascii="Arial" w:hAnsi="Arial" w:cs="Arial"/>
              <w:color w:val="000000"/>
              <w:sz w:val="20"/>
              <w:szCs w:val="20"/>
              <w:shd w:val="clear" w:color="auto" w:fill="FFFFFF"/>
              <w:vertAlign w:val="superscript"/>
            </w:rPr>
            <w:t>4,5</w:t>
          </w:r>
          <w:proofErr w:type="spellEnd"/>
        </w:sdtContent>
      </w:sdt>
      <w:r>
        <w:rPr>
          <w:rFonts w:ascii="Arial" w:hAnsi="Arial" w:cs="Arial"/>
          <w:color w:val="1C1D1E"/>
          <w:sz w:val="20"/>
          <w:szCs w:val="20"/>
          <w:shd w:val="clear" w:color="auto" w:fill="FFFFFF"/>
        </w:rPr>
        <w:t xml:space="preserve">. A continuously moving dot was displayed on a computer screen. </w:t>
      </w:r>
      <w:r w:rsidRPr="00155150">
        <w:rPr>
          <w:rFonts w:ascii="Arial" w:hAnsi="Arial" w:cs="Arial"/>
          <w:color w:val="1C1D1E"/>
          <w:sz w:val="20"/>
          <w:szCs w:val="20"/>
          <w:shd w:val="clear" w:color="auto" w:fill="FFFFFF"/>
        </w:rPr>
        <w:t>The outcome of smooth pursuit was defined as the percentage of time the participant’s eyes were in smooth pursuit of the target for each stimulus velocity and frequency.</w:t>
      </w:r>
    </w:p>
    <w:p w14:paraId="770CD29C" w14:textId="7103FFEA" w:rsidR="00DD5EEE" w:rsidRPr="00410DB8" w:rsidRDefault="00DD5EEE" w:rsidP="00DD5EEE">
      <w:pPr>
        <w:spacing w:line="276" w:lineRule="auto"/>
        <w:rPr>
          <w:rFonts w:ascii="Arial" w:hAnsi="Arial" w:cs="Arial"/>
          <w:sz w:val="20"/>
          <w:szCs w:val="20"/>
        </w:rPr>
      </w:pPr>
      <w:r w:rsidRPr="2D5B0A93">
        <w:rPr>
          <w:rFonts w:ascii="Arial" w:hAnsi="Arial" w:cs="Arial"/>
          <w:color w:val="1C1D1E"/>
          <w:sz w:val="20"/>
          <w:szCs w:val="20"/>
          <w:shd w:val="clear" w:color="auto" w:fill="FFFFFF"/>
        </w:rPr>
        <w:t xml:space="preserve">The adaptive tracking test was used to evaluate visuomotor coordination and </w:t>
      </w:r>
      <w:proofErr w:type="spellStart"/>
      <w:r w:rsidRPr="2D5B0A93">
        <w:rPr>
          <w:rFonts w:ascii="Arial" w:hAnsi="Arial" w:cs="Arial"/>
          <w:color w:val="1C1D1E"/>
          <w:sz w:val="20"/>
          <w:szCs w:val="20"/>
          <w:shd w:val="clear" w:color="auto" w:fill="FFFFFF"/>
        </w:rPr>
        <w:t>vigilance</w:t>
      </w:r>
      <w:sdt>
        <w:sdtPr>
          <w:rPr>
            <w:rFonts w:ascii="Arial" w:hAnsi="Arial" w:cs="Arial"/>
            <w:color w:val="000000"/>
            <w:sz w:val="20"/>
            <w:szCs w:val="20"/>
            <w:shd w:val="clear" w:color="auto" w:fill="FFFFFF"/>
            <w:vertAlign w:val="superscript"/>
          </w:rPr>
          <w:tag w:val="MENDELEY_CITATION_v3_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"/>
          <w:id w:val="1860620244"/>
          <w:placeholder>
            <w:docPart w:val="36F16859018E4D73A4DB19400F5FCA8C"/>
          </w:placeholder>
        </w:sdtPr>
        <w:sdtContent>
          <w:r w:rsidR="00282ABF" w:rsidRPr="00282ABF">
            <w:rPr>
              <w:rFonts w:ascii="Arial" w:hAnsi="Arial" w:cs="Arial"/>
              <w:color w:val="000000"/>
              <w:sz w:val="20"/>
              <w:szCs w:val="20"/>
              <w:shd w:val="clear" w:color="auto" w:fill="FFFFFF"/>
              <w:vertAlign w:val="superscript"/>
            </w:rPr>
            <w:t>5</w:t>
          </w:r>
          <w:proofErr w:type="spellEnd"/>
        </w:sdtContent>
      </w:sdt>
      <w:r w:rsidRPr="2D5B0A93">
        <w:rPr>
          <w:rFonts w:ascii="Arial" w:hAnsi="Arial" w:cs="Arial"/>
          <w:color w:val="1C1D1E"/>
          <w:sz w:val="20"/>
          <w:szCs w:val="20"/>
          <w:shd w:val="clear" w:color="auto" w:fill="FFFFFF"/>
        </w:rPr>
        <w:t xml:space="preserve">. Participants were instructed to keep a dot inside a pseudo-randomly moving circle on a computer screen by operating a </w:t>
      </w:r>
      <w:proofErr w:type="spellStart"/>
      <w:r w:rsidRPr="2D5B0A93">
        <w:rPr>
          <w:rFonts w:ascii="Arial" w:hAnsi="Arial" w:cs="Arial"/>
          <w:color w:val="1C1D1E"/>
          <w:sz w:val="20"/>
          <w:szCs w:val="20"/>
          <w:shd w:val="clear" w:color="auto" w:fill="FFFFFF"/>
        </w:rPr>
        <w:t>joystick</w:t>
      </w:r>
      <w:sdt>
        <w:sdtPr>
          <w:rPr>
            <w:rFonts w:ascii="Arial" w:hAnsi="Arial" w:cs="Arial"/>
            <w:color w:val="000000"/>
            <w:sz w:val="20"/>
            <w:szCs w:val="20"/>
            <w:shd w:val="clear" w:color="auto" w:fill="FFFFFF"/>
            <w:vertAlign w:val="superscript"/>
          </w:rPr>
          <w:tag w:val="MENDELEY_CITATION_v3_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"/>
          <w:id w:val="-173738815"/>
          <w:placeholder>
            <w:docPart w:val="36F16859018E4D73A4DB19400F5FCA8C"/>
          </w:placeholder>
        </w:sdtPr>
        <w:sdtContent>
          <w:r w:rsidR="00282ABF" w:rsidRPr="00282ABF">
            <w:rPr>
              <w:rFonts w:eastAsia="Times New Roman"/>
              <w:color w:val="000000"/>
              <w:sz w:val="20"/>
              <w:vertAlign w:val="superscript"/>
            </w:rPr>
            <w:t>6</w:t>
          </w:r>
          <w:proofErr w:type="spellEnd"/>
        </w:sdtContent>
      </w:sdt>
      <w:r w:rsidRPr="2D5B0A93">
        <w:rPr>
          <w:rFonts w:ascii="Arial" w:hAnsi="Arial" w:cs="Arial"/>
          <w:color w:val="1C1D1E"/>
          <w:sz w:val="20"/>
          <w:szCs w:val="20"/>
          <w:shd w:val="clear" w:color="auto" w:fill="FFFFFF"/>
        </w:rPr>
        <w:t xml:space="preserve">. When an effort was successful, the speed of the moving circle increased. Conversely, the speed decreased if the participant was not able to maintain the dot within the circle, resulting in a constant and individually adapted challenge throughout the procedure. The outcome of the test was the average speed of the moving circle as a percentage of the maximum speed of the circle. </w:t>
      </w:r>
    </w:p>
    <w:p w14:paraId="41F89200" w14:textId="4B7859C2" w:rsidR="00DD5EEE" w:rsidRPr="005D4716" w:rsidRDefault="00DD5EEE" w:rsidP="00DD5EEE">
      <w:pPr>
        <w:spacing w:line="276" w:lineRule="auto"/>
        <w:rPr>
          <w:rFonts w:ascii="Arial" w:hAnsi="Arial" w:cs="Arial"/>
          <w:color w:val="1C1D1E"/>
          <w:sz w:val="20"/>
          <w:szCs w:val="20"/>
          <w:shd w:val="clear" w:color="auto" w:fill="FFFFFF"/>
        </w:rPr>
      </w:pPr>
      <w:r w:rsidRPr="0014234A">
        <w:rPr>
          <w:rFonts w:ascii="Arial" w:hAnsi="Arial" w:cs="Arial"/>
          <w:color w:val="1C1D1E"/>
          <w:sz w:val="20"/>
          <w:szCs w:val="20"/>
          <w:shd w:val="clear" w:color="auto" w:fill="FFFFFF"/>
        </w:rPr>
        <w:t xml:space="preserve">Postural stability was measured objectively using a pot string meter based on the Wright </w:t>
      </w:r>
      <w:proofErr w:type="spellStart"/>
      <w:r w:rsidRPr="0014234A">
        <w:rPr>
          <w:rFonts w:ascii="Arial" w:hAnsi="Arial" w:cs="Arial"/>
          <w:color w:val="1C1D1E"/>
          <w:sz w:val="20"/>
          <w:szCs w:val="20"/>
          <w:shd w:val="clear" w:color="auto" w:fill="FFFFFF"/>
        </w:rPr>
        <w:t>ataxiameter</w:t>
      </w:r>
      <w:sdt>
        <w:sdtPr>
          <w:rPr>
            <w:rFonts w:ascii="Arial" w:hAnsi="Arial" w:cs="Arial"/>
            <w:color w:val="000000"/>
            <w:sz w:val="20"/>
            <w:szCs w:val="20"/>
            <w:shd w:val="clear" w:color="auto" w:fill="FFFFFF"/>
            <w:vertAlign w:val="superscript"/>
          </w:rPr>
          <w:tag w:val="MENDELEY_CITATION_v3_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"/>
          <w:id w:val="792560612"/>
          <w:placeholder>
            <w:docPart w:val="36F16859018E4D73A4DB19400F5FCA8C"/>
          </w:placeholder>
        </w:sdtPr>
        <w:sdtContent>
          <w:r w:rsidR="00282ABF" w:rsidRPr="00282ABF">
            <w:rPr>
              <w:rFonts w:ascii="Arial" w:hAnsi="Arial" w:cs="Arial"/>
              <w:color w:val="000000"/>
              <w:sz w:val="20"/>
              <w:szCs w:val="20"/>
              <w:shd w:val="clear" w:color="auto" w:fill="FFFFFF"/>
              <w:vertAlign w:val="superscript"/>
            </w:rPr>
            <w:t>7</w:t>
          </w:r>
          <w:proofErr w:type="spellEnd"/>
        </w:sdtContent>
      </w:sdt>
      <w:r w:rsidRPr="0014234A">
        <w:rPr>
          <w:rFonts w:ascii="Arial" w:hAnsi="Arial" w:cs="Arial"/>
          <w:color w:val="1C1D1E"/>
          <w:sz w:val="20"/>
          <w:szCs w:val="20"/>
          <w:shd w:val="clear" w:color="auto" w:fill="FFFFFF"/>
        </w:rPr>
        <w:t xml:space="preserve">. With a string attached to the waist, </w:t>
      </w:r>
      <w:r>
        <w:rPr>
          <w:rFonts w:ascii="Arial" w:hAnsi="Arial" w:cs="Arial"/>
          <w:color w:val="1C1D1E"/>
          <w:sz w:val="20"/>
          <w:szCs w:val="20"/>
          <w:shd w:val="clear" w:color="auto" w:fill="FFFFFF"/>
        </w:rPr>
        <w:t xml:space="preserve">participants </w:t>
      </w:r>
      <w:r w:rsidRPr="0014234A">
        <w:rPr>
          <w:rFonts w:ascii="Arial" w:hAnsi="Arial" w:cs="Arial"/>
          <w:color w:val="1C1D1E"/>
          <w:sz w:val="20"/>
          <w:szCs w:val="20"/>
          <w:shd w:val="clear" w:color="auto" w:fill="FFFFFF"/>
        </w:rPr>
        <w:t xml:space="preserve">were asked to stand still with their eyes closed for a period of 2 minutes. All anteroposterior body movements over time were integrated and expressed as body sway in mm. </w:t>
      </w:r>
    </w:p>
    <w:p w14:paraId="7805D00E" w14:textId="5A18A293" w:rsidR="00DD5EEE" w:rsidRPr="00410DB8" w:rsidRDefault="00DD5EEE" w:rsidP="00DD5EEE">
      <w:pPr>
        <w:spacing w:line="276" w:lineRule="auto"/>
        <w:rPr>
          <w:rFonts w:ascii="Arial" w:hAnsi="Arial" w:cs="Arial"/>
          <w:color w:val="000000"/>
          <w:sz w:val="20"/>
          <w:szCs w:val="20"/>
          <w:shd w:val="clear" w:color="auto" w:fill="FFFFFF"/>
          <w:lang w:val="en-GB"/>
        </w:rPr>
      </w:pPr>
      <w:r w:rsidRPr="0030003D">
        <w:rPr>
          <w:rFonts w:ascii="Arial" w:hAnsi="Arial" w:cs="Arial"/>
          <w:sz w:val="20"/>
          <w:szCs w:val="20"/>
          <w:lang w:val="en-GB"/>
        </w:rPr>
        <w:t xml:space="preserve">The </w:t>
      </w:r>
      <w:r w:rsidRPr="68DF7F12">
        <w:rPr>
          <w:rFonts w:ascii="Arial" w:hAnsi="Arial" w:cs="Arial"/>
          <w:color w:val="1C1D1E"/>
          <w:sz w:val="20"/>
          <w:szCs w:val="20"/>
          <w:shd w:val="clear" w:color="auto" w:fill="FFFFFF"/>
          <w:lang w:val="en-GB"/>
        </w:rPr>
        <w:t xml:space="preserve">Bond and Lader Visual Analogue Scales (VAS) were used to evaluate scores from a series of horizontal bipolar scales related to how a person feels, ranging from 0 to 100, where values of 0 and 100 represented opposing subjective states and a value of 50 represented the neutral state. From these measurements, the outcomes for ‘Alertness’, ‘Mood’ and ‘Calmness’ were calculated as described </w:t>
      </w:r>
      <w:proofErr w:type="spellStart"/>
      <w:r w:rsidRPr="68DF7F12">
        <w:rPr>
          <w:rFonts w:ascii="Arial" w:hAnsi="Arial" w:cs="Arial"/>
          <w:color w:val="1C1D1E"/>
          <w:sz w:val="20"/>
          <w:szCs w:val="20"/>
          <w:shd w:val="clear" w:color="auto" w:fill="FFFFFF"/>
          <w:lang w:val="en-GB"/>
        </w:rPr>
        <w:t>previously</w:t>
      </w:r>
      <w:sdt>
        <w:sdtPr>
          <w:rPr>
            <w:rFonts w:ascii="Arial" w:hAnsi="Arial" w:cs="Arial"/>
            <w:color w:val="000000"/>
            <w:sz w:val="20"/>
            <w:szCs w:val="20"/>
            <w:shd w:val="clear" w:color="auto" w:fill="FFFFFF"/>
            <w:vertAlign w:val="superscript"/>
          </w:rPr>
          <w:tag w:val="MENDELEY_CITATION_v3_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"/>
          <w:id w:val="-1318495127"/>
          <w:placeholder>
            <w:docPart w:val="36F16859018E4D73A4DB19400F5FCA8C"/>
          </w:placeholder>
        </w:sdtPr>
        <w:sdtContent>
          <w:r w:rsidR="00282ABF" w:rsidRPr="00282ABF">
            <w:rPr>
              <w:rFonts w:ascii="Arial" w:hAnsi="Arial" w:cs="Arial"/>
              <w:color w:val="000000"/>
              <w:sz w:val="20"/>
              <w:szCs w:val="20"/>
              <w:shd w:val="clear" w:color="auto" w:fill="FFFFFF"/>
              <w:vertAlign w:val="superscript"/>
              <w:lang w:val="en-GB"/>
            </w:rPr>
            <w:t>8</w:t>
          </w:r>
          <w:proofErr w:type="spellEnd"/>
        </w:sdtContent>
      </w:sdt>
      <w:r w:rsidRPr="68DF7F12">
        <w:rPr>
          <w:rFonts w:ascii="Arial" w:hAnsi="Arial" w:cs="Arial"/>
          <w:color w:val="000000"/>
          <w:sz w:val="20"/>
          <w:szCs w:val="20"/>
          <w:shd w:val="clear" w:color="auto" w:fill="FFFFFF"/>
          <w:lang w:val="en-GB"/>
        </w:rPr>
        <w:t xml:space="preserve">. </w:t>
      </w:r>
      <w:r>
        <w:rPr>
          <w:rFonts w:ascii="Arial" w:hAnsi="Arial" w:cs="Arial"/>
          <w:sz w:val="20"/>
          <w:szCs w:val="20"/>
          <w:lang w:val="en-GB"/>
        </w:rPr>
        <w:t>S</w:t>
      </w:r>
      <w:r w:rsidRPr="0014234A">
        <w:rPr>
          <w:rFonts w:ascii="Arial" w:hAnsi="Arial" w:cs="Arial"/>
          <w:sz w:val="20"/>
          <w:szCs w:val="20"/>
          <w:lang w:val="en-GB"/>
        </w:rPr>
        <w:t>ubjective psychedelic effects</w:t>
      </w:r>
      <w:r>
        <w:rPr>
          <w:rFonts w:ascii="Arial" w:hAnsi="Arial" w:cs="Arial"/>
          <w:sz w:val="20"/>
          <w:szCs w:val="20"/>
          <w:lang w:val="en-GB"/>
        </w:rPr>
        <w:t xml:space="preserve"> were evaluated using the VAS according to Bowdle and the outcomes were scores o</w:t>
      </w:r>
      <w:r w:rsidRPr="0014234A">
        <w:rPr>
          <w:rFonts w:ascii="Arial" w:hAnsi="Arial" w:cs="Arial"/>
          <w:sz w:val="20"/>
          <w:szCs w:val="20"/>
          <w:lang w:val="en-GB"/>
        </w:rPr>
        <w:t>f</w:t>
      </w:r>
      <w:r>
        <w:rPr>
          <w:rFonts w:ascii="Arial" w:hAnsi="Arial" w:cs="Arial"/>
          <w:sz w:val="20"/>
          <w:szCs w:val="20"/>
          <w:lang w:val="en-GB"/>
        </w:rPr>
        <w:t xml:space="preserve"> “Internal Perception”, “External Perception” and</w:t>
      </w:r>
      <w:r w:rsidRPr="0014234A">
        <w:rPr>
          <w:rFonts w:ascii="Arial" w:hAnsi="Arial" w:cs="Arial"/>
          <w:sz w:val="20"/>
          <w:szCs w:val="20"/>
          <w:lang w:val="en-GB"/>
        </w:rPr>
        <w:t xml:space="preserve"> “Feeling High”</w:t>
      </w:r>
      <w:r>
        <w:rPr>
          <w:rFonts w:ascii="Arial" w:hAnsi="Arial" w:cs="Arial"/>
          <w:sz w:val="20"/>
          <w:szCs w:val="20"/>
          <w:lang w:val="en-GB"/>
        </w:rPr>
        <w:t xml:space="preserve"> on</w:t>
      </w:r>
      <w:r w:rsidRPr="0014234A">
        <w:rPr>
          <w:rFonts w:ascii="Arial" w:hAnsi="Arial" w:cs="Arial"/>
          <w:sz w:val="20"/>
          <w:szCs w:val="20"/>
          <w:lang w:val="en-GB"/>
        </w:rPr>
        <w:t xml:space="preserve"> a scale of 0 </w:t>
      </w:r>
      <w:r>
        <w:rPr>
          <w:rFonts w:ascii="Arial" w:hAnsi="Arial" w:cs="Arial"/>
          <w:sz w:val="20"/>
          <w:szCs w:val="20"/>
          <w:lang w:val="en-GB"/>
        </w:rPr>
        <w:t>to</w:t>
      </w:r>
      <w:r w:rsidRPr="0014234A">
        <w:rPr>
          <w:rFonts w:ascii="Arial" w:hAnsi="Arial" w:cs="Arial"/>
          <w:sz w:val="20"/>
          <w:szCs w:val="20"/>
          <w:lang w:val="en-GB"/>
        </w:rPr>
        <w:t xml:space="preserve"> 100 </w:t>
      </w:r>
      <w:proofErr w:type="spellStart"/>
      <w:r w:rsidRPr="0014234A">
        <w:rPr>
          <w:rFonts w:ascii="Arial" w:hAnsi="Arial" w:cs="Arial"/>
          <w:sz w:val="20"/>
          <w:szCs w:val="20"/>
          <w:lang w:val="en-GB"/>
        </w:rPr>
        <w:t>mm</w:t>
      </w:r>
      <w:sdt>
        <w:sdtPr>
          <w:rPr>
            <w:rFonts w:ascii="Arial" w:hAnsi="Arial" w:cs="Arial"/>
            <w:color w:val="000000"/>
            <w:sz w:val="20"/>
            <w:szCs w:val="20"/>
            <w:vertAlign w:val="superscript"/>
            <w:lang w:val="en-GB"/>
          </w:rPr>
          <w:tag w:val="MENDELEY_CITATION_v3_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"/>
          <w:id w:val="-12377689"/>
          <w:placeholder>
            <w:docPart w:val="36F16859018E4D73A4DB19400F5FCA8C"/>
          </w:placeholder>
        </w:sdtPr>
        <w:sdtContent>
          <w:r w:rsidR="00282ABF" w:rsidRPr="00282ABF">
            <w:rPr>
              <w:rFonts w:ascii="Arial" w:hAnsi="Arial" w:cs="Arial"/>
              <w:color w:val="000000"/>
              <w:sz w:val="20"/>
              <w:szCs w:val="20"/>
              <w:vertAlign w:val="superscript"/>
              <w:lang w:val="en-GB"/>
            </w:rPr>
            <w:t>9,10</w:t>
          </w:r>
          <w:proofErr w:type="spellEnd"/>
        </w:sdtContent>
      </w:sdt>
      <w:r w:rsidRPr="0014234A">
        <w:rPr>
          <w:rFonts w:ascii="Arial" w:hAnsi="Arial" w:cs="Arial"/>
          <w:sz w:val="20"/>
          <w:szCs w:val="20"/>
          <w:lang w:val="en-GB"/>
        </w:rPr>
        <w:t>.</w:t>
      </w:r>
    </w:p>
    <w:p w14:paraId="120BA2EC" w14:textId="69691B8F" w:rsidR="00DD5EEE" w:rsidRDefault="00DD5EEE" w:rsidP="00DD5EEE">
      <w:pPr>
        <w:spacing w:line="276" w:lineRule="auto"/>
        <w:rPr>
          <w:rFonts w:ascii="Arial" w:hAnsi="Arial" w:cs="Arial"/>
          <w:sz w:val="20"/>
          <w:szCs w:val="20"/>
          <w:lang w:val="en-GB"/>
        </w:rPr>
      </w:pPr>
      <w:r>
        <w:rPr>
          <w:rFonts w:ascii="Arial" w:hAnsi="Arial" w:cs="Arial"/>
          <w:sz w:val="20"/>
          <w:szCs w:val="20"/>
          <w:lang w:val="en-GB"/>
        </w:rPr>
        <w:t>W</w:t>
      </w:r>
      <w:r w:rsidRPr="00983637">
        <w:rPr>
          <w:rFonts w:ascii="Arial" w:hAnsi="Arial" w:cs="Arial"/>
          <w:sz w:val="20"/>
          <w:szCs w:val="20"/>
          <w:lang w:val="en-GB"/>
        </w:rPr>
        <w:t>orking memory</w:t>
      </w:r>
      <w:r>
        <w:rPr>
          <w:rFonts w:ascii="Arial" w:hAnsi="Arial" w:cs="Arial"/>
          <w:sz w:val="20"/>
          <w:szCs w:val="20"/>
          <w:lang w:val="en-GB"/>
        </w:rPr>
        <w:t xml:space="preserve"> was evaluated using a computerised version of the N-Back </w:t>
      </w:r>
      <w:proofErr w:type="spellStart"/>
      <w:r>
        <w:rPr>
          <w:rFonts w:ascii="Arial" w:hAnsi="Arial" w:cs="Arial"/>
          <w:sz w:val="20"/>
          <w:szCs w:val="20"/>
          <w:lang w:val="en-GB"/>
        </w:rPr>
        <w:t>test</w:t>
      </w:r>
      <w:sdt>
        <w:sdtPr>
          <w:rPr>
            <w:rFonts w:ascii="Arial" w:hAnsi="Arial" w:cs="Arial"/>
            <w:color w:val="000000"/>
            <w:sz w:val="20"/>
            <w:szCs w:val="20"/>
            <w:vertAlign w:val="superscript"/>
            <w:lang w:val="en-GB"/>
          </w:rPr>
          <w:tag w:val="MENDELEY_CITATION_v3_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"/>
          <w:id w:val="-1245412678"/>
          <w:placeholder>
            <w:docPart w:val="36F16859018E4D73A4DB19400F5FCA8C"/>
          </w:placeholder>
        </w:sdtPr>
        <w:sdtContent>
          <w:r w:rsidR="00282ABF" w:rsidRPr="00282ABF">
            <w:rPr>
              <w:rFonts w:ascii="Arial" w:hAnsi="Arial" w:cs="Arial"/>
              <w:color w:val="000000"/>
              <w:sz w:val="20"/>
              <w:szCs w:val="20"/>
              <w:vertAlign w:val="superscript"/>
              <w:lang w:val="en-GB"/>
            </w:rPr>
            <w:t>11</w:t>
          </w:r>
          <w:proofErr w:type="spellEnd"/>
        </w:sdtContent>
      </w:sdt>
      <w:r>
        <w:rPr>
          <w:rFonts w:ascii="Arial" w:hAnsi="Arial" w:cs="Arial"/>
          <w:sz w:val="20"/>
          <w:szCs w:val="20"/>
          <w:lang w:val="en-GB"/>
        </w:rPr>
        <w:t>. Three conditions were tested: in the “0-back” condition, participants were required to indicate whether the presented letter was the target letter (‘X’) or another letter. In the “1-back” condition, the participants were required to indicate whether the letter presented was a repetition of the previous letter (e.g., B … B), and in the “2-back” condition, whether the letter was repeated with one letter in between (e.g., B … C … B). Reaction speed and ratio of</w:t>
      </w:r>
      <w:r w:rsidR="006A0E09">
        <w:rPr>
          <w:rFonts w:ascii="Arial" w:hAnsi="Arial" w:cs="Arial"/>
          <w:sz w:val="20"/>
          <w:szCs w:val="20"/>
          <w:lang w:val="en-GB"/>
        </w:rPr>
        <w:t xml:space="preserve"> the difference between</w:t>
      </w:r>
      <w:r>
        <w:rPr>
          <w:rFonts w:ascii="Arial" w:hAnsi="Arial" w:cs="Arial"/>
          <w:sz w:val="20"/>
          <w:szCs w:val="20"/>
          <w:lang w:val="en-GB"/>
        </w:rPr>
        <w:t xml:space="preserve"> </w:t>
      </w:r>
      <w:r w:rsidR="004A1B5C">
        <w:rPr>
          <w:rFonts w:ascii="Arial" w:hAnsi="Arial" w:cs="Arial"/>
          <w:sz w:val="20"/>
          <w:szCs w:val="20"/>
          <w:lang w:val="en-GB"/>
        </w:rPr>
        <w:t xml:space="preserve">the number of </w:t>
      </w:r>
      <w:r>
        <w:rPr>
          <w:rFonts w:ascii="Arial" w:hAnsi="Arial" w:cs="Arial"/>
          <w:sz w:val="20"/>
          <w:szCs w:val="20"/>
          <w:lang w:val="en-GB"/>
        </w:rPr>
        <w:t>correct to incorrect responses</w:t>
      </w:r>
      <w:r w:rsidR="001B4632">
        <w:rPr>
          <w:rFonts w:ascii="Arial" w:hAnsi="Arial" w:cs="Arial"/>
          <w:sz w:val="20"/>
          <w:szCs w:val="20"/>
          <w:lang w:val="en-GB"/>
        </w:rPr>
        <w:t xml:space="preserve"> and the total</w:t>
      </w:r>
      <w:r w:rsidR="004A1B5C">
        <w:rPr>
          <w:rFonts w:ascii="Arial" w:hAnsi="Arial" w:cs="Arial"/>
          <w:sz w:val="20"/>
          <w:szCs w:val="20"/>
          <w:lang w:val="en-GB"/>
        </w:rPr>
        <w:t xml:space="preserve"> number of</w:t>
      </w:r>
      <w:r w:rsidR="001B4632">
        <w:rPr>
          <w:rFonts w:ascii="Arial" w:hAnsi="Arial" w:cs="Arial"/>
          <w:sz w:val="20"/>
          <w:szCs w:val="20"/>
          <w:lang w:val="en-GB"/>
        </w:rPr>
        <w:t xml:space="preserve"> </w:t>
      </w:r>
      <w:r w:rsidR="004A1B5C">
        <w:rPr>
          <w:rFonts w:ascii="Arial" w:hAnsi="Arial" w:cs="Arial"/>
          <w:sz w:val="20"/>
          <w:szCs w:val="20"/>
          <w:lang w:val="en-GB"/>
        </w:rPr>
        <w:t xml:space="preserve">responses </w:t>
      </w:r>
      <w:r w:rsidR="001B4632">
        <w:rPr>
          <w:rFonts w:ascii="Arial" w:hAnsi="Arial" w:cs="Arial"/>
          <w:sz w:val="20"/>
          <w:szCs w:val="20"/>
          <w:lang w:val="en-GB"/>
        </w:rPr>
        <w:t>((</w:t>
      </w:r>
      <w:proofErr w:type="spellStart"/>
      <w:r w:rsidR="001B4632">
        <w:rPr>
          <w:rFonts w:ascii="Arial" w:hAnsi="Arial" w:cs="Arial"/>
          <w:sz w:val="20"/>
          <w:szCs w:val="20"/>
          <w:lang w:val="en-GB"/>
        </w:rPr>
        <w:t>corr-incorr</w:t>
      </w:r>
      <w:proofErr w:type="spellEnd"/>
      <w:r w:rsidR="001B4632">
        <w:rPr>
          <w:rFonts w:ascii="Arial" w:hAnsi="Arial" w:cs="Arial"/>
          <w:sz w:val="20"/>
          <w:szCs w:val="20"/>
          <w:lang w:val="en-GB"/>
        </w:rPr>
        <w:t>)/total))</w:t>
      </w:r>
      <w:r>
        <w:rPr>
          <w:rFonts w:ascii="Arial" w:hAnsi="Arial" w:cs="Arial"/>
          <w:sz w:val="20"/>
          <w:szCs w:val="20"/>
          <w:lang w:val="en-GB"/>
        </w:rPr>
        <w:t xml:space="preserve"> was reported for each condition. </w:t>
      </w:r>
    </w:p>
    <w:p w14:paraId="7971F335" w14:textId="59E781FD" w:rsidR="00467D7A" w:rsidRDefault="00DD5EEE" w:rsidP="00D2463B">
      <w:pPr>
        <w:spacing w:line="276" w:lineRule="auto"/>
        <w:rPr>
          <w:rFonts w:ascii="Arial" w:hAnsi="Arial" w:cs="Arial"/>
          <w:sz w:val="20"/>
          <w:szCs w:val="20"/>
          <w:lang w:val="en-GB"/>
        </w:rPr>
      </w:pPr>
      <w:r w:rsidRPr="004D4BEB">
        <w:rPr>
          <w:rFonts w:ascii="Arial" w:hAnsi="Arial" w:cs="Arial"/>
          <w:sz w:val="20"/>
          <w:szCs w:val="20"/>
          <w:lang w:val="en-GB"/>
        </w:rPr>
        <w:t>The Visual Verbal Learning Test (</w:t>
      </w:r>
      <w:proofErr w:type="spellStart"/>
      <w:r w:rsidRPr="004D4BEB">
        <w:rPr>
          <w:rFonts w:ascii="Arial" w:hAnsi="Arial" w:cs="Arial"/>
          <w:sz w:val="20"/>
          <w:szCs w:val="20"/>
          <w:lang w:val="en-GB"/>
        </w:rPr>
        <w:t>VVLT</w:t>
      </w:r>
      <w:proofErr w:type="spellEnd"/>
      <w:r w:rsidRPr="004D4BEB">
        <w:rPr>
          <w:rFonts w:ascii="Arial" w:hAnsi="Arial" w:cs="Arial"/>
          <w:sz w:val="20"/>
          <w:szCs w:val="20"/>
          <w:lang w:val="en-GB"/>
        </w:rPr>
        <w:t>)</w:t>
      </w:r>
      <w:r>
        <w:rPr>
          <w:rFonts w:ascii="Arial" w:hAnsi="Arial" w:cs="Arial"/>
          <w:sz w:val="20"/>
          <w:szCs w:val="20"/>
          <w:lang w:val="en-GB"/>
        </w:rPr>
        <w:t xml:space="preserve"> evaluated episodic memory and learning behaviour. Participants</w:t>
      </w:r>
      <w:r w:rsidRPr="00F20370">
        <w:rPr>
          <w:rFonts w:ascii="Arial" w:hAnsi="Arial" w:cs="Arial"/>
          <w:sz w:val="20"/>
          <w:szCs w:val="20"/>
          <w:lang w:val="en-GB"/>
        </w:rPr>
        <w:t xml:space="preserve"> </w:t>
      </w:r>
      <w:r>
        <w:rPr>
          <w:rFonts w:ascii="Arial" w:hAnsi="Arial" w:cs="Arial"/>
          <w:sz w:val="20"/>
          <w:szCs w:val="20"/>
          <w:lang w:val="en-GB"/>
        </w:rPr>
        <w:t>were</w:t>
      </w:r>
      <w:r w:rsidRPr="00F20370">
        <w:rPr>
          <w:rFonts w:ascii="Arial" w:hAnsi="Arial" w:cs="Arial"/>
          <w:sz w:val="20"/>
          <w:szCs w:val="20"/>
          <w:lang w:val="en-GB"/>
        </w:rPr>
        <w:t xml:space="preserve"> presented 30 words in three consecutive word</w:t>
      </w:r>
      <w:r>
        <w:rPr>
          <w:rFonts w:ascii="Arial" w:hAnsi="Arial" w:cs="Arial"/>
          <w:sz w:val="20"/>
          <w:szCs w:val="20"/>
          <w:lang w:val="en-GB"/>
        </w:rPr>
        <w:t xml:space="preserve"> </w:t>
      </w:r>
      <w:r w:rsidRPr="00F20370">
        <w:rPr>
          <w:rFonts w:ascii="Arial" w:hAnsi="Arial" w:cs="Arial"/>
          <w:sz w:val="20"/>
          <w:szCs w:val="20"/>
          <w:lang w:val="en-GB"/>
        </w:rPr>
        <w:t>trials</w:t>
      </w:r>
      <w:r>
        <w:rPr>
          <w:rFonts w:ascii="Arial" w:hAnsi="Arial" w:cs="Arial"/>
          <w:sz w:val="20"/>
          <w:szCs w:val="20"/>
          <w:lang w:val="en-GB"/>
        </w:rPr>
        <w:t>.</w:t>
      </w:r>
      <w:r w:rsidRPr="00F20370">
        <w:rPr>
          <w:rFonts w:ascii="Arial" w:hAnsi="Arial" w:cs="Arial"/>
          <w:sz w:val="20"/>
          <w:szCs w:val="20"/>
          <w:lang w:val="en-GB"/>
        </w:rPr>
        <w:t xml:space="preserve"> Each trial end</w:t>
      </w:r>
      <w:r>
        <w:rPr>
          <w:rFonts w:ascii="Arial" w:hAnsi="Arial" w:cs="Arial"/>
          <w:sz w:val="20"/>
          <w:szCs w:val="20"/>
          <w:lang w:val="en-GB"/>
        </w:rPr>
        <w:t>ed</w:t>
      </w:r>
      <w:r w:rsidRPr="00F20370">
        <w:rPr>
          <w:rFonts w:ascii="Arial" w:hAnsi="Arial" w:cs="Arial"/>
          <w:sz w:val="20"/>
          <w:szCs w:val="20"/>
          <w:lang w:val="en-GB"/>
        </w:rPr>
        <w:t xml:space="preserve"> with</w:t>
      </w:r>
      <w:r>
        <w:rPr>
          <w:rFonts w:ascii="Arial" w:hAnsi="Arial" w:cs="Arial"/>
          <w:sz w:val="20"/>
          <w:szCs w:val="20"/>
          <w:lang w:val="en-GB"/>
        </w:rPr>
        <w:t xml:space="preserve"> the ’immediate recall’</w:t>
      </w:r>
      <w:r w:rsidRPr="00F20370">
        <w:rPr>
          <w:rFonts w:ascii="Arial" w:hAnsi="Arial" w:cs="Arial"/>
          <w:sz w:val="20"/>
          <w:szCs w:val="20"/>
          <w:lang w:val="en-GB"/>
        </w:rPr>
        <w:t xml:space="preserve"> of the presented</w:t>
      </w:r>
      <w:r>
        <w:rPr>
          <w:rFonts w:ascii="Arial" w:hAnsi="Arial" w:cs="Arial"/>
          <w:sz w:val="20"/>
          <w:szCs w:val="20"/>
          <w:lang w:val="en-GB"/>
        </w:rPr>
        <w:t xml:space="preserve"> </w:t>
      </w:r>
      <w:r w:rsidRPr="00F20370">
        <w:rPr>
          <w:rFonts w:ascii="Arial" w:hAnsi="Arial" w:cs="Arial"/>
          <w:sz w:val="20"/>
          <w:szCs w:val="20"/>
          <w:lang w:val="en-GB"/>
        </w:rPr>
        <w:t>words to determine acquisition and consolidation of information.</w:t>
      </w:r>
      <w:r>
        <w:rPr>
          <w:rFonts w:ascii="Arial" w:hAnsi="Arial" w:cs="Arial"/>
          <w:sz w:val="20"/>
          <w:szCs w:val="20"/>
          <w:lang w:val="en-GB"/>
        </w:rPr>
        <w:t xml:space="preserve"> </w:t>
      </w:r>
      <w:r w:rsidRPr="00F20370">
        <w:rPr>
          <w:rFonts w:ascii="Arial" w:hAnsi="Arial" w:cs="Arial"/>
          <w:sz w:val="20"/>
          <w:szCs w:val="20"/>
          <w:lang w:val="en-GB"/>
        </w:rPr>
        <w:t xml:space="preserve">Approximately thirty minutes after </w:t>
      </w:r>
      <w:r>
        <w:rPr>
          <w:rFonts w:ascii="Arial" w:hAnsi="Arial" w:cs="Arial"/>
          <w:sz w:val="20"/>
          <w:szCs w:val="20"/>
          <w:lang w:val="en-GB"/>
        </w:rPr>
        <w:t xml:space="preserve">the </w:t>
      </w:r>
      <w:r w:rsidRPr="00F20370">
        <w:rPr>
          <w:rFonts w:ascii="Arial" w:hAnsi="Arial" w:cs="Arial"/>
          <w:sz w:val="20"/>
          <w:szCs w:val="20"/>
          <w:lang w:val="en-GB"/>
        </w:rPr>
        <w:t xml:space="preserve">first trial, the </w:t>
      </w:r>
      <w:r>
        <w:rPr>
          <w:rFonts w:ascii="Arial" w:hAnsi="Arial" w:cs="Arial"/>
          <w:sz w:val="20"/>
          <w:szCs w:val="20"/>
          <w:lang w:val="en-GB"/>
        </w:rPr>
        <w:t>participants</w:t>
      </w:r>
      <w:r w:rsidRPr="00F20370">
        <w:rPr>
          <w:rFonts w:ascii="Arial" w:hAnsi="Arial" w:cs="Arial"/>
          <w:sz w:val="20"/>
          <w:szCs w:val="20"/>
          <w:lang w:val="en-GB"/>
        </w:rPr>
        <w:t xml:space="preserve"> </w:t>
      </w:r>
      <w:r>
        <w:rPr>
          <w:rFonts w:ascii="Arial" w:hAnsi="Arial" w:cs="Arial"/>
          <w:sz w:val="20"/>
          <w:szCs w:val="20"/>
          <w:lang w:val="en-GB"/>
        </w:rPr>
        <w:t>were</w:t>
      </w:r>
      <w:r w:rsidRPr="00F20370">
        <w:rPr>
          <w:rFonts w:ascii="Arial" w:hAnsi="Arial" w:cs="Arial"/>
          <w:sz w:val="20"/>
          <w:szCs w:val="20"/>
          <w:lang w:val="en-GB"/>
        </w:rPr>
        <w:t xml:space="preserve"> asked to recall as many</w:t>
      </w:r>
      <w:r>
        <w:rPr>
          <w:rFonts w:ascii="Arial" w:hAnsi="Arial" w:cs="Arial"/>
          <w:sz w:val="20"/>
          <w:szCs w:val="20"/>
          <w:lang w:val="en-GB"/>
        </w:rPr>
        <w:t xml:space="preserve"> </w:t>
      </w:r>
      <w:r w:rsidRPr="00F20370">
        <w:rPr>
          <w:rFonts w:ascii="Arial" w:hAnsi="Arial" w:cs="Arial"/>
          <w:sz w:val="20"/>
          <w:szCs w:val="20"/>
          <w:lang w:val="en-GB"/>
        </w:rPr>
        <w:t xml:space="preserve">words as possible </w:t>
      </w:r>
      <w:r>
        <w:rPr>
          <w:rFonts w:ascii="Arial" w:hAnsi="Arial" w:cs="Arial"/>
          <w:sz w:val="20"/>
          <w:szCs w:val="20"/>
          <w:lang w:val="en-GB"/>
        </w:rPr>
        <w:t>in the ‘d</w:t>
      </w:r>
      <w:r w:rsidRPr="00F20370">
        <w:rPr>
          <w:rFonts w:ascii="Arial" w:hAnsi="Arial" w:cs="Arial"/>
          <w:sz w:val="20"/>
          <w:szCs w:val="20"/>
          <w:lang w:val="en-GB"/>
        </w:rPr>
        <w:t xml:space="preserve">elayed </w:t>
      </w:r>
      <w:r>
        <w:rPr>
          <w:rFonts w:ascii="Arial" w:hAnsi="Arial" w:cs="Arial"/>
          <w:sz w:val="20"/>
          <w:szCs w:val="20"/>
          <w:lang w:val="en-GB"/>
        </w:rPr>
        <w:t>r</w:t>
      </w:r>
      <w:r w:rsidRPr="00F20370">
        <w:rPr>
          <w:rFonts w:ascii="Arial" w:hAnsi="Arial" w:cs="Arial"/>
          <w:sz w:val="20"/>
          <w:szCs w:val="20"/>
          <w:lang w:val="en-GB"/>
        </w:rPr>
        <w:t>ecall</w:t>
      </w:r>
      <w:r>
        <w:rPr>
          <w:rFonts w:ascii="Arial" w:hAnsi="Arial" w:cs="Arial"/>
          <w:sz w:val="20"/>
          <w:szCs w:val="20"/>
          <w:lang w:val="en-GB"/>
        </w:rPr>
        <w:t xml:space="preserve">’ task to </w:t>
      </w:r>
      <w:r w:rsidRPr="00F20370">
        <w:rPr>
          <w:rFonts w:ascii="Arial" w:hAnsi="Arial" w:cs="Arial"/>
          <w:sz w:val="20"/>
          <w:szCs w:val="20"/>
          <w:lang w:val="en-GB"/>
        </w:rPr>
        <w:t>measure active retrieval from long term memory</w:t>
      </w:r>
      <w:r>
        <w:rPr>
          <w:rFonts w:ascii="Arial" w:hAnsi="Arial" w:cs="Arial"/>
          <w:sz w:val="20"/>
          <w:szCs w:val="20"/>
          <w:lang w:val="en-GB"/>
        </w:rPr>
        <w:t>, and i</w:t>
      </w:r>
      <w:r w:rsidRPr="00F20370">
        <w:rPr>
          <w:rFonts w:ascii="Arial" w:hAnsi="Arial" w:cs="Arial"/>
          <w:sz w:val="20"/>
          <w:szCs w:val="20"/>
          <w:lang w:val="en-GB"/>
        </w:rPr>
        <w:t>mmediately thereafter</w:t>
      </w:r>
      <w:r>
        <w:rPr>
          <w:rFonts w:ascii="Arial" w:hAnsi="Arial" w:cs="Arial"/>
          <w:sz w:val="20"/>
          <w:szCs w:val="20"/>
          <w:lang w:val="en-GB"/>
        </w:rPr>
        <w:t xml:space="preserve"> the ‘delayed recognition’</w:t>
      </w:r>
      <w:r w:rsidRPr="00F20370">
        <w:rPr>
          <w:rFonts w:ascii="Arial" w:hAnsi="Arial" w:cs="Arial"/>
          <w:sz w:val="20"/>
          <w:szCs w:val="20"/>
          <w:lang w:val="en-GB"/>
        </w:rPr>
        <w:t xml:space="preserve"> test, which </w:t>
      </w:r>
      <w:r>
        <w:rPr>
          <w:rFonts w:ascii="Arial" w:hAnsi="Arial" w:cs="Arial"/>
          <w:sz w:val="20"/>
          <w:szCs w:val="20"/>
          <w:lang w:val="en-GB"/>
        </w:rPr>
        <w:t xml:space="preserve">measured memory storage and </w:t>
      </w:r>
      <w:r w:rsidRPr="00F20370">
        <w:rPr>
          <w:rFonts w:ascii="Arial" w:hAnsi="Arial" w:cs="Arial"/>
          <w:sz w:val="20"/>
          <w:szCs w:val="20"/>
          <w:lang w:val="en-GB"/>
        </w:rPr>
        <w:t>consist</w:t>
      </w:r>
      <w:r>
        <w:rPr>
          <w:rFonts w:ascii="Arial" w:hAnsi="Arial" w:cs="Arial"/>
          <w:sz w:val="20"/>
          <w:szCs w:val="20"/>
          <w:lang w:val="en-GB"/>
        </w:rPr>
        <w:t>ed</w:t>
      </w:r>
      <w:r w:rsidRPr="00F20370">
        <w:rPr>
          <w:rFonts w:ascii="Arial" w:hAnsi="Arial" w:cs="Arial"/>
          <w:sz w:val="20"/>
          <w:szCs w:val="20"/>
          <w:lang w:val="en-GB"/>
        </w:rPr>
        <w:t xml:space="preserve"> of 15</w:t>
      </w:r>
      <w:r>
        <w:rPr>
          <w:rFonts w:ascii="Arial" w:hAnsi="Arial" w:cs="Arial"/>
          <w:sz w:val="20"/>
          <w:szCs w:val="20"/>
          <w:lang w:val="en-GB"/>
        </w:rPr>
        <w:t xml:space="preserve"> </w:t>
      </w:r>
      <w:r w:rsidRPr="00F20370">
        <w:rPr>
          <w:rFonts w:ascii="Arial" w:hAnsi="Arial" w:cs="Arial"/>
          <w:sz w:val="20"/>
          <w:szCs w:val="20"/>
          <w:lang w:val="en-GB"/>
        </w:rPr>
        <w:t>presented words and 15 ‘distractors’</w:t>
      </w:r>
      <w:r>
        <w:rPr>
          <w:rFonts w:ascii="Arial" w:hAnsi="Arial" w:cs="Arial"/>
          <w:sz w:val="20"/>
          <w:szCs w:val="20"/>
          <w:lang w:val="en-GB"/>
        </w:rPr>
        <w:t>.</w:t>
      </w:r>
      <w:r w:rsidRPr="00F20370">
        <w:rPr>
          <w:rFonts w:ascii="Arial" w:hAnsi="Arial" w:cs="Arial"/>
          <w:sz w:val="20"/>
          <w:szCs w:val="20"/>
          <w:lang w:val="en-GB"/>
        </w:rPr>
        <w:t xml:space="preserve"> </w:t>
      </w:r>
      <w:r>
        <w:rPr>
          <w:rFonts w:ascii="Arial" w:hAnsi="Arial" w:cs="Arial"/>
          <w:sz w:val="20"/>
          <w:szCs w:val="20"/>
          <w:lang w:val="en-GB"/>
        </w:rPr>
        <w:t>Distinct word lists were available for each study visit.</w:t>
      </w:r>
    </w:p>
    <w:p w14:paraId="2172B548" w14:textId="77777777" w:rsidR="00467D7A" w:rsidRDefault="00467D7A">
      <w:pPr>
        <w:rPr>
          <w:rFonts w:ascii="Arial" w:hAnsi="Arial" w:cs="Arial"/>
          <w:sz w:val="20"/>
          <w:szCs w:val="20"/>
          <w:lang w:val="en-GB"/>
        </w:rPr>
      </w:pPr>
      <w:r>
        <w:rPr>
          <w:rFonts w:ascii="Arial" w:hAnsi="Arial" w:cs="Arial"/>
          <w:sz w:val="20"/>
          <w:szCs w:val="20"/>
          <w:lang w:val="en-GB"/>
        </w:rPr>
        <w:br w:type="page"/>
      </w:r>
    </w:p>
    <w:p w14:paraId="7E673EF7" w14:textId="7BC7D9FF" w:rsidR="00150D93" w:rsidRDefault="00467D7A" w:rsidP="00D2463B">
      <w:pPr>
        <w:spacing w:line="276" w:lineRule="auto"/>
        <w:rPr>
          <w:rFonts w:ascii="Arial" w:hAnsi="Arial" w:cs="Arial"/>
          <w:b/>
          <w:bCs/>
          <w:sz w:val="20"/>
          <w:szCs w:val="20"/>
          <w:lang w:val="en-GB"/>
        </w:rPr>
      </w:pPr>
      <w:r w:rsidRPr="00997957">
        <w:rPr>
          <w:rFonts w:ascii="Arial" w:hAnsi="Arial" w:cs="Arial"/>
          <w:b/>
          <w:bCs/>
          <w:sz w:val="20"/>
          <w:szCs w:val="20"/>
          <w:lang w:val="en-GB"/>
        </w:rPr>
        <w:lastRenderedPageBreak/>
        <w:t xml:space="preserve">Description of bioanalytical method. </w:t>
      </w:r>
    </w:p>
    <w:p w14:paraId="216A4437" w14:textId="77777777" w:rsidR="00C72B22" w:rsidRPr="0045315F" w:rsidRDefault="00C72B22" w:rsidP="00C72B22">
      <w:pPr>
        <w:spacing w:line="276" w:lineRule="auto"/>
        <w:rPr>
          <w:rFonts w:ascii="Arial" w:hAnsi="Arial" w:cs="Arial"/>
          <w:i/>
          <w:iCs/>
          <w:sz w:val="20"/>
          <w:szCs w:val="20"/>
        </w:rPr>
      </w:pPr>
      <w:r w:rsidRPr="0045315F">
        <w:rPr>
          <w:rFonts w:ascii="Arial" w:hAnsi="Arial" w:cs="Arial"/>
          <w:i/>
          <w:iCs/>
          <w:sz w:val="20"/>
          <w:szCs w:val="20"/>
        </w:rPr>
        <w:t>Source of reference material</w:t>
      </w:r>
    </w:p>
    <w:p w14:paraId="76BE3219" w14:textId="5BAB8734" w:rsidR="00C72B22" w:rsidRPr="00997957" w:rsidRDefault="00C72B22" w:rsidP="00D2463B">
      <w:pPr>
        <w:spacing w:line="276" w:lineRule="auto"/>
        <w:rPr>
          <w:rFonts w:ascii="Arial" w:hAnsi="Arial" w:cs="Arial"/>
          <w:sz w:val="20"/>
          <w:szCs w:val="20"/>
        </w:rPr>
      </w:pPr>
      <w:r w:rsidRPr="0045315F">
        <w:rPr>
          <w:rFonts w:ascii="Arial" w:hAnsi="Arial" w:cs="Arial"/>
          <w:sz w:val="20"/>
          <w:szCs w:val="20"/>
        </w:rPr>
        <w:t xml:space="preserve">The CBD used as bioanalytical assay reference material was produced by </w:t>
      </w:r>
      <w:proofErr w:type="spellStart"/>
      <w:r w:rsidRPr="0045315F">
        <w:rPr>
          <w:rFonts w:ascii="Arial" w:hAnsi="Arial" w:cs="Arial"/>
          <w:sz w:val="20"/>
          <w:szCs w:val="20"/>
        </w:rPr>
        <w:t>Cauman</w:t>
      </w:r>
      <w:proofErr w:type="spellEnd"/>
      <w:r w:rsidRPr="0045315F">
        <w:rPr>
          <w:rFonts w:ascii="Arial" w:hAnsi="Arial" w:cs="Arial"/>
          <w:sz w:val="20"/>
          <w:szCs w:val="20"/>
        </w:rPr>
        <w:t xml:space="preserve"> Chemical, Ann Arbor, MI, USA, catalogue number </w:t>
      </w:r>
      <w:proofErr w:type="spellStart"/>
      <w:r w:rsidRPr="0045315F">
        <w:rPr>
          <w:rFonts w:ascii="Arial" w:hAnsi="Arial" w:cs="Arial"/>
          <w:sz w:val="20"/>
          <w:szCs w:val="20"/>
        </w:rPr>
        <w:t>ISO60156</w:t>
      </w:r>
      <w:proofErr w:type="spellEnd"/>
      <w:r w:rsidRPr="0045315F">
        <w:rPr>
          <w:rFonts w:ascii="Arial" w:hAnsi="Arial" w:cs="Arial"/>
          <w:sz w:val="20"/>
          <w:szCs w:val="20"/>
        </w:rPr>
        <w:t xml:space="preserve">, and had a valid certificate of analysis. </w:t>
      </w:r>
    </w:p>
    <w:p w14:paraId="2C12C59F" w14:textId="669ED780" w:rsidR="003909A1" w:rsidRDefault="003909A1" w:rsidP="00D2463B">
      <w:pPr>
        <w:spacing w:line="276" w:lineRule="auto"/>
        <w:rPr>
          <w:rFonts w:ascii="Arial" w:hAnsi="Arial" w:cs="Arial"/>
          <w:i/>
          <w:iCs/>
          <w:sz w:val="20"/>
          <w:szCs w:val="20"/>
          <w:lang w:val="en-GB"/>
        </w:rPr>
      </w:pPr>
      <w:r w:rsidRPr="00997957">
        <w:rPr>
          <w:rFonts w:ascii="Arial" w:hAnsi="Arial" w:cs="Arial"/>
          <w:i/>
          <w:iCs/>
          <w:sz w:val="20"/>
          <w:szCs w:val="20"/>
          <w:lang w:val="en-GB"/>
        </w:rPr>
        <w:t>Method of extraction</w:t>
      </w:r>
    </w:p>
    <w:p w14:paraId="682F8891" w14:textId="36DCA858" w:rsidR="00C352A0" w:rsidRDefault="00C352A0" w:rsidP="00C352A0">
      <w:pPr>
        <w:spacing w:line="276" w:lineRule="auto"/>
        <w:rPr>
          <w:rFonts w:ascii="Arial" w:hAnsi="Arial" w:cs="Arial"/>
          <w:sz w:val="20"/>
          <w:szCs w:val="20"/>
        </w:rPr>
      </w:pPr>
      <w:r w:rsidRPr="00997957">
        <w:rPr>
          <w:rFonts w:ascii="Arial" w:hAnsi="Arial" w:cs="Arial"/>
          <w:sz w:val="20"/>
          <w:szCs w:val="20"/>
        </w:rPr>
        <w:t xml:space="preserve">Samples (EDTA plasma) were removed from the storage freezer and kept at room temperature until fully thawed. Unique numbers were assigned to each sample. The thawed study samples, calibrator and quality control samples were vortexed for 5 seconds. Aliquots of 200 </w:t>
      </w:r>
      <w:proofErr w:type="spellStart"/>
      <w:r w:rsidRPr="00997957">
        <w:rPr>
          <w:rFonts w:ascii="Arial" w:hAnsi="Arial" w:cs="Arial"/>
          <w:sz w:val="20"/>
          <w:szCs w:val="20"/>
        </w:rPr>
        <w:t>μL</w:t>
      </w:r>
      <w:proofErr w:type="spellEnd"/>
      <w:r w:rsidRPr="00997957">
        <w:rPr>
          <w:rFonts w:ascii="Arial" w:hAnsi="Arial" w:cs="Arial"/>
          <w:sz w:val="20"/>
          <w:szCs w:val="20"/>
        </w:rPr>
        <w:t xml:space="preserve"> of the calibrator, quality control or study sample were transferred into 1.5 mL low-binding polypropylene vials with conical bottom and snap-on lid. Eight hundred </w:t>
      </w:r>
      <w:proofErr w:type="spellStart"/>
      <w:r w:rsidRPr="00997957">
        <w:rPr>
          <w:rFonts w:ascii="Arial" w:hAnsi="Arial" w:cs="Arial"/>
          <w:sz w:val="20"/>
          <w:szCs w:val="20"/>
        </w:rPr>
        <w:t>μL</w:t>
      </w:r>
      <w:proofErr w:type="spellEnd"/>
      <w:r w:rsidRPr="00997957">
        <w:rPr>
          <w:rFonts w:ascii="Arial" w:hAnsi="Arial" w:cs="Arial"/>
          <w:sz w:val="20"/>
          <w:szCs w:val="20"/>
        </w:rPr>
        <w:t xml:space="preserve"> of protein precipitation solution (0.2 M </w:t>
      </w:r>
      <w:proofErr w:type="spellStart"/>
      <w:r w:rsidRPr="00997957">
        <w:rPr>
          <w:rFonts w:ascii="Arial" w:hAnsi="Arial" w:cs="Arial"/>
          <w:sz w:val="20"/>
          <w:szCs w:val="20"/>
        </w:rPr>
        <w:t>ZnSO4</w:t>
      </w:r>
      <w:proofErr w:type="spellEnd"/>
      <w:r w:rsidRPr="00997957">
        <w:rPr>
          <w:rFonts w:ascii="Arial" w:hAnsi="Arial" w:cs="Arial"/>
          <w:sz w:val="20"/>
          <w:szCs w:val="20"/>
        </w:rPr>
        <w:t xml:space="preserve"> in water + methanol (30:70 v/v) containing the internal standard was added. Samples were vortexed for 10 min, centrifuged (</w:t>
      </w:r>
      <w:proofErr w:type="spellStart"/>
      <w:r w:rsidRPr="00997957">
        <w:rPr>
          <w:rFonts w:ascii="Arial" w:hAnsi="Arial" w:cs="Arial"/>
          <w:sz w:val="20"/>
          <w:szCs w:val="20"/>
        </w:rPr>
        <w:t>16.000·g</w:t>
      </w:r>
      <w:proofErr w:type="spellEnd"/>
      <w:r w:rsidRPr="00997957">
        <w:rPr>
          <w:rFonts w:ascii="Arial" w:hAnsi="Arial" w:cs="Arial"/>
          <w:sz w:val="20"/>
          <w:szCs w:val="20"/>
        </w:rPr>
        <w:t xml:space="preserve">, </w:t>
      </w:r>
      <w:proofErr w:type="spellStart"/>
      <w:r w:rsidRPr="00997957">
        <w:rPr>
          <w:rFonts w:ascii="Arial" w:hAnsi="Arial" w:cs="Arial"/>
          <w:sz w:val="20"/>
          <w:szCs w:val="20"/>
        </w:rPr>
        <w:t>4°C</w:t>
      </w:r>
      <w:proofErr w:type="spellEnd"/>
      <w:r w:rsidRPr="00997957">
        <w:rPr>
          <w:rFonts w:ascii="Arial" w:hAnsi="Arial" w:cs="Arial"/>
          <w:sz w:val="20"/>
          <w:szCs w:val="20"/>
        </w:rPr>
        <w:t>, 10 min) and transferred into HPLC vials.</w:t>
      </w:r>
    </w:p>
    <w:p w14:paraId="5390E1B6" w14:textId="72608171" w:rsidR="00C352A0" w:rsidRPr="00997957" w:rsidRDefault="00C352A0" w:rsidP="00C352A0">
      <w:pPr>
        <w:spacing w:line="276" w:lineRule="auto"/>
        <w:rPr>
          <w:rFonts w:ascii="Arial" w:hAnsi="Arial" w:cs="Arial"/>
          <w:i/>
          <w:iCs/>
          <w:sz w:val="20"/>
          <w:szCs w:val="20"/>
        </w:rPr>
      </w:pPr>
      <w:r w:rsidRPr="00997957">
        <w:rPr>
          <w:rFonts w:ascii="Arial" w:hAnsi="Arial" w:cs="Arial"/>
          <w:i/>
          <w:iCs/>
          <w:sz w:val="20"/>
          <w:szCs w:val="20"/>
        </w:rPr>
        <w:t>Equipment</w:t>
      </w:r>
    </w:p>
    <w:p w14:paraId="51A76C97" w14:textId="69AC935F" w:rsidR="00080F7B" w:rsidRDefault="00F54976" w:rsidP="00C352A0">
      <w:pPr>
        <w:spacing w:line="276" w:lineRule="auto"/>
        <w:rPr>
          <w:rFonts w:ascii="Arial" w:hAnsi="Arial" w:cs="Arial"/>
          <w:sz w:val="20"/>
          <w:szCs w:val="20"/>
        </w:rPr>
      </w:pPr>
      <w:r w:rsidRPr="00997957">
        <w:rPr>
          <w:rFonts w:ascii="Arial" w:hAnsi="Arial" w:cs="Arial"/>
          <w:sz w:val="20"/>
          <w:szCs w:val="20"/>
        </w:rPr>
        <w:t>CBD concentration</w:t>
      </w:r>
      <w:r w:rsidR="48EA9624" w:rsidRPr="3A5E1DB1">
        <w:rPr>
          <w:rFonts w:ascii="Arial" w:hAnsi="Arial" w:cs="Arial"/>
          <w:sz w:val="20"/>
          <w:szCs w:val="20"/>
        </w:rPr>
        <w:t>s</w:t>
      </w:r>
      <w:r w:rsidRPr="00997957">
        <w:rPr>
          <w:rFonts w:ascii="Arial" w:hAnsi="Arial" w:cs="Arial"/>
          <w:sz w:val="20"/>
          <w:szCs w:val="20"/>
        </w:rPr>
        <w:t xml:space="preserve"> were measured with h</w:t>
      </w:r>
      <w:r w:rsidR="00FA7B39" w:rsidRPr="00997957">
        <w:rPr>
          <w:rFonts w:ascii="Arial" w:hAnsi="Arial" w:cs="Arial"/>
          <w:sz w:val="20"/>
          <w:szCs w:val="20"/>
        </w:rPr>
        <w:t>igh-performance liquid chromatography (</w:t>
      </w:r>
      <w:r w:rsidR="005D338E" w:rsidRPr="00997957">
        <w:rPr>
          <w:rFonts w:ascii="Arial" w:hAnsi="Arial" w:cs="Arial"/>
          <w:sz w:val="20"/>
          <w:szCs w:val="20"/>
        </w:rPr>
        <w:t xml:space="preserve">HPLC) with tandem mass spectrometry </w:t>
      </w:r>
      <w:r w:rsidR="007B6733" w:rsidRPr="00997957">
        <w:rPr>
          <w:rFonts w:ascii="Arial" w:hAnsi="Arial" w:cs="Arial"/>
          <w:sz w:val="20"/>
          <w:szCs w:val="20"/>
        </w:rPr>
        <w:t xml:space="preserve">using an Agilent 1100, 1200, 1260 or 1290 system for HPLC, and </w:t>
      </w:r>
      <w:proofErr w:type="spellStart"/>
      <w:r w:rsidR="00460B00" w:rsidRPr="00997957">
        <w:rPr>
          <w:rFonts w:ascii="Arial" w:hAnsi="Arial" w:cs="Arial"/>
          <w:sz w:val="20"/>
          <w:szCs w:val="20"/>
        </w:rPr>
        <w:t>SCIEX</w:t>
      </w:r>
      <w:proofErr w:type="spellEnd"/>
      <w:r w:rsidR="00460B00" w:rsidRPr="00997957">
        <w:rPr>
          <w:rFonts w:ascii="Arial" w:hAnsi="Arial" w:cs="Arial"/>
          <w:sz w:val="20"/>
          <w:szCs w:val="20"/>
        </w:rPr>
        <w:t xml:space="preserve"> API 5000, 5500 and 6500 </w:t>
      </w:r>
      <w:proofErr w:type="spellStart"/>
      <w:r w:rsidR="00460B00" w:rsidRPr="00997957">
        <w:rPr>
          <w:rFonts w:ascii="Arial" w:hAnsi="Arial" w:cs="Arial"/>
          <w:sz w:val="20"/>
          <w:szCs w:val="20"/>
        </w:rPr>
        <w:t>QTRAP</w:t>
      </w:r>
      <w:proofErr w:type="spellEnd"/>
      <w:r w:rsidR="00460B00" w:rsidRPr="00997957">
        <w:rPr>
          <w:rFonts w:ascii="Arial" w:hAnsi="Arial" w:cs="Arial"/>
          <w:sz w:val="20"/>
          <w:szCs w:val="20"/>
        </w:rPr>
        <w:t xml:space="preserve"> LC-MS/MS or equivalent triple-stage quadrupole mass spectrometry detector. </w:t>
      </w:r>
    </w:p>
    <w:p w14:paraId="75F22D2B" w14:textId="500E35B0" w:rsidR="00B01EC7" w:rsidRPr="0045315F" w:rsidRDefault="00B01EC7" w:rsidP="00B01EC7">
      <w:pPr>
        <w:spacing w:line="276" w:lineRule="auto"/>
        <w:rPr>
          <w:rFonts w:ascii="Arial" w:hAnsi="Arial" w:cs="Arial"/>
          <w:i/>
          <w:iCs/>
          <w:sz w:val="20"/>
          <w:szCs w:val="20"/>
        </w:rPr>
      </w:pPr>
      <w:r>
        <w:rPr>
          <w:rFonts w:ascii="Arial" w:hAnsi="Arial" w:cs="Arial"/>
          <w:i/>
          <w:iCs/>
          <w:sz w:val="20"/>
          <w:szCs w:val="20"/>
        </w:rPr>
        <w:t>Method of analysis</w:t>
      </w:r>
    </w:p>
    <w:p w14:paraId="19BE8C4F" w14:textId="66C10F52" w:rsidR="00B01EC7" w:rsidRDefault="00361464" w:rsidP="00C352A0">
      <w:pPr>
        <w:spacing w:line="276" w:lineRule="auto"/>
        <w:rPr>
          <w:rFonts w:ascii="Arial" w:hAnsi="Arial" w:cs="Arial"/>
          <w:sz w:val="20"/>
          <w:szCs w:val="20"/>
        </w:rPr>
      </w:pPr>
      <w:r w:rsidRPr="3A5E1DB1">
        <w:rPr>
          <w:rFonts w:ascii="Arial" w:hAnsi="Arial" w:cs="Arial"/>
          <w:sz w:val="20"/>
          <w:szCs w:val="20"/>
        </w:rPr>
        <w:t xml:space="preserve">Two-hundred and fifty (250) </w:t>
      </w:r>
      <w:proofErr w:type="spellStart"/>
      <w:r w:rsidRPr="3A5E1DB1">
        <w:rPr>
          <w:rFonts w:ascii="Arial" w:hAnsi="Arial" w:cs="Arial"/>
          <w:sz w:val="20"/>
          <w:szCs w:val="20"/>
        </w:rPr>
        <w:t>μL</w:t>
      </w:r>
      <w:proofErr w:type="spellEnd"/>
      <w:r w:rsidRPr="3A5E1DB1">
        <w:rPr>
          <w:rFonts w:ascii="Arial" w:hAnsi="Arial" w:cs="Arial"/>
          <w:sz w:val="20"/>
          <w:szCs w:val="20"/>
        </w:rPr>
        <w:t xml:space="preserve"> of the samples was injected onto a 3.0 </w:t>
      </w:r>
      <w:r w:rsidR="7EDAC0FA" w:rsidRPr="3A5E1DB1">
        <w:rPr>
          <w:rFonts w:ascii="Arial" w:hAnsi="Arial" w:cs="Arial"/>
          <w:sz w:val="20"/>
          <w:szCs w:val="20"/>
        </w:rPr>
        <w:t>x</w:t>
      </w:r>
      <w:r w:rsidRPr="3A5E1DB1">
        <w:rPr>
          <w:rFonts w:ascii="Arial" w:hAnsi="Arial" w:cs="Arial"/>
          <w:sz w:val="20"/>
          <w:szCs w:val="20"/>
        </w:rPr>
        <w:t xml:space="preserve"> 5.0 mm, 2.7 </w:t>
      </w:r>
      <w:proofErr w:type="spellStart"/>
      <w:r w:rsidRPr="3A5E1DB1">
        <w:rPr>
          <w:rFonts w:ascii="Arial" w:hAnsi="Arial" w:cs="Arial"/>
          <w:sz w:val="20"/>
          <w:szCs w:val="20"/>
        </w:rPr>
        <w:t>μm</w:t>
      </w:r>
      <w:proofErr w:type="spellEnd"/>
      <w:r w:rsidRPr="3A5E1DB1">
        <w:rPr>
          <w:rFonts w:ascii="Arial" w:hAnsi="Arial" w:cs="Arial"/>
          <w:sz w:val="20"/>
          <w:szCs w:val="20"/>
        </w:rPr>
        <w:t xml:space="preserve"> extraction column (Halo </w:t>
      </w:r>
      <w:proofErr w:type="spellStart"/>
      <w:r w:rsidRPr="3A5E1DB1">
        <w:rPr>
          <w:rFonts w:ascii="Arial" w:hAnsi="Arial" w:cs="Arial"/>
          <w:sz w:val="20"/>
          <w:szCs w:val="20"/>
        </w:rPr>
        <w:t>C8</w:t>
      </w:r>
      <w:proofErr w:type="spellEnd"/>
      <w:r w:rsidRPr="3A5E1DB1">
        <w:rPr>
          <w:rFonts w:ascii="Arial" w:hAnsi="Arial" w:cs="Arial"/>
          <w:sz w:val="20"/>
          <w:szCs w:val="20"/>
        </w:rPr>
        <w:t xml:space="preserve"> column, Advanced Material Technology, Wilmington, DE, USA). Samples were washed with a mobile phase of 70% 0.1% formic acid in water and 30% 0.1% formic acid in methanol. The flow was 1.5 mL/min and the temperature for the extraction column was set to 60 °C. After 1.0 min, the switching valve was activated and the analytes were eluted in the backflush mode from the extraction column onto a 150 · 3.0 mm RP-Amide, 2.7 </w:t>
      </w:r>
      <w:proofErr w:type="spellStart"/>
      <w:r w:rsidRPr="3A5E1DB1">
        <w:rPr>
          <w:rFonts w:ascii="Arial" w:hAnsi="Arial" w:cs="Arial"/>
          <w:sz w:val="20"/>
          <w:szCs w:val="20"/>
        </w:rPr>
        <w:t>μm</w:t>
      </w:r>
      <w:proofErr w:type="spellEnd"/>
      <w:r w:rsidRPr="3A5E1DB1">
        <w:rPr>
          <w:rFonts w:ascii="Arial" w:hAnsi="Arial" w:cs="Arial"/>
          <w:sz w:val="20"/>
          <w:szCs w:val="20"/>
        </w:rPr>
        <w:t xml:space="preserve"> analytical column (</w:t>
      </w:r>
      <w:proofErr w:type="spellStart"/>
      <w:r w:rsidRPr="3A5E1DB1">
        <w:rPr>
          <w:rFonts w:ascii="Arial" w:hAnsi="Arial" w:cs="Arial"/>
          <w:sz w:val="20"/>
          <w:szCs w:val="20"/>
        </w:rPr>
        <w:t>Ascentis</w:t>
      </w:r>
      <w:proofErr w:type="spellEnd"/>
      <w:r w:rsidRPr="3A5E1DB1">
        <w:rPr>
          <w:rFonts w:ascii="Arial" w:hAnsi="Arial" w:cs="Arial"/>
          <w:sz w:val="20"/>
          <w:szCs w:val="20"/>
        </w:rPr>
        <w:t xml:space="preserve"> Express RP-Amide, </w:t>
      </w:r>
      <w:proofErr w:type="spellStart"/>
      <w:r w:rsidRPr="3A5E1DB1">
        <w:rPr>
          <w:rFonts w:ascii="Arial" w:hAnsi="Arial" w:cs="Arial"/>
          <w:sz w:val="20"/>
          <w:szCs w:val="20"/>
        </w:rPr>
        <w:t>Supelco</w:t>
      </w:r>
      <w:proofErr w:type="spellEnd"/>
      <w:r w:rsidRPr="3A5E1DB1">
        <w:rPr>
          <w:rFonts w:ascii="Arial" w:hAnsi="Arial" w:cs="Arial"/>
          <w:sz w:val="20"/>
          <w:szCs w:val="20"/>
        </w:rPr>
        <w:t>, Sigma-Aldrich, Saint Louis, MO, USA). The mobile phase consist</w:t>
      </w:r>
      <w:r w:rsidR="004F53D6" w:rsidRPr="3A5E1DB1">
        <w:rPr>
          <w:rFonts w:ascii="Arial" w:hAnsi="Arial" w:cs="Arial"/>
          <w:sz w:val="20"/>
          <w:szCs w:val="20"/>
        </w:rPr>
        <w:t>ed</w:t>
      </w:r>
      <w:r w:rsidRPr="3A5E1DB1">
        <w:rPr>
          <w:rFonts w:ascii="Arial" w:hAnsi="Arial" w:cs="Arial"/>
          <w:sz w:val="20"/>
          <w:szCs w:val="20"/>
        </w:rPr>
        <w:t xml:space="preserve"> of 0.04% formic acid in HPLC grade water (solvent A) and acetonitrile: methanol: isopropanol mixture (3:1:1, v/v, solvent B) and the flow rate w</w:t>
      </w:r>
      <w:r w:rsidR="004F53D6" w:rsidRPr="3A5E1DB1">
        <w:rPr>
          <w:rFonts w:ascii="Arial" w:hAnsi="Arial" w:cs="Arial"/>
          <w:sz w:val="20"/>
          <w:szCs w:val="20"/>
        </w:rPr>
        <w:t>as</w:t>
      </w:r>
      <w:r w:rsidRPr="3A5E1DB1">
        <w:rPr>
          <w:rFonts w:ascii="Arial" w:hAnsi="Arial" w:cs="Arial"/>
          <w:sz w:val="20"/>
          <w:szCs w:val="20"/>
        </w:rPr>
        <w:t xml:space="preserve"> set at 0.55 mL/min. The following gradient w</w:t>
      </w:r>
      <w:r w:rsidR="004F53D6" w:rsidRPr="3A5E1DB1">
        <w:rPr>
          <w:rFonts w:ascii="Arial" w:hAnsi="Arial" w:cs="Arial"/>
          <w:sz w:val="20"/>
          <w:szCs w:val="20"/>
        </w:rPr>
        <w:t>as</w:t>
      </w:r>
      <w:r w:rsidRPr="3A5E1DB1">
        <w:rPr>
          <w:rFonts w:ascii="Arial" w:hAnsi="Arial" w:cs="Arial"/>
          <w:sz w:val="20"/>
          <w:szCs w:val="20"/>
        </w:rPr>
        <w:t xml:space="preserve"> run: 0 to 1.1 minutes: 60% solvent B, 1.1 to 5 minutes: 60% to 100% solvent B, 5 to 8.5 minutes: hold at 100% solvent B, 8.5 to 8.6 minutes: 100% to 60% solvent B, and stay at 60% solvent B for the next 1.4 min.</w:t>
      </w:r>
    </w:p>
    <w:p w14:paraId="11E93F30" w14:textId="39AA3639" w:rsidR="00C352A0" w:rsidRPr="007330A1" w:rsidRDefault="00C352A0" w:rsidP="00997957">
      <w:pPr>
        <w:spacing w:line="276" w:lineRule="auto"/>
        <w:rPr>
          <w:rFonts w:ascii="Arial" w:hAnsi="Arial" w:cs="Arial"/>
          <w:i/>
          <w:iCs/>
          <w:sz w:val="20"/>
          <w:szCs w:val="20"/>
        </w:rPr>
      </w:pPr>
      <w:r w:rsidRPr="00997957">
        <w:rPr>
          <w:rFonts w:ascii="Arial" w:hAnsi="Arial" w:cs="Arial"/>
          <w:i/>
          <w:iCs/>
          <w:sz w:val="20"/>
          <w:szCs w:val="20"/>
        </w:rPr>
        <w:t>Acceptance criteria</w:t>
      </w:r>
    </w:p>
    <w:p w14:paraId="3AFF347B" w14:textId="30B60340" w:rsidR="00CA5E79" w:rsidRPr="007330A1" w:rsidRDefault="00CA5E79" w:rsidP="00997957">
      <w:pPr>
        <w:spacing w:line="276" w:lineRule="auto"/>
        <w:rPr>
          <w:rFonts w:ascii="Arial" w:hAnsi="Arial" w:cs="Arial"/>
          <w:sz w:val="20"/>
          <w:szCs w:val="20"/>
        </w:rPr>
      </w:pPr>
      <w:r w:rsidRPr="007330A1">
        <w:rPr>
          <w:rFonts w:ascii="Arial" w:hAnsi="Arial" w:cs="Arial"/>
          <w:sz w:val="20"/>
          <w:szCs w:val="20"/>
        </w:rPr>
        <w:t xml:space="preserve">For the acceptance of an analytical run, the following criteria had to be met: acceptable system/instrument suitability test; linearity of the calibration curve had to be better than r=0.99; low calibration sample signal to noise ratio of at least 8:1; no significant interference in blank samples (&lt; 20% of the analyte signals at the </w:t>
      </w:r>
      <w:proofErr w:type="spellStart"/>
      <w:r w:rsidRPr="007330A1">
        <w:rPr>
          <w:rFonts w:ascii="Arial" w:hAnsi="Arial" w:cs="Arial"/>
          <w:sz w:val="20"/>
          <w:szCs w:val="20"/>
        </w:rPr>
        <w:t>LLOQ</w:t>
      </w:r>
      <w:proofErr w:type="spellEnd"/>
      <w:r w:rsidRPr="007330A1">
        <w:rPr>
          <w:rFonts w:ascii="Arial" w:hAnsi="Arial" w:cs="Arial"/>
          <w:sz w:val="20"/>
          <w:szCs w:val="20"/>
        </w:rPr>
        <w:t xml:space="preserve"> and &lt; 5% of the internal standard signal); no significant carry-over (&lt; 20% of the analyte signals at the </w:t>
      </w:r>
      <w:proofErr w:type="spellStart"/>
      <w:r w:rsidRPr="007330A1">
        <w:rPr>
          <w:rFonts w:ascii="Arial" w:hAnsi="Arial" w:cs="Arial"/>
          <w:sz w:val="20"/>
          <w:szCs w:val="20"/>
        </w:rPr>
        <w:t>LLOQ</w:t>
      </w:r>
      <w:proofErr w:type="spellEnd"/>
      <w:r w:rsidRPr="007330A1">
        <w:rPr>
          <w:rFonts w:ascii="Arial" w:hAnsi="Arial" w:cs="Arial"/>
          <w:sz w:val="20"/>
          <w:szCs w:val="20"/>
        </w:rPr>
        <w:t xml:space="preserve">); accuracy of 3/4 of calibration samples (=75%) had to be better than ±15% from nominal, except for the </w:t>
      </w:r>
      <w:proofErr w:type="spellStart"/>
      <w:r w:rsidRPr="007330A1">
        <w:rPr>
          <w:rFonts w:ascii="Arial" w:hAnsi="Arial" w:cs="Arial"/>
          <w:sz w:val="20"/>
          <w:szCs w:val="20"/>
        </w:rPr>
        <w:t>LLOQ</w:t>
      </w:r>
      <w:proofErr w:type="spellEnd"/>
      <w:r w:rsidRPr="007330A1">
        <w:rPr>
          <w:rFonts w:ascii="Arial" w:hAnsi="Arial" w:cs="Arial"/>
          <w:sz w:val="20"/>
          <w:szCs w:val="20"/>
        </w:rPr>
        <w:t xml:space="preserve"> sample, which had to be better than ±20%; 2/3 quality control samples in an analytical batch had to be within 15% of the nominal concentration.    </w:t>
      </w:r>
    </w:p>
    <w:p w14:paraId="54F736E8" w14:textId="77777777" w:rsidR="00150D93" w:rsidRDefault="00150D93" w:rsidP="00D2463B">
      <w:pPr>
        <w:spacing w:line="276" w:lineRule="auto"/>
        <w:rPr>
          <w:rFonts w:ascii="Arial" w:hAnsi="Arial" w:cs="Arial"/>
          <w:b/>
          <w:bCs/>
          <w:sz w:val="20"/>
          <w:szCs w:val="20"/>
        </w:rPr>
      </w:pPr>
    </w:p>
    <w:p w14:paraId="07D43965" w14:textId="4981A9DC" w:rsidR="00E448A0" w:rsidRDefault="00150D93" w:rsidP="00D2463B">
      <w:pPr>
        <w:spacing w:line="276" w:lineRule="auto"/>
        <w:rPr>
          <w:rFonts w:ascii="Arial" w:hAnsi="Arial" w:cs="Arial"/>
          <w:b/>
          <w:bCs/>
          <w:sz w:val="20"/>
          <w:szCs w:val="20"/>
        </w:rPr>
      </w:pPr>
      <w:r>
        <w:rPr>
          <w:rFonts w:ascii="Arial" w:hAnsi="Arial" w:cs="Arial"/>
          <w:b/>
          <w:bCs/>
          <w:sz w:val="20"/>
          <w:szCs w:val="20"/>
        </w:rPr>
        <w:br w:type="page"/>
      </w:r>
    </w:p>
    <w:p w14:paraId="09B90AF8" w14:textId="57F0AD85" w:rsidR="00D2463B" w:rsidRDefault="00D2463B" w:rsidP="00D2463B">
      <w:pPr>
        <w:spacing w:line="276" w:lineRule="auto"/>
        <w:rPr>
          <w:rFonts w:ascii="Arial" w:hAnsi="Arial" w:cs="Arial"/>
          <w:b/>
          <w:bCs/>
          <w:sz w:val="20"/>
          <w:szCs w:val="20"/>
        </w:rPr>
      </w:pPr>
      <w:r w:rsidRPr="00782FF2">
        <w:rPr>
          <w:rFonts w:ascii="Arial" w:hAnsi="Arial" w:cs="Arial"/>
          <w:b/>
          <w:bCs/>
          <w:sz w:val="20"/>
          <w:szCs w:val="20"/>
        </w:rPr>
        <w:lastRenderedPageBreak/>
        <w:t>Table</w:t>
      </w:r>
      <w:r>
        <w:rPr>
          <w:rFonts w:ascii="Arial" w:hAnsi="Arial" w:cs="Arial"/>
          <w:b/>
          <w:bCs/>
          <w:sz w:val="20"/>
          <w:szCs w:val="20"/>
        </w:rPr>
        <w:t xml:space="preserve"> </w:t>
      </w:r>
      <w:proofErr w:type="spellStart"/>
      <w:r w:rsidR="00B85B5D">
        <w:rPr>
          <w:rFonts w:ascii="Arial" w:hAnsi="Arial" w:cs="Arial"/>
          <w:b/>
          <w:bCs/>
          <w:sz w:val="20"/>
          <w:szCs w:val="20"/>
        </w:rPr>
        <w:t>S</w:t>
      </w:r>
      <w:r w:rsidR="00BE16C7">
        <w:rPr>
          <w:rFonts w:ascii="Arial" w:hAnsi="Arial" w:cs="Arial"/>
          <w:b/>
          <w:bCs/>
          <w:sz w:val="20"/>
          <w:szCs w:val="20"/>
        </w:rPr>
        <w:t>1</w:t>
      </w:r>
      <w:proofErr w:type="spellEnd"/>
      <w:r>
        <w:rPr>
          <w:rFonts w:ascii="Arial" w:hAnsi="Arial" w:cs="Arial"/>
          <w:b/>
          <w:bCs/>
          <w:sz w:val="20"/>
          <w:szCs w:val="20"/>
        </w:rPr>
        <w:t>. Baseline demographics</w:t>
      </w:r>
      <w:r w:rsidR="00DD5EEE">
        <w:rPr>
          <w:rFonts w:ascii="Arial" w:hAnsi="Arial" w:cs="Arial"/>
          <w:b/>
          <w:bCs/>
          <w:sz w:val="20"/>
          <w:szCs w:val="20"/>
        </w:rPr>
        <w:t>.</w:t>
      </w:r>
    </w:p>
    <w:tbl>
      <w:tblPr>
        <w:tblW w:w="5334" w:type="dxa"/>
        <w:jc w:val="center"/>
        <w:tblLayout w:type="fixed"/>
        <w:tblCellMar>
          <w:left w:w="0" w:type="dxa"/>
          <w:right w:w="0" w:type="dxa"/>
        </w:tblCellMar>
        <w:tblLook w:val="0000" w:firstRow="0" w:lastRow="0" w:firstColumn="0" w:lastColumn="0" w:noHBand="0" w:noVBand="0"/>
      </w:tblPr>
      <w:tblGrid>
        <w:gridCol w:w="2847"/>
        <w:gridCol w:w="2487"/>
      </w:tblGrid>
      <w:tr w:rsidR="00D2463B" w:rsidRPr="00733832" w14:paraId="6F1971EE" w14:textId="77777777" w:rsidTr="009927B2">
        <w:trPr>
          <w:cantSplit/>
          <w:tblHeader/>
          <w:jc w:val="center"/>
        </w:trPr>
        <w:tc>
          <w:tcPr>
            <w:tcW w:w="2847" w:type="dxa"/>
            <w:tcBorders>
              <w:top w:val="single" w:sz="6" w:space="0" w:color="000000" w:themeColor="text1"/>
              <w:left w:val="nil"/>
              <w:bottom w:val="single" w:sz="6" w:space="0" w:color="000000" w:themeColor="text1"/>
              <w:right w:val="nil"/>
            </w:tcBorders>
            <w:shd w:val="clear" w:color="auto" w:fill="FFFFFF" w:themeFill="background1"/>
            <w:tcMar>
              <w:left w:w="20" w:type="dxa"/>
              <w:right w:w="20" w:type="dxa"/>
            </w:tcMar>
            <w:vAlign w:val="bottom"/>
          </w:tcPr>
          <w:p w14:paraId="1AE676E1" w14:textId="77777777" w:rsidR="00D2463B" w:rsidRPr="00733832" w:rsidRDefault="00D2463B" w:rsidP="009927B2">
            <w:pPr>
              <w:keepNext/>
              <w:adjustRightInd w:val="0"/>
              <w:spacing w:before="60" w:after="60" w:line="184" w:lineRule="exact"/>
              <w:rPr>
                <w:rFonts w:ascii="Arial" w:hAnsi="Arial" w:cs="Arial"/>
                <w:b/>
                <w:bCs/>
                <w:color w:val="000000"/>
                <w:sz w:val="18"/>
                <w:szCs w:val="18"/>
              </w:rPr>
            </w:pPr>
          </w:p>
        </w:tc>
        <w:tc>
          <w:tcPr>
            <w:tcW w:w="2487" w:type="dxa"/>
            <w:tcBorders>
              <w:top w:val="single" w:sz="6" w:space="0" w:color="000000" w:themeColor="text1"/>
              <w:left w:val="nil"/>
              <w:bottom w:val="single" w:sz="6" w:space="0" w:color="000000" w:themeColor="text1"/>
              <w:right w:val="nil"/>
            </w:tcBorders>
            <w:shd w:val="clear" w:color="auto" w:fill="FFFFFF" w:themeFill="background1"/>
            <w:tcMar>
              <w:left w:w="20" w:type="dxa"/>
              <w:right w:w="20" w:type="dxa"/>
            </w:tcMar>
            <w:vAlign w:val="bottom"/>
          </w:tcPr>
          <w:p w14:paraId="166B64B7" w14:textId="77777777" w:rsidR="00D2463B" w:rsidRPr="00733832" w:rsidRDefault="00D2463B" w:rsidP="009927B2">
            <w:pPr>
              <w:keepNext/>
              <w:adjustRightInd w:val="0"/>
              <w:spacing w:before="60" w:after="60" w:line="184" w:lineRule="exact"/>
              <w:rPr>
                <w:rFonts w:ascii="Arial" w:hAnsi="Arial" w:cs="Arial"/>
                <w:b/>
                <w:bCs/>
                <w:color w:val="000000"/>
                <w:sz w:val="18"/>
                <w:szCs w:val="18"/>
              </w:rPr>
            </w:pPr>
            <w:r w:rsidRPr="00733832">
              <w:rPr>
                <w:rFonts w:ascii="Arial" w:hAnsi="Arial" w:cs="Arial"/>
                <w:b/>
                <w:bCs/>
                <w:color w:val="000000"/>
                <w:sz w:val="18"/>
                <w:szCs w:val="18"/>
              </w:rPr>
              <w:t>All participants</w:t>
            </w:r>
          </w:p>
          <w:p w14:paraId="31038531" w14:textId="77777777" w:rsidR="00D2463B" w:rsidRPr="00733832" w:rsidRDefault="00D2463B" w:rsidP="009927B2">
            <w:pPr>
              <w:keepNext/>
              <w:adjustRightInd w:val="0"/>
              <w:spacing w:before="60" w:after="60" w:line="184" w:lineRule="exact"/>
              <w:rPr>
                <w:rFonts w:ascii="Arial" w:hAnsi="Arial" w:cs="Arial"/>
                <w:b/>
                <w:bCs/>
                <w:color w:val="000000"/>
                <w:sz w:val="18"/>
                <w:szCs w:val="18"/>
              </w:rPr>
            </w:pPr>
            <w:r w:rsidRPr="00733832">
              <w:rPr>
                <w:rFonts w:ascii="Arial" w:hAnsi="Arial" w:cs="Arial"/>
                <w:b/>
                <w:bCs/>
                <w:color w:val="000000"/>
                <w:sz w:val="18"/>
                <w:szCs w:val="18"/>
              </w:rPr>
              <w:t>(N = 25)</w:t>
            </w:r>
          </w:p>
        </w:tc>
      </w:tr>
      <w:tr w:rsidR="00D2463B" w:rsidRPr="00733832" w14:paraId="6D71EB74" w14:textId="77777777" w:rsidTr="009927B2">
        <w:trPr>
          <w:cantSplit/>
          <w:jc w:val="center"/>
        </w:trPr>
        <w:tc>
          <w:tcPr>
            <w:tcW w:w="2847" w:type="dxa"/>
            <w:tcBorders>
              <w:top w:val="nil"/>
              <w:left w:val="nil"/>
              <w:bottom w:val="nil"/>
              <w:right w:val="nil"/>
            </w:tcBorders>
            <w:tcMar>
              <w:left w:w="20" w:type="dxa"/>
              <w:right w:w="20" w:type="dxa"/>
            </w:tcMar>
          </w:tcPr>
          <w:p w14:paraId="3E349C17" w14:textId="77777777" w:rsidR="00D2463B" w:rsidRPr="00733832" w:rsidRDefault="00D2463B" w:rsidP="009927B2">
            <w:pPr>
              <w:adjustRightInd w:val="0"/>
              <w:spacing w:before="20" w:after="20" w:line="184" w:lineRule="exact"/>
              <w:rPr>
                <w:rFonts w:ascii="Arial" w:hAnsi="Arial" w:cs="Arial"/>
                <w:b/>
                <w:bCs/>
                <w:color w:val="000000"/>
                <w:sz w:val="18"/>
                <w:szCs w:val="18"/>
              </w:rPr>
            </w:pPr>
            <w:r w:rsidRPr="00733832">
              <w:rPr>
                <w:rFonts w:ascii="Arial" w:hAnsi="Arial" w:cs="Arial"/>
                <w:b/>
                <w:bCs/>
                <w:color w:val="000000"/>
                <w:sz w:val="18"/>
                <w:szCs w:val="18"/>
              </w:rPr>
              <w:t>Age (years)</w:t>
            </w:r>
          </w:p>
        </w:tc>
        <w:tc>
          <w:tcPr>
            <w:tcW w:w="2487" w:type="dxa"/>
            <w:tcBorders>
              <w:top w:val="nil"/>
              <w:left w:val="nil"/>
              <w:bottom w:val="nil"/>
              <w:right w:val="nil"/>
            </w:tcBorders>
            <w:tcMar>
              <w:left w:w="20" w:type="dxa"/>
              <w:right w:w="20" w:type="dxa"/>
            </w:tcMar>
          </w:tcPr>
          <w:p w14:paraId="0354F61A" w14:textId="77777777" w:rsidR="00D2463B" w:rsidRPr="00733832" w:rsidRDefault="00D2463B" w:rsidP="009927B2">
            <w:pPr>
              <w:adjustRightInd w:val="0"/>
              <w:spacing w:before="20" w:after="20" w:line="184" w:lineRule="exact"/>
              <w:rPr>
                <w:rFonts w:ascii="Arial" w:hAnsi="Arial" w:cs="Arial"/>
                <w:color w:val="000000"/>
                <w:sz w:val="18"/>
                <w:szCs w:val="18"/>
              </w:rPr>
            </w:pPr>
          </w:p>
        </w:tc>
      </w:tr>
      <w:tr w:rsidR="00D2463B" w:rsidRPr="00733832" w14:paraId="21A9F77C" w14:textId="77777777" w:rsidTr="009927B2">
        <w:trPr>
          <w:cantSplit/>
          <w:jc w:val="center"/>
        </w:trPr>
        <w:tc>
          <w:tcPr>
            <w:tcW w:w="2847" w:type="dxa"/>
            <w:tcBorders>
              <w:top w:val="nil"/>
              <w:left w:val="nil"/>
              <w:bottom w:val="nil"/>
              <w:right w:val="nil"/>
            </w:tcBorders>
            <w:tcMar>
              <w:left w:w="20" w:type="dxa"/>
              <w:right w:w="20" w:type="dxa"/>
            </w:tcMar>
          </w:tcPr>
          <w:p w14:paraId="4662C132"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Mean (SD)</w:t>
            </w:r>
          </w:p>
        </w:tc>
        <w:tc>
          <w:tcPr>
            <w:tcW w:w="2487" w:type="dxa"/>
            <w:tcBorders>
              <w:top w:val="nil"/>
              <w:left w:val="nil"/>
              <w:bottom w:val="nil"/>
              <w:right w:val="nil"/>
            </w:tcBorders>
            <w:tcMar>
              <w:left w:w="20" w:type="dxa"/>
              <w:right w:w="20" w:type="dxa"/>
            </w:tcMar>
          </w:tcPr>
          <w:p w14:paraId="559A75E7"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24.2 (4.6)</w:t>
            </w:r>
          </w:p>
        </w:tc>
      </w:tr>
      <w:tr w:rsidR="00D2463B" w:rsidRPr="00733832" w14:paraId="30AB53F2" w14:textId="77777777" w:rsidTr="009927B2">
        <w:trPr>
          <w:cantSplit/>
          <w:jc w:val="center"/>
        </w:trPr>
        <w:tc>
          <w:tcPr>
            <w:tcW w:w="2847" w:type="dxa"/>
            <w:tcBorders>
              <w:top w:val="nil"/>
              <w:left w:val="nil"/>
              <w:bottom w:val="nil"/>
              <w:right w:val="nil"/>
            </w:tcBorders>
            <w:tcMar>
              <w:left w:w="20" w:type="dxa"/>
              <w:right w:w="20" w:type="dxa"/>
            </w:tcMar>
          </w:tcPr>
          <w:p w14:paraId="10881E5A"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Median (Min, Max)</w:t>
            </w:r>
          </w:p>
        </w:tc>
        <w:tc>
          <w:tcPr>
            <w:tcW w:w="2487" w:type="dxa"/>
            <w:tcBorders>
              <w:top w:val="nil"/>
              <w:left w:val="nil"/>
              <w:bottom w:val="nil"/>
              <w:right w:val="nil"/>
            </w:tcBorders>
            <w:tcMar>
              <w:left w:w="20" w:type="dxa"/>
              <w:right w:w="20" w:type="dxa"/>
            </w:tcMar>
          </w:tcPr>
          <w:p w14:paraId="51010F0D"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22 (19, 39)</w:t>
            </w:r>
          </w:p>
        </w:tc>
      </w:tr>
      <w:tr w:rsidR="00D2463B" w:rsidRPr="00733832" w14:paraId="37F33091" w14:textId="77777777" w:rsidTr="009927B2">
        <w:trPr>
          <w:cantSplit/>
          <w:jc w:val="center"/>
        </w:trPr>
        <w:tc>
          <w:tcPr>
            <w:tcW w:w="2847" w:type="dxa"/>
            <w:tcBorders>
              <w:top w:val="nil"/>
              <w:left w:val="nil"/>
              <w:bottom w:val="nil"/>
              <w:right w:val="nil"/>
            </w:tcBorders>
            <w:tcMar>
              <w:left w:w="20" w:type="dxa"/>
              <w:right w:w="20" w:type="dxa"/>
            </w:tcMar>
          </w:tcPr>
          <w:p w14:paraId="37C025CF"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w:t>
            </w:r>
          </w:p>
        </w:tc>
        <w:tc>
          <w:tcPr>
            <w:tcW w:w="2487" w:type="dxa"/>
            <w:tcBorders>
              <w:top w:val="nil"/>
              <w:left w:val="nil"/>
              <w:bottom w:val="nil"/>
              <w:right w:val="nil"/>
            </w:tcBorders>
            <w:tcMar>
              <w:left w:w="20" w:type="dxa"/>
              <w:right w:w="20" w:type="dxa"/>
            </w:tcMar>
          </w:tcPr>
          <w:p w14:paraId="61774732" w14:textId="77777777" w:rsidR="00D2463B" w:rsidRPr="00733832" w:rsidRDefault="00D2463B" w:rsidP="009927B2">
            <w:pPr>
              <w:adjustRightInd w:val="0"/>
              <w:spacing w:before="20" w:after="20" w:line="184" w:lineRule="exact"/>
              <w:rPr>
                <w:rFonts w:ascii="Arial" w:hAnsi="Arial" w:cs="Arial"/>
                <w:color w:val="000000"/>
                <w:sz w:val="18"/>
                <w:szCs w:val="18"/>
              </w:rPr>
            </w:pPr>
          </w:p>
        </w:tc>
      </w:tr>
      <w:tr w:rsidR="00D2463B" w:rsidRPr="00733832" w14:paraId="1C0D6753" w14:textId="77777777" w:rsidTr="009927B2">
        <w:trPr>
          <w:cantSplit/>
          <w:jc w:val="center"/>
        </w:trPr>
        <w:tc>
          <w:tcPr>
            <w:tcW w:w="2847" w:type="dxa"/>
            <w:tcBorders>
              <w:top w:val="nil"/>
              <w:left w:val="nil"/>
              <w:bottom w:val="nil"/>
              <w:right w:val="nil"/>
            </w:tcBorders>
            <w:tcMar>
              <w:left w:w="20" w:type="dxa"/>
              <w:right w:w="20" w:type="dxa"/>
            </w:tcMar>
          </w:tcPr>
          <w:p w14:paraId="079AF7A2" w14:textId="77777777" w:rsidR="00D2463B" w:rsidRPr="00733832" w:rsidRDefault="00D2463B" w:rsidP="009927B2">
            <w:pPr>
              <w:adjustRightInd w:val="0"/>
              <w:spacing w:before="20" w:after="20" w:line="184" w:lineRule="exact"/>
              <w:rPr>
                <w:rFonts w:ascii="Arial" w:hAnsi="Arial" w:cs="Arial"/>
                <w:b/>
                <w:bCs/>
                <w:color w:val="000000"/>
                <w:sz w:val="18"/>
                <w:szCs w:val="18"/>
              </w:rPr>
            </w:pPr>
            <w:r w:rsidRPr="00733832">
              <w:rPr>
                <w:rFonts w:ascii="Arial" w:hAnsi="Arial" w:cs="Arial"/>
                <w:b/>
                <w:bCs/>
                <w:color w:val="000000"/>
                <w:sz w:val="18"/>
                <w:szCs w:val="18"/>
              </w:rPr>
              <w:t>Height (cm)</w:t>
            </w:r>
          </w:p>
        </w:tc>
        <w:tc>
          <w:tcPr>
            <w:tcW w:w="2487" w:type="dxa"/>
            <w:tcBorders>
              <w:top w:val="nil"/>
              <w:left w:val="nil"/>
              <w:bottom w:val="nil"/>
              <w:right w:val="nil"/>
            </w:tcBorders>
            <w:tcMar>
              <w:left w:w="20" w:type="dxa"/>
              <w:right w:w="20" w:type="dxa"/>
            </w:tcMar>
          </w:tcPr>
          <w:p w14:paraId="5F1AA3DE" w14:textId="77777777" w:rsidR="00D2463B" w:rsidRPr="00733832" w:rsidRDefault="00D2463B" w:rsidP="009927B2">
            <w:pPr>
              <w:adjustRightInd w:val="0"/>
              <w:spacing w:before="20" w:after="20" w:line="184" w:lineRule="exact"/>
              <w:rPr>
                <w:rFonts w:ascii="Arial" w:hAnsi="Arial" w:cs="Arial"/>
                <w:color w:val="000000"/>
                <w:sz w:val="18"/>
                <w:szCs w:val="18"/>
              </w:rPr>
            </w:pPr>
          </w:p>
        </w:tc>
      </w:tr>
      <w:tr w:rsidR="00D2463B" w:rsidRPr="00733832" w14:paraId="30331F4D" w14:textId="77777777" w:rsidTr="009927B2">
        <w:trPr>
          <w:cantSplit/>
          <w:jc w:val="center"/>
        </w:trPr>
        <w:tc>
          <w:tcPr>
            <w:tcW w:w="2847" w:type="dxa"/>
            <w:tcBorders>
              <w:top w:val="nil"/>
              <w:left w:val="nil"/>
              <w:bottom w:val="nil"/>
              <w:right w:val="nil"/>
            </w:tcBorders>
            <w:tcMar>
              <w:left w:w="20" w:type="dxa"/>
              <w:right w:w="20" w:type="dxa"/>
            </w:tcMar>
          </w:tcPr>
          <w:p w14:paraId="49418F4D"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Mean (SD)</w:t>
            </w:r>
          </w:p>
        </w:tc>
        <w:tc>
          <w:tcPr>
            <w:tcW w:w="2487" w:type="dxa"/>
            <w:tcBorders>
              <w:top w:val="nil"/>
              <w:left w:val="nil"/>
              <w:bottom w:val="nil"/>
              <w:right w:val="nil"/>
            </w:tcBorders>
            <w:tcMar>
              <w:left w:w="20" w:type="dxa"/>
              <w:right w:w="20" w:type="dxa"/>
            </w:tcMar>
          </w:tcPr>
          <w:p w14:paraId="732366FE"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183.0 (6.5)</w:t>
            </w:r>
          </w:p>
        </w:tc>
      </w:tr>
      <w:tr w:rsidR="00D2463B" w:rsidRPr="00733832" w14:paraId="0E5E6A00" w14:textId="77777777" w:rsidTr="009927B2">
        <w:trPr>
          <w:cantSplit/>
          <w:jc w:val="center"/>
        </w:trPr>
        <w:tc>
          <w:tcPr>
            <w:tcW w:w="2847" w:type="dxa"/>
            <w:tcBorders>
              <w:top w:val="nil"/>
              <w:left w:val="nil"/>
              <w:bottom w:val="nil"/>
              <w:right w:val="nil"/>
            </w:tcBorders>
            <w:tcMar>
              <w:left w:w="20" w:type="dxa"/>
              <w:right w:w="20" w:type="dxa"/>
            </w:tcMar>
          </w:tcPr>
          <w:p w14:paraId="34449EB8"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Median (Min, Max)</w:t>
            </w:r>
          </w:p>
        </w:tc>
        <w:tc>
          <w:tcPr>
            <w:tcW w:w="2487" w:type="dxa"/>
            <w:tcBorders>
              <w:top w:val="nil"/>
              <w:left w:val="nil"/>
              <w:bottom w:val="nil"/>
              <w:right w:val="nil"/>
            </w:tcBorders>
            <w:tcMar>
              <w:left w:w="20" w:type="dxa"/>
              <w:right w:w="20" w:type="dxa"/>
            </w:tcMar>
          </w:tcPr>
          <w:p w14:paraId="4789D934"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183.1 (171.8, 199.2)</w:t>
            </w:r>
          </w:p>
        </w:tc>
      </w:tr>
      <w:tr w:rsidR="00D2463B" w:rsidRPr="00733832" w14:paraId="51A6E9AC" w14:textId="77777777" w:rsidTr="009927B2">
        <w:trPr>
          <w:cantSplit/>
          <w:jc w:val="center"/>
        </w:trPr>
        <w:tc>
          <w:tcPr>
            <w:tcW w:w="2847" w:type="dxa"/>
            <w:tcBorders>
              <w:top w:val="nil"/>
              <w:left w:val="nil"/>
              <w:bottom w:val="nil"/>
              <w:right w:val="nil"/>
            </w:tcBorders>
            <w:tcMar>
              <w:left w:w="20" w:type="dxa"/>
              <w:right w:w="20" w:type="dxa"/>
            </w:tcMar>
          </w:tcPr>
          <w:p w14:paraId="571527C3"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w:t>
            </w:r>
          </w:p>
        </w:tc>
        <w:tc>
          <w:tcPr>
            <w:tcW w:w="2487" w:type="dxa"/>
            <w:tcBorders>
              <w:top w:val="nil"/>
              <w:left w:val="nil"/>
              <w:bottom w:val="nil"/>
              <w:right w:val="nil"/>
            </w:tcBorders>
            <w:tcMar>
              <w:left w:w="20" w:type="dxa"/>
              <w:right w:w="20" w:type="dxa"/>
            </w:tcMar>
          </w:tcPr>
          <w:p w14:paraId="61A352A8" w14:textId="77777777" w:rsidR="00D2463B" w:rsidRPr="00733832" w:rsidRDefault="00D2463B" w:rsidP="009927B2">
            <w:pPr>
              <w:adjustRightInd w:val="0"/>
              <w:spacing w:before="20" w:after="20" w:line="184" w:lineRule="exact"/>
              <w:rPr>
                <w:rFonts w:ascii="Arial" w:hAnsi="Arial" w:cs="Arial"/>
                <w:color w:val="000000"/>
                <w:sz w:val="18"/>
                <w:szCs w:val="18"/>
              </w:rPr>
            </w:pPr>
          </w:p>
        </w:tc>
      </w:tr>
      <w:tr w:rsidR="00D2463B" w:rsidRPr="00733832" w14:paraId="21163B13" w14:textId="77777777" w:rsidTr="009927B2">
        <w:trPr>
          <w:cantSplit/>
          <w:jc w:val="center"/>
        </w:trPr>
        <w:tc>
          <w:tcPr>
            <w:tcW w:w="2847" w:type="dxa"/>
            <w:tcBorders>
              <w:top w:val="nil"/>
              <w:left w:val="nil"/>
              <w:bottom w:val="nil"/>
              <w:right w:val="nil"/>
            </w:tcBorders>
            <w:tcMar>
              <w:left w:w="20" w:type="dxa"/>
              <w:right w:w="20" w:type="dxa"/>
            </w:tcMar>
          </w:tcPr>
          <w:p w14:paraId="0B5F41E1" w14:textId="77777777" w:rsidR="00D2463B" w:rsidRPr="00733832" w:rsidRDefault="00D2463B" w:rsidP="009927B2">
            <w:pPr>
              <w:adjustRightInd w:val="0"/>
              <w:spacing w:before="20" w:after="20" w:line="184" w:lineRule="exact"/>
              <w:rPr>
                <w:rFonts w:ascii="Arial" w:hAnsi="Arial" w:cs="Arial"/>
                <w:b/>
                <w:bCs/>
                <w:color w:val="000000"/>
                <w:sz w:val="18"/>
                <w:szCs w:val="18"/>
              </w:rPr>
            </w:pPr>
            <w:r w:rsidRPr="00733832">
              <w:rPr>
                <w:rFonts w:ascii="Arial" w:hAnsi="Arial" w:cs="Arial"/>
                <w:b/>
                <w:bCs/>
                <w:color w:val="000000"/>
                <w:sz w:val="18"/>
                <w:szCs w:val="18"/>
              </w:rPr>
              <w:t>Weight (kg)</w:t>
            </w:r>
          </w:p>
        </w:tc>
        <w:tc>
          <w:tcPr>
            <w:tcW w:w="2487" w:type="dxa"/>
            <w:tcBorders>
              <w:top w:val="nil"/>
              <w:left w:val="nil"/>
              <w:bottom w:val="nil"/>
              <w:right w:val="nil"/>
            </w:tcBorders>
            <w:tcMar>
              <w:left w:w="20" w:type="dxa"/>
              <w:right w:w="20" w:type="dxa"/>
            </w:tcMar>
          </w:tcPr>
          <w:p w14:paraId="606F18C6" w14:textId="77777777" w:rsidR="00D2463B" w:rsidRPr="00733832" w:rsidRDefault="00D2463B" w:rsidP="009927B2">
            <w:pPr>
              <w:adjustRightInd w:val="0"/>
              <w:spacing w:before="20" w:after="20" w:line="184" w:lineRule="exact"/>
              <w:rPr>
                <w:rFonts w:ascii="Arial" w:hAnsi="Arial" w:cs="Arial"/>
                <w:color w:val="000000"/>
                <w:sz w:val="18"/>
                <w:szCs w:val="18"/>
              </w:rPr>
            </w:pPr>
          </w:p>
        </w:tc>
      </w:tr>
      <w:tr w:rsidR="00D2463B" w:rsidRPr="00733832" w14:paraId="0A82113A" w14:textId="77777777" w:rsidTr="009927B2">
        <w:trPr>
          <w:cantSplit/>
          <w:jc w:val="center"/>
        </w:trPr>
        <w:tc>
          <w:tcPr>
            <w:tcW w:w="2847" w:type="dxa"/>
            <w:tcBorders>
              <w:top w:val="nil"/>
              <w:left w:val="nil"/>
              <w:bottom w:val="nil"/>
              <w:right w:val="nil"/>
            </w:tcBorders>
            <w:tcMar>
              <w:left w:w="20" w:type="dxa"/>
              <w:right w:w="20" w:type="dxa"/>
            </w:tcMar>
          </w:tcPr>
          <w:p w14:paraId="6CE504E4"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Mean (SD)</w:t>
            </w:r>
          </w:p>
        </w:tc>
        <w:tc>
          <w:tcPr>
            <w:tcW w:w="2487" w:type="dxa"/>
            <w:tcBorders>
              <w:top w:val="nil"/>
              <w:left w:val="nil"/>
              <w:bottom w:val="nil"/>
              <w:right w:val="nil"/>
            </w:tcBorders>
            <w:tcMar>
              <w:left w:w="20" w:type="dxa"/>
              <w:right w:w="20" w:type="dxa"/>
            </w:tcMar>
          </w:tcPr>
          <w:p w14:paraId="28F9997D"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77.3 (10.</w:t>
            </w:r>
            <w:r>
              <w:rPr>
                <w:rFonts w:ascii="Arial" w:hAnsi="Arial" w:cs="Arial"/>
                <w:color w:val="000000"/>
                <w:sz w:val="18"/>
                <w:szCs w:val="18"/>
              </w:rPr>
              <w:t>3</w:t>
            </w:r>
            <w:r w:rsidRPr="00733832">
              <w:rPr>
                <w:rFonts w:ascii="Arial" w:hAnsi="Arial" w:cs="Arial"/>
                <w:color w:val="000000"/>
                <w:sz w:val="18"/>
                <w:szCs w:val="18"/>
              </w:rPr>
              <w:t>)</w:t>
            </w:r>
          </w:p>
        </w:tc>
      </w:tr>
      <w:tr w:rsidR="00D2463B" w:rsidRPr="00733832" w14:paraId="40E96B20" w14:textId="77777777" w:rsidTr="009927B2">
        <w:trPr>
          <w:cantSplit/>
          <w:jc w:val="center"/>
        </w:trPr>
        <w:tc>
          <w:tcPr>
            <w:tcW w:w="2847" w:type="dxa"/>
            <w:tcBorders>
              <w:top w:val="nil"/>
              <w:left w:val="nil"/>
              <w:bottom w:val="nil"/>
              <w:right w:val="nil"/>
            </w:tcBorders>
            <w:tcMar>
              <w:left w:w="20" w:type="dxa"/>
              <w:right w:w="20" w:type="dxa"/>
            </w:tcMar>
          </w:tcPr>
          <w:p w14:paraId="3ADB961E"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Median (Min, Max)</w:t>
            </w:r>
          </w:p>
        </w:tc>
        <w:tc>
          <w:tcPr>
            <w:tcW w:w="2487" w:type="dxa"/>
            <w:tcBorders>
              <w:top w:val="nil"/>
              <w:left w:val="nil"/>
              <w:bottom w:val="nil"/>
              <w:right w:val="nil"/>
            </w:tcBorders>
            <w:tcMar>
              <w:left w:w="20" w:type="dxa"/>
              <w:right w:w="20" w:type="dxa"/>
            </w:tcMar>
          </w:tcPr>
          <w:p w14:paraId="151AD1A5"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78.</w:t>
            </w:r>
            <w:r>
              <w:rPr>
                <w:rFonts w:ascii="Arial" w:hAnsi="Arial" w:cs="Arial"/>
                <w:color w:val="000000"/>
                <w:sz w:val="18"/>
                <w:szCs w:val="18"/>
              </w:rPr>
              <w:t>1</w:t>
            </w:r>
            <w:r w:rsidRPr="00733832">
              <w:rPr>
                <w:rFonts w:ascii="Arial" w:hAnsi="Arial" w:cs="Arial"/>
                <w:color w:val="000000"/>
                <w:sz w:val="18"/>
                <w:szCs w:val="18"/>
              </w:rPr>
              <w:t xml:space="preserve"> (58.4, 95.</w:t>
            </w:r>
            <w:r>
              <w:rPr>
                <w:rFonts w:ascii="Arial" w:hAnsi="Arial" w:cs="Arial"/>
                <w:color w:val="000000"/>
                <w:sz w:val="18"/>
                <w:szCs w:val="18"/>
              </w:rPr>
              <w:t>1</w:t>
            </w:r>
            <w:r w:rsidRPr="00733832">
              <w:rPr>
                <w:rFonts w:ascii="Arial" w:hAnsi="Arial" w:cs="Arial"/>
                <w:color w:val="000000"/>
                <w:sz w:val="18"/>
                <w:szCs w:val="18"/>
              </w:rPr>
              <w:t>)</w:t>
            </w:r>
          </w:p>
        </w:tc>
      </w:tr>
      <w:tr w:rsidR="00D2463B" w:rsidRPr="00733832" w14:paraId="530A74E8" w14:textId="77777777" w:rsidTr="009927B2">
        <w:trPr>
          <w:cantSplit/>
          <w:jc w:val="center"/>
        </w:trPr>
        <w:tc>
          <w:tcPr>
            <w:tcW w:w="2847" w:type="dxa"/>
            <w:tcBorders>
              <w:top w:val="nil"/>
              <w:left w:val="nil"/>
              <w:bottom w:val="nil"/>
              <w:right w:val="nil"/>
            </w:tcBorders>
            <w:tcMar>
              <w:left w:w="20" w:type="dxa"/>
              <w:right w:w="20" w:type="dxa"/>
            </w:tcMar>
          </w:tcPr>
          <w:p w14:paraId="55BF8FB4"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w:t>
            </w:r>
          </w:p>
        </w:tc>
        <w:tc>
          <w:tcPr>
            <w:tcW w:w="2487" w:type="dxa"/>
            <w:tcBorders>
              <w:top w:val="nil"/>
              <w:left w:val="nil"/>
              <w:bottom w:val="nil"/>
              <w:right w:val="nil"/>
            </w:tcBorders>
            <w:tcMar>
              <w:left w:w="20" w:type="dxa"/>
              <w:right w:w="20" w:type="dxa"/>
            </w:tcMar>
          </w:tcPr>
          <w:p w14:paraId="30F8C781" w14:textId="77777777" w:rsidR="00D2463B" w:rsidRPr="00733832" w:rsidRDefault="00D2463B" w:rsidP="009927B2">
            <w:pPr>
              <w:adjustRightInd w:val="0"/>
              <w:spacing w:before="20" w:after="20" w:line="184" w:lineRule="exact"/>
              <w:rPr>
                <w:rFonts w:ascii="Arial" w:hAnsi="Arial" w:cs="Arial"/>
                <w:color w:val="000000"/>
                <w:sz w:val="18"/>
                <w:szCs w:val="18"/>
              </w:rPr>
            </w:pPr>
          </w:p>
        </w:tc>
      </w:tr>
      <w:tr w:rsidR="00D2463B" w:rsidRPr="00733832" w14:paraId="10BE2F24" w14:textId="77777777" w:rsidTr="009927B2">
        <w:trPr>
          <w:cantSplit/>
          <w:jc w:val="center"/>
        </w:trPr>
        <w:tc>
          <w:tcPr>
            <w:tcW w:w="2847" w:type="dxa"/>
            <w:tcBorders>
              <w:top w:val="nil"/>
              <w:left w:val="nil"/>
              <w:bottom w:val="nil"/>
              <w:right w:val="nil"/>
            </w:tcBorders>
            <w:tcMar>
              <w:left w:w="20" w:type="dxa"/>
              <w:right w:w="20" w:type="dxa"/>
            </w:tcMar>
          </w:tcPr>
          <w:p w14:paraId="5333C857" w14:textId="77777777" w:rsidR="00D2463B" w:rsidRPr="00733832" w:rsidRDefault="00D2463B" w:rsidP="009927B2">
            <w:pPr>
              <w:adjustRightInd w:val="0"/>
              <w:spacing w:before="20" w:after="20" w:line="184" w:lineRule="exact"/>
              <w:rPr>
                <w:rFonts w:ascii="Arial" w:hAnsi="Arial" w:cs="Arial"/>
                <w:b/>
                <w:bCs/>
                <w:color w:val="000000"/>
                <w:sz w:val="18"/>
                <w:szCs w:val="18"/>
              </w:rPr>
            </w:pPr>
            <w:r w:rsidRPr="00733832">
              <w:rPr>
                <w:rFonts w:ascii="Arial" w:hAnsi="Arial" w:cs="Arial"/>
                <w:b/>
                <w:bCs/>
                <w:color w:val="000000"/>
                <w:sz w:val="18"/>
                <w:szCs w:val="18"/>
              </w:rPr>
              <w:t>BMI (kg/</w:t>
            </w:r>
            <w:proofErr w:type="spellStart"/>
            <w:r w:rsidRPr="00733832">
              <w:rPr>
                <w:rFonts w:ascii="Arial" w:hAnsi="Arial" w:cs="Arial"/>
                <w:b/>
                <w:bCs/>
                <w:color w:val="000000"/>
                <w:sz w:val="18"/>
                <w:szCs w:val="18"/>
              </w:rPr>
              <w:t>m</w:t>
            </w:r>
            <w:r w:rsidRPr="00733832">
              <w:rPr>
                <w:rFonts w:ascii="Arial" w:hAnsi="Arial" w:cs="Arial"/>
                <w:b/>
                <w:bCs/>
                <w:color w:val="000000"/>
                <w:sz w:val="18"/>
                <w:szCs w:val="18"/>
                <w:vertAlign w:val="superscript"/>
              </w:rPr>
              <w:t>2</w:t>
            </w:r>
            <w:proofErr w:type="spellEnd"/>
            <w:r w:rsidRPr="00733832">
              <w:rPr>
                <w:rFonts w:ascii="Arial" w:hAnsi="Arial" w:cs="Arial"/>
                <w:b/>
                <w:bCs/>
                <w:color w:val="000000"/>
                <w:sz w:val="18"/>
                <w:szCs w:val="18"/>
              </w:rPr>
              <w:t>)</w:t>
            </w:r>
          </w:p>
        </w:tc>
        <w:tc>
          <w:tcPr>
            <w:tcW w:w="2487" w:type="dxa"/>
            <w:tcBorders>
              <w:top w:val="nil"/>
              <w:left w:val="nil"/>
              <w:bottom w:val="nil"/>
              <w:right w:val="nil"/>
            </w:tcBorders>
            <w:tcMar>
              <w:left w:w="20" w:type="dxa"/>
              <w:right w:w="20" w:type="dxa"/>
            </w:tcMar>
          </w:tcPr>
          <w:p w14:paraId="04998634" w14:textId="77777777" w:rsidR="00D2463B" w:rsidRPr="00733832" w:rsidRDefault="00D2463B" w:rsidP="009927B2">
            <w:pPr>
              <w:adjustRightInd w:val="0"/>
              <w:spacing w:before="20" w:after="20" w:line="184" w:lineRule="exact"/>
              <w:rPr>
                <w:rFonts w:ascii="Arial" w:hAnsi="Arial" w:cs="Arial"/>
                <w:color w:val="000000"/>
                <w:sz w:val="18"/>
                <w:szCs w:val="18"/>
              </w:rPr>
            </w:pPr>
          </w:p>
        </w:tc>
      </w:tr>
      <w:tr w:rsidR="00D2463B" w:rsidRPr="00733832" w14:paraId="300F2117" w14:textId="77777777" w:rsidTr="009927B2">
        <w:trPr>
          <w:cantSplit/>
          <w:jc w:val="center"/>
        </w:trPr>
        <w:tc>
          <w:tcPr>
            <w:tcW w:w="2847" w:type="dxa"/>
            <w:tcBorders>
              <w:top w:val="nil"/>
              <w:left w:val="nil"/>
              <w:bottom w:val="nil"/>
              <w:right w:val="nil"/>
            </w:tcBorders>
            <w:tcMar>
              <w:left w:w="20" w:type="dxa"/>
              <w:right w:w="20" w:type="dxa"/>
            </w:tcMar>
          </w:tcPr>
          <w:p w14:paraId="6B233F08"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Mean (SD)</w:t>
            </w:r>
          </w:p>
        </w:tc>
        <w:tc>
          <w:tcPr>
            <w:tcW w:w="2487" w:type="dxa"/>
            <w:tcBorders>
              <w:top w:val="nil"/>
              <w:left w:val="nil"/>
              <w:bottom w:val="nil"/>
              <w:right w:val="nil"/>
            </w:tcBorders>
            <w:tcMar>
              <w:left w:w="20" w:type="dxa"/>
              <w:right w:w="20" w:type="dxa"/>
            </w:tcMar>
          </w:tcPr>
          <w:p w14:paraId="423616A2"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23.1 (2.8)</w:t>
            </w:r>
          </w:p>
        </w:tc>
      </w:tr>
      <w:tr w:rsidR="00D2463B" w:rsidRPr="00733832" w14:paraId="17E0238C" w14:textId="77777777" w:rsidTr="009927B2">
        <w:trPr>
          <w:cantSplit/>
          <w:jc w:val="center"/>
        </w:trPr>
        <w:tc>
          <w:tcPr>
            <w:tcW w:w="2847" w:type="dxa"/>
            <w:tcBorders>
              <w:top w:val="nil"/>
              <w:left w:val="nil"/>
              <w:bottom w:val="nil"/>
              <w:right w:val="nil"/>
            </w:tcBorders>
            <w:tcMar>
              <w:left w:w="20" w:type="dxa"/>
              <w:right w:w="20" w:type="dxa"/>
            </w:tcMar>
          </w:tcPr>
          <w:p w14:paraId="4F7539D5"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Median (Min, Max)</w:t>
            </w:r>
          </w:p>
        </w:tc>
        <w:tc>
          <w:tcPr>
            <w:tcW w:w="2487" w:type="dxa"/>
            <w:tcBorders>
              <w:top w:val="nil"/>
              <w:left w:val="nil"/>
              <w:bottom w:val="nil"/>
              <w:right w:val="nil"/>
            </w:tcBorders>
            <w:tcMar>
              <w:left w:w="20" w:type="dxa"/>
              <w:right w:w="20" w:type="dxa"/>
            </w:tcMar>
          </w:tcPr>
          <w:p w14:paraId="5F388F59"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22.6 (19.4, 28.8)</w:t>
            </w:r>
          </w:p>
        </w:tc>
      </w:tr>
      <w:tr w:rsidR="00D2463B" w:rsidRPr="00733832" w14:paraId="06C9DC7A" w14:textId="77777777" w:rsidTr="009927B2">
        <w:trPr>
          <w:cantSplit/>
          <w:jc w:val="center"/>
        </w:trPr>
        <w:tc>
          <w:tcPr>
            <w:tcW w:w="2847" w:type="dxa"/>
            <w:tcBorders>
              <w:top w:val="nil"/>
              <w:left w:val="nil"/>
              <w:bottom w:val="nil"/>
              <w:right w:val="nil"/>
            </w:tcBorders>
            <w:tcMar>
              <w:left w:w="20" w:type="dxa"/>
              <w:right w:w="20" w:type="dxa"/>
            </w:tcMar>
          </w:tcPr>
          <w:p w14:paraId="0CC08003"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w:t>
            </w:r>
          </w:p>
        </w:tc>
        <w:tc>
          <w:tcPr>
            <w:tcW w:w="2487" w:type="dxa"/>
            <w:tcBorders>
              <w:top w:val="nil"/>
              <w:left w:val="nil"/>
              <w:bottom w:val="nil"/>
              <w:right w:val="nil"/>
            </w:tcBorders>
            <w:tcMar>
              <w:left w:w="20" w:type="dxa"/>
              <w:right w:w="20" w:type="dxa"/>
            </w:tcMar>
          </w:tcPr>
          <w:p w14:paraId="4FFBB7E0" w14:textId="77777777" w:rsidR="00D2463B" w:rsidRPr="00733832" w:rsidRDefault="00D2463B" w:rsidP="009927B2">
            <w:pPr>
              <w:adjustRightInd w:val="0"/>
              <w:spacing w:before="20" w:after="20" w:line="184" w:lineRule="exact"/>
              <w:rPr>
                <w:rFonts w:ascii="Arial" w:hAnsi="Arial" w:cs="Arial"/>
                <w:color w:val="000000"/>
                <w:sz w:val="18"/>
                <w:szCs w:val="18"/>
              </w:rPr>
            </w:pPr>
          </w:p>
        </w:tc>
      </w:tr>
      <w:tr w:rsidR="00D2463B" w:rsidRPr="00733832" w14:paraId="5A8DF850" w14:textId="77777777" w:rsidTr="009927B2">
        <w:trPr>
          <w:cantSplit/>
          <w:jc w:val="center"/>
        </w:trPr>
        <w:tc>
          <w:tcPr>
            <w:tcW w:w="2847" w:type="dxa"/>
            <w:tcBorders>
              <w:top w:val="nil"/>
              <w:left w:val="nil"/>
              <w:bottom w:val="nil"/>
              <w:right w:val="nil"/>
            </w:tcBorders>
            <w:tcMar>
              <w:left w:w="20" w:type="dxa"/>
              <w:right w:w="20" w:type="dxa"/>
            </w:tcMar>
          </w:tcPr>
          <w:p w14:paraId="091BEE78" w14:textId="77777777" w:rsidR="00D2463B" w:rsidRPr="00733832" w:rsidRDefault="00D2463B" w:rsidP="009927B2">
            <w:pPr>
              <w:adjustRightInd w:val="0"/>
              <w:spacing w:before="20" w:after="20" w:line="184" w:lineRule="exact"/>
              <w:rPr>
                <w:rFonts w:ascii="Arial" w:hAnsi="Arial" w:cs="Arial"/>
                <w:b/>
                <w:bCs/>
                <w:color w:val="000000"/>
                <w:sz w:val="18"/>
                <w:szCs w:val="18"/>
              </w:rPr>
            </w:pPr>
            <w:r w:rsidRPr="00733832">
              <w:rPr>
                <w:rFonts w:ascii="Arial" w:hAnsi="Arial" w:cs="Arial"/>
                <w:b/>
                <w:bCs/>
                <w:color w:val="000000"/>
                <w:sz w:val="18"/>
                <w:szCs w:val="18"/>
              </w:rPr>
              <w:t>Sex</w:t>
            </w:r>
            <w:r>
              <w:rPr>
                <w:rFonts w:ascii="Arial" w:hAnsi="Arial" w:cs="Arial"/>
                <w:b/>
                <w:bCs/>
                <w:color w:val="000000"/>
                <w:sz w:val="18"/>
                <w:szCs w:val="18"/>
              </w:rPr>
              <w:t>, N (%)</w:t>
            </w:r>
          </w:p>
        </w:tc>
        <w:tc>
          <w:tcPr>
            <w:tcW w:w="2487" w:type="dxa"/>
            <w:tcBorders>
              <w:top w:val="nil"/>
              <w:left w:val="nil"/>
              <w:bottom w:val="nil"/>
              <w:right w:val="nil"/>
            </w:tcBorders>
            <w:tcMar>
              <w:left w:w="20" w:type="dxa"/>
              <w:right w:w="20" w:type="dxa"/>
            </w:tcMar>
          </w:tcPr>
          <w:p w14:paraId="0F982346" w14:textId="77777777" w:rsidR="00D2463B" w:rsidRPr="00733832" w:rsidRDefault="00D2463B" w:rsidP="009927B2">
            <w:pPr>
              <w:adjustRightInd w:val="0"/>
              <w:spacing w:before="20" w:after="20" w:line="184" w:lineRule="exact"/>
              <w:rPr>
                <w:rFonts w:ascii="Arial" w:hAnsi="Arial" w:cs="Arial"/>
                <w:color w:val="000000"/>
                <w:sz w:val="18"/>
                <w:szCs w:val="18"/>
              </w:rPr>
            </w:pPr>
          </w:p>
        </w:tc>
      </w:tr>
      <w:tr w:rsidR="00D2463B" w:rsidRPr="00733832" w14:paraId="4EA09F89" w14:textId="77777777" w:rsidTr="009927B2">
        <w:trPr>
          <w:cantSplit/>
          <w:jc w:val="center"/>
        </w:trPr>
        <w:tc>
          <w:tcPr>
            <w:tcW w:w="2847" w:type="dxa"/>
            <w:tcBorders>
              <w:top w:val="nil"/>
              <w:left w:val="nil"/>
              <w:bottom w:val="nil"/>
              <w:right w:val="nil"/>
            </w:tcBorders>
            <w:tcMar>
              <w:left w:w="20" w:type="dxa"/>
              <w:right w:w="20" w:type="dxa"/>
            </w:tcMar>
          </w:tcPr>
          <w:p w14:paraId="137C04A2"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Male</w:t>
            </w:r>
          </w:p>
        </w:tc>
        <w:tc>
          <w:tcPr>
            <w:tcW w:w="2487" w:type="dxa"/>
            <w:tcBorders>
              <w:top w:val="nil"/>
              <w:left w:val="nil"/>
              <w:bottom w:val="nil"/>
              <w:right w:val="nil"/>
            </w:tcBorders>
            <w:tcMar>
              <w:left w:w="20" w:type="dxa"/>
              <w:right w:w="20" w:type="dxa"/>
            </w:tcMar>
          </w:tcPr>
          <w:p w14:paraId="17CA8017"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25 (100%)</w:t>
            </w:r>
          </w:p>
        </w:tc>
      </w:tr>
      <w:tr w:rsidR="00D2463B" w:rsidRPr="00733832" w14:paraId="76638FBA" w14:textId="77777777" w:rsidTr="009927B2">
        <w:trPr>
          <w:cantSplit/>
          <w:jc w:val="center"/>
        </w:trPr>
        <w:tc>
          <w:tcPr>
            <w:tcW w:w="2847" w:type="dxa"/>
            <w:tcBorders>
              <w:top w:val="nil"/>
              <w:left w:val="nil"/>
              <w:bottom w:val="nil"/>
              <w:right w:val="nil"/>
            </w:tcBorders>
            <w:tcMar>
              <w:left w:w="20" w:type="dxa"/>
              <w:right w:w="20" w:type="dxa"/>
            </w:tcMar>
          </w:tcPr>
          <w:p w14:paraId="031538EB" w14:textId="77777777" w:rsidR="00D2463B" w:rsidRPr="00733832" w:rsidRDefault="00D2463B" w:rsidP="009927B2">
            <w:pPr>
              <w:adjustRightInd w:val="0"/>
              <w:spacing w:before="20" w:after="20" w:line="184" w:lineRule="exact"/>
              <w:rPr>
                <w:rFonts w:ascii="Arial" w:hAnsi="Arial" w:cs="Arial"/>
                <w:color w:val="000000"/>
                <w:sz w:val="18"/>
                <w:szCs w:val="18"/>
              </w:rPr>
            </w:pPr>
          </w:p>
        </w:tc>
        <w:tc>
          <w:tcPr>
            <w:tcW w:w="2487" w:type="dxa"/>
            <w:tcBorders>
              <w:top w:val="nil"/>
              <w:left w:val="nil"/>
              <w:bottom w:val="nil"/>
              <w:right w:val="nil"/>
            </w:tcBorders>
            <w:tcMar>
              <w:left w:w="20" w:type="dxa"/>
              <w:right w:w="20" w:type="dxa"/>
            </w:tcMar>
          </w:tcPr>
          <w:p w14:paraId="6035434B" w14:textId="77777777" w:rsidR="00D2463B" w:rsidRPr="00733832" w:rsidRDefault="00D2463B" w:rsidP="009927B2">
            <w:pPr>
              <w:adjustRightInd w:val="0"/>
              <w:spacing w:before="20" w:after="20" w:line="184" w:lineRule="exact"/>
              <w:rPr>
                <w:rFonts w:ascii="Arial" w:hAnsi="Arial" w:cs="Arial"/>
                <w:color w:val="000000"/>
                <w:sz w:val="18"/>
                <w:szCs w:val="18"/>
              </w:rPr>
            </w:pPr>
          </w:p>
        </w:tc>
      </w:tr>
      <w:tr w:rsidR="00D2463B" w:rsidRPr="00733832" w14:paraId="1F90F940" w14:textId="77777777" w:rsidTr="009927B2">
        <w:trPr>
          <w:cantSplit/>
          <w:jc w:val="center"/>
        </w:trPr>
        <w:tc>
          <w:tcPr>
            <w:tcW w:w="2847" w:type="dxa"/>
            <w:tcBorders>
              <w:top w:val="nil"/>
              <w:left w:val="nil"/>
              <w:bottom w:val="nil"/>
              <w:right w:val="nil"/>
            </w:tcBorders>
            <w:tcMar>
              <w:left w:w="20" w:type="dxa"/>
              <w:right w:w="20" w:type="dxa"/>
            </w:tcMar>
          </w:tcPr>
          <w:p w14:paraId="648DD099" w14:textId="77777777" w:rsidR="00D2463B" w:rsidRPr="00733832" w:rsidRDefault="00D2463B" w:rsidP="009927B2">
            <w:pPr>
              <w:adjustRightInd w:val="0"/>
              <w:spacing w:before="20" w:after="20" w:line="184" w:lineRule="exact"/>
              <w:rPr>
                <w:rFonts w:ascii="Arial" w:hAnsi="Arial" w:cs="Arial"/>
                <w:b/>
                <w:bCs/>
                <w:color w:val="000000"/>
                <w:sz w:val="18"/>
                <w:szCs w:val="18"/>
              </w:rPr>
            </w:pPr>
            <w:r w:rsidRPr="00733832">
              <w:rPr>
                <w:rFonts w:ascii="Arial" w:hAnsi="Arial" w:cs="Arial"/>
                <w:b/>
                <w:bCs/>
                <w:color w:val="000000"/>
                <w:sz w:val="18"/>
                <w:szCs w:val="18"/>
              </w:rPr>
              <w:t>Race</w:t>
            </w:r>
            <w:r>
              <w:rPr>
                <w:rFonts w:ascii="Arial" w:hAnsi="Arial" w:cs="Arial"/>
                <w:b/>
                <w:bCs/>
                <w:color w:val="000000"/>
                <w:sz w:val="18"/>
                <w:szCs w:val="18"/>
              </w:rPr>
              <w:t>, N (%)</w:t>
            </w:r>
          </w:p>
        </w:tc>
        <w:tc>
          <w:tcPr>
            <w:tcW w:w="2487" w:type="dxa"/>
            <w:tcBorders>
              <w:top w:val="nil"/>
              <w:left w:val="nil"/>
              <w:bottom w:val="nil"/>
              <w:right w:val="nil"/>
            </w:tcBorders>
            <w:tcMar>
              <w:left w:w="20" w:type="dxa"/>
              <w:right w:w="20" w:type="dxa"/>
            </w:tcMar>
          </w:tcPr>
          <w:p w14:paraId="2F886B81" w14:textId="77777777" w:rsidR="00D2463B" w:rsidRPr="00733832" w:rsidRDefault="00D2463B" w:rsidP="009927B2">
            <w:pPr>
              <w:adjustRightInd w:val="0"/>
              <w:spacing w:before="20" w:after="20" w:line="184" w:lineRule="exact"/>
              <w:rPr>
                <w:rFonts w:ascii="Arial" w:hAnsi="Arial" w:cs="Arial"/>
                <w:color w:val="000000"/>
                <w:sz w:val="18"/>
                <w:szCs w:val="18"/>
              </w:rPr>
            </w:pPr>
          </w:p>
        </w:tc>
      </w:tr>
      <w:tr w:rsidR="00D2463B" w:rsidRPr="00733832" w14:paraId="7DB198C2" w14:textId="77777777" w:rsidTr="009927B2">
        <w:trPr>
          <w:cantSplit/>
          <w:jc w:val="center"/>
        </w:trPr>
        <w:tc>
          <w:tcPr>
            <w:tcW w:w="2847" w:type="dxa"/>
            <w:tcBorders>
              <w:top w:val="nil"/>
              <w:left w:val="nil"/>
              <w:bottom w:val="nil"/>
              <w:right w:val="nil"/>
            </w:tcBorders>
            <w:tcMar>
              <w:left w:w="20" w:type="dxa"/>
              <w:right w:w="20" w:type="dxa"/>
            </w:tcMar>
          </w:tcPr>
          <w:p w14:paraId="17B6C75F"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Mixed</w:t>
            </w:r>
          </w:p>
        </w:tc>
        <w:tc>
          <w:tcPr>
            <w:tcW w:w="2487" w:type="dxa"/>
            <w:tcBorders>
              <w:top w:val="nil"/>
              <w:left w:val="nil"/>
              <w:bottom w:val="nil"/>
              <w:right w:val="nil"/>
            </w:tcBorders>
            <w:tcMar>
              <w:left w:w="20" w:type="dxa"/>
              <w:right w:w="20" w:type="dxa"/>
            </w:tcMar>
          </w:tcPr>
          <w:p w14:paraId="5A0B470D" w14:textId="77777777" w:rsidR="00D2463B" w:rsidRPr="00733832" w:rsidRDefault="00D2463B" w:rsidP="009927B2">
            <w:pPr>
              <w:adjustRightInd w:val="0"/>
              <w:spacing w:before="20" w:after="20" w:line="184" w:lineRule="exact"/>
              <w:rPr>
                <w:rFonts w:ascii="Arial" w:hAnsi="Arial" w:cs="Arial"/>
                <w:color w:val="000000"/>
                <w:sz w:val="18"/>
                <w:szCs w:val="18"/>
              </w:rPr>
            </w:pPr>
            <w:r w:rsidRPr="68DF7F12">
              <w:rPr>
                <w:rFonts w:ascii="Arial" w:hAnsi="Arial" w:cs="Arial"/>
                <w:color w:val="000000" w:themeColor="text1"/>
                <w:sz w:val="18"/>
                <w:szCs w:val="18"/>
              </w:rPr>
              <w:t>1 (4.0%)*</w:t>
            </w:r>
          </w:p>
        </w:tc>
      </w:tr>
      <w:tr w:rsidR="00D2463B" w:rsidRPr="00733832" w14:paraId="69887465" w14:textId="77777777" w:rsidTr="009927B2">
        <w:trPr>
          <w:cantSplit/>
          <w:jc w:val="center"/>
        </w:trPr>
        <w:tc>
          <w:tcPr>
            <w:tcW w:w="2847" w:type="dxa"/>
            <w:tcBorders>
              <w:top w:val="nil"/>
              <w:left w:val="nil"/>
              <w:bottom w:val="nil"/>
              <w:right w:val="nil"/>
            </w:tcBorders>
            <w:tcMar>
              <w:left w:w="20" w:type="dxa"/>
              <w:right w:w="20" w:type="dxa"/>
            </w:tcMar>
          </w:tcPr>
          <w:p w14:paraId="213E3EEB" w14:textId="77777777" w:rsidR="00D2463B" w:rsidRPr="00733832" w:rsidRDefault="00D2463B" w:rsidP="009927B2">
            <w:pPr>
              <w:keepNext/>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Other</w:t>
            </w:r>
          </w:p>
        </w:tc>
        <w:tc>
          <w:tcPr>
            <w:tcW w:w="2487" w:type="dxa"/>
            <w:tcBorders>
              <w:top w:val="nil"/>
              <w:left w:val="nil"/>
              <w:bottom w:val="nil"/>
              <w:right w:val="nil"/>
            </w:tcBorders>
            <w:tcMar>
              <w:left w:w="20" w:type="dxa"/>
              <w:right w:w="20" w:type="dxa"/>
            </w:tcMar>
          </w:tcPr>
          <w:p w14:paraId="6C007B56" w14:textId="77777777" w:rsidR="00D2463B" w:rsidRPr="00733832" w:rsidRDefault="00D2463B" w:rsidP="009927B2">
            <w:pPr>
              <w:keepNext/>
              <w:adjustRightInd w:val="0"/>
              <w:spacing w:before="20" w:after="20" w:line="184" w:lineRule="exact"/>
              <w:rPr>
                <w:rFonts w:ascii="Arial" w:hAnsi="Arial" w:cs="Arial"/>
                <w:color w:val="000000"/>
                <w:sz w:val="18"/>
                <w:szCs w:val="18"/>
              </w:rPr>
            </w:pPr>
            <w:r w:rsidRPr="68DF7F12">
              <w:rPr>
                <w:rFonts w:ascii="Arial" w:hAnsi="Arial" w:cs="Arial"/>
                <w:color w:val="000000" w:themeColor="text1"/>
                <w:sz w:val="18"/>
                <w:szCs w:val="18"/>
              </w:rPr>
              <w:t>1 (4.0%)**</w:t>
            </w:r>
          </w:p>
        </w:tc>
      </w:tr>
      <w:tr w:rsidR="00D2463B" w:rsidRPr="00733832" w14:paraId="563A5A4C" w14:textId="77777777" w:rsidTr="009927B2">
        <w:trPr>
          <w:cantSplit/>
          <w:jc w:val="center"/>
        </w:trPr>
        <w:tc>
          <w:tcPr>
            <w:tcW w:w="2847" w:type="dxa"/>
            <w:tcBorders>
              <w:top w:val="nil"/>
              <w:left w:val="nil"/>
              <w:bottom w:val="single" w:sz="6" w:space="0" w:color="000000" w:themeColor="text1"/>
              <w:right w:val="nil"/>
            </w:tcBorders>
            <w:tcMar>
              <w:left w:w="20" w:type="dxa"/>
              <w:right w:w="20" w:type="dxa"/>
            </w:tcMar>
          </w:tcPr>
          <w:p w14:paraId="32E64519"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 xml:space="preserve">  White</w:t>
            </w:r>
          </w:p>
        </w:tc>
        <w:tc>
          <w:tcPr>
            <w:tcW w:w="2487" w:type="dxa"/>
            <w:tcBorders>
              <w:top w:val="nil"/>
              <w:left w:val="nil"/>
              <w:bottom w:val="single" w:sz="6" w:space="0" w:color="000000" w:themeColor="text1"/>
              <w:right w:val="nil"/>
            </w:tcBorders>
            <w:tcMar>
              <w:left w:w="20" w:type="dxa"/>
              <w:right w:w="20" w:type="dxa"/>
            </w:tcMar>
          </w:tcPr>
          <w:p w14:paraId="46F593F8" w14:textId="77777777" w:rsidR="00D2463B" w:rsidRPr="00733832" w:rsidRDefault="00D2463B" w:rsidP="009927B2">
            <w:pPr>
              <w:adjustRightInd w:val="0"/>
              <w:spacing w:before="20" w:after="20" w:line="184" w:lineRule="exact"/>
              <w:rPr>
                <w:rFonts w:ascii="Arial" w:hAnsi="Arial" w:cs="Arial"/>
                <w:color w:val="000000"/>
                <w:sz w:val="18"/>
                <w:szCs w:val="18"/>
              </w:rPr>
            </w:pPr>
            <w:r w:rsidRPr="00733832">
              <w:rPr>
                <w:rFonts w:ascii="Arial" w:hAnsi="Arial" w:cs="Arial"/>
                <w:color w:val="000000"/>
                <w:sz w:val="18"/>
                <w:szCs w:val="18"/>
              </w:rPr>
              <w:t>23 (92.0%)</w:t>
            </w:r>
          </w:p>
        </w:tc>
      </w:tr>
    </w:tbl>
    <w:p w14:paraId="17A70136" w14:textId="77777777" w:rsidR="00D2463B" w:rsidRDefault="00D2463B" w:rsidP="00D2463B">
      <w:pPr>
        <w:pStyle w:val="FootnoteText"/>
        <w:keepNext/>
        <w:jc w:val="left"/>
        <w:rPr>
          <w:rFonts w:ascii="Arial" w:hAnsi="Arial" w:cs="Arial"/>
          <w:sz w:val="18"/>
          <w:szCs w:val="18"/>
        </w:rPr>
      </w:pPr>
      <w:r w:rsidRPr="00C80B86">
        <w:rPr>
          <w:rFonts w:ascii="Arial" w:hAnsi="Arial" w:cs="Arial"/>
          <w:sz w:val="18"/>
          <w:szCs w:val="18"/>
        </w:rPr>
        <w:t>Abbreviations: BMI</w:t>
      </w:r>
      <w:r>
        <w:rPr>
          <w:rFonts w:ascii="Arial" w:hAnsi="Arial" w:cs="Arial"/>
          <w:sz w:val="18"/>
          <w:szCs w:val="18"/>
        </w:rPr>
        <w:t xml:space="preserve"> =</w:t>
      </w:r>
      <w:r w:rsidRPr="00C80B86">
        <w:rPr>
          <w:rFonts w:ascii="Arial" w:hAnsi="Arial" w:cs="Arial"/>
          <w:sz w:val="18"/>
          <w:szCs w:val="18"/>
        </w:rPr>
        <w:t xml:space="preserve"> body mass index</w:t>
      </w:r>
      <w:r>
        <w:rPr>
          <w:rFonts w:ascii="Arial" w:hAnsi="Arial" w:cs="Arial"/>
          <w:sz w:val="18"/>
          <w:szCs w:val="18"/>
        </w:rPr>
        <w:t>;</w:t>
      </w:r>
      <w:r w:rsidRPr="00C80B86">
        <w:rPr>
          <w:rFonts w:ascii="Arial" w:hAnsi="Arial" w:cs="Arial"/>
          <w:sz w:val="18"/>
          <w:szCs w:val="18"/>
        </w:rPr>
        <w:t xml:space="preserve"> max</w:t>
      </w:r>
      <w:r>
        <w:rPr>
          <w:rFonts w:ascii="Arial" w:hAnsi="Arial" w:cs="Arial"/>
          <w:sz w:val="18"/>
          <w:szCs w:val="18"/>
        </w:rPr>
        <w:t xml:space="preserve"> =</w:t>
      </w:r>
      <w:r w:rsidRPr="00C80B86">
        <w:rPr>
          <w:rFonts w:ascii="Arial" w:hAnsi="Arial" w:cs="Arial"/>
          <w:sz w:val="18"/>
          <w:szCs w:val="18"/>
        </w:rPr>
        <w:t xml:space="preserve"> maximum; min</w:t>
      </w:r>
      <w:r>
        <w:rPr>
          <w:rFonts w:ascii="Arial" w:hAnsi="Arial" w:cs="Arial"/>
          <w:sz w:val="18"/>
          <w:szCs w:val="18"/>
        </w:rPr>
        <w:t xml:space="preserve"> =</w:t>
      </w:r>
      <w:r w:rsidRPr="00C80B86">
        <w:rPr>
          <w:rFonts w:ascii="Arial" w:hAnsi="Arial" w:cs="Arial"/>
          <w:sz w:val="18"/>
          <w:szCs w:val="18"/>
        </w:rPr>
        <w:t xml:space="preserve"> minimum; N</w:t>
      </w:r>
      <w:r>
        <w:rPr>
          <w:rFonts w:ascii="Arial" w:hAnsi="Arial" w:cs="Arial"/>
          <w:sz w:val="18"/>
          <w:szCs w:val="18"/>
        </w:rPr>
        <w:t xml:space="preserve"> =</w:t>
      </w:r>
      <w:r w:rsidRPr="00C80B86">
        <w:rPr>
          <w:rFonts w:ascii="Arial" w:hAnsi="Arial" w:cs="Arial"/>
          <w:sz w:val="18"/>
          <w:szCs w:val="18"/>
        </w:rPr>
        <w:t xml:space="preserve"> number; SD</w:t>
      </w:r>
      <w:r>
        <w:rPr>
          <w:rFonts w:ascii="Arial" w:hAnsi="Arial" w:cs="Arial"/>
          <w:sz w:val="18"/>
          <w:szCs w:val="18"/>
        </w:rPr>
        <w:t xml:space="preserve"> =</w:t>
      </w:r>
      <w:r w:rsidRPr="00C80B86">
        <w:rPr>
          <w:rFonts w:ascii="Arial" w:hAnsi="Arial" w:cs="Arial"/>
          <w:sz w:val="18"/>
          <w:szCs w:val="18"/>
        </w:rPr>
        <w:t xml:space="preserve"> standard deviation.</w:t>
      </w:r>
    </w:p>
    <w:p w14:paraId="7CE621CC" w14:textId="77777777" w:rsidR="00D2463B" w:rsidRDefault="00D2463B" w:rsidP="00D2463B">
      <w:pPr>
        <w:pStyle w:val="FootnoteText"/>
        <w:keepNext/>
        <w:jc w:val="left"/>
        <w:rPr>
          <w:rFonts w:ascii="Arial" w:hAnsi="Arial" w:cs="Arial"/>
          <w:sz w:val="18"/>
          <w:szCs w:val="18"/>
        </w:rPr>
      </w:pPr>
      <w:r w:rsidRPr="68DF7F12">
        <w:rPr>
          <w:rFonts w:ascii="Arial" w:hAnsi="Arial" w:cs="Arial"/>
          <w:sz w:val="18"/>
          <w:szCs w:val="18"/>
        </w:rPr>
        <w:t>*Black or African-American/White</w:t>
      </w:r>
    </w:p>
    <w:p w14:paraId="23AB7D42" w14:textId="77777777" w:rsidR="00D2463B" w:rsidRDefault="00D2463B" w:rsidP="00D2463B">
      <w:pPr>
        <w:pStyle w:val="FootnoteText"/>
        <w:keepNext/>
        <w:jc w:val="left"/>
        <w:rPr>
          <w:rFonts w:ascii="Arial" w:hAnsi="Arial" w:cs="Arial"/>
          <w:sz w:val="18"/>
          <w:szCs w:val="18"/>
        </w:rPr>
      </w:pPr>
      <w:r>
        <w:rPr>
          <w:rFonts w:ascii="Arial" w:hAnsi="Arial" w:cs="Arial"/>
          <w:sz w:val="18"/>
          <w:szCs w:val="18"/>
        </w:rPr>
        <w:t>**North African</w:t>
      </w:r>
    </w:p>
    <w:p w14:paraId="276C25A2" w14:textId="78455A0F" w:rsidR="00DD5EEE" w:rsidRDefault="00DD5EEE">
      <w:r>
        <w:br w:type="page"/>
      </w:r>
    </w:p>
    <w:p w14:paraId="179CE5F7" w14:textId="631EF303" w:rsidR="00DA19A0" w:rsidRPr="001F49E8" w:rsidRDefault="00DD5EEE">
      <w:pPr>
        <w:rPr>
          <w:rFonts w:ascii="Arial" w:hAnsi="Arial" w:cs="Arial"/>
          <w:b/>
          <w:bCs/>
          <w:sz w:val="20"/>
          <w:szCs w:val="20"/>
          <w:lang w:val="nl-NL"/>
        </w:rPr>
      </w:pPr>
      <w:proofErr w:type="spellStart"/>
      <w:r w:rsidRPr="001F49E8">
        <w:rPr>
          <w:rFonts w:ascii="Arial" w:hAnsi="Arial" w:cs="Arial"/>
          <w:b/>
          <w:bCs/>
          <w:sz w:val="20"/>
          <w:szCs w:val="20"/>
          <w:lang w:val="nl-NL"/>
        </w:rPr>
        <w:lastRenderedPageBreak/>
        <w:t>References</w:t>
      </w:r>
      <w:proofErr w:type="spellEnd"/>
      <w:r w:rsidR="000420B1" w:rsidRPr="001F49E8">
        <w:rPr>
          <w:rFonts w:ascii="Arial" w:hAnsi="Arial" w:cs="Arial"/>
          <w:b/>
          <w:bCs/>
          <w:sz w:val="20"/>
          <w:szCs w:val="20"/>
          <w:lang w:val="nl-NL"/>
        </w:rPr>
        <w:t>.</w:t>
      </w:r>
    </w:p>
    <w:sdt>
      <w:sdtPr>
        <w:rPr>
          <w:rFonts w:ascii="Arial" w:hAnsi="Arial" w:cs="Arial"/>
          <w:color w:val="000000"/>
          <w:sz w:val="20"/>
          <w:szCs w:val="20"/>
        </w:rPr>
        <w:tag w:val="MENDELEY_BIBLIOGRAPHY"/>
        <w:id w:val="-183906126"/>
        <w:placeholder>
          <w:docPart w:val="DefaultPlaceholder_-1854013440"/>
        </w:placeholder>
      </w:sdtPr>
      <w:sdtEndPr>
        <w:rPr>
          <w:color w:val="000000" w:themeColor="text1"/>
        </w:rPr>
      </w:sdtEndPr>
      <w:sdtContent>
        <w:p w14:paraId="60E0F93A" w14:textId="77777777" w:rsidR="00282ABF" w:rsidRPr="00282ABF" w:rsidRDefault="00282ABF">
          <w:pPr>
            <w:autoSpaceDE w:val="0"/>
            <w:autoSpaceDN w:val="0"/>
            <w:ind w:hanging="640"/>
            <w:divId w:val="811948774"/>
            <w:rPr>
              <w:rFonts w:ascii="Arial" w:eastAsia="Times New Roman" w:hAnsi="Arial" w:cs="Arial"/>
              <w:kern w:val="0"/>
              <w:sz w:val="20"/>
              <w:szCs w:val="20"/>
              <w:lang w:val="nl-NL"/>
              <w14:ligatures w14:val="none"/>
            </w:rPr>
          </w:pPr>
          <w:r w:rsidRPr="00282ABF">
            <w:rPr>
              <w:rFonts w:ascii="Arial" w:eastAsia="Times New Roman" w:hAnsi="Arial" w:cs="Arial"/>
              <w:sz w:val="20"/>
              <w:szCs w:val="20"/>
              <w:lang w:val="nl-NL"/>
            </w:rPr>
            <w:t>1.</w:t>
          </w:r>
          <w:r w:rsidRPr="00282ABF">
            <w:rPr>
              <w:rFonts w:ascii="Arial" w:eastAsia="Times New Roman" w:hAnsi="Arial" w:cs="Arial"/>
              <w:sz w:val="20"/>
              <w:szCs w:val="20"/>
              <w:lang w:val="nl-NL"/>
            </w:rPr>
            <w:tab/>
            <w:t xml:space="preserve">ter </w:t>
          </w:r>
          <w:proofErr w:type="spellStart"/>
          <w:r w:rsidRPr="00282ABF">
            <w:rPr>
              <w:rFonts w:ascii="Arial" w:eastAsia="Times New Roman" w:hAnsi="Arial" w:cs="Arial"/>
              <w:sz w:val="20"/>
              <w:szCs w:val="20"/>
              <w:lang w:val="nl-NL"/>
            </w:rPr>
            <w:t>Braack</w:t>
          </w:r>
          <w:proofErr w:type="spellEnd"/>
          <w:r w:rsidRPr="00282ABF">
            <w:rPr>
              <w:rFonts w:ascii="Arial" w:eastAsia="Times New Roman" w:hAnsi="Arial" w:cs="Arial"/>
              <w:sz w:val="20"/>
              <w:szCs w:val="20"/>
              <w:lang w:val="nl-NL"/>
            </w:rPr>
            <w:t xml:space="preserve"> EM, de Vos CC, van Putten </w:t>
          </w:r>
          <w:proofErr w:type="spellStart"/>
          <w:r w:rsidRPr="00282ABF">
            <w:rPr>
              <w:rFonts w:ascii="Arial" w:eastAsia="Times New Roman" w:hAnsi="Arial" w:cs="Arial"/>
              <w:sz w:val="20"/>
              <w:szCs w:val="20"/>
              <w:lang w:val="nl-NL"/>
            </w:rPr>
            <w:t>MJ</w:t>
          </w:r>
          <w:proofErr w:type="spellEnd"/>
          <w:r w:rsidRPr="00282ABF">
            <w:rPr>
              <w:rFonts w:ascii="Arial" w:eastAsia="Times New Roman" w:hAnsi="Arial" w:cs="Arial"/>
              <w:sz w:val="20"/>
              <w:szCs w:val="20"/>
              <w:lang w:val="nl-NL"/>
            </w:rPr>
            <w:t xml:space="preserve">. </w:t>
          </w:r>
          <w:r w:rsidRPr="00282ABF">
            <w:rPr>
              <w:rFonts w:ascii="Arial" w:eastAsia="Times New Roman" w:hAnsi="Arial" w:cs="Arial"/>
              <w:sz w:val="20"/>
              <w:szCs w:val="20"/>
            </w:rPr>
            <w:t xml:space="preserve">Masking the Auditory Evoked Potential in TMS-EEG: A Comparison of Various Methods. </w:t>
          </w:r>
          <w:r w:rsidRPr="00282ABF">
            <w:rPr>
              <w:rFonts w:ascii="Arial" w:eastAsia="Times New Roman" w:hAnsi="Arial" w:cs="Arial"/>
              <w:i/>
              <w:iCs/>
              <w:sz w:val="20"/>
              <w:szCs w:val="20"/>
              <w:lang w:val="nl-NL"/>
            </w:rPr>
            <w:t xml:space="preserve">Brain </w:t>
          </w:r>
          <w:proofErr w:type="spellStart"/>
          <w:r w:rsidRPr="00282ABF">
            <w:rPr>
              <w:rFonts w:ascii="Arial" w:eastAsia="Times New Roman" w:hAnsi="Arial" w:cs="Arial"/>
              <w:i/>
              <w:iCs/>
              <w:sz w:val="20"/>
              <w:szCs w:val="20"/>
              <w:lang w:val="nl-NL"/>
            </w:rPr>
            <w:t>Topogr</w:t>
          </w:r>
          <w:proofErr w:type="spellEnd"/>
          <w:r w:rsidRPr="00282ABF">
            <w:rPr>
              <w:rFonts w:ascii="Arial" w:eastAsia="Times New Roman" w:hAnsi="Arial" w:cs="Arial"/>
              <w:sz w:val="20"/>
              <w:szCs w:val="20"/>
              <w:lang w:val="nl-NL"/>
            </w:rPr>
            <w:t xml:space="preserve">. 2015;28(3):520-528. </w:t>
          </w:r>
          <w:proofErr w:type="spellStart"/>
          <w:r w:rsidRPr="00282ABF">
            <w:rPr>
              <w:rFonts w:ascii="Arial" w:eastAsia="Times New Roman" w:hAnsi="Arial" w:cs="Arial"/>
              <w:sz w:val="20"/>
              <w:szCs w:val="20"/>
              <w:lang w:val="nl-NL"/>
            </w:rPr>
            <w:t>doi:10.1007</w:t>
          </w:r>
          <w:proofErr w:type="spellEnd"/>
          <w:r w:rsidRPr="00282ABF">
            <w:rPr>
              <w:rFonts w:ascii="Arial" w:eastAsia="Times New Roman" w:hAnsi="Arial" w:cs="Arial"/>
              <w:sz w:val="20"/>
              <w:szCs w:val="20"/>
              <w:lang w:val="nl-NL"/>
            </w:rPr>
            <w:t>/</w:t>
          </w:r>
          <w:proofErr w:type="spellStart"/>
          <w:r w:rsidRPr="00282ABF">
            <w:rPr>
              <w:rFonts w:ascii="Arial" w:eastAsia="Times New Roman" w:hAnsi="Arial" w:cs="Arial"/>
              <w:sz w:val="20"/>
              <w:szCs w:val="20"/>
              <w:lang w:val="nl-NL"/>
            </w:rPr>
            <w:t>s10548</w:t>
          </w:r>
          <w:proofErr w:type="spellEnd"/>
          <w:r w:rsidRPr="00282ABF">
            <w:rPr>
              <w:rFonts w:ascii="Arial" w:eastAsia="Times New Roman" w:hAnsi="Arial" w:cs="Arial"/>
              <w:sz w:val="20"/>
              <w:szCs w:val="20"/>
              <w:lang w:val="nl-NL"/>
            </w:rPr>
            <w:t>-013-0312-</w:t>
          </w:r>
          <w:proofErr w:type="spellStart"/>
          <w:r w:rsidRPr="00282ABF">
            <w:rPr>
              <w:rFonts w:ascii="Arial" w:eastAsia="Times New Roman" w:hAnsi="Arial" w:cs="Arial"/>
              <w:sz w:val="20"/>
              <w:szCs w:val="20"/>
              <w:lang w:val="nl-NL"/>
            </w:rPr>
            <w:t>z</w:t>
          </w:r>
          <w:proofErr w:type="spellEnd"/>
        </w:p>
        <w:p w14:paraId="31C61770" w14:textId="77777777" w:rsidR="00282ABF" w:rsidRPr="00282ABF" w:rsidRDefault="00282ABF">
          <w:pPr>
            <w:autoSpaceDE w:val="0"/>
            <w:autoSpaceDN w:val="0"/>
            <w:ind w:hanging="640"/>
            <w:divId w:val="1312708085"/>
            <w:rPr>
              <w:rFonts w:ascii="Arial" w:eastAsia="Times New Roman" w:hAnsi="Arial" w:cs="Arial"/>
              <w:sz w:val="20"/>
              <w:szCs w:val="20"/>
            </w:rPr>
          </w:pPr>
          <w:r w:rsidRPr="00282ABF">
            <w:rPr>
              <w:rFonts w:ascii="Arial" w:eastAsia="Times New Roman" w:hAnsi="Arial" w:cs="Arial"/>
              <w:sz w:val="20"/>
              <w:szCs w:val="20"/>
              <w:lang w:val="nl-NL"/>
            </w:rPr>
            <w:t>2.</w:t>
          </w:r>
          <w:r w:rsidRPr="00282ABF">
            <w:rPr>
              <w:rFonts w:ascii="Arial" w:eastAsia="Times New Roman" w:hAnsi="Arial" w:cs="Arial"/>
              <w:sz w:val="20"/>
              <w:szCs w:val="20"/>
              <w:lang w:val="nl-NL"/>
            </w:rPr>
            <w:tab/>
            <w:t xml:space="preserve">van </w:t>
          </w:r>
          <w:proofErr w:type="spellStart"/>
          <w:r w:rsidRPr="00282ABF">
            <w:rPr>
              <w:rFonts w:ascii="Arial" w:eastAsia="Times New Roman" w:hAnsi="Arial" w:cs="Arial"/>
              <w:sz w:val="20"/>
              <w:szCs w:val="20"/>
              <w:lang w:val="nl-NL"/>
            </w:rPr>
            <w:t>Steveninck</w:t>
          </w:r>
          <w:proofErr w:type="spellEnd"/>
          <w:r w:rsidRPr="00282ABF">
            <w:rPr>
              <w:rFonts w:ascii="Arial" w:eastAsia="Times New Roman" w:hAnsi="Arial" w:cs="Arial"/>
              <w:sz w:val="20"/>
              <w:szCs w:val="20"/>
              <w:lang w:val="nl-NL"/>
            </w:rPr>
            <w:t xml:space="preserve"> AL, Schoemaker HC, Pieters MS, Kroon R, </w:t>
          </w:r>
          <w:proofErr w:type="spellStart"/>
          <w:r w:rsidRPr="00282ABF">
            <w:rPr>
              <w:rFonts w:ascii="Arial" w:eastAsia="Times New Roman" w:hAnsi="Arial" w:cs="Arial"/>
              <w:sz w:val="20"/>
              <w:szCs w:val="20"/>
              <w:lang w:val="nl-NL"/>
            </w:rPr>
            <w:t>Breimer</w:t>
          </w:r>
          <w:proofErr w:type="spellEnd"/>
          <w:r w:rsidRPr="00282ABF">
            <w:rPr>
              <w:rFonts w:ascii="Arial" w:eastAsia="Times New Roman" w:hAnsi="Arial" w:cs="Arial"/>
              <w:sz w:val="20"/>
              <w:szCs w:val="20"/>
              <w:lang w:val="nl-NL"/>
            </w:rPr>
            <w:t xml:space="preserve"> DD, Cohen AF. </w:t>
          </w:r>
          <w:r w:rsidRPr="00282ABF">
            <w:rPr>
              <w:rFonts w:ascii="Arial" w:eastAsia="Times New Roman" w:hAnsi="Arial" w:cs="Arial"/>
              <w:sz w:val="20"/>
              <w:szCs w:val="20"/>
            </w:rPr>
            <w:t xml:space="preserve">A comparison of the sensitivities of adaptive tracking, eye movement analysis and visual analog lines to the effects of incremental doses of temazepam in healthy volunteers. </w:t>
          </w:r>
          <w:r w:rsidRPr="00282ABF">
            <w:rPr>
              <w:rFonts w:ascii="Arial" w:eastAsia="Times New Roman" w:hAnsi="Arial" w:cs="Arial"/>
              <w:i/>
              <w:iCs/>
              <w:sz w:val="20"/>
              <w:szCs w:val="20"/>
            </w:rPr>
            <w:t xml:space="preserve">Clin </w:t>
          </w:r>
          <w:proofErr w:type="spellStart"/>
          <w:r w:rsidRPr="00282ABF">
            <w:rPr>
              <w:rFonts w:ascii="Arial" w:eastAsia="Times New Roman" w:hAnsi="Arial" w:cs="Arial"/>
              <w:i/>
              <w:iCs/>
              <w:sz w:val="20"/>
              <w:szCs w:val="20"/>
            </w:rPr>
            <w:t>Pharmacol</w:t>
          </w:r>
          <w:proofErr w:type="spellEnd"/>
          <w:r w:rsidRPr="00282ABF">
            <w:rPr>
              <w:rFonts w:ascii="Arial" w:eastAsia="Times New Roman" w:hAnsi="Arial" w:cs="Arial"/>
              <w:i/>
              <w:iCs/>
              <w:sz w:val="20"/>
              <w:szCs w:val="20"/>
            </w:rPr>
            <w:t xml:space="preserve"> Ther</w:t>
          </w:r>
          <w:r w:rsidRPr="00282ABF">
            <w:rPr>
              <w:rFonts w:ascii="Arial" w:eastAsia="Times New Roman" w:hAnsi="Arial" w:cs="Arial"/>
              <w:sz w:val="20"/>
              <w:szCs w:val="20"/>
            </w:rPr>
            <w:t>. 1991;50(2):172-180.</w:t>
          </w:r>
        </w:p>
        <w:p w14:paraId="177DF6B6" w14:textId="77777777" w:rsidR="00282ABF" w:rsidRPr="00282ABF" w:rsidRDefault="00282ABF">
          <w:pPr>
            <w:autoSpaceDE w:val="0"/>
            <w:autoSpaceDN w:val="0"/>
            <w:ind w:hanging="640"/>
            <w:divId w:val="1844393561"/>
            <w:rPr>
              <w:rFonts w:ascii="Arial" w:eastAsia="Times New Roman" w:hAnsi="Arial" w:cs="Arial"/>
              <w:sz w:val="20"/>
              <w:szCs w:val="20"/>
            </w:rPr>
          </w:pPr>
          <w:r w:rsidRPr="00282ABF">
            <w:rPr>
              <w:rFonts w:ascii="Arial" w:eastAsia="Times New Roman" w:hAnsi="Arial" w:cs="Arial"/>
              <w:sz w:val="20"/>
              <w:szCs w:val="20"/>
            </w:rPr>
            <w:t>3.</w:t>
          </w:r>
          <w:r w:rsidRPr="00282ABF">
            <w:rPr>
              <w:rFonts w:ascii="Arial" w:eastAsia="Times New Roman" w:hAnsi="Arial" w:cs="Arial"/>
              <w:sz w:val="20"/>
              <w:szCs w:val="20"/>
            </w:rPr>
            <w:tab/>
            <w:t xml:space="preserve">Baloh </w:t>
          </w:r>
          <w:proofErr w:type="spellStart"/>
          <w:r w:rsidRPr="00282ABF">
            <w:rPr>
              <w:rFonts w:ascii="Arial" w:eastAsia="Times New Roman" w:hAnsi="Arial" w:cs="Arial"/>
              <w:sz w:val="20"/>
              <w:szCs w:val="20"/>
            </w:rPr>
            <w:t>RW</w:t>
          </w:r>
          <w:proofErr w:type="spellEnd"/>
          <w:r w:rsidRPr="00282ABF">
            <w:rPr>
              <w:rFonts w:ascii="Arial" w:eastAsia="Times New Roman" w:hAnsi="Arial" w:cs="Arial"/>
              <w:sz w:val="20"/>
              <w:szCs w:val="20"/>
            </w:rPr>
            <w:t xml:space="preserve">, Sills AW, </w:t>
          </w:r>
          <w:proofErr w:type="spellStart"/>
          <w:r w:rsidRPr="00282ABF">
            <w:rPr>
              <w:rFonts w:ascii="Arial" w:eastAsia="Times New Roman" w:hAnsi="Arial" w:cs="Arial"/>
              <w:sz w:val="20"/>
              <w:szCs w:val="20"/>
            </w:rPr>
            <w:t>Kumley</w:t>
          </w:r>
          <w:proofErr w:type="spellEnd"/>
          <w:r w:rsidRPr="00282ABF">
            <w:rPr>
              <w:rFonts w:ascii="Arial" w:eastAsia="Times New Roman" w:hAnsi="Arial" w:cs="Arial"/>
              <w:sz w:val="20"/>
              <w:szCs w:val="20"/>
            </w:rPr>
            <w:t xml:space="preserve"> WE, </w:t>
          </w:r>
          <w:proofErr w:type="spellStart"/>
          <w:r w:rsidRPr="00282ABF">
            <w:rPr>
              <w:rFonts w:ascii="Arial" w:eastAsia="Times New Roman" w:hAnsi="Arial" w:cs="Arial"/>
              <w:sz w:val="20"/>
              <w:szCs w:val="20"/>
            </w:rPr>
            <w:t>Honrubia</w:t>
          </w:r>
          <w:proofErr w:type="spellEnd"/>
          <w:r w:rsidRPr="00282ABF">
            <w:rPr>
              <w:rFonts w:ascii="Arial" w:eastAsia="Times New Roman" w:hAnsi="Arial" w:cs="Arial"/>
              <w:sz w:val="20"/>
              <w:szCs w:val="20"/>
            </w:rPr>
            <w:t xml:space="preserve"> V. Quantitative measurement of saccade amplitude, duration, and velocity. </w:t>
          </w:r>
          <w:r w:rsidRPr="00282ABF">
            <w:rPr>
              <w:rFonts w:ascii="Arial" w:eastAsia="Times New Roman" w:hAnsi="Arial" w:cs="Arial"/>
              <w:i/>
              <w:iCs/>
              <w:sz w:val="20"/>
              <w:szCs w:val="20"/>
            </w:rPr>
            <w:t>Neurology</w:t>
          </w:r>
          <w:r w:rsidRPr="00282ABF">
            <w:rPr>
              <w:rFonts w:ascii="Arial" w:eastAsia="Times New Roman" w:hAnsi="Arial" w:cs="Arial"/>
              <w:sz w:val="20"/>
              <w:szCs w:val="20"/>
            </w:rPr>
            <w:t xml:space="preserve">. 1975;25(11):1065-1070. </w:t>
          </w:r>
          <w:proofErr w:type="spellStart"/>
          <w:r w:rsidRPr="00282ABF">
            <w:rPr>
              <w:rFonts w:ascii="Arial" w:eastAsia="Times New Roman" w:hAnsi="Arial" w:cs="Arial"/>
              <w:sz w:val="20"/>
              <w:szCs w:val="20"/>
            </w:rPr>
            <w:t>doi:10.1212</w:t>
          </w:r>
          <w:proofErr w:type="spellEnd"/>
          <w:r w:rsidRPr="00282ABF">
            <w:rPr>
              <w:rFonts w:ascii="Arial" w:eastAsia="Times New Roman" w:hAnsi="Arial" w:cs="Arial"/>
              <w:sz w:val="20"/>
              <w:szCs w:val="20"/>
            </w:rPr>
            <w:t>/</w:t>
          </w:r>
          <w:proofErr w:type="spellStart"/>
          <w:r w:rsidRPr="00282ABF">
            <w:rPr>
              <w:rFonts w:ascii="Arial" w:eastAsia="Times New Roman" w:hAnsi="Arial" w:cs="Arial"/>
              <w:sz w:val="20"/>
              <w:szCs w:val="20"/>
            </w:rPr>
            <w:t>wnl.25.11.1065</w:t>
          </w:r>
          <w:proofErr w:type="spellEnd"/>
        </w:p>
        <w:p w14:paraId="566E617B" w14:textId="77777777" w:rsidR="00282ABF" w:rsidRPr="00282ABF" w:rsidRDefault="00282ABF">
          <w:pPr>
            <w:autoSpaceDE w:val="0"/>
            <w:autoSpaceDN w:val="0"/>
            <w:ind w:hanging="640"/>
            <w:divId w:val="1679235890"/>
            <w:rPr>
              <w:rFonts w:ascii="Arial" w:eastAsia="Times New Roman" w:hAnsi="Arial" w:cs="Arial"/>
              <w:sz w:val="20"/>
              <w:szCs w:val="20"/>
              <w:lang w:val="nl-NL"/>
            </w:rPr>
          </w:pPr>
          <w:r w:rsidRPr="00282ABF">
            <w:rPr>
              <w:rFonts w:ascii="Arial" w:eastAsia="Times New Roman" w:hAnsi="Arial" w:cs="Arial"/>
              <w:sz w:val="20"/>
              <w:szCs w:val="20"/>
            </w:rPr>
            <w:t>4.</w:t>
          </w:r>
          <w:r w:rsidRPr="00282ABF">
            <w:rPr>
              <w:rFonts w:ascii="Arial" w:eastAsia="Times New Roman" w:hAnsi="Arial" w:cs="Arial"/>
              <w:sz w:val="20"/>
              <w:szCs w:val="20"/>
            </w:rPr>
            <w:tab/>
            <w:t xml:space="preserve">Bittencourt PR, Wade P, Smith AT, Richens A. Benzodiazepines impair smooth pursuit eye movements. </w:t>
          </w:r>
          <w:r w:rsidRPr="00282ABF">
            <w:rPr>
              <w:rFonts w:ascii="Arial" w:eastAsia="Times New Roman" w:hAnsi="Arial" w:cs="Arial"/>
              <w:i/>
              <w:iCs/>
              <w:sz w:val="20"/>
              <w:szCs w:val="20"/>
              <w:lang w:val="nl-NL"/>
            </w:rPr>
            <w:t xml:space="preserve">Br J </w:t>
          </w:r>
          <w:proofErr w:type="spellStart"/>
          <w:r w:rsidRPr="00282ABF">
            <w:rPr>
              <w:rFonts w:ascii="Arial" w:eastAsia="Times New Roman" w:hAnsi="Arial" w:cs="Arial"/>
              <w:i/>
              <w:iCs/>
              <w:sz w:val="20"/>
              <w:szCs w:val="20"/>
              <w:lang w:val="nl-NL"/>
            </w:rPr>
            <w:t>Clin</w:t>
          </w:r>
          <w:proofErr w:type="spellEnd"/>
          <w:r w:rsidRPr="00282ABF">
            <w:rPr>
              <w:rFonts w:ascii="Arial" w:eastAsia="Times New Roman" w:hAnsi="Arial" w:cs="Arial"/>
              <w:i/>
              <w:iCs/>
              <w:sz w:val="20"/>
              <w:szCs w:val="20"/>
              <w:lang w:val="nl-NL"/>
            </w:rPr>
            <w:t xml:space="preserve"> </w:t>
          </w:r>
          <w:proofErr w:type="spellStart"/>
          <w:r w:rsidRPr="00282ABF">
            <w:rPr>
              <w:rFonts w:ascii="Arial" w:eastAsia="Times New Roman" w:hAnsi="Arial" w:cs="Arial"/>
              <w:i/>
              <w:iCs/>
              <w:sz w:val="20"/>
              <w:szCs w:val="20"/>
              <w:lang w:val="nl-NL"/>
            </w:rPr>
            <w:t>Pharmacol</w:t>
          </w:r>
          <w:proofErr w:type="spellEnd"/>
          <w:r w:rsidRPr="00282ABF">
            <w:rPr>
              <w:rFonts w:ascii="Arial" w:eastAsia="Times New Roman" w:hAnsi="Arial" w:cs="Arial"/>
              <w:sz w:val="20"/>
              <w:szCs w:val="20"/>
              <w:lang w:val="nl-NL"/>
            </w:rPr>
            <w:t xml:space="preserve">. 1983;15(2):259-262. </w:t>
          </w:r>
          <w:proofErr w:type="spellStart"/>
          <w:r w:rsidRPr="00282ABF">
            <w:rPr>
              <w:rFonts w:ascii="Arial" w:eastAsia="Times New Roman" w:hAnsi="Arial" w:cs="Arial"/>
              <w:sz w:val="20"/>
              <w:szCs w:val="20"/>
              <w:lang w:val="nl-NL"/>
            </w:rPr>
            <w:t>doi:10.1111</w:t>
          </w:r>
          <w:proofErr w:type="spellEnd"/>
          <w:r w:rsidRPr="00282ABF">
            <w:rPr>
              <w:rFonts w:ascii="Arial" w:eastAsia="Times New Roman" w:hAnsi="Arial" w:cs="Arial"/>
              <w:sz w:val="20"/>
              <w:szCs w:val="20"/>
              <w:lang w:val="nl-NL"/>
            </w:rPr>
            <w:t>/</w:t>
          </w:r>
          <w:proofErr w:type="spellStart"/>
          <w:r w:rsidRPr="00282ABF">
            <w:rPr>
              <w:rFonts w:ascii="Arial" w:eastAsia="Times New Roman" w:hAnsi="Arial" w:cs="Arial"/>
              <w:sz w:val="20"/>
              <w:szCs w:val="20"/>
              <w:lang w:val="nl-NL"/>
            </w:rPr>
            <w:t>j.1365-2125.1983.tb01495.x</w:t>
          </w:r>
          <w:proofErr w:type="spellEnd"/>
        </w:p>
        <w:p w14:paraId="639EA2D1" w14:textId="77777777" w:rsidR="00282ABF" w:rsidRPr="00282ABF" w:rsidRDefault="00282ABF">
          <w:pPr>
            <w:autoSpaceDE w:val="0"/>
            <w:autoSpaceDN w:val="0"/>
            <w:ind w:hanging="640"/>
            <w:divId w:val="1191185958"/>
            <w:rPr>
              <w:rFonts w:ascii="Arial" w:eastAsia="Times New Roman" w:hAnsi="Arial" w:cs="Arial"/>
              <w:sz w:val="20"/>
              <w:szCs w:val="20"/>
            </w:rPr>
          </w:pPr>
          <w:r w:rsidRPr="00282ABF">
            <w:rPr>
              <w:rFonts w:ascii="Arial" w:eastAsia="Times New Roman" w:hAnsi="Arial" w:cs="Arial"/>
              <w:sz w:val="20"/>
              <w:szCs w:val="20"/>
              <w:lang w:val="nl-NL"/>
            </w:rPr>
            <w:t>5.</w:t>
          </w:r>
          <w:r w:rsidRPr="00282ABF">
            <w:rPr>
              <w:rFonts w:ascii="Arial" w:eastAsia="Times New Roman" w:hAnsi="Arial" w:cs="Arial"/>
              <w:sz w:val="20"/>
              <w:szCs w:val="20"/>
              <w:lang w:val="nl-NL"/>
            </w:rPr>
            <w:tab/>
            <w:t xml:space="preserve">Groeneveld </w:t>
          </w:r>
          <w:proofErr w:type="spellStart"/>
          <w:r w:rsidRPr="00282ABF">
            <w:rPr>
              <w:rFonts w:ascii="Arial" w:eastAsia="Times New Roman" w:hAnsi="Arial" w:cs="Arial"/>
              <w:sz w:val="20"/>
              <w:szCs w:val="20"/>
              <w:lang w:val="nl-NL"/>
            </w:rPr>
            <w:t>GJ</w:t>
          </w:r>
          <w:proofErr w:type="spellEnd"/>
          <w:r w:rsidRPr="00282ABF">
            <w:rPr>
              <w:rFonts w:ascii="Arial" w:eastAsia="Times New Roman" w:hAnsi="Arial" w:cs="Arial"/>
              <w:sz w:val="20"/>
              <w:szCs w:val="20"/>
              <w:lang w:val="nl-NL"/>
            </w:rPr>
            <w:t xml:space="preserve">, Hay </w:t>
          </w:r>
          <w:proofErr w:type="spellStart"/>
          <w:r w:rsidRPr="00282ABF">
            <w:rPr>
              <w:rFonts w:ascii="Arial" w:eastAsia="Times New Roman" w:hAnsi="Arial" w:cs="Arial"/>
              <w:sz w:val="20"/>
              <w:szCs w:val="20"/>
              <w:lang w:val="nl-NL"/>
            </w:rPr>
            <w:t>JL</w:t>
          </w:r>
          <w:proofErr w:type="spellEnd"/>
          <w:r w:rsidRPr="00282ABF">
            <w:rPr>
              <w:rFonts w:ascii="Arial" w:eastAsia="Times New Roman" w:hAnsi="Arial" w:cs="Arial"/>
              <w:sz w:val="20"/>
              <w:szCs w:val="20"/>
              <w:lang w:val="nl-NL"/>
            </w:rPr>
            <w:t xml:space="preserve">, Van Gerven </w:t>
          </w:r>
          <w:proofErr w:type="spellStart"/>
          <w:r w:rsidRPr="00282ABF">
            <w:rPr>
              <w:rFonts w:ascii="Arial" w:eastAsia="Times New Roman" w:hAnsi="Arial" w:cs="Arial"/>
              <w:sz w:val="20"/>
              <w:szCs w:val="20"/>
              <w:lang w:val="nl-NL"/>
            </w:rPr>
            <w:t>JM</w:t>
          </w:r>
          <w:proofErr w:type="spellEnd"/>
          <w:r w:rsidRPr="00282ABF">
            <w:rPr>
              <w:rFonts w:ascii="Arial" w:eastAsia="Times New Roman" w:hAnsi="Arial" w:cs="Arial"/>
              <w:sz w:val="20"/>
              <w:szCs w:val="20"/>
              <w:lang w:val="nl-NL"/>
            </w:rPr>
            <w:t xml:space="preserve">. </w:t>
          </w:r>
          <w:r w:rsidRPr="00282ABF">
            <w:rPr>
              <w:rFonts w:ascii="Arial" w:eastAsia="Times New Roman" w:hAnsi="Arial" w:cs="Arial"/>
              <w:sz w:val="20"/>
              <w:szCs w:val="20"/>
            </w:rPr>
            <w:t xml:space="preserve">Measuring blood–brain barrier penetration using the </w:t>
          </w:r>
          <w:proofErr w:type="spellStart"/>
          <w:r w:rsidRPr="00282ABF">
            <w:rPr>
              <w:rFonts w:ascii="Arial" w:eastAsia="Times New Roman" w:hAnsi="Arial" w:cs="Arial"/>
              <w:sz w:val="20"/>
              <w:szCs w:val="20"/>
            </w:rPr>
            <w:t>NeuroCart</w:t>
          </w:r>
          <w:proofErr w:type="spellEnd"/>
          <w:r w:rsidRPr="00282ABF">
            <w:rPr>
              <w:rFonts w:ascii="Arial" w:eastAsia="Times New Roman" w:hAnsi="Arial" w:cs="Arial"/>
              <w:sz w:val="20"/>
              <w:szCs w:val="20"/>
            </w:rPr>
            <w:t xml:space="preserve">, a CNS test battery. </w:t>
          </w:r>
          <w:r w:rsidRPr="00282ABF">
            <w:rPr>
              <w:rFonts w:ascii="Arial" w:eastAsia="Times New Roman" w:hAnsi="Arial" w:cs="Arial"/>
              <w:i/>
              <w:iCs/>
              <w:sz w:val="20"/>
              <w:szCs w:val="20"/>
            </w:rPr>
            <w:t xml:space="preserve">Drug </w:t>
          </w:r>
          <w:proofErr w:type="spellStart"/>
          <w:r w:rsidRPr="00282ABF">
            <w:rPr>
              <w:rFonts w:ascii="Arial" w:eastAsia="Times New Roman" w:hAnsi="Arial" w:cs="Arial"/>
              <w:i/>
              <w:iCs/>
              <w:sz w:val="20"/>
              <w:szCs w:val="20"/>
            </w:rPr>
            <w:t>Discov</w:t>
          </w:r>
          <w:proofErr w:type="spellEnd"/>
          <w:r w:rsidRPr="00282ABF">
            <w:rPr>
              <w:rFonts w:ascii="Arial" w:eastAsia="Times New Roman" w:hAnsi="Arial" w:cs="Arial"/>
              <w:i/>
              <w:iCs/>
              <w:sz w:val="20"/>
              <w:szCs w:val="20"/>
            </w:rPr>
            <w:t xml:space="preserve"> Today Technol</w:t>
          </w:r>
          <w:r w:rsidRPr="00282ABF">
            <w:rPr>
              <w:rFonts w:ascii="Arial" w:eastAsia="Times New Roman" w:hAnsi="Arial" w:cs="Arial"/>
              <w:sz w:val="20"/>
              <w:szCs w:val="20"/>
            </w:rPr>
            <w:t xml:space="preserve">. 2016;20:27-34. </w:t>
          </w:r>
          <w:proofErr w:type="spellStart"/>
          <w:r w:rsidRPr="00282ABF">
            <w:rPr>
              <w:rFonts w:ascii="Arial" w:eastAsia="Times New Roman" w:hAnsi="Arial" w:cs="Arial"/>
              <w:sz w:val="20"/>
              <w:szCs w:val="20"/>
            </w:rPr>
            <w:t>doi:10.1016</w:t>
          </w:r>
          <w:proofErr w:type="spellEnd"/>
          <w:r w:rsidRPr="00282ABF">
            <w:rPr>
              <w:rFonts w:ascii="Arial" w:eastAsia="Times New Roman" w:hAnsi="Arial" w:cs="Arial"/>
              <w:sz w:val="20"/>
              <w:szCs w:val="20"/>
            </w:rPr>
            <w:t>/</w:t>
          </w:r>
          <w:proofErr w:type="spellStart"/>
          <w:r w:rsidRPr="00282ABF">
            <w:rPr>
              <w:rFonts w:ascii="Arial" w:eastAsia="Times New Roman" w:hAnsi="Arial" w:cs="Arial"/>
              <w:sz w:val="20"/>
              <w:szCs w:val="20"/>
            </w:rPr>
            <w:t>j.ddtec.2016.07.004</w:t>
          </w:r>
          <w:proofErr w:type="spellEnd"/>
        </w:p>
        <w:p w14:paraId="57D924C9" w14:textId="77777777" w:rsidR="00282ABF" w:rsidRPr="00282ABF" w:rsidRDefault="00282ABF">
          <w:pPr>
            <w:autoSpaceDE w:val="0"/>
            <w:autoSpaceDN w:val="0"/>
            <w:ind w:hanging="640"/>
            <w:divId w:val="1104498332"/>
            <w:rPr>
              <w:rFonts w:ascii="Arial" w:eastAsia="Times New Roman" w:hAnsi="Arial" w:cs="Arial"/>
              <w:sz w:val="20"/>
              <w:szCs w:val="20"/>
            </w:rPr>
          </w:pPr>
          <w:r w:rsidRPr="00282ABF">
            <w:rPr>
              <w:rFonts w:ascii="Arial" w:eastAsia="Times New Roman" w:hAnsi="Arial" w:cs="Arial"/>
              <w:sz w:val="20"/>
              <w:szCs w:val="20"/>
            </w:rPr>
            <w:t>6.</w:t>
          </w:r>
          <w:r w:rsidRPr="00282ABF">
            <w:rPr>
              <w:rFonts w:ascii="Arial" w:eastAsia="Times New Roman" w:hAnsi="Arial" w:cs="Arial"/>
              <w:sz w:val="20"/>
              <w:szCs w:val="20"/>
            </w:rPr>
            <w:tab/>
            <w:t xml:space="preserve">Borland RG, Nicholson AN. Visual motor co-ordination and dynamic visual acuity. </w:t>
          </w:r>
          <w:r w:rsidRPr="00282ABF">
            <w:rPr>
              <w:rFonts w:ascii="Arial" w:eastAsia="Times New Roman" w:hAnsi="Arial" w:cs="Arial"/>
              <w:i/>
              <w:iCs/>
              <w:sz w:val="20"/>
              <w:szCs w:val="20"/>
            </w:rPr>
            <w:t xml:space="preserve">Br J Clin </w:t>
          </w:r>
          <w:proofErr w:type="spellStart"/>
          <w:r w:rsidRPr="00282ABF">
            <w:rPr>
              <w:rFonts w:ascii="Arial" w:eastAsia="Times New Roman" w:hAnsi="Arial" w:cs="Arial"/>
              <w:i/>
              <w:iCs/>
              <w:sz w:val="20"/>
              <w:szCs w:val="20"/>
            </w:rPr>
            <w:t>Pharmacol</w:t>
          </w:r>
          <w:proofErr w:type="spellEnd"/>
          <w:r w:rsidRPr="00282ABF">
            <w:rPr>
              <w:rFonts w:ascii="Arial" w:eastAsia="Times New Roman" w:hAnsi="Arial" w:cs="Arial"/>
              <w:sz w:val="20"/>
              <w:szCs w:val="20"/>
            </w:rPr>
            <w:t>. 1984;18 Suppl 1(Suppl 1):</w:t>
          </w:r>
          <w:proofErr w:type="spellStart"/>
          <w:r w:rsidRPr="00282ABF">
            <w:rPr>
              <w:rFonts w:ascii="Arial" w:eastAsia="Times New Roman" w:hAnsi="Arial" w:cs="Arial"/>
              <w:sz w:val="20"/>
              <w:szCs w:val="20"/>
            </w:rPr>
            <w:t>69S</w:t>
          </w:r>
          <w:proofErr w:type="spellEnd"/>
          <w:r w:rsidRPr="00282ABF">
            <w:rPr>
              <w:rFonts w:ascii="Arial" w:eastAsia="Times New Roman" w:hAnsi="Arial" w:cs="Arial"/>
              <w:sz w:val="20"/>
              <w:szCs w:val="20"/>
            </w:rPr>
            <w:t>--</w:t>
          </w:r>
          <w:proofErr w:type="spellStart"/>
          <w:r w:rsidRPr="00282ABF">
            <w:rPr>
              <w:rFonts w:ascii="Arial" w:eastAsia="Times New Roman" w:hAnsi="Arial" w:cs="Arial"/>
              <w:sz w:val="20"/>
              <w:szCs w:val="20"/>
            </w:rPr>
            <w:t>72S</w:t>
          </w:r>
          <w:proofErr w:type="spellEnd"/>
          <w:r w:rsidRPr="00282ABF">
            <w:rPr>
              <w:rFonts w:ascii="Arial" w:eastAsia="Times New Roman" w:hAnsi="Arial" w:cs="Arial"/>
              <w:sz w:val="20"/>
              <w:szCs w:val="20"/>
            </w:rPr>
            <w:t>. https://</w:t>
          </w:r>
          <w:proofErr w:type="spellStart"/>
          <w:r w:rsidRPr="00282ABF">
            <w:rPr>
              <w:rFonts w:ascii="Arial" w:eastAsia="Times New Roman" w:hAnsi="Arial" w:cs="Arial"/>
              <w:sz w:val="20"/>
              <w:szCs w:val="20"/>
            </w:rPr>
            <w:t>www.ncbi.nlm.nih.gov</w:t>
          </w:r>
          <w:proofErr w:type="spellEnd"/>
          <w:r w:rsidRPr="00282ABF">
            <w:rPr>
              <w:rFonts w:ascii="Arial" w:eastAsia="Times New Roman" w:hAnsi="Arial" w:cs="Arial"/>
              <w:sz w:val="20"/>
              <w:szCs w:val="20"/>
            </w:rPr>
            <w:t>/</w:t>
          </w:r>
          <w:proofErr w:type="spellStart"/>
          <w:r w:rsidRPr="00282ABF">
            <w:rPr>
              <w:rFonts w:ascii="Arial" w:eastAsia="Times New Roman" w:hAnsi="Arial" w:cs="Arial"/>
              <w:sz w:val="20"/>
              <w:szCs w:val="20"/>
            </w:rPr>
            <w:t>pubmed</w:t>
          </w:r>
          <w:proofErr w:type="spellEnd"/>
          <w:r w:rsidRPr="00282ABF">
            <w:rPr>
              <w:rFonts w:ascii="Arial" w:eastAsia="Times New Roman" w:hAnsi="Arial" w:cs="Arial"/>
              <w:sz w:val="20"/>
              <w:szCs w:val="20"/>
            </w:rPr>
            <w:t>/6525331</w:t>
          </w:r>
        </w:p>
        <w:p w14:paraId="40650C56" w14:textId="77777777" w:rsidR="00282ABF" w:rsidRPr="00282ABF" w:rsidRDefault="00282ABF">
          <w:pPr>
            <w:autoSpaceDE w:val="0"/>
            <w:autoSpaceDN w:val="0"/>
            <w:ind w:hanging="640"/>
            <w:divId w:val="1348366005"/>
            <w:rPr>
              <w:rFonts w:ascii="Arial" w:eastAsia="Times New Roman" w:hAnsi="Arial" w:cs="Arial"/>
              <w:sz w:val="20"/>
              <w:szCs w:val="20"/>
            </w:rPr>
          </w:pPr>
          <w:r w:rsidRPr="00282ABF">
            <w:rPr>
              <w:rFonts w:ascii="Arial" w:eastAsia="Times New Roman" w:hAnsi="Arial" w:cs="Arial"/>
              <w:sz w:val="20"/>
              <w:szCs w:val="20"/>
            </w:rPr>
            <w:t>7.</w:t>
          </w:r>
          <w:r w:rsidRPr="00282ABF">
            <w:rPr>
              <w:rFonts w:ascii="Arial" w:eastAsia="Times New Roman" w:hAnsi="Arial" w:cs="Arial"/>
              <w:sz w:val="20"/>
              <w:szCs w:val="20"/>
            </w:rPr>
            <w:tab/>
            <w:t xml:space="preserve">Wright BM. A simple mechanical ataxia-meter. </w:t>
          </w:r>
          <w:r w:rsidRPr="00282ABF">
            <w:rPr>
              <w:rFonts w:ascii="Arial" w:eastAsia="Times New Roman" w:hAnsi="Arial" w:cs="Arial"/>
              <w:i/>
              <w:iCs/>
              <w:sz w:val="20"/>
              <w:szCs w:val="20"/>
            </w:rPr>
            <w:t>J Physiol</w:t>
          </w:r>
          <w:r w:rsidRPr="00282ABF">
            <w:rPr>
              <w:rFonts w:ascii="Arial" w:eastAsia="Times New Roman" w:hAnsi="Arial" w:cs="Arial"/>
              <w:sz w:val="20"/>
              <w:szCs w:val="20"/>
            </w:rPr>
            <w:t xml:space="preserve">. 1971;218 </w:t>
          </w:r>
          <w:proofErr w:type="spellStart"/>
          <w:r w:rsidRPr="00282ABF">
            <w:rPr>
              <w:rFonts w:ascii="Arial" w:eastAsia="Times New Roman" w:hAnsi="Arial" w:cs="Arial"/>
              <w:sz w:val="20"/>
              <w:szCs w:val="20"/>
            </w:rPr>
            <w:t>Suppl:27p</w:t>
          </w:r>
          <w:proofErr w:type="spellEnd"/>
          <w:r w:rsidRPr="00282ABF">
            <w:rPr>
              <w:rFonts w:ascii="Arial" w:eastAsia="Times New Roman" w:hAnsi="Arial" w:cs="Arial"/>
              <w:sz w:val="20"/>
              <w:szCs w:val="20"/>
            </w:rPr>
            <w:t>--</w:t>
          </w:r>
          <w:proofErr w:type="spellStart"/>
          <w:r w:rsidRPr="00282ABF">
            <w:rPr>
              <w:rFonts w:ascii="Arial" w:eastAsia="Times New Roman" w:hAnsi="Arial" w:cs="Arial"/>
              <w:sz w:val="20"/>
              <w:szCs w:val="20"/>
            </w:rPr>
            <w:t>28p</w:t>
          </w:r>
          <w:proofErr w:type="spellEnd"/>
          <w:r w:rsidRPr="00282ABF">
            <w:rPr>
              <w:rFonts w:ascii="Arial" w:eastAsia="Times New Roman" w:hAnsi="Arial" w:cs="Arial"/>
              <w:sz w:val="20"/>
              <w:szCs w:val="20"/>
            </w:rPr>
            <w:t>.</w:t>
          </w:r>
        </w:p>
        <w:p w14:paraId="7F97067F" w14:textId="77777777" w:rsidR="00282ABF" w:rsidRPr="00282ABF" w:rsidRDefault="00282ABF">
          <w:pPr>
            <w:autoSpaceDE w:val="0"/>
            <w:autoSpaceDN w:val="0"/>
            <w:ind w:hanging="640"/>
            <w:divId w:val="985089426"/>
            <w:rPr>
              <w:rFonts w:ascii="Arial" w:eastAsia="Times New Roman" w:hAnsi="Arial" w:cs="Arial"/>
              <w:sz w:val="20"/>
              <w:szCs w:val="20"/>
            </w:rPr>
          </w:pPr>
          <w:r w:rsidRPr="00282ABF">
            <w:rPr>
              <w:rFonts w:ascii="Arial" w:eastAsia="Times New Roman" w:hAnsi="Arial" w:cs="Arial"/>
              <w:sz w:val="20"/>
              <w:szCs w:val="20"/>
            </w:rPr>
            <w:t>8.</w:t>
          </w:r>
          <w:r w:rsidRPr="00282ABF">
            <w:rPr>
              <w:rFonts w:ascii="Arial" w:eastAsia="Times New Roman" w:hAnsi="Arial" w:cs="Arial"/>
              <w:sz w:val="20"/>
              <w:szCs w:val="20"/>
            </w:rPr>
            <w:tab/>
          </w:r>
          <w:proofErr w:type="spellStart"/>
          <w:r w:rsidRPr="00282ABF">
            <w:rPr>
              <w:rFonts w:ascii="Arial" w:eastAsia="Times New Roman" w:hAnsi="Arial" w:cs="Arial"/>
              <w:sz w:val="20"/>
              <w:szCs w:val="20"/>
            </w:rPr>
            <w:t>Hoever</w:t>
          </w:r>
          <w:proofErr w:type="spellEnd"/>
          <w:r w:rsidRPr="00282ABF">
            <w:rPr>
              <w:rFonts w:ascii="Arial" w:eastAsia="Times New Roman" w:hAnsi="Arial" w:cs="Arial"/>
              <w:sz w:val="20"/>
              <w:szCs w:val="20"/>
            </w:rPr>
            <w:t xml:space="preserve"> P, Hay J, Rad M, Cavallaro M, van </w:t>
          </w:r>
          <w:proofErr w:type="spellStart"/>
          <w:r w:rsidRPr="00282ABF">
            <w:rPr>
              <w:rFonts w:ascii="Arial" w:eastAsia="Times New Roman" w:hAnsi="Arial" w:cs="Arial"/>
              <w:sz w:val="20"/>
              <w:szCs w:val="20"/>
            </w:rPr>
            <w:t>Gerven</w:t>
          </w:r>
          <w:proofErr w:type="spellEnd"/>
          <w:r w:rsidRPr="00282ABF">
            <w:rPr>
              <w:rFonts w:ascii="Arial" w:eastAsia="Times New Roman" w:hAnsi="Arial" w:cs="Arial"/>
              <w:sz w:val="20"/>
              <w:szCs w:val="20"/>
            </w:rPr>
            <w:t xml:space="preserve"> JM, </w:t>
          </w:r>
          <w:proofErr w:type="spellStart"/>
          <w:r w:rsidRPr="00282ABF">
            <w:rPr>
              <w:rFonts w:ascii="Arial" w:eastAsia="Times New Roman" w:hAnsi="Arial" w:cs="Arial"/>
              <w:sz w:val="20"/>
              <w:szCs w:val="20"/>
            </w:rPr>
            <w:t>Dingemanse</w:t>
          </w:r>
          <w:proofErr w:type="spellEnd"/>
          <w:r w:rsidRPr="00282ABF">
            <w:rPr>
              <w:rFonts w:ascii="Arial" w:eastAsia="Times New Roman" w:hAnsi="Arial" w:cs="Arial"/>
              <w:sz w:val="20"/>
              <w:szCs w:val="20"/>
            </w:rPr>
            <w:t xml:space="preserve"> J. Tolerability, pharmacokinetics, and pharmacodynamics of single-dose almorexant, an orexin receptor antagonist, in healthy elderly subjects. </w:t>
          </w:r>
          <w:r w:rsidRPr="00282ABF">
            <w:rPr>
              <w:rFonts w:ascii="Arial" w:eastAsia="Times New Roman" w:hAnsi="Arial" w:cs="Arial"/>
              <w:i/>
              <w:iCs/>
              <w:sz w:val="20"/>
              <w:szCs w:val="20"/>
            </w:rPr>
            <w:t xml:space="preserve">J Clin </w:t>
          </w:r>
          <w:proofErr w:type="spellStart"/>
          <w:r w:rsidRPr="00282ABF">
            <w:rPr>
              <w:rFonts w:ascii="Arial" w:eastAsia="Times New Roman" w:hAnsi="Arial" w:cs="Arial"/>
              <w:i/>
              <w:iCs/>
              <w:sz w:val="20"/>
              <w:szCs w:val="20"/>
            </w:rPr>
            <w:t>Psychopharmacol</w:t>
          </w:r>
          <w:proofErr w:type="spellEnd"/>
          <w:r w:rsidRPr="00282ABF">
            <w:rPr>
              <w:rFonts w:ascii="Arial" w:eastAsia="Times New Roman" w:hAnsi="Arial" w:cs="Arial"/>
              <w:sz w:val="20"/>
              <w:szCs w:val="20"/>
            </w:rPr>
            <w:t xml:space="preserve">. 2013;33(3):363-370. </w:t>
          </w:r>
          <w:proofErr w:type="spellStart"/>
          <w:r w:rsidRPr="00282ABF">
            <w:rPr>
              <w:rFonts w:ascii="Arial" w:eastAsia="Times New Roman" w:hAnsi="Arial" w:cs="Arial"/>
              <w:sz w:val="20"/>
              <w:szCs w:val="20"/>
            </w:rPr>
            <w:t>doi:10.1097</w:t>
          </w:r>
          <w:proofErr w:type="spellEnd"/>
          <w:r w:rsidRPr="00282ABF">
            <w:rPr>
              <w:rFonts w:ascii="Arial" w:eastAsia="Times New Roman" w:hAnsi="Arial" w:cs="Arial"/>
              <w:sz w:val="20"/>
              <w:szCs w:val="20"/>
            </w:rPr>
            <w:t>/</w:t>
          </w:r>
          <w:proofErr w:type="spellStart"/>
          <w:r w:rsidRPr="00282ABF">
            <w:rPr>
              <w:rFonts w:ascii="Arial" w:eastAsia="Times New Roman" w:hAnsi="Arial" w:cs="Arial"/>
              <w:sz w:val="20"/>
              <w:szCs w:val="20"/>
            </w:rPr>
            <w:t>JCP.0b013e31828f5a7a</w:t>
          </w:r>
          <w:proofErr w:type="spellEnd"/>
        </w:p>
        <w:p w14:paraId="5FE12C5F" w14:textId="77777777" w:rsidR="00282ABF" w:rsidRPr="00282ABF" w:rsidRDefault="00282ABF">
          <w:pPr>
            <w:autoSpaceDE w:val="0"/>
            <w:autoSpaceDN w:val="0"/>
            <w:ind w:hanging="640"/>
            <w:divId w:val="575213030"/>
            <w:rPr>
              <w:rFonts w:ascii="Arial" w:eastAsia="Times New Roman" w:hAnsi="Arial" w:cs="Arial"/>
              <w:sz w:val="20"/>
              <w:szCs w:val="20"/>
            </w:rPr>
          </w:pPr>
          <w:r w:rsidRPr="00282ABF">
            <w:rPr>
              <w:rFonts w:ascii="Arial" w:eastAsia="Times New Roman" w:hAnsi="Arial" w:cs="Arial"/>
              <w:sz w:val="20"/>
              <w:szCs w:val="20"/>
            </w:rPr>
            <w:t>9.</w:t>
          </w:r>
          <w:r w:rsidRPr="00282ABF">
            <w:rPr>
              <w:rFonts w:ascii="Arial" w:eastAsia="Times New Roman" w:hAnsi="Arial" w:cs="Arial"/>
              <w:sz w:val="20"/>
              <w:szCs w:val="20"/>
            </w:rPr>
            <w:tab/>
            <w:t xml:space="preserve">Bowdle TA, Radant AD, Cowley DS, Kharasch ED, Strassman RJ, Roy-Byrne PP. Psychedelic effects of ketamine in healthy volunteers: Relationship to steady-state plasma concentrations. </w:t>
          </w:r>
          <w:r w:rsidRPr="00282ABF">
            <w:rPr>
              <w:rFonts w:ascii="Arial" w:eastAsia="Times New Roman" w:hAnsi="Arial" w:cs="Arial"/>
              <w:i/>
              <w:iCs/>
              <w:sz w:val="20"/>
              <w:szCs w:val="20"/>
            </w:rPr>
            <w:t>Anesthesiology</w:t>
          </w:r>
          <w:r w:rsidRPr="00282ABF">
            <w:rPr>
              <w:rFonts w:ascii="Arial" w:eastAsia="Times New Roman" w:hAnsi="Arial" w:cs="Arial"/>
              <w:sz w:val="20"/>
              <w:szCs w:val="20"/>
            </w:rPr>
            <w:t xml:space="preserve">. 1998;88(1):82-88. </w:t>
          </w:r>
          <w:proofErr w:type="spellStart"/>
          <w:r w:rsidRPr="00282ABF">
            <w:rPr>
              <w:rFonts w:ascii="Arial" w:eastAsia="Times New Roman" w:hAnsi="Arial" w:cs="Arial"/>
              <w:sz w:val="20"/>
              <w:szCs w:val="20"/>
            </w:rPr>
            <w:t>doi:10.1097</w:t>
          </w:r>
          <w:proofErr w:type="spellEnd"/>
          <w:r w:rsidRPr="00282ABF">
            <w:rPr>
              <w:rFonts w:ascii="Arial" w:eastAsia="Times New Roman" w:hAnsi="Arial" w:cs="Arial"/>
              <w:sz w:val="20"/>
              <w:szCs w:val="20"/>
            </w:rPr>
            <w:t>/00000542-199801000-00015</w:t>
          </w:r>
        </w:p>
        <w:p w14:paraId="5C702AA0" w14:textId="77777777" w:rsidR="00282ABF" w:rsidRPr="00282ABF" w:rsidRDefault="00282ABF">
          <w:pPr>
            <w:autoSpaceDE w:val="0"/>
            <w:autoSpaceDN w:val="0"/>
            <w:ind w:hanging="640"/>
            <w:divId w:val="1480809099"/>
            <w:rPr>
              <w:rFonts w:ascii="Arial" w:eastAsia="Times New Roman" w:hAnsi="Arial" w:cs="Arial"/>
              <w:sz w:val="20"/>
              <w:szCs w:val="20"/>
            </w:rPr>
          </w:pPr>
          <w:r w:rsidRPr="00282ABF">
            <w:rPr>
              <w:rFonts w:ascii="Arial" w:eastAsia="Times New Roman" w:hAnsi="Arial" w:cs="Arial"/>
              <w:sz w:val="20"/>
              <w:szCs w:val="20"/>
            </w:rPr>
            <w:t>10.</w:t>
          </w:r>
          <w:r w:rsidRPr="00282ABF">
            <w:rPr>
              <w:rFonts w:ascii="Arial" w:eastAsia="Times New Roman" w:hAnsi="Arial" w:cs="Arial"/>
              <w:sz w:val="20"/>
              <w:szCs w:val="20"/>
            </w:rPr>
            <w:tab/>
            <w:t xml:space="preserve">van </w:t>
          </w:r>
          <w:proofErr w:type="spellStart"/>
          <w:r w:rsidRPr="00282ABF">
            <w:rPr>
              <w:rFonts w:ascii="Arial" w:eastAsia="Times New Roman" w:hAnsi="Arial" w:cs="Arial"/>
              <w:sz w:val="20"/>
              <w:szCs w:val="20"/>
            </w:rPr>
            <w:t>Steveninck</w:t>
          </w:r>
          <w:proofErr w:type="spellEnd"/>
          <w:r w:rsidRPr="00282ABF">
            <w:rPr>
              <w:rFonts w:ascii="Arial" w:eastAsia="Times New Roman" w:hAnsi="Arial" w:cs="Arial"/>
              <w:sz w:val="20"/>
              <w:szCs w:val="20"/>
            </w:rPr>
            <w:t xml:space="preserve"> AL. </w:t>
          </w:r>
          <w:r w:rsidRPr="00282ABF">
            <w:rPr>
              <w:rFonts w:ascii="Arial" w:eastAsia="Times New Roman" w:hAnsi="Arial" w:cs="Arial"/>
              <w:i/>
              <w:iCs/>
              <w:sz w:val="20"/>
              <w:szCs w:val="20"/>
            </w:rPr>
            <w:t>Methods of Assessment of Central Nervous System Effects of Drugs in Man</w:t>
          </w:r>
          <w:r w:rsidRPr="00282ABF">
            <w:rPr>
              <w:rFonts w:ascii="Arial" w:eastAsia="Times New Roman" w:hAnsi="Arial" w:cs="Arial"/>
              <w:sz w:val="20"/>
              <w:szCs w:val="20"/>
            </w:rPr>
            <w:t>. 1993.</w:t>
          </w:r>
        </w:p>
        <w:p w14:paraId="56202E77" w14:textId="77777777" w:rsidR="00282ABF" w:rsidRPr="00282ABF" w:rsidRDefault="00282ABF">
          <w:pPr>
            <w:autoSpaceDE w:val="0"/>
            <w:autoSpaceDN w:val="0"/>
            <w:ind w:hanging="640"/>
            <w:divId w:val="281500568"/>
            <w:rPr>
              <w:rFonts w:ascii="Arial" w:eastAsia="Times New Roman" w:hAnsi="Arial" w:cs="Arial"/>
              <w:sz w:val="20"/>
              <w:szCs w:val="20"/>
            </w:rPr>
          </w:pPr>
          <w:r w:rsidRPr="00282ABF">
            <w:rPr>
              <w:rFonts w:ascii="Arial" w:eastAsia="Times New Roman" w:hAnsi="Arial" w:cs="Arial"/>
              <w:sz w:val="20"/>
              <w:szCs w:val="20"/>
            </w:rPr>
            <w:t>11.</w:t>
          </w:r>
          <w:r w:rsidRPr="00282ABF">
            <w:rPr>
              <w:rFonts w:ascii="Arial" w:eastAsia="Times New Roman" w:hAnsi="Arial" w:cs="Arial"/>
              <w:sz w:val="20"/>
              <w:szCs w:val="20"/>
            </w:rPr>
            <w:tab/>
          </w:r>
          <w:proofErr w:type="spellStart"/>
          <w:r w:rsidRPr="00282ABF">
            <w:rPr>
              <w:rFonts w:ascii="Arial" w:eastAsia="Times New Roman" w:hAnsi="Arial" w:cs="Arial"/>
              <w:sz w:val="20"/>
              <w:szCs w:val="20"/>
            </w:rPr>
            <w:t>Rombouts</w:t>
          </w:r>
          <w:proofErr w:type="spellEnd"/>
          <w:r w:rsidRPr="00282ABF">
            <w:rPr>
              <w:rFonts w:ascii="Arial" w:eastAsia="Times New Roman" w:hAnsi="Arial" w:cs="Arial"/>
              <w:sz w:val="20"/>
              <w:szCs w:val="20"/>
            </w:rPr>
            <w:t xml:space="preserve"> SARB, </w:t>
          </w:r>
          <w:proofErr w:type="spellStart"/>
          <w:r w:rsidRPr="00282ABF">
            <w:rPr>
              <w:rFonts w:ascii="Arial" w:eastAsia="Times New Roman" w:hAnsi="Arial" w:cs="Arial"/>
              <w:sz w:val="20"/>
              <w:szCs w:val="20"/>
            </w:rPr>
            <w:t>Barkhof</w:t>
          </w:r>
          <w:proofErr w:type="spellEnd"/>
          <w:r w:rsidRPr="00282ABF">
            <w:rPr>
              <w:rFonts w:ascii="Arial" w:eastAsia="Times New Roman" w:hAnsi="Arial" w:cs="Arial"/>
              <w:sz w:val="20"/>
              <w:szCs w:val="20"/>
            </w:rPr>
            <w:t xml:space="preserve"> F, van Meel CS, </w:t>
          </w:r>
          <w:proofErr w:type="spellStart"/>
          <w:r w:rsidRPr="00282ABF">
            <w:rPr>
              <w:rFonts w:ascii="Arial" w:eastAsia="Times New Roman" w:hAnsi="Arial" w:cs="Arial"/>
              <w:sz w:val="20"/>
              <w:szCs w:val="20"/>
            </w:rPr>
            <w:t>Scheltens</w:t>
          </w:r>
          <w:proofErr w:type="spellEnd"/>
          <w:r w:rsidRPr="00282ABF">
            <w:rPr>
              <w:rFonts w:ascii="Arial" w:eastAsia="Times New Roman" w:hAnsi="Arial" w:cs="Arial"/>
              <w:sz w:val="20"/>
              <w:szCs w:val="20"/>
            </w:rPr>
            <w:t xml:space="preserve"> P. Alterations in brain activation during cholinergic enhancement with rivastigmine in Alzheimer’s disease. </w:t>
          </w:r>
          <w:r w:rsidRPr="00282ABF">
            <w:rPr>
              <w:rFonts w:ascii="Arial" w:eastAsia="Times New Roman" w:hAnsi="Arial" w:cs="Arial"/>
              <w:i/>
              <w:iCs/>
              <w:sz w:val="20"/>
              <w:szCs w:val="20"/>
            </w:rPr>
            <w:t>Journal of Neurology, Neurosurgery &amp;</w:t>
          </w:r>
          <w:proofErr w:type="spellStart"/>
          <w:r w:rsidRPr="00282ABF">
            <w:rPr>
              <w:rFonts w:ascii="Arial" w:eastAsia="Times New Roman" w:hAnsi="Arial" w:cs="Arial"/>
              <w:i/>
              <w:iCs/>
              <w:sz w:val="20"/>
              <w:szCs w:val="20"/>
            </w:rPr>
            <w:t>amp;amp</w:t>
          </w:r>
          <w:proofErr w:type="spellEnd"/>
          <w:r w:rsidRPr="00282ABF">
            <w:rPr>
              <w:rFonts w:ascii="Arial" w:eastAsia="Times New Roman" w:hAnsi="Arial" w:cs="Arial"/>
              <w:i/>
              <w:iCs/>
              <w:sz w:val="20"/>
              <w:szCs w:val="20"/>
            </w:rPr>
            <w:t>; Psychiatry</w:t>
          </w:r>
          <w:r w:rsidRPr="00282ABF">
            <w:rPr>
              <w:rFonts w:ascii="Arial" w:eastAsia="Times New Roman" w:hAnsi="Arial" w:cs="Arial"/>
              <w:sz w:val="20"/>
              <w:szCs w:val="20"/>
            </w:rPr>
            <w:t xml:space="preserve">. 2002;73(6):665 LP - 671. </w:t>
          </w:r>
          <w:proofErr w:type="spellStart"/>
          <w:r w:rsidRPr="00282ABF">
            <w:rPr>
              <w:rFonts w:ascii="Arial" w:eastAsia="Times New Roman" w:hAnsi="Arial" w:cs="Arial"/>
              <w:sz w:val="20"/>
              <w:szCs w:val="20"/>
            </w:rPr>
            <w:t>doi:10.1136</w:t>
          </w:r>
          <w:proofErr w:type="spellEnd"/>
          <w:r w:rsidRPr="00282ABF">
            <w:rPr>
              <w:rFonts w:ascii="Arial" w:eastAsia="Times New Roman" w:hAnsi="Arial" w:cs="Arial"/>
              <w:sz w:val="20"/>
              <w:szCs w:val="20"/>
            </w:rPr>
            <w:t>/</w:t>
          </w:r>
          <w:proofErr w:type="spellStart"/>
          <w:r w:rsidRPr="00282ABF">
            <w:rPr>
              <w:rFonts w:ascii="Arial" w:eastAsia="Times New Roman" w:hAnsi="Arial" w:cs="Arial"/>
              <w:sz w:val="20"/>
              <w:szCs w:val="20"/>
            </w:rPr>
            <w:t>jnnp.73.6.665</w:t>
          </w:r>
          <w:proofErr w:type="spellEnd"/>
        </w:p>
        <w:p w14:paraId="303DAA96" w14:textId="2BA36C1D" w:rsidR="00DD5EEE" w:rsidRPr="00282ABF" w:rsidRDefault="00282ABF">
          <w:pPr>
            <w:rPr>
              <w:rFonts w:ascii="Arial" w:hAnsi="Arial" w:cs="Arial"/>
              <w:b/>
              <w:bCs/>
              <w:sz w:val="20"/>
              <w:szCs w:val="20"/>
            </w:rPr>
          </w:pPr>
          <w:r w:rsidRPr="00282ABF">
            <w:rPr>
              <w:rFonts w:ascii="Arial" w:eastAsia="Times New Roman" w:hAnsi="Arial" w:cs="Arial"/>
              <w:sz w:val="20"/>
              <w:szCs w:val="20"/>
            </w:rPr>
            <w:t> </w:t>
          </w:r>
        </w:p>
      </w:sdtContent>
    </w:sdt>
    <w:sectPr w:rsidR="00DD5EEE" w:rsidRPr="00282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03461"/>
    <w:multiLevelType w:val="hybridMultilevel"/>
    <w:tmpl w:val="83EC7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283E33"/>
    <w:multiLevelType w:val="hybridMultilevel"/>
    <w:tmpl w:val="50B22FBC"/>
    <w:lvl w:ilvl="0" w:tplc="0409000F">
      <w:start w:val="1"/>
      <w:numFmt w:val="decimal"/>
      <w:lvlText w:val="%1."/>
      <w:lvlJc w:val="left"/>
      <w:pPr>
        <w:ind w:left="720" w:hanging="360"/>
      </w:pPr>
      <w:rPr>
        <w:rFonts w:hint="default"/>
      </w:rPr>
    </w:lvl>
    <w:lvl w:ilvl="1" w:tplc="45760A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1308090">
    <w:abstractNumId w:val="0"/>
  </w:num>
  <w:num w:numId="2" w16cid:durableId="825904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0382B"/>
    <w:rsid w:val="00000E14"/>
    <w:rsid w:val="000420B1"/>
    <w:rsid w:val="00055E1C"/>
    <w:rsid w:val="0006203B"/>
    <w:rsid w:val="00080F7B"/>
    <w:rsid w:val="000C466B"/>
    <w:rsid w:val="00122843"/>
    <w:rsid w:val="00150D93"/>
    <w:rsid w:val="00195330"/>
    <w:rsid w:val="001B4632"/>
    <w:rsid w:val="001F49E8"/>
    <w:rsid w:val="00230980"/>
    <w:rsid w:val="00262666"/>
    <w:rsid w:val="002634F1"/>
    <w:rsid w:val="00282ABF"/>
    <w:rsid w:val="0029234C"/>
    <w:rsid w:val="002A3924"/>
    <w:rsid w:val="0030382B"/>
    <w:rsid w:val="00303DE7"/>
    <w:rsid w:val="003258A6"/>
    <w:rsid w:val="00357DDB"/>
    <w:rsid w:val="00361464"/>
    <w:rsid w:val="003909A1"/>
    <w:rsid w:val="003E7D24"/>
    <w:rsid w:val="00460B00"/>
    <w:rsid w:val="00467D7A"/>
    <w:rsid w:val="004A1B5C"/>
    <w:rsid w:val="004F133E"/>
    <w:rsid w:val="004F53D6"/>
    <w:rsid w:val="0058654B"/>
    <w:rsid w:val="005D338E"/>
    <w:rsid w:val="005E6BA5"/>
    <w:rsid w:val="00606897"/>
    <w:rsid w:val="006352B4"/>
    <w:rsid w:val="00637C65"/>
    <w:rsid w:val="00646994"/>
    <w:rsid w:val="00670BB2"/>
    <w:rsid w:val="006A0E09"/>
    <w:rsid w:val="006D41E0"/>
    <w:rsid w:val="00714D39"/>
    <w:rsid w:val="00727D8A"/>
    <w:rsid w:val="007330A1"/>
    <w:rsid w:val="00735478"/>
    <w:rsid w:val="007B6733"/>
    <w:rsid w:val="007E6D35"/>
    <w:rsid w:val="008006AE"/>
    <w:rsid w:val="008556CC"/>
    <w:rsid w:val="00877E09"/>
    <w:rsid w:val="00942E42"/>
    <w:rsid w:val="00966725"/>
    <w:rsid w:val="009674AF"/>
    <w:rsid w:val="00997957"/>
    <w:rsid w:val="009C2FA4"/>
    <w:rsid w:val="00A61128"/>
    <w:rsid w:val="00A85BC3"/>
    <w:rsid w:val="00AB2A95"/>
    <w:rsid w:val="00AF1C9A"/>
    <w:rsid w:val="00B01EC7"/>
    <w:rsid w:val="00B04061"/>
    <w:rsid w:val="00B56760"/>
    <w:rsid w:val="00B73897"/>
    <w:rsid w:val="00B85B5D"/>
    <w:rsid w:val="00BA7F67"/>
    <w:rsid w:val="00BB0A7A"/>
    <w:rsid w:val="00BE16C7"/>
    <w:rsid w:val="00C352A0"/>
    <w:rsid w:val="00C72B22"/>
    <w:rsid w:val="00CA5E79"/>
    <w:rsid w:val="00CB1039"/>
    <w:rsid w:val="00CE7743"/>
    <w:rsid w:val="00D13DE9"/>
    <w:rsid w:val="00D22F15"/>
    <w:rsid w:val="00D2463B"/>
    <w:rsid w:val="00D61C31"/>
    <w:rsid w:val="00D96D18"/>
    <w:rsid w:val="00DA19A0"/>
    <w:rsid w:val="00DD5EEE"/>
    <w:rsid w:val="00E300E2"/>
    <w:rsid w:val="00E448A0"/>
    <w:rsid w:val="00E74373"/>
    <w:rsid w:val="00E845AA"/>
    <w:rsid w:val="00F1321E"/>
    <w:rsid w:val="00F54976"/>
    <w:rsid w:val="00FA7B39"/>
    <w:rsid w:val="00FC31A3"/>
    <w:rsid w:val="00FC39FD"/>
    <w:rsid w:val="00FE1D35"/>
    <w:rsid w:val="3A5E1DB1"/>
    <w:rsid w:val="42843B1C"/>
    <w:rsid w:val="48EA9624"/>
    <w:rsid w:val="7EDAC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4A32C"/>
  <w15:chartTrackingRefBased/>
  <w15:docId w15:val="{3A3138E5-1FF3-43CA-9AC5-F88160E4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38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38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8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8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8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8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38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82B"/>
    <w:rPr>
      <w:rFonts w:eastAsiaTheme="majorEastAsia" w:cstheme="majorBidi"/>
      <w:color w:val="272727" w:themeColor="text1" w:themeTint="D8"/>
    </w:rPr>
  </w:style>
  <w:style w:type="paragraph" w:styleId="Title">
    <w:name w:val="Title"/>
    <w:basedOn w:val="Normal"/>
    <w:next w:val="Normal"/>
    <w:link w:val="TitleChar"/>
    <w:uiPriority w:val="10"/>
    <w:qFormat/>
    <w:rsid w:val="00303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82B"/>
    <w:pPr>
      <w:spacing w:before="160"/>
      <w:jc w:val="center"/>
    </w:pPr>
    <w:rPr>
      <w:i/>
      <w:iCs/>
      <w:color w:val="404040" w:themeColor="text1" w:themeTint="BF"/>
    </w:rPr>
  </w:style>
  <w:style w:type="character" w:customStyle="1" w:styleId="QuoteChar">
    <w:name w:val="Quote Char"/>
    <w:basedOn w:val="DefaultParagraphFont"/>
    <w:link w:val="Quote"/>
    <w:uiPriority w:val="29"/>
    <w:rsid w:val="0030382B"/>
    <w:rPr>
      <w:i/>
      <w:iCs/>
      <w:color w:val="404040" w:themeColor="text1" w:themeTint="BF"/>
    </w:rPr>
  </w:style>
  <w:style w:type="paragraph" w:styleId="ListParagraph">
    <w:name w:val="List Paragraph"/>
    <w:basedOn w:val="Normal"/>
    <w:link w:val="ListParagraphChar"/>
    <w:uiPriority w:val="34"/>
    <w:qFormat/>
    <w:rsid w:val="0030382B"/>
    <w:pPr>
      <w:ind w:left="720"/>
      <w:contextualSpacing/>
    </w:pPr>
  </w:style>
  <w:style w:type="character" w:styleId="IntenseEmphasis">
    <w:name w:val="Intense Emphasis"/>
    <w:basedOn w:val="DefaultParagraphFont"/>
    <w:uiPriority w:val="21"/>
    <w:qFormat/>
    <w:rsid w:val="0030382B"/>
    <w:rPr>
      <w:i/>
      <w:iCs/>
      <w:color w:val="0F4761" w:themeColor="accent1" w:themeShade="BF"/>
    </w:rPr>
  </w:style>
  <w:style w:type="paragraph" w:styleId="IntenseQuote">
    <w:name w:val="Intense Quote"/>
    <w:basedOn w:val="Normal"/>
    <w:next w:val="Normal"/>
    <w:link w:val="IntenseQuoteChar"/>
    <w:uiPriority w:val="30"/>
    <w:qFormat/>
    <w:rsid w:val="003038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82B"/>
    <w:rPr>
      <w:i/>
      <w:iCs/>
      <w:color w:val="0F4761" w:themeColor="accent1" w:themeShade="BF"/>
    </w:rPr>
  </w:style>
  <w:style w:type="character" w:styleId="IntenseReference">
    <w:name w:val="Intense Reference"/>
    <w:basedOn w:val="DefaultParagraphFont"/>
    <w:uiPriority w:val="32"/>
    <w:qFormat/>
    <w:rsid w:val="0030382B"/>
    <w:rPr>
      <w:b/>
      <w:bCs/>
      <w:smallCaps/>
      <w:color w:val="0F4761" w:themeColor="accent1" w:themeShade="BF"/>
      <w:spacing w:val="5"/>
    </w:rPr>
  </w:style>
  <w:style w:type="paragraph" w:styleId="FootnoteText">
    <w:name w:val="footnote text"/>
    <w:link w:val="FootnoteTextChar"/>
    <w:uiPriority w:val="99"/>
    <w:rsid w:val="00D2463B"/>
    <w:pPr>
      <w:tabs>
        <w:tab w:val="left" w:pos="288"/>
      </w:tabs>
      <w:spacing w:after="120" w:line="240" w:lineRule="auto"/>
      <w:ind w:left="288" w:hanging="288"/>
      <w:jc w:val="both"/>
    </w:pPr>
    <w:rPr>
      <w:rFonts w:ascii="Times New Roman" w:eastAsia="Times New Roman" w:hAnsi="Times New Roman" w:cs="Times New Roman"/>
      <w:kern w:val="0"/>
      <w:sz w:val="20"/>
      <w:szCs w:val="20"/>
    </w:rPr>
  </w:style>
  <w:style w:type="character" w:customStyle="1" w:styleId="FootnoteTextChar">
    <w:name w:val="Footnote Text Char"/>
    <w:basedOn w:val="DefaultParagraphFont"/>
    <w:link w:val="FootnoteText"/>
    <w:uiPriority w:val="99"/>
    <w:rsid w:val="00D2463B"/>
    <w:rPr>
      <w:rFonts w:ascii="Times New Roman" w:eastAsia="Times New Roman" w:hAnsi="Times New Roman" w:cs="Times New Roman"/>
      <w:kern w:val="0"/>
      <w:sz w:val="20"/>
      <w:szCs w:val="20"/>
    </w:rPr>
  </w:style>
  <w:style w:type="character" w:styleId="CommentReference">
    <w:name w:val="annotation reference"/>
    <w:uiPriority w:val="99"/>
    <w:semiHidden/>
    <w:unhideWhenUsed/>
    <w:rsid w:val="00D2463B"/>
    <w:rPr>
      <w:sz w:val="16"/>
      <w:szCs w:val="16"/>
    </w:rPr>
  </w:style>
  <w:style w:type="paragraph" w:styleId="CommentText">
    <w:name w:val="annotation text"/>
    <w:basedOn w:val="Normal"/>
    <w:link w:val="CommentTextChar"/>
    <w:uiPriority w:val="99"/>
    <w:unhideWhenUsed/>
    <w:rsid w:val="00D2463B"/>
    <w:pPr>
      <w:spacing w:line="240" w:lineRule="auto"/>
    </w:pPr>
    <w:rPr>
      <w:rFonts w:ascii="Aptos" w:eastAsia="Aptos" w:hAnsi="Aptos" w:cs="Times New Roman"/>
      <w:sz w:val="20"/>
      <w:szCs w:val="20"/>
    </w:rPr>
  </w:style>
  <w:style w:type="character" w:customStyle="1" w:styleId="CommentTextChar">
    <w:name w:val="Comment Text Char"/>
    <w:basedOn w:val="DefaultParagraphFont"/>
    <w:link w:val="CommentText"/>
    <w:uiPriority w:val="99"/>
    <w:rsid w:val="00D2463B"/>
    <w:rPr>
      <w:rFonts w:ascii="Aptos" w:eastAsia="Aptos" w:hAnsi="Aptos" w:cs="Times New Roman"/>
      <w:sz w:val="20"/>
      <w:szCs w:val="20"/>
    </w:rPr>
  </w:style>
  <w:style w:type="character" w:styleId="Hyperlink">
    <w:name w:val="Hyperlink"/>
    <w:uiPriority w:val="99"/>
    <w:unhideWhenUsed/>
    <w:rsid w:val="00E448A0"/>
    <w:rPr>
      <w:color w:val="467886"/>
      <w:u w:val="single"/>
    </w:rPr>
  </w:style>
  <w:style w:type="paragraph" w:customStyle="1" w:styleId="TextTi11">
    <w:name w:val="Text:Ti11"/>
    <w:basedOn w:val="Normal"/>
    <w:link w:val="TextTi11Char"/>
    <w:rsid w:val="00357DDB"/>
    <w:pPr>
      <w:spacing w:after="170" w:line="260" w:lineRule="atLeast"/>
      <w:jc w:val="both"/>
    </w:pPr>
    <w:rPr>
      <w:rFonts w:ascii="Arial" w:eastAsia="Times New Roman" w:hAnsi="Arial" w:cs="Times New Roman"/>
      <w:kern w:val="0"/>
      <w:szCs w:val="20"/>
    </w:rPr>
  </w:style>
  <w:style w:type="character" w:customStyle="1" w:styleId="TextTi11Char">
    <w:name w:val="Text:Ti11 Char"/>
    <w:basedOn w:val="DefaultParagraphFont"/>
    <w:link w:val="TextTi11"/>
    <w:rsid w:val="00357DDB"/>
    <w:rPr>
      <w:rFonts w:ascii="Arial" w:eastAsia="Times New Roman" w:hAnsi="Arial" w:cs="Times New Roman"/>
      <w:kern w:val="0"/>
      <w:szCs w:val="20"/>
    </w:rPr>
  </w:style>
  <w:style w:type="character" w:customStyle="1" w:styleId="ListParagraphChar">
    <w:name w:val="List Paragraph Char"/>
    <w:basedOn w:val="DefaultParagraphFont"/>
    <w:link w:val="ListParagraph"/>
    <w:uiPriority w:val="34"/>
    <w:rsid w:val="00262666"/>
  </w:style>
  <w:style w:type="character" w:styleId="PlaceholderText">
    <w:name w:val="Placeholder Text"/>
    <w:basedOn w:val="DefaultParagraphFont"/>
    <w:uiPriority w:val="99"/>
    <w:rsid w:val="00282ABF"/>
    <w:rPr>
      <w:color w:val="666666"/>
    </w:rPr>
  </w:style>
  <w:style w:type="paragraph" w:styleId="Revision">
    <w:name w:val="Revision"/>
    <w:hidden/>
    <w:uiPriority w:val="99"/>
    <w:semiHidden/>
    <w:rsid w:val="00BE16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86551">
      <w:bodyDiv w:val="1"/>
      <w:marLeft w:val="0"/>
      <w:marRight w:val="0"/>
      <w:marTop w:val="0"/>
      <w:marBottom w:val="0"/>
      <w:divBdr>
        <w:top w:val="none" w:sz="0" w:space="0" w:color="auto"/>
        <w:left w:val="none" w:sz="0" w:space="0" w:color="auto"/>
        <w:bottom w:val="none" w:sz="0" w:space="0" w:color="auto"/>
        <w:right w:val="none" w:sz="0" w:space="0" w:color="auto"/>
      </w:divBdr>
    </w:div>
    <w:div w:id="299117899">
      <w:bodyDiv w:val="1"/>
      <w:marLeft w:val="0"/>
      <w:marRight w:val="0"/>
      <w:marTop w:val="0"/>
      <w:marBottom w:val="0"/>
      <w:divBdr>
        <w:top w:val="none" w:sz="0" w:space="0" w:color="auto"/>
        <w:left w:val="none" w:sz="0" w:space="0" w:color="auto"/>
        <w:bottom w:val="none" w:sz="0" w:space="0" w:color="auto"/>
        <w:right w:val="none" w:sz="0" w:space="0" w:color="auto"/>
      </w:divBdr>
      <w:divsChild>
        <w:div w:id="811948774">
          <w:marLeft w:val="640"/>
          <w:marRight w:val="0"/>
          <w:marTop w:val="0"/>
          <w:marBottom w:val="0"/>
          <w:divBdr>
            <w:top w:val="none" w:sz="0" w:space="0" w:color="auto"/>
            <w:left w:val="none" w:sz="0" w:space="0" w:color="auto"/>
            <w:bottom w:val="none" w:sz="0" w:space="0" w:color="auto"/>
            <w:right w:val="none" w:sz="0" w:space="0" w:color="auto"/>
          </w:divBdr>
        </w:div>
        <w:div w:id="1312708085">
          <w:marLeft w:val="640"/>
          <w:marRight w:val="0"/>
          <w:marTop w:val="0"/>
          <w:marBottom w:val="0"/>
          <w:divBdr>
            <w:top w:val="none" w:sz="0" w:space="0" w:color="auto"/>
            <w:left w:val="none" w:sz="0" w:space="0" w:color="auto"/>
            <w:bottom w:val="none" w:sz="0" w:space="0" w:color="auto"/>
            <w:right w:val="none" w:sz="0" w:space="0" w:color="auto"/>
          </w:divBdr>
        </w:div>
        <w:div w:id="1844393561">
          <w:marLeft w:val="640"/>
          <w:marRight w:val="0"/>
          <w:marTop w:val="0"/>
          <w:marBottom w:val="0"/>
          <w:divBdr>
            <w:top w:val="none" w:sz="0" w:space="0" w:color="auto"/>
            <w:left w:val="none" w:sz="0" w:space="0" w:color="auto"/>
            <w:bottom w:val="none" w:sz="0" w:space="0" w:color="auto"/>
            <w:right w:val="none" w:sz="0" w:space="0" w:color="auto"/>
          </w:divBdr>
        </w:div>
        <w:div w:id="1679235890">
          <w:marLeft w:val="640"/>
          <w:marRight w:val="0"/>
          <w:marTop w:val="0"/>
          <w:marBottom w:val="0"/>
          <w:divBdr>
            <w:top w:val="none" w:sz="0" w:space="0" w:color="auto"/>
            <w:left w:val="none" w:sz="0" w:space="0" w:color="auto"/>
            <w:bottom w:val="none" w:sz="0" w:space="0" w:color="auto"/>
            <w:right w:val="none" w:sz="0" w:space="0" w:color="auto"/>
          </w:divBdr>
        </w:div>
        <w:div w:id="1191185958">
          <w:marLeft w:val="640"/>
          <w:marRight w:val="0"/>
          <w:marTop w:val="0"/>
          <w:marBottom w:val="0"/>
          <w:divBdr>
            <w:top w:val="none" w:sz="0" w:space="0" w:color="auto"/>
            <w:left w:val="none" w:sz="0" w:space="0" w:color="auto"/>
            <w:bottom w:val="none" w:sz="0" w:space="0" w:color="auto"/>
            <w:right w:val="none" w:sz="0" w:space="0" w:color="auto"/>
          </w:divBdr>
        </w:div>
        <w:div w:id="1104498332">
          <w:marLeft w:val="640"/>
          <w:marRight w:val="0"/>
          <w:marTop w:val="0"/>
          <w:marBottom w:val="0"/>
          <w:divBdr>
            <w:top w:val="none" w:sz="0" w:space="0" w:color="auto"/>
            <w:left w:val="none" w:sz="0" w:space="0" w:color="auto"/>
            <w:bottom w:val="none" w:sz="0" w:space="0" w:color="auto"/>
            <w:right w:val="none" w:sz="0" w:space="0" w:color="auto"/>
          </w:divBdr>
        </w:div>
        <w:div w:id="1348366005">
          <w:marLeft w:val="640"/>
          <w:marRight w:val="0"/>
          <w:marTop w:val="0"/>
          <w:marBottom w:val="0"/>
          <w:divBdr>
            <w:top w:val="none" w:sz="0" w:space="0" w:color="auto"/>
            <w:left w:val="none" w:sz="0" w:space="0" w:color="auto"/>
            <w:bottom w:val="none" w:sz="0" w:space="0" w:color="auto"/>
            <w:right w:val="none" w:sz="0" w:space="0" w:color="auto"/>
          </w:divBdr>
        </w:div>
        <w:div w:id="985089426">
          <w:marLeft w:val="640"/>
          <w:marRight w:val="0"/>
          <w:marTop w:val="0"/>
          <w:marBottom w:val="0"/>
          <w:divBdr>
            <w:top w:val="none" w:sz="0" w:space="0" w:color="auto"/>
            <w:left w:val="none" w:sz="0" w:space="0" w:color="auto"/>
            <w:bottom w:val="none" w:sz="0" w:space="0" w:color="auto"/>
            <w:right w:val="none" w:sz="0" w:space="0" w:color="auto"/>
          </w:divBdr>
        </w:div>
        <w:div w:id="575213030">
          <w:marLeft w:val="640"/>
          <w:marRight w:val="0"/>
          <w:marTop w:val="0"/>
          <w:marBottom w:val="0"/>
          <w:divBdr>
            <w:top w:val="none" w:sz="0" w:space="0" w:color="auto"/>
            <w:left w:val="none" w:sz="0" w:space="0" w:color="auto"/>
            <w:bottom w:val="none" w:sz="0" w:space="0" w:color="auto"/>
            <w:right w:val="none" w:sz="0" w:space="0" w:color="auto"/>
          </w:divBdr>
        </w:div>
        <w:div w:id="1480809099">
          <w:marLeft w:val="640"/>
          <w:marRight w:val="0"/>
          <w:marTop w:val="0"/>
          <w:marBottom w:val="0"/>
          <w:divBdr>
            <w:top w:val="none" w:sz="0" w:space="0" w:color="auto"/>
            <w:left w:val="none" w:sz="0" w:space="0" w:color="auto"/>
            <w:bottom w:val="none" w:sz="0" w:space="0" w:color="auto"/>
            <w:right w:val="none" w:sz="0" w:space="0" w:color="auto"/>
          </w:divBdr>
        </w:div>
        <w:div w:id="281500568">
          <w:marLeft w:val="640"/>
          <w:marRight w:val="0"/>
          <w:marTop w:val="0"/>
          <w:marBottom w:val="0"/>
          <w:divBdr>
            <w:top w:val="none" w:sz="0" w:space="0" w:color="auto"/>
            <w:left w:val="none" w:sz="0" w:space="0" w:color="auto"/>
            <w:bottom w:val="none" w:sz="0" w:space="0" w:color="auto"/>
            <w:right w:val="none" w:sz="0" w:space="0" w:color="auto"/>
          </w:divBdr>
        </w:div>
      </w:divsChild>
    </w:div>
    <w:div w:id="530844571">
      <w:bodyDiv w:val="1"/>
      <w:marLeft w:val="0"/>
      <w:marRight w:val="0"/>
      <w:marTop w:val="0"/>
      <w:marBottom w:val="0"/>
      <w:divBdr>
        <w:top w:val="none" w:sz="0" w:space="0" w:color="auto"/>
        <w:left w:val="none" w:sz="0" w:space="0" w:color="auto"/>
        <w:bottom w:val="none" w:sz="0" w:space="0" w:color="auto"/>
        <w:right w:val="none" w:sz="0" w:space="0" w:color="auto"/>
      </w:divBdr>
    </w:div>
    <w:div w:id="1239052387">
      <w:bodyDiv w:val="1"/>
      <w:marLeft w:val="0"/>
      <w:marRight w:val="0"/>
      <w:marTop w:val="0"/>
      <w:marBottom w:val="0"/>
      <w:divBdr>
        <w:top w:val="none" w:sz="0" w:space="0" w:color="auto"/>
        <w:left w:val="none" w:sz="0" w:space="0" w:color="auto"/>
        <w:bottom w:val="none" w:sz="0" w:space="0" w:color="auto"/>
        <w:right w:val="none" w:sz="0" w:space="0" w:color="auto"/>
      </w:divBdr>
      <w:divsChild>
        <w:div w:id="1272667385">
          <w:marLeft w:val="480"/>
          <w:marRight w:val="0"/>
          <w:marTop w:val="0"/>
          <w:marBottom w:val="0"/>
          <w:divBdr>
            <w:top w:val="none" w:sz="0" w:space="0" w:color="auto"/>
            <w:left w:val="none" w:sz="0" w:space="0" w:color="auto"/>
            <w:bottom w:val="none" w:sz="0" w:space="0" w:color="auto"/>
            <w:right w:val="none" w:sz="0" w:space="0" w:color="auto"/>
          </w:divBdr>
        </w:div>
        <w:div w:id="259141715">
          <w:marLeft w:val="480"/>
          <w:marRight w:val="0"/>
          <w:marTop w:val="0"/>
          <w:marBottom w:val="0"/>
          <w:divBdr>
            <w:top w:val="none" w:sz="0" w:space="0" w:color="auto"/>
            <w:left w:val="none" w:sz="0" w:space="0" w:color="auto"/>
            <w:bottom w:val="none" w:sz="0" w:space="0" w:color="auto"/>
            <w:right w:val="none" w:sz="0" w:space="0" w:color="auto"/>
          </w:divBdr>
        </w:div>
        <w:div w:id="976950844">
          <w:marLeft w:val="480"/>
          <w:marRight w:val="0"/>
          <w:marTop w:val="0"/>
          <w:marBottom w:val="0"/>
          <w:divBdr>
            <w:top w:val="none" w:sz="0" w:space="0" w:color="auto"/>
            <w:left w:val="none" w:sz="0" w:space="0" w:color="auto"/>
            <w:bottom w:val="none" w:sz="0" w:space="0" w:color="auto"/>
            <w:right w:val="none" w:sz="0" w:space="0" w:color="auto"/>
          </w:divBdr>
        </w:div>
        <w:div w:id="1973439429">
          <w:marLeft w:val="480"/>
          <w:marRight w:val="0"/>
          <w:marTop w:val="0"/>
          <w:marBottom w:val="0"/>
          <w:divBdr>
            <w:top w:val="none" w:sz="0" w:space="0" w:color="auto"/>
            <w:left w:val="none" w:sz="0" w:space="0" w:color="auto"/>
            <w:bottom w:val="none" w:sz="0" w:space="0" w:color="auto"/>
            <w:right w:val="none" w:sz="0" w:space="0" w:color="auto"/>
          </w:divBdr>
        </w:div>
        <w:div w:id="1396708061">
          <w:marLeft w:val="480"/>
          <w:marRight w:val="0"/>
          <w:marTop w:val="0"/>
          <w:marBottom w:val="0"/>
          <w:divBdr>
            <w:top w:val="none" w:sz="0" w:space="0" w:color="auto"/>
            <w:left w:val="none" w:sz="0" w:space="0" w:color="auto"/>
            <w:bottom w:val="none" w:sz="0" w:space="0" w:color="auto"/>
            <w:right w:val="none" w:sz="0" w:space="0" w:color="auto"/>
          </w:divBdr>
        </w:div>
        <w:div w:id="1063528838">
          <w:marLeft w:val="480"/>
          <w:marRight w:val="0"/>
          <w:marTop w:val="0"/>
          <w:marBottom w:val="0"/>
          <w:divBdr>
            <w:top w:val="none" w:sz="0" w:space="0" w:color="auto"/>
            <w:left w:val="none" w:sz="0" w:space="0" w:color="auto"/>
            <w:bottom w:val="none" w:sz="0" w:space="0" w:color="auto"/>
            <w:right w:val="none" w:sz="0" w:space="0" w:color="auto"/>
          </w:divBdr>
        </w:div>
        <w:div w:id="601305867">
          <w:marLeft w:val="480"/>
          <w:marRight w:val="0"/>
          <w:marTop w:val="0"/>
          <w:marBottom w:val="0"/>
          <w:divBdr>
            <w:top w:val="none" w:sz="0" w:space="0" w:color="auto"/>
            <w:left w:val="none" w:sz="0" w:space="0" w:color="auto"/>
            <w:bottom w:val="none" w:sz="0" w:space="0" w:color="auto"/>
            <w:right w:val="none" w:sz="0" w:space="0" w:color="auto"/>
          </w:divBdr>
        </w:div>
        <w:div w:id="2026049772">
          <w:marLeft w:val="480"/>
          <w:marRight w:val="0"/>
          <w:marTop w:val="0"/>
          <w:marBottom w:val="0"/>
          <w:divBdr>
            <w:top w:val="none" w:sz="0" w:space="0" w:color="auto"/>
            <w:left w:val="none" w:sz="0" w:space="0" w:color="auto"/>
            <w:bottom w:val="none" w:sz="0" w:space="0" w:color="auto"/>
            <w:right w:val="none" w:sz="0" w:space="0" w:color="auto"/>
          </w:divBdr>
        </w:div>
        <w:div w:id="704211820">
          <w:marLeft w:val="480"/>
          <w:marRight w:val="0"/>
          <w:marTop w:val="0"/>
          <w:marBottom w:val="0"/>
          <w:divBdr>
            <w:top w:val="none" w:sz="0" w:space="0" w:color="auto"/>
            <w:left w:val="none" w:sz="0" w:space="0" w:color="auto"/>
            <w:bottom w:val="none" w:sz="0" w:space="0" w:color="auto"/>
            <w:right w:val="none" w:sz="0" w:space="0" w:color="auto"/>
          </w:divBdr>
        </w:div>
        <w:div w:id="675690041">
          <w:marLeft w:val="480"/>
          <w:marRight w:val="0"/>
          <w:marTop w:val="0"/>
          <w:marBottom w:val="0"/>
          <w:divBdr>
            <w:top w:val="none" w:sz="0" w:space="0" w:color="auto"/>
            <w:left w:val="none" w:sz="0" w:space="0" w:color="auto"/>
            <w:bottom w:val="none" w:sz="0" w:space="0" w:color="auto"/>
            <w:right w:val="none" w:sz="0" w:space="0" w:color="auto"/>
          </w:divBdr>
        </w:div>
        <w:div w:id="194275360">
          <w:marLeft w:val="480"/>
          <w:marRight w:val="0"/>
          <w:marTop w:val="0"/>
          <w:marBottom w:val="0"/>
          <w:divBdr>
            <w:top w:val="none" w:sz="0" w:space="0" w:color="auto"/>
            <w:left w:val="none" w:sz="0" w:space="0" w:color="auto"/>
            <w:bottom w:val="none" w:sz="0" w:space="0" w:color="auto"/>
            <w:right w:val="none" w:sz="0" w:space="0" w:color="auto"/>
          </w:divBdr>
        </w:div>
      </w:divsChild>
    </w:div>
    <w:div w:id="214134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9264BEBDD648748DB5AE3F54077569"/>
        <w:category>
          <w:name w:val="General"/>
          <w:gallery w:val="placeholder"/>
        </w:category>
        <w:types>
          <w:type w:val="bbPlcHdr"/>
        </w:types>
        <w:behaviors>
          <w:behavior w:val="content"/>
        </w:behaviors>
        <w:guid w:val="{09891CAC-28A0-4DDC-B306-D4F0B2EB5241}"/>
      </w:docPartPr>
      <w:docPartBody>
        <w:p w:rsidR="00B65504" w:rsidRDefault="00B65504" w:rsidP="00B65504">
          <w:pPr>
            <w:pStyle w:val="AA9264BEBDD648748DB5AE3F54077569"/>
          </w:pPr>
          <w:r w:rsidRPr="000D70D8">
            <w:rPr>
              <w:rStyle w:val="PlaceholderText"/>
            </w:rPr>
            <w:t>Click or tap here to enter text.</w:t>
          </w:r>
        </w:p>
      </w:docPartBody>
    </w:docPart>
    <w:docPart>
      <w:docPartPr>
        <w:name w:val="36F16859018E4D73A4DB19400F5FCA8C"/>
        <w:category>
          <w:name w:val="General"/>
          <w:gallery w:val="placeholder"/>
        </w:category>
        <w:types>
          <w:type w:val="bbPlcHdr"/>
        </w:types>
        <w:behaviors>
          <w:behavior w:val="content"/>
        </w:behaviors>
        <w:guid w:val="{6042187A-7E30-4461-B924-65077ECC0F8D}"/>
      </w:docPartPr>
      <w:docPartBody>
        <w:p w:rsidR="00B65504" w:rsidRDefault="00B65504" w:rsidP="00B65504">
          <w:pPr>
            <w:pStyle w:val="36F16859018E4D73A4DB19400F5FCA8C"/>
          </w:pPr>
          <w:r w:rsidRPr="000D70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E618FB0-DBCA-4772-9BE3-01BA3B342AE1}"/>
      </w:docPartPr>
      <w:docPartBody>
        <w:p w:rsidR="00B65504" w:rsidRDefault="00B65504">
          <w:r w:rsidRPr="00C85B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04"/>
    <w:rsid w:val="000D3CD6"/>
    <w:rsid w:val="002A3924"/>
    <w:rsid w:val="00415E02"/>
    <w:rsid w:val="0058654B"/>
    <w:rsid w:val="00670BB2"/>
    <w:rsid w:val="00714D39"/>
    <w:rsid w:val="00966725"/>
    <w:rsid w:val="009674AF"/>
    <w:rsid w:val="00AB2A95"/>
    <w:rsid w:val="00B65504"/>
    <w:rsid w:val="00FB5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65504"/>
    <w:rPr>
      <w:color w:val="666666"/>
    </w:rPr>
  </w:style>
  <w:style w:type="paragraph" w:customStyle="1" w:styleId="AA9264BEBDD648748DB5AE3F54077569">
    <w:name w:val="AA9264BEBDD648748DB5AE3F54077569"/>
    <w:rsid w:val="00B65504"/>
  </w:style>
  <w:style w:type="paragraph" w:customStyle="1" w:styleId="36F16859018E4D73A4DB19400F5FCA8C">
    <w:name w:val="36F16859018E4D73A4DB19400F5FCA8C"/>
    <w:rsid w:val="00B655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6E9CC7-7737-42C8-8633-DB314678E43A}">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a19cd9c5-417f-432f-9b4e-42fd3c0edf8d&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&quot;,&quot;citationItems&quot;:[{&quot;id&quot;:&quot;ecc05ea9-6c01-3a79-a7bc-aafb3963d7c7&quot;,&quot;itemData&quot;:{&quot;type&quot;:&quot;article-journal&quot;,&quot;id&quot;:&quot;ecc05ea9-6c01-3a79-a7bc-aafb3963d7c7&quot;,&quot;title&quot;:&quot;Masking the Auditory Evoked Potential in TMS-EEG: A Comparison of Various Methods&quot;,&quot;author&quot;:[{&quot;family&quot;:&quot;Braack&quot;,&quot;given&quot;:&quot;E M&quot;,&quot;parse-names&quot;:false,&quot;dropping-particle&quot;:&quot;&quot;,&quot;non-dropping-particle&quot;:&quot;ter&quot;},{&quot;family&quot;:&quot;Vos&quot;,&quot;given&quot;:&quot;C C&quot;,&quot;parse-names&quot;:false,&quot;dropping-particle&quot;:&quot;&quot;,&quot;non-dropping-particle&quot;:&quot;de&quot;},{&quot;family&quot;:&quot;Putten&quot;,&quot;given&quot;:&quot;M J&quot;,&quot;parse-names&quot;:false,&quot;dropping-particle&quot;:&quot;&quot;,&quot;non-dropping-particle&quot;:&quot;van&quot;}],&quot;container-title&quot;:&quot;Brain Topogr&quot;,&quot;DOI&quot;:&quot;10.1007/s10548-013-0312-z&quot;,&quot;ISSN&quot;:&quot;0896-0267&quot;,&quot;issued&quot;:{&quot;date-parts&quot;:[[2015]]},&quot;publisher-place&quot;:&quot;Department of Clinical Neurophysiology, MIRA-Institute for Biomedical Technology and Technical Medicine, University of Twente, Carre CR 3.714, P.O. Box 217, 7500 AE, Enschede, The Netherlands, e.m.terbraack@utwente.nl.&quot;,&quot;page&quot;:&quot;520-528&quot;,&quot;abstract&quot;:&quot;There is growing interest in combining transcranial magnetic stimulation (TMS) with electroencephalography (EEG). Because TMS pulses are accompanied by a clicking sound, it is very likely that part of the response in the EEG consists of an auditory evoked potential (AEP). Different methods have been applied to mask the sound of TMS. However, it is unclear which masking method is most effective in reducing the AEP. In this study we explore the presumed contribution of the AEP to the response and evaluate different ways to mask the TMS clicking sound. Twelve healthy subjects and one completely deaf subject participated in this study. Eight different masking conditions were evaluated in nine hearing subjects. The amplitude of the N100-P180 complex was compared between the different masking conditions. We were not able to completely suppress the N100-P180 when the coil was placed on top of the head. Using an earmuff or exposing the subjects to white or adapted noise caused a small but significant reduction in N100-P180 amplitude, but the largest reduction was achieved when combining a layer of foam, placed between coil and head, with white or adapted noise. The deaf subject also showed a N100-P180 complex. We conclude that both the TMS clicking sound and cortical activation by the magnetic pulse contribute to the N100-P180 amplitude.&quot;,&quot;edition&quot;:&quot;2013/09/03&quot;,&quot;issue&quot;:&quot;3&quot;,&quot;volume&quot;:&quot;28&quot;,&quot;container-title-short&quot;:&quot;&quot;},&quot;isTemporary&quot;:false}]},{&quot;citationID&quot;:&quot;MENDELEY_CITATION_4dafb4d3-4ba9-47b5-92a0-73cb48cb6f34&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&quot;,&quot;citationItems&quot;:[{&quot;id&quot;:&quot;325ea105-17a6-3369-9f90-a06f43403c35&quot;,&quot;itemData&quot;:{&quot;type&quot;:&quot;article-journal&quot;,&quot;id&quot;:&quot;325ea105-17a6-3369-9f90-a06f43403c35&quot;,&quot;title&quot;:&quot;A comparison of the sensitivities of adaptive tracking, eye movement analysis and visual analog lines to the effects of incremental doses of temazepam in healthy volunteers&quot;,&quot;author&quot;:[{&quot;family&quot;:&quot;Steveninck&quot;,&quot;given&quot;:&quot;A L&quot;,&quot;parse-names&quot;:false,&quot;dropping-particle&quot;:&quot;&quot;,&quot;non-dropping-particle&quot;:&quot;van&quot;},{&quot;family&quot;:&quot;Schoemaker&quot;,&quot;given&quot;:&quot;H C&quot;,&quot;parse-names&quot;:false,&quot;dropping-particle&quot;:&quot;&quot;,&quot;non-dropping-particle&quot;:&quot;&quot;},{&quot;family&quot;:&quot;Pieters&quot;,&quot;given&quot;:&quot;M S&quot;,&quot;parse-names&quot;:false,&quot;dropping-particle&quot;:&quot;&quot;,&quot;non-dropping-particle&quot;:&quot;&quot;},{&quot;family&quot;:&quot;Kroon&quot;,&quot;given&quot;:&quot;R&quot;,&quot;parse-names&quot;:false,&quot;dropping-particle&quot;:&quot;&quot;,&quot;non-dropping-particle&quot;:&quot;&quot;},{&quot;family&quot;:&quot;Breimer&quot;,&quot;given&quot;:&quot;D D&quot;,&quot;parse-names&quot;:false,&quot;dropping-particle&quot;:&quot;&quot;,&quot;non-dropping-particle&quot;:&quot;&quot;},{&quot;family&quot;:&quot;Cohen&quot;,&quot;given&quot;:&quot;A F&quot;,&quot;parse-names&quot;:false,&quot;dropping-particle&quot;:&quot;&quot;,&quot;non-dropping-particle&quot;:&quot;&quot;}],&quot;container-title&quot;:&quot;Clin Pharmacol Ther&quot;,&quot;ISSN&quot;:&quot;0009-9236 (Print) 0009-9236&quot;,&quot;issued&quot;:{&quot;date-parts&quot;:[[1991]]},&quot;publisher-place&quot;:&quot;Centre for Human Drug Research, University Hospital, Leiden, The Netherlands.&quot;,&quot;page&quot;:&quot;172-180&quot;,&quot;abstract&quot;:&quot;The effects of single oral doses of 5, 10, and 20 mg temazepam were evaluated with the adaptive tracking test, analysis of smooth-pursuit and saccadic eye movements, and visual analog lines in a placebo-controlled, double-blind, crossover experiment with 12 healthy volunteers. Pharmacodynamic testing was performed until 10 hours and pharmacokinetics were evaluated until 24 hours. Temazepam, 20 mg, caused effects in all tests, with peak effects occurring at 30 minutes. The 10 mg dose caused effects on saccadic eye movements and subjective scores of alertness, whereas 5 mg temazepam was detected only by analysis of saccadic eye movements. Linear relationships between plasma concentrations and effects were found in nine subjects for saccadic peak velocity and eight subjects for subjective scores of alertness. The results of this study demonstrate manifest differences in the sensitivities of performance tests and stress the importance of validation of methods when effects of drugs on human performance are studied.&quot;,&quot;edition&quot;:&quot;1991/08/01&quot;,&quot;issue&quot;:&quot;2&quot;,&quot;volume&quot;:&quot;50&quot;,&quot;container-title-short&quot;:&quot;&quot;},&quot;isTemporary&quot;:false}]},{&quot;citationID&quot;:&quot;MENDELEY_CITATION_d3f17c45-ccc2-40ed-9f6e-f4adb80d0856&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&quot;,&quot;citationItems&quot;:[{&quot;id&quot;:&quot;325ea105-17a6-3369-9f90-a06f43403c35&quot;,&quot;itemData&quot;:{&quot;type&quot;:&quot;article-journal&quot;,&quot;id&quot;:&quot;325ea105-17a6-3369-9f90-a06f43403c35&quot;,&quot;title&quot;:&quot;A comparison of the sensitivities of adaptive tracking, eye movement analysis and visual analog lines to the effects of incremental doses of temazepam in healthy volunteers&quot;,&quot;author&quot;:[{&quot;family&quot;:&quot;Steveninck&quot;,&quot;given&quot;:&quot;A L&quot;,&quot;parse-names&quot;:false,&quot;dropping-particle&quot;:&quot;&quot;,&quot;non-dropping-particle&quot;:&quot;van&quot;},{&quot;family&quot;:&quot;Schoemaker&quot;,&quot;given&quot;:&quot;H C&quot;,&quot;parse-names&quot;:false,&quot;dropping-particle&quot;:&quot;&quot;,&quot;non-dropping-particle&quot;:&quot;&quot;},{&quot;family&quot;:&quot;Pieters&quot;,&quot;given&quot;:&quot;M S&quot;,&quot;parse-names&quot;:false,&quot;dropping-particle&quot;:&quot;&quot;,&quot;non-dropping-particle&quot;:&quot;&quot;},{&quot;family&quot;:&quot;Kroon&quot;,&quot;given&quot;:&quot;R&quot;,&quot;parse-names&quot;:false,&quot;dropping-particle&quot;:&quot;&quot;,&quot;non-dropping-particle&quot;:&quot;&quot;},{&quot;family&quot;:&quot;Breimer&quot;,&quot;given&quot;:&quot;D D&quot;,&quot;parse-names&quot;:false,&quot;dropping-particle&quot;:&quot;&quot;,&quot;non-dropping-particle&quot;:&quot;&quot;},{&quot;family&quot;:&quot;Cohen&quot;,&quot;given&quot;:&quot;A F&quot;,&quot;parse-names&quot;:false,&quot;dropping-particle&quot;:&quot;&quot;,&quot;non-dropping-particle&quot;:&quot;&quot;}],&quot;container-title&quot;:&quot;Clin Pharmacol Ther&quot;,&quot;ISSN&quot;:&quot;0009-9236 (Print) 0009-9236&quot;,&quot;issued&quot;:{&quot;date-parts&quot;:[[1991]]},&quot;publisher-place&quot;:&quot;Centre for Human Drug Research, University Hospital, Leiden, The Netherlands.&quot;,&quot;page&quot;:&quot;172-180&quot;,&quot;abstract&quot;:&quot;The effects of single oral doses of 5, 10, and 20 mg temazepam were evaluated with the adaptive tracking test, analysis of smooth-pursuit and saccadic eye movements, and visual analog lines in a placebo-controlled, double-blind, crossover experiment with 12 healthy volunteers. Pharmacodynamic testing was performed until 10 hours and pharmacokinetics were evaluated until 24 hours. Temazepam, 20 mg, caused effects in all tests, with peak effects occurring at 30 minutes. The 10 mg dose caused effects on saccadic eye movements and subjective scores of alertness, whereas 5 mg temazepam was detected only by analysis of saccadic eye movements. Linear relationships between plasma concentrations and effects were found in nine subjects for saccadic peak velocity and eight subjects for subjective scores of alertness. The results of this study demonstrate manifest differences in the sensitivities of performance tests and stress the importance of validation of methods when effects of drugs on human performance are studied.&quot;,&quot;edition&quot;:&quot;1991/08/01&quot;,&quot;issue&quot;:&quot;2&quot;,&quot;volume&quot;:&quot;50&quot;,&quot;container-title-short&quot;:&quot;&quot;},&quot;isTemporary&quot;:false},{&quot;id&quot;:&quot;b0bba36d-fd8f-3247-b025-68af5cd70379&quot;,&quot;itemData&quot;:{&quot;type&quot;:&quot;article-journal&quot;,&quot;id&quot;:&quot;b0bba36d-fd8f-3247-b025-68af5cd70379&quot;,&quot;title&quot;:&quot;Quantitative measurement of saccade amplitude, duration, and velocity&quot;,&quot;author&quot;:[{&quot;family&quot;:&quot;Baloh&quot;,&quot;given&quot;:&quot;R W&quot;,&quot;parse-names&quot;:false,&quot;dropping-particle&quot;:&quot;&quot;,&quot;non-dropping-particle&quot;:&quot;&quot;},{&quot;family&quot;:&quot;Sills&quot;,&quot;given&quot;:&quot;A W&quot;,&quot;parse-names&quot;:false,&quot;dropping-particle&quot;:&quot;&quot;,&quot;non-dropping-particle&quot;:&quot;&quot;},{&quot;family&quot;:&quot;Kumley&quot;,&quot;given&quot;:&quot;W E&quot;,&quot;parse-names&quot;:false,&quot;dropping-particle&quot;:&quot;&quot;,&quot;non-dropping-particle&quot;:&quot;&quot;},{&quot;family&quot;:&quot;Honrubia&quot;,&quot;given&quot;:&quot;V&quot;,&quot;parse-names&quot;:false,&quot;dropping-particle&quot;:&quot;&quot;,&quot;non-dropping-particle&quot;:&quot;&quot;}],&quot;container-title&quot;:&quot;Neurology&quot;,&quot;container-title-short&quot;:&quot;Neurology&quot;,&quot;DOI&quot;:&quot;10.1212/wnl.25.11.1065&quot;,&quot;ISSN&quot;:&quot;0028-3878 (Print) 0028-3878&quot;,&quot;issued&quot;:{&quot;date-parts&quot;:[[1975]]},&quot;page&quot;:&quot;1065-1070&quot;,&quot;abstract&quot;:&quot;A method for rapid, accurate measurement of saccade amplitude, duration, and velocity (average and maximum) was developed as a functional test of the extraocular motor system. Recordings were made with a direct-current electro-oculographic system, and data analysis was performed on a laboratory digital computer. Saccade amplitude and duration were found to be linearly correlated in 25 normal subjects, with a mean slope of 2.7 msec per degree over a large amplitude range. In the same subjects, saccade amplitude and velocity (maximum or average) had a nonlinear relationship that was best fit by an exponential equation. The two constants of this equation adequately characterized the relationship between saccade amplitude and velocity and permitted rapid statistical comparison between normal and abnormal subjects.&quot;,&quot;edition&quot;:&quot;1975/11/01&quot;,&quot;issue&quot;:&quot;11&quot;,&quot;volume&quot;:&quot;25&quot;},&quot;isTemporary&quot;:false}]},{&quot;citationID&quot;:&quot;MENDELEY_CITATION_bed865e0-eb56-4d45-957f-50eca40728f9&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&quot;,&quot;citationItems&quot;:[{&quot;id&quot;:&quot;4d402436-c099-347c-aabe-ca9f991ad54d&quot;,&quot;itemData&quot;:{&quot;type&quot;:&quot;article-journal&quot;,&quot;id&quot;:&quot;4d402436-c099-347c-aabe-ca9f991ad54d&quot;,&quot;title&quot;:&quot;Benzodiazepines impair smooth pursuit eye movements&quot;,&quot;author&quot;:[{&quot;family&quot;:&quot;Bittencourt&quot;,&quot;given&quot;:&quot;P R&quot;,&quot;parse-names&quot;:false,&quot;dropping-particle&quot;:&quot;&quot;,&quot;non-dropping-particle&quot;:&quot;&quot;},{&quot;family&quot;:&quot;Wade&quot;,&quot;given&quot;:&quot;P&quot;,&quot;parse-names&quot;:false,&quot;dropping-particle&quot;:&quot;&quot;,&quot;non-dropping-particle&quot;:&quot;&quot;},{&quot;family&quot;:&quot;Smith&quot;,&quot;given&quot;:&quot;A T&quot;,&quot;parse-names&quot;:false,&quot;dropping-particle&quot;:&quot;&quot;,&quot;non-dropping-particle&quot;:&quot;&quot;},{&quot;family&quot;:&quot;Richens&quot;,&quot;given&quot;:&quot;A&quot;,&quot;parse-names&quot;:false,&quot;dropping-particle&quot;:&quot;&quot;,&quot;non-dropping-particle&quot;:&quot;&quot;}],&quot;container-title&quot;:&quot;Br J Clin Pharmacol&quot;,&quot;DOI&quot;:&quot;10.1111/j.1365-2125.1983.tb01495.x&quot;,&quot;ISSN&quot;:&quot;0306-5251 (Print) 0306-5251&quot;,&quot;issued&quot;:{&quot;date-parts&quot;:[[1983]]},&quot;page&quot;:&quot;259-262&quot;,&quot;abstract&quot;:&quot;Five healthy male volunteers received single oral doses of 10 mg diazepam, 20 mg temazepam and placebo, in a double-blind, randomised fashion. Smooth pursuit eye movement velocity and serum benzodiazepine concentration were measured before and after at 0.5,1,1.5,2,3,4,6,9 and 12 h after administration of the treatments. Significant decrease in smooth pursuit eye movement velocity as compared to placebo was observed between 0.5-2 h after temazepam, and between 1-2 h after diazepam. Smooth pursuit eye movement velocity was log-linearly correlated with serum temazepam and diazepam concentration. The results demonstrate the relationship between serum benzodiazepine concentration and its effect on an objective measure of oculomotor performance.&quot;,&quot;edition&quot;:&quot;1983/02/01&quot;,&quot;issue&quot;:&quot;2&quot;,&quot;volume&quot;:&quot;15&quot;,&quot;container-title-short&quot;:&quot;&quot;},&quot;isTemporary&quot;:false},{&quot;id&quot;:&quot;e5f31a4b-54e5-3dd4-b9ba-82b37cd75be3&quot;,&quot;itemData&quot;:{&quot;type&quot;:&quot;article&quot;,&quot;id&quot;:&quot;e5f31a4b-54e5-3dd4-b9ba-82b37cd75be3&quot;,&quot;title&quot;:&quot;Measuring blood–brain barrier penetration using the NeuroCart, a CNS test battery&quot;,&quot;author&quot;:[{&quot;family&quot;:&quot;Groeneveld&quot;,&quot;given&quot;:&quot;Geert Jan&quot;,&quot;parse-names&quot;:false,&quot;dropping-particle&quot;:&quot;&quot;,&quot;non-dropping-particle&quot;:&quot;&quot;},{&quot;family&quot;:&quot;Hay&quot;,&quot;given&quot;:&quot;Justin Luke&quot;,&quot;parse-names&quot;:false,&quot;dropping-particle&quot;:&quot;&quot;,&quot;non-dropping-particle&quot;:&quot;&quot;},{&quot;family&quot;:&quot;Gerven&quot;,&quot;given&quot;:&quot;Johannes Marinus&quot;,&quot;parse-names&quot;:false,&quot;dropping-particle&quot;:&quot;&quot;,&quot;non-dropping-particle&quot;:&quot;Van&quot;}],&quot;container-title&quot;:&quot;Drug Discovery Today: Technologies&quot;,&quot;container-title-short&quot;:&quot;Drug Discov Today Technol&quot;,&quot;accessed&quot;:{&quot;date-parts&quot;:[[2020,2,10]]},&quot;DOI&quot;:&quot;10.1016/j.ddtec.2016.07.004&quot;,&quot;ISSN&quot;:&quot;17406749&quot;,&quot;URL&quot;:&quot;http://www.ncbi.nlm.nih.gov/pubmed/27986220&quot;,&quot;issued&quot;:{&quot;date-parts&quot;:[[2016,6,1]]},&quot;page&quot;:&quot;27-34&quot;,&quot;abstract&quot;:&quot;To systematically study the pharmacodynamics of a CNS drug early in the development process, we developed and validated a battery of drug-sensitive CNS tests, which we call NeuroCart. Using this test battery, data-intensive phase 1 studies in healthy subjects can be performed to demonstrate the specific, time- and dose-dependent, neurophysiological and/or neuropsychological effects of a compound, thereby confirming whether the test compound reaches its intended target in the CNS – or does not reach its intended target. We use this test battery to demonstrate that a compound passes the blood–brain barrier.&quot;,&quot;publisher&quot;:&quot;Elsevier Ltd&quot;,&quot;volume&quot;:&quot;20&quot;},&quot;isTemporary&quot;:false}]},{&quot;citationID&quot;:&quot;MENDELEY_CITATION_97f585a7-0088-4dc4-96b9-82561ed2b61e&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&quot;,&quot;citationItems&quot;:[{&quot;id&quot;:&quot;e5f31a4b-54e5-3dd4-b9ba-82b37cd75be3&quot;,&quot;itemData&quot;:{&quot;type&quot;:&quot;article&quot;,&quot;id&quot;:&quot;e5f31a4b-54e5-3dd4-b9ba-82b37cd75be3&quot;,&quot;title&quot;:&quot;Measuring blood–brain barrier penetration using the NeuroCart, a CNS test battery&quot;,&quot;author&quot;:[{&quot;family&quot;:&quot;Groeneveld&quot;,&quot;given&quot;:&quot;Geert Jan&quot;,&quot;parse-names&quot;:false,&quot;dropping-particle&quot;:&quot;&quot;,&quot;non-dropping-particle&quot;:&quot;&quot;},{&quot;family&quot;:&quot;Hay&quot;,&quot;given&quot;:&quot;Justin Luke&quot;,&quot;parse-names&quot;:false,&quot;dropping-particle&quot;:&quot;&quot;,&quot;non-dropping-particle&quot;:&quot;&quot;},{&quot;family&quot;:&quot;Gerven&quot;,&quot;given&quot;:&quot;Johannes Marinus&quot;,&quot;parse-names&quot;:false,&quot;dropping-particle&quot;:&quot;&quot;,&quot;non-dropping-particle&quot;:&quot;Van&quot;}],&quot;container-title&quot;:&quot;Drug Discovery Today: Technologies&quot;,&quot;container-title-short&quot;:&quot;Drug Discov Today Technol&quot;,&quot;accessed&quot;:{&quot;date-parts&quot;:[[2020,2,10]]},&quot;DOI&quot;:&quot;10.1016/j.ddtec.2016.07.004&quot;,&quot;ISSN&quot;:&quot;17406749&quot;,&quot;URL&quot;:&quot;http://www.ncbi.nlm.nih.gov/pubmed/27986220&quot;,&quot;issued&quot;:{&quot;date-parts&quot;:[[2016,6,1]]},&quot;page&quot;:&quot;27-34&quot;,&quot;abstract&quot;:&quot;To systematically study the pharmacodynamics of a CNS drug early in the development process, we developed and validated a battery of drug-sensitive CNS tests, which we call NeuroCart. Using this test battery, data-intensive phase 1 studies in healthy subjects can be performed to demonstrate the specific, time- and dose-dependent, neurophysiological and/or neuropsychological effects of a compound, thereby confirming whether the test compound reaches its intended target in the CNS – or does not reach its intended target. We use this test battery to demonstrate that a compound passes the blood–brain barrier.&quot;,&quot;publisher&quot;:&quot;Elsevier Ltd&quot;,&quot;volume&quot;:&quot;20&quot;},&quot;isTemporary&quot;:false}]},{&quot;citationID&quot;:&quot;MENDELEY_CITATION_f87b0560-e884-4b9a-8b8e-5100aafabda1&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&quot;,&quot;citationItems&quot;:[{&quot;id&quot;:&quot;b6589d10-4372-382e-a230-c647b42d5524&quot;,&quot;itemData&quot;:{&quot;type&quot;:&quot;article-journal&quot;,&quot;id&quot;:&quot;b6589d10-4372-382e-a230-c647b42d5524&quot;,&quot;title&quot;:&quot;Visual motor co-ordination and dynamic visual acuity&quot;,&quot;author&quot;:[{&quot;family&quot;:&quot;Borland&quot;,&quot;given&quot;:&quot;R G&quot;,&quot;parse-names&quot;:false,&quot;dropping-particle&quot;:&quot;&quot;,&quot;non-dropping-particle&quot;:&quot;&quot;},{&quot;family&quot;:&quot;Nicholson&quot;,&quot;given&quot;:&quot;A N&quot;,&quot;parse-names&quot;:false,&quot;dropping-particle&quot;:&quot;&quot;,&quot;non-dropping-particle&quot;:&quot;&quot;}],&quot;container-title&quot;:&quot;British journal of clinical pharmacology&quot;,&quot;container-title-short&quot;:&quot;Br J Clin Pharmacol&quot;,&quot;ISSN&quot;:&quot;0306-5251 1365-2125&quot;,&quot;URL&quot;:&quot;https://www.ncbi.nlm.nih.gov/pubmed/6525331&quot;,&quot;issued&quot;:{&quot;date-parts&quot;:[[1984]]},&quot;page&quot;:&quot;69S--72S&quot;,&quot;abstract&quot;:&quot;Data on the effect of an antihistamine (triprolidine 10 mg) on visuo-motor coordination and dynamic visual acuity were used to establish interactions between these skills. Analysis of covariance and principal component analysis were used. The analyses suggested two main effects--an effect on the activity of the neuromuscular system and one which impaired ability to anticipate target movement. Detection of impaired performance by any task may have wider implications to the effectiveness of the individual than that obviously suggested by the skill itself.&quot;,&quot;issue&quot;:&quot;Suppl 1&quot;,&quot;volume&quot;:&quot;18 Suppl 1&quot;},&quot;isTemporary&quot;:false}]},{&quot;citationID&quot;:&quot;MENDELEY_CITATION_61062b64-2eae-4b2b-b21e-596d1b3194b0&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&quot;,&quot;citationItems&quot;:[{&quot;id&quot;:&quot;a0faba14-8783-36b8-bdde-f0fcd0d4ed59&quot;,&quot;itemData&quot;:{&quot;type&quot;:&quot;article-journal&quot;,&quot;id&quot;:&quot;a0faba14-8783-36b8-bdde-f0fcd0d4ed59&quot;,&quot;title&quot;:&quot;A simple mechanical ataxia-meter&quot;,&quot;author&quot;:[{&quot;family&quot;:&quot;Wright&quot;,&quot;given&quot;:&quot;B M&quot;,&quot;parse-names&quot;:false,&quot;dropping-particle&quot;:&quot;&quot;,&quot;non-dropping-particle&quot;:&quot;&quot;}],&quot;container-title&quot;:&quot;J Physiol&quot;,&quot;ISSN&quot;:&quot;0022-3751 (Print) 0022-3751&quot;,&quot;issued&quot;:{&quot;date-parts&quot;:[[1971]]},&quot;page&quot;:&quot;27p--28p&quot;,&quot;edition&quot;:&quot;1971/10/01&quot;,&quot;volume&quot;:&quot;218 Suppl&quot;,&quot;container-title-short&quot;:&quot;&quot;},&quot;isTemporary&quot;:false}]},{&quot;citationID&quot;:&quot;MENDELEY_CITATION_3ae53596-919a-4463-8f19-d69083ed2a67&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&quot;,&quot;citationItems&quot;:[{&quot;id&quot;:&quot;788991d4-50f7-3492-828c-56af3297dc10&quot;,&quot;itemData&quot;:{&quot;type&quot;:&quot;article-journal&quot;,&quot;id&quot;:&quot;788991d4-50f7-3492-828c-56af3297dc10&quot;,&quot;title&quot;:&quot;Tolerability, pharmacokinetics, and pharmacodynamics of single-dose almorexant, an orexin receptor antagonist, in healthy elderly subjects&quot;,&quot;author&quot;:[{&quot;family&quot;:&quot;Hoever&quot;,&quot;given&quot;:&quot;P&quot;,&quot;parse-names&quot;:false,&quot;dropping-particle&quot;:&quot;&quot;,&quot;non-dropping-particle&quot;:&quot;&quot;},{&quot;family&quot;:&quot;Hay&quot;,&quot;given&quot;:&quot;J&quot;,&quot;parse-names&quot;:false,&quot;dropping-particle&quot;:&quot;&quot;,&quot;non-dropping-particle&quot;:&quot;&quot;},{&quot;family&quot;:&quot;Rad&quot;,&quot;given&quot;:&quot;M&quot;,&quot;parse-names&quot;:false,&quot;dropping-particle&quot;:&quot;&quot;,&quot;non-dropping-particle&quot;:&quot;&quot;},{&quot;family&quot;:&quot;Cavallaro&quot;,&quot;given&quot;:&quot;M&quot;,&quot;parse-names&quot;:false,&quot;dropping-particle&quot;:&quot;&quot;,&quot;non-dropping-particle&quot;:&quot;&quot;},{&quot;family&quot;:&quot;Gerven&quot;,&quot;given&quot;:&quot;J M&quot;,&quot;parse-names&quot;:false,&quot;dropping-particle&quot;:&quot;&quot;,&quot;non-dropping-particle&quot;:&quot;van&quot;},{&quot;family&quot;:&quot;Dingemanse&quot;,&quot;given&quot;:&quot;J&quot;,&quot;parse-names&quot;:false,&quot;dropping-particle&quot;:&quot;&quot;,&quot;non-dropping-particle&quot;:&quot;&quot;}],&quot;container-title&quot;:&quot;J Clin Psychopharmacol&quot;,&quot;DOI&quot;:&quot;10.1097/JCP.0b013e31828f5a7a&quot;,&quot;ISSN&quot;:&quot;0271-0749&quot;,&quot;URL&quot;:&quot;internal-pdf://73.23.138.51/Hoever2014.pdf&quot;,&quot;issued&quot;:{&quot;date-parts&quot;:[[2013]]},&quot;publisher-place&quot;:&quot;Department of Clinical Pharmacology, Actelion Pharmaceuticals Ltd, Allschwil, Switzerland.&quot;,&quot;page&quot;:&quot;363-370&quot;,&quot;abstract&quot;:&quot;Sleep disorders are common in the elderly population. Orexin receptor antagonism has been proposed as a new sleep-enabling approach to treat insomnia. The tolerability, pharmacokinetics, and pharmacodynamics of ascending single doses of almorexant, a dual orexin receptor antagonist, were investigated in healthy elderly male and female subjects. In this double-blind, placebo- and active-controlled study, each dose (100, 200, and 400 mg) was investigated in a separate group of 12 subjects (almorexant, placebo, and zolpidem 10 mg in an 8:2:2 ratio). Morning doses of almorexant were well tolerated. As expected for sleep-enabling compounds, somnolence and fatigue were frequently reported. Other adverse events included headache and nausea. Muscular weakness was reported at a higher incidence only with the highest almorexant dose. The pharmacokinetic profile of almorexant was characterized by a median time to the maximum concentration of 1.5 hours, quick disposition with a distribution half-life of 1.6 hours, and rapidly decreasing concentrations to approximately 20{%} of the maximum concentration over 8 hours, with a terminal half-life of 32 hours. Objective pharmacodynamic measures showed decreases in saccadic peak velocity and adaptive tracking performance and increases in body sway with the 400-mg dose of almorexant. Subjective assessments revealed a dose-dependent decrease in alertness. Almorexant had no effects on mood, calmness, subjective internal and external perception, and feeling high. These findings provide a solid basis to study the effects of almorexant in elderly patients with insomnia.&quot;,&quot;edition&quot;:&quot;2013/04/24&quot;,&quot;issue&quot;:&quot;3&quot;,&quot;volume&quot;:&quot;33&quot;,&quot;container-title-short&quot;:&quot;&quot;},&quot;isTemporary&quot;:false}]},{&quot;citationID&quot;:&quot;MENDELEY_CITATION_7183c6f0-eade-4837-8ebf-a20582699eee&quot;,&quot;properties&quot;:{&quot;noteIndex&quot;:0},&quot;isEdited&quot;:false,&quot;manualOverride&quot;:{&quot;isManuallyOverridden&quot;:false,&quot;citeprocText&quot;:&quot;&lt;sup&gt;9,10&lt;/sup&gt;&quot;,&quot;manualOverrideText&quot;:&quot;&quot;},&quot;citationTag&quot;:&quot;MENDELEY_CITATION_v3_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&quot;,&quot;citationItems&quot;:[{&quot;id&quot;:&quot;fb0a8d42-04f6-37c7-987a-b705b7b127d6&quot;,&quot;itemData&quot;:{&quot;type&quot;:&quot;article-journal&quot;,&quot;id&quot;:&quot;fb0a8d42-04f6-37c7-987a-b705b7b127d6&quot;,&quot;title&quot;:&quot;Psychedelic effects of ketamine in healthy volunteers: Relationship to steady-state plasma concentrations&quot;,&quot;author&quot;:[{&quot;family&quot;:&quot;Bowdle&quot;,&quot;given&quot;:&quot;T. Andrew&quot;,&quot;parse-names&quot;:false,&quot;dropping-particle&quot;:&quot;&quot;,&quot;non-dropping-particle&quot;:&quot;&quot;},{&quot;family&quot;:&quot;Radant&quot;,&quot;given&quot;:&quot;Allen D.&quot;,&quot;parse-names&quot;:false,&quot;dropping-particle&quot;:&quot;&quot;,&quot;non-dropping-particle&quot;:&quot;&quot;},{&quot;family&quot;:&quot;Cowley&quot;,&quot;given&quot;:&quot;Deborah S.&quot;,&quot;parse-names&quot;:false,&quot;dropping-particle&quot;:&quot;&quot;,&quot;non-dropping-particle&quot;:&quot;&quot;},{&quot;family&quot;:&quot;Kharasch&quot;,&quot;given&quot;:&quot;Evan D.&quot;,&quot;parse-names&quot;:false,&quot;dropping-particle&quot;:&quot;&quot;,&quot;non-dropping-particle&quot;:&quot;&quot;},{&quot;family&quot;:&quot;Strassman&quot;,&quot;given&quot;:&quot;Rick J.&quot;,&quot;parse-names&quot;:false,&quot;dropping-particle&quot;:&quot;&quot;,&quot;non-dropping-particle&quot;:&quot;&quot;},{&quot;family&quot;:&quot;Roy-Byrne&quot;,&quot;given&quot;:&quot;Peter P.&quot;,&quot;parse-names&quot;:false,&quot;dropping-particle&quot;:&quot;&quot;,&quot;non-dropping-particle&quot;:&quot;&quot;}],&quot;container-title&quot;:&quot;Anesthesiology&quot;,&quot;container-title-short&quot;:&quot;Anesthesiology&quot;,&quot;accessed&quot;:{&quot;date-parts&quot;:[[2020,2,10]]},&quot;DOI&quot;:&quot;10.1097/00000542-199801000-00015&quot;,&quot;ISSN&quot;:&quot;00033022&quot;,&quot;PMID&quot;:&quot;9447860&quot;,&quot;issued&quot;:{&quot;date-parts&quot;:[[1998]]},&quot;page&quot;:&quot;82-88&quot;,&quot;abstract&quot;:&quot;Background: Ketamine has been associated with a unique spectrum of subjective 'psychedelic' effects in patients emerging from anesthesia. This study quantified these effects of ketamine and related them to steady-state plasma concentrations. Methods: Ketamine or saline was administered in a single-blinded crossover protocol to 10 psychiatrically healthy volunteers using computer-assisted continuous infusion. A step-wise series of target plasma concentrations, 0, 50, 100, 150, and 200 ng/ml were maintained for 30 min each. After 20 min at each step, the volunteers completed a visual analog (VAS) rating of 13 symptom scales. Peripheral venous plasma ketamine concentrations were determined after 28 min at each step. One hour after discontinuation of the infusion, a psychological inventory, the hallucinogen rating scale, was completed. Results: The relation of mean ketamine plasma concentrations to the target concentrations was highly linear, with a correlation coefficient of R = 0.997 (P = 0.0027). Ketamine produced dose- related psychedelic effects. The relation between steady-state ketamine plasma concentration and VAS scores was highly linear for all VAS items, with linear regression coefficients ranging from R = 0.93 to 0.99 (P &lt; 0.024 to P &lt; 0.0005). Hallucinogen rating scale scores were similar to those found in a previous study with psychedelic doses of N,N-dimethyltryptamine, an illicit LSD-25-like drug. Conclusions: Subanesthetic doses of ketamine produce psychedelic effects in healthy volunteers. The relation between steady-state venous plasma ketamine concentrations and effects is highly linear between 50 and 200 ng/ml.&quot;,&quot;issue&quot;:&quot;1&quot;,&quot;volume&quot;:&quot;88&quot;},&quot;isTemporary&quot;:false},{&quot;id&quot;:&quot;fddd641f-11aa-32fb-850b-910f125a77d6&quot;,&quot;itemData&quot;:{&quot;type&quot;:&quot;thesis&quot;,&quot;id&quot;:&quot;fddd641f-11aa-32fb-850b-910f125a77d6&quot;,&quot;title&quot;:&quot;Methods of assessment of central nervous system effects of drugs in man&quot;,&quot;author&quot;:[{&quot;family&quot;:&quot;Steveninck&quot;,&quot;given&quot;:&quot;A. L.&quot;,&quot;parse-names&quot;:false,&quot;dropping-particle&quot;:&quot;&quot;,&quot;non-dropping-particle&quot;:&quot;van&quot;}],&quot;issued&quot;:{&quot;date-parts&quot;:[[1993]]},&quot;container-title-short&quot;:&quot;&quot;},&quot;isTemporary&quot;:false}]},{&quot;citationID&quot;:&quot;MENDELEY_CITATION_8516b6a4-3c3d-4307-98f1-8b70dd5d2c54&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&quot;,&quot;citationItems&quot;:[{&quot;id&quot;:&quot;0d5a2864-dfe3-3cb0-a068-cb27d561e1ba&quot;,&quot;itemData&quot;:{&quot;type&quot;:&quot;article-journal&quot;,&quot;id&quot;:&quot;0d5a2864-dfe3-3cb0-a068-cb27d561e1ba&quot;,&quot;title&quot;:&quot;Alterations in brain activation during cholinergic enhancement with rivastigmine in Alzheimer’s disease&quot;,&quot;author&quot;:[{&quot;family&quot;:&quot;Rombouts&quot;,&quot;given&quot;:&quot;S A R B&quot;,&quot;parse-names&quot;:false,&quot;dropping-particle&quot;:&quot;&quot;,&quot;non-dropping-particle&quot;:&quot;&quot;},{&quot;family&quot;:&quot;Barkhof&quot;,&quot;given&quot;:&quot;F&quot;,&quot;parse-names&quot;:false,&quot;dropping-particle&quot;:&quot;&quot;,&quot;non-dropping-particle&quot;:&quot;&quot;},{&quot;family&quot;:&quot;Meel&quot;,&quot;given&quot;:&quot;C S&quot;,&quot;parse-names&quot;:false,&quot;dropping-particle&quot;:&quot;&quot;,&quot;non-dropping-particle&quot;:&quot;van&quot;},{&quot;family&quot;:&quot;Scheltens&quot;,&quot;given&quot;:&quot;P&quot;,&quot;parse-names&quot;:false,&quot;dropping-particle&quot;:&quot;&quot;,&quot;non-dropping-particle&quot;:&quot;&quot;}],&quot;container-title&quot;:&quot;Journal of Neurology, Neurosurgery &amp;amp;amp; Psychiatry&quot;,&quot;DOI&quot;:&quot;10.1136/jnnp.73.6.665&quot;,&quot;URL&quot;:&quot;http://jnnp.bmj.com/content/73/6/665.abstract&quot;,&quot;issued&quot;:{&quot;date-parts&quot;:[[2002,12,1]]},&quot;page&quot;:&quot;665 LP  - 671&quot;,&quot;abstract&quot;:&quot;Background: Rivastigmine enhances cholinergic activity and has been shown in clinical trials to decrease the rate of deterioration in Alzheimer’s disease. It remains unclear where in the brain it exerts its effect. Functional magnetic resonance imaging (fMRI) can be used to measure changes in brain function and relate these to cognition. Objectives: To use fMRI to study brain activation with rivastigmine treatment. Methods: The effect on brain activation of a single dose of rivastigmine was tested in seven patients with mild Alzheimer’s disease using fMRI during face encoding, and in five patients during a parametric working memory task. Results: During face encoding, rivastigmine increased bilateral activation in the fusiform gyrus. Brain activation was also enhanced in the prefrontal cortex in a simple working memory task. When working memory load was further increased, not only was increased activation seen, but in certain areas there was also decreased activation. Conclusions: These findings link the previously observed increase in cognitive performance in Alzheimer’s disease after treatment with a cholinesterase inhibitor to altered brain activation. Although the results cannot be generalised to the Alzheimer’s disease population at large, they provide evidence that in mild Alzheimer’s disease, rivastigmine enhances brain activation in the fusiform and frontal cortices. This is compatible with the concept of cholinergic circuitry.&quot;,&quot;issue&quot;:&quot;6&quot;,&quot;volume&quot;:&quot;73&quot;,&quot;container-title-short&quot;:&quot;&quot;},&quot;isTemporary&quot;:false}]}]"/>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d4d47d8bbb34a039ee995c1a9cb7261 xmlns="f52c9553-5616-4551-ab64-4139ee91f7db">
      <Terms xmlns="http://schemas.microsoft.com/office/infopath/2007/PartnerControls"/>
    </nd4d47d8bbb34a039ee995c1a9cb7261>
    <TaxKeywordTaxHTField xmlns="f52c9553-5616-4551-ab64-4139ee91f7db">
      <Terms xmlns="http://schemas.microsoft.com/office/infopath/2007/PartnerControls"/>
    </TaxKeywordTaxHTField>
    <TaxCatchAll xmlns="f52c9553-5616-4551-ab64-4139ee91f7db" xsi:nil="true"/>
    <lcf76f155ced4ddcb4097134ff3c332f xmlns="e91ac877-6f01-4ae6-a236-486f69b9a8a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CHDR Study Document" ma:contentTypeID="0x0101001D7E7D7A159DC3408AF44E1493A17C2401010042A88D36170F804F828DD65E048EF231" ma:contentTypeVersion="15" ma:contentTypeDescription="This content type is used for the default document library in a study" ma:contentTypeScope="" ma:versionID="f46e6e03986313b854f1543c6a83ba17">
  <xsd:schema xmlns:xsd="http://www.w3.org/2001/XMLSchema" xmlns:xs="http://www.w3.org/2001/XMLSchema" xmlns:p="http://schemas.microsoft.com/office/2006/metadata/properties" xmlns:ns2="f52c9553-5616-4551-ab64-4139ee91f7db" xmlns:ns3="e7826849-26d3-4967-878e-8e4c8c777906" xmlns:ns4="e91ac877-6f01-4ae6-a236-486f69b9a8af" targetNamespace="http://schemas.microsoft.com/office/2006/metadata/properties" ma:root="true" ma:fieldsID="c5f15d366e142f434162a0d5c841c2df" ns2:_="" ns3:_="" ns4:_="">
    <xsd:import namespace="f52c9553-5616-4551-ab64-4139ee91f7db"/>
    <xsd:import namespace="e7826849-26d3-4967-878e-8e4c8c777906"/>
    <xsd:import namespace="e91ac877-6f01-4ae6-a236-486f69b9a8af"/>
    <xsd:element name="properties">
      <xsd:complexType>
        <xsd:sequence>
          <xsd:element name="documentManagement">
            <xsd:complexType>
              <xsd:all>
                <xsd:element ref="ns2:nd4d47d8bbb34a039ee995c1a9cb7261" minOccurs="0"/>
                <xsd:element ref="ns2:TaxCatchAll" minOccurs="0"/>
                <xsd:element ref="ns2:TaxCatchAllLabel" minOccurs="0"/>
                <xsd:element ref="ns2:TaxKeywordTaxHTField" minOccurs="0"/>
                <xsd:element ref="ns3:SharedWithUsers" minOccurs="0"/>
                <xsd:element ref="ns4:MediaServiceMetadata" minOccurs="0"/>
                <xsd:element ref="ns4:MediaServiceFastMetadata" minOccurs="0"/>
                <xsd:element ref="ns4:MediaServiceObjectDetectorVersions" minOccurs="0"/>
                <xsd:element ref="ns4:MediaServiceGenerationTime" minOccurs="0"/>
                <xsd:element ref="ns4:MediaServiceEventHashCode" minOccurs="0"/>
                <xsd:element ref="ns4:MediaServiceDateTaken" minOccurs="0"/>
                <xsd:element ref="ns4:MediaLengthInSeconds" minOccurs="0"/>
                <xsd:element ref="ns4:MediaServiceSearchPropertie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c9553-5616-4551-ab64-4139ee91f7db" elementFormDefault="qualified">
    <xsd:import namespace="http://schemas.microsoft.com/office/2006/documentManagement/types"/>
    <xsd:import namespace="http://schemas.microsoft.com/office/infopath/2007/PartnerControls"/>
    <xsd:element name="nd4d47d8bbb34a039ee995c1a9cb7261" ma:index="8" nillable="true" ma:taxonomy="true" ma:internalName="nd4d47d8bbb34a039ee995c1a9cb7261" ma:taxonomyFieldName="CHDR_Study_DocCat" ma:displayName="Study Document Category" ma:fieldId="{7d4d47d8-bbb3-4a03-9ee9-95c1a9cb7261}" ma:sspId="612d05e8-e97a-498e-b6ab-e40cecfaad36" ma:termSetId="2821fa4d-dc22-4a84-858e-690f0edb7d04"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cd9420b-c6e6-456a-b855-774d33e1f9d4}" ma:internalName="TaxCatchAll" ma:showField="CatchAllData" ma:web="f52c9553-5616-4551-ab64-4139ee91f7d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cd9420b-c6e6-456a-b855-774d33e1f9d4}" ma:internalName="TaxCatchAllLabel" ma:readOnly="true" ma:showField="CatchAllDataLabel" ma:web="f52c9553-5616-4551-ab64-4139ee91f7db">
      <xsd:complexType>
        <xsd:complexContent>
          <xsd:extension base="dms:MultiChoiceLookup">
            <xsd:sequence>
              <xsd:element name="Value" type="dms:Lookup" maxOccurs="unbounded" minOccurs="0" nillable="true"/>
            </xsd:sequence>
          </xsd:extension>
        </xsd:complexContent>
      </xsd:complexType>
    </xsd:element>
    <xsd:element name="TaxKeywordTaxHTField" ma:index="12" nillable="true" ma:taxonomy="true" ma:internalName="TaxKeywordTaxHTField" ma:taxonomyFieldName="TaxKeyword" ma:displayName="Enterprise Keywords" ma:fieldId="{23f27201-bee3-471e-b2e7-b64fd8b7ca38}" ma:taxonomyMulti="true" ma:sspId="612d05e8-e97a-498e-b6ab-e40cecfaad36"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826849-26d3-4967-878e-8e4c8c7779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1ac877-6f01-4ae6-a236-486f69b9a8af"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12d05e8-e97a-498e-b6ab-e40cecfaad36"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116F1D-A0E7-40E7-8240-1C5A85D47F2F}">
  <ds:schemaRefs>
    <ds:schemaRef ds:uri="http://schemas.microsoft.com/office/2006/metadata/properties"/>
    <ds:schemaRef ds:uri="http://schemas.microsoft.com/office/infopath/2007/PartnerControls"/>
    <ds:schemaRef ds:uri="f52c9553-5616-4551-ab64-4139ee91f7db"/>
    <ds:schemaRef ds:uri="e91ac877-6f01-4ae6-a236-486f69b9a8af"/>
  </ds:schemaRefs>
</ds:datastoreItem>
</file>

<file path=customXml/itemProps2.xml><?xml version="1.0" encoding="utf-8"?>
<ds:datastoreItem xmlns:ds="http://schemas.openxmlformats.org/officeDocument/2006/customXml" ds:itemID="{FD652AD2-1B50-474D-8EDF-3F37322CF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c9553-5616-4551-ab64-4139ee91f7db"/>
    <ds:schemaRef ds:uri="e7826849-26d3-4967-878e-8e4c8c777906"/>
    <ds:schemaRef ds:uri="e91ac877-6f01-4ae6-a236-486f69b9a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FD9790-2D33-4A7F-B54E-75F48A9E8245}">
  <ds:schemaRefs>
    <ds:schemaRef ds:uri="http://schemas.openxmlformats.org/officeDocument/2006/bibliography"/>
  </ds:schemaRefs>
</ds:datastoreItem>
</file>

<file path=customXml/itemProps4.xml><?xml version="1.0" encoding="utf-8"?>
<ds:datastoreItem xmlns:ds="http://schemas.openxmlformats.org/officeDocument/2006/customXml" ds:itemID="{575BD51E-41B1-4CBC-B46A-A5AD9CB100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2353</Words>
  <Characters>12995</Characters>
  <Application>Microsoft Office Word</Application>
  <DocSecurity>0</DocSecurity>
  <Lines>254</Lines>
  <Paragraphs>121</Paragraphs>
  <ScaleCrop>false</ScaleCrop>
  <Company/>
  <LinksUpToDate>false</LinksUpToDate>
  <CharactersWithSpaces>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Andriy Gorbenko</dc:creator>
  <cp:keywords/>
  <dc:description/>
  <cp:lastModifiedBy>Andriy Gorbenko</cp:lastModifiedBy>
  <cp:revision>72</cp:revision>
  <dcterms:created xsi:type="dcterms:W3CDTF">2025-03-14T14:10:00Z</dcterms:created>
  <dcterms:modified xsi:type="dcterms:W3CDTF">2025-07-24T10:10:00Z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0x0101001D7E7D7A159DC3408AF44E1493A17C2401010042A88D36170F804F828DD65E048EF231</vt:lpwstr>
  </property>
  <property fmtid="{D5CDD505-2E9C-101B-9397-08002B2CF9AE}" pid="3" name="TaxKeyword">
    <vt:lpwstr/>
  </property>
  <property fmtid="{D5CDD505-2E9C-101B-9397-08002B2CF9AE}" pid="4" name="MediaServiceImageTags">
    <vt:lpwstr/>
  </property>
  <property fmtid="{D5CDD505-2E9C-101B-9397-08002B2CF9AE}" pid="5" name="CHDR_Study_DocCat">
    <vt:lpwstr/>
  </property>
</Properties>
</file>