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7EEE6" w14:textId="5974432C" w:rsidR="00654E8F" w:rsidRPr="00523AE9" w:rsidRDefault="00654E8F" w:rsidP="00523AE9">
      <w:pPr>
        <w:pStyle w:val="SupplementaryMaterial"/>
      </w:pPr>
      <w:r w:rsidRPr="00523AE9">
        <w:t>Supplementary Material</w:t>
      </w:r>
    </w:p>
    <w:p w14:paraId="0777D42E" w14:textId="77777777" w:rsidR="00523AE9" w:rsidRDefault="00523AE9" w:rsidP="00523AE9">
      <w:pPr>
        <w:spacing w:before="0" w:after="160" w:line="259" w:lineRule="auto"/>
        <w:jc w:val="both"/>
        <w:rPr>
          <w:rFonts w:eastAsia="Calibri" w:cs="Times New Roman"/>
          <w:b/>
          <w:bCs/>
          <w:szCs w:val="24"/>
          <w:lang w:val="it-IT"/>
        </w:rPr>
      </w:pPr>
      <w:bookmarkStart w:id="0" w:name="_Hlk34153556"/>
    </w:p>
    <w:p w14:paraId="7F1DF19C" w14:textId="5996C105" w:rsidR="00DB55B4" w:rsidRPr="00DB55B4" w:rsidRDefault="00DB55B4" w:rsidP="00523AE9">
      <w:pPr>
        <w:spacing w:before="0" w:after="160" w:line="259" w:lineRule="auto"/>
        <w:jc w:val="both"/>
        <w:rPr>
          <w:rFonts w:eastAsia="Calibri" w:cs="Times New Roman"/>
          <w:b/>
          <w:bCs/>
          <w:szCs w:val="24"/>
          <w:lang w:val="it-IT"/>
        </w:rPr>
      </w:pPr>
      <w:r w:rsidRPr="00DB55B4">
        <w:rPr>
          <w:rFonts w:eastAsia="Calibri" w:cs="Times New Roman"/>
          <w:b/>
          <w:bCs/>
          <w:szCs w:val="24"/>
          <w:lang w:val="it-IT"/>
        </w:rPr>
        <w:t xml:space="preserve">Supplementary Table 1: Comparison of baseline characteristics in previously published Cannabidiol open-label and randomized controlled trials. </w:t>
      </w:r>
    </w:p>
    <w:tbl>
      <w:tblPr>
        <w:tblStyle w:val="Grilledutableau1"/>
        <w:tblW w:w="14170" w:type="dxa"/>
        <w:jc w:val="center"/>
        <w:tblLayout w:type="fixed"/>
        <w:tblLook w:val="04A0" w:firstRow="1" w:lastRow="0" w:firstColumn="1" w:lastColumn="0" w:noHBand="0" w:noVBand="1"/>
      </w:tblPr>
      <w:tblGrid>
        <w:gridCol w:w="1388"/>
        <w:gridCol w:w="992"/>
        <w:gridCol w:w="992"/>
        <w:gridCol w:w="992"/>
        <w:gridCol w:w="876"/>
        <w:gridCol w:w="1108"/>
        <w:gridCol w:w="992"/>
        <w:gridCol w:w="992"/>
        <w:gridCol w:w="992"/>
        <w:gridCol w:w="877"/>
        <w:gridCol w:w="1107"/>
        <w:gridCol w:w="992"/>
        <w:gridCol w:w="992"/>
        <w:gridCol w:w="878"/>
      </w:tblGrid>
      <w:tr w:rsidR="00DB55B4" w:rsidRPr="00DB55B4" w14:paraId="7BEFA099" w14:textId="77777777" w:rsidTr="00591A66">
        <w:trPr>
          <w:trHeight w:val="300"/>
          <w:jc w:val="center"/>
        </w:trPr>
        <w:tc>
          <w:tcPr>
            <w:tcW w:w="1388" w:type="dxa"/>
            <w:tcBorders>
              <w:right w:val="single" w:sz="12" w:space="0" w:color="000000"/>
            </w:tcBorders>
            <w:shd w:val="clear" w:color="auto" w:fill="E7E6E6"/>
            <w:noWrap/>
            <w:vAlign w:val="center"/>
            <w:hideMark/>
          </w:tcPr>
          <w:p w14:paraId="3ACADB25" w14:textId="77777777" w:rsidR="00DB55B4" w:rsidRPr="00DB55B4" w:rsidRDefault="00DB55B4" w:rsidP="00591A66">
            <w:pPr>
              <w:spacing w:before="0" w:after="0"/>
              <w:jc w:val="center"/>
              <w:rPr>
                <w:rFonts w:eastAsia="Calibri" w:cs="Times New Roman"/>
                <w:sz w:val="12"/>
                <w:szCs w:val="12"/>
              </w:rPr>
            </w:pPr>
            <w:bookmarkStart w:id="1" w:name="_GoBack" w:colFirst="0" w:colLast="13"/>
          </w:p>
        </w:tc>
        <w:tc>
          <w:tcPr>
            <w:tcW w:w="3852" w:type="dxa"/>
            <w:gridSpan w:val="4"/>
            <w:tcBorders>
              <w:top w:val="single" w:sz="12" w:space="0" w:color="000000"/>
              <w:left w:val="single" w:sz="12" w:space="0" w:color="000000"/>
              <w:bottom w:val="single" w:sz="12" w:space="0" w:color="000000"/>
              <w:right w:val="single" w:sz="12" w:space="0" w:color="000000"/>
            </w:tcBorders>
            <w:shd w:val="clear" w:color="auto" w:fill="E7E6E6"/>
            <w:vAlign w:val="center"/>
          </w:tcPr>
          <w:p w14:paraId="1345DC75"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Drug-resistant epilepsy</w:t>
            </w:r>
          </w:p>
        </w:tc>
        <w:tc>
          <w:tcPr>
            <w:tcW w:w="4961" w:type="dxa"/>
            <w:gridSpan w:val="5"/>
            <w:tcBorders>
              <w:top w:val="single" w:sz="12" w:space="0" w:color="000000"/>
              <w:left w:val="single" w:sz="12" w:space="0" w:color="000000"/>
              <w:bottom w:val="single" w:sz="12" w:space="0" w:color="000000"/>
              <w:right w:val="single" w:sz="12" w:space="0" w:color="000000"/>
            </w:tcBorders>
            <w:shd w:val="clear" w:color="auto" w:fill="E7E6E6"/>
            <w:vAlign w:val="center"/>
          </w:tcPr>
          <w:p w14:paraId="7A2728F3"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Dravet syndrome</w:t>
            </w:r>
          </w:p>
        </w:tc>
        <w:tc>
          <w:tcPr>
            <w:tcW w:w="3969" w:type="dxa"/>
            <w:gridSpan w:val="4"/>
            <w:tcBorders>
              <w:top w:val="single" w:sz="12" w:space="0" w:color="000000"/>
              <w:left w:val="single" w:sz="12" w:space="0" w:color="000000"/>
              <w:bottom w:val="single" w:sz="12" w:space="0" w:color="000000"/>
              <w:right w:val="single" w:sz="12" w:space="0" w:color="000000"/>
            </w:tcBorders>
            <w:shd w:val="clear" w:color="auto" w:fill="E7E6E6"/>
            <w:vAlign w:val="center"/>
          </w:tcPr>
          <w:p w14:paraId="4B5AF82D"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Lennox-Gastaut syndrome</w:t>
            </w:r>
          </w:p>
        </w:tc>
      </w:tr>
      <w:tr w:rsidR="00DB55B4" w:rsidRPr="00DB55B4" w14:paraId="47BD5742" w14:textId="77777777" w:rsidTr="00591A66">
        <w:trPr>
          <w:trHeight w:val="300"/>
          <w:jc w:val="center"/>
        </w:trPr>
        <w:tc>
          <w:tcPr>
            <w:tcW w:w="1388" w:type="dxa"/>
            <w:tcBorders>
              <w:right w:val="single" w:sz="12" w:space="0" w:color="000000"/>
            </w:tcBorders>
            <w:shd w:val="clear" w:color="auto" w:fill="E7E6E6"/>
            <w:noWrap/>
            <w:vAlign w:val="center"/>
          </w:tcPr>
          <w:p w14:paraId="32F10E03" w14:textId="77777777" w:rsidR="00DB55B4" w:rsidRPr="00DB55B4" w:rsidRDefault="00DB55B4" w:rsidP="00591A66">
            <w:pPr>
              <w:spacing w:before="0" w:after="0"/>
              <w:jc w:val="center"/>
              <w:rPr>
                <w:rFonts w:eastAsia="Calibri" w:cs="Times New Roman"/>
                <w:sz w:val="12"/>
                <w:szCs w:val="12"/>
              </w:rPr>
            </w:pPr>
          </w:p>
        </w:tc>
        <w:tc>
          <w:tcPr>
            <w:tcW w:w="992" w:type="dxa"/>
            <w:tcBorders>
              <w:top w:val="single" w:sz="12" w:space="0" w:color="000000"/>
              <w:left w:val="single" w:sz="12" w:space="0" w:color="000000"/>
            </w:tcBorders>
            <w:shd w:val="clear" w:color="auto" w:fill="E7E6E6"/>
            <w:noWrap/>
            <w:tcMar>
              <w:left w:w="0" w:type="dxa"/>
              <w:right w:w="0" w:type="dxa"/>
            </w:tcMar>
            <w:vAlign w:val="center"/>
          </w:tcPr>
          <w:p w14:paraId="64B34974"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007BD705" w14:textId="19763404" w:rsidR="006F499D"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2016</w:t>
            </w:r>
          </w:p>
          <w:p w14:paraId="56C44CEA" w14:textId="60A364DB"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sidR="006F499D">
              <w:rPr>
                <w:rFonts w:eastAsia="Arial" w:cs="Times New Roman"/>
                <w:b/>
                <w:bCs/>
                <w:i/>
                <w:iCs/>
                <w:color w:val="000000"/>
                <w:sz w:val="12"/>
                <w:szCs w:val="12"/>
              </w:rPr>
              <w:instrText>ADDIN CSL_CITATION {"citationItems":[{"id":"ITEM-1","itemData":{"DOI":"10.1016/S1474-4422(15)00379-8","ISSN":"14744465","PMID":"26724101","abstract":"Background Almost a third of patients with epilepsy have a treatment-resistant form, which is associated with severe morbidity and increased mortality. Cannabis-based treatments for epilepsy have generated much interest, but scientific data are scarce. We aimed to establish whether addition of cannabidiol to existing anti-epileptic regimens would be safe, tolerated, and efficacious in children and young adults with treatment-resistant epilepsy. Methods In this open-label trial, patients (aged 1–30 years) with severe, intractable, childhood-onset, treatment-resistant epilepsy, who were receiving stable doses of antiepileptic drugs before study entry, were enrolled in an expanded-access programme at 11 epilepsy centres across the USA. Patients were given oral cannabidiol at 2–5 mg/kg per day, up-titrated until intolerance or to a maximum dose of 25 mg/kg or 50 mg/kg per day (dependent on study site). The primary objective was to establish the safety and tolerability of cannabidiol and the primary efficacy endpoint was median percentage change in the mean monthly frequency of motor seizures at 12 weeks. The efficacy analysis was by modified intention to treat. Comparisons of the percentage change in frequency of motor seizures were done with a Mann-Whitney U test. Results Between Jan 15, 2014, and Jan 15, 2015, 214 patients were enrolled; 162 (76%) patients who had at least 12 weeks of follow-up after the first dose of cannabidiol were included in the safety and tolerability analysis, and 137 (64%) patients were included in the efficacy analysis. In the safety group, 33 (20%) patients had Dravet syndrome and 31 (19%) patients had Lennox-Gastaut syndrome. The remaining patients had intractable epilepsies of different causes and type. Adverse events were reported in 128 (79%) of the 162 patients within the safety group. Adverse events reported in more than 10% of patients were somnolence (n=41 [25%]), decreased appetite (n=31 [19%]), diarrhoea (n=31 [19%]), fatigue (n=21 [13%]), and convulsion (n=18 [11%]). Five (3%) patients discontinued treatment because of an adverse event. Serious adverse events were reported in 48 (30%) patients, including one death—a sudden unexpected death in epilepsy regarded as unrelated to study drug. 20 (12%) patients had severe adverse events possibly related to cannabidiol use, the most common of which was status epilepticus (n=9 [6%]). The median monthly frequency of motor seizures was 30·0 (IQR 11·0–96·0) at baseline and 15·8 …","author":[{"dropping-particle":"","family":"Devinsky","given":"Orrin","non-dropping-particle":"","parse-names":false,"suffix":""},{"dropping-particle":"","family":"Marsh","given":"Eric","non-dropping-particle":"","parse-names":false,"suffix":""},{"dropping-particle":"","family":"Friedman","given":"Daniel","non-dropping-particle":"","parse-names":false,"suffix":""},{"dropping-particle":"","family":"Thiele","given":"Elizabeth","non-dropping-particle":"","parse-names":false,"suffix":""},{"dropping-particle":"","family":"Laux","given":"Linda","non-dropping-particle":"","parse-names":false,"suffix":""},{"dropping-particle":"","family":"Sullivan","given":"Joseph","non-dropping-particle":"","parse-names":false,"suffix":""},{"dropping-particle":"","family":"Miller","given":"Ian","non-dropping-particle":"","parse-names":false,"suffix":""},{"dropping-particle":"","family":"Flamini","given":"Robert","non-dropping-particle":"","parse-names":false,"suffix":""},{"dropping-particle":"","family":"Wilfong","given":"Angus","non-dropping-particle":"","parse-names":false,"suffix":""},{"dropping-particle":"","family":"Filloux","given":"Francis","non-dropping-particle":"","parse-names":false,"suffix":""},{"dropping-particle":"","family":"Wong","given":"Matthew","non-dropping-particle":"","parse-names":false,"suffix":""},{"dropping-particle":"","family":"Tilton","given":"Nicole","non-dropping-particle":"","parse-names":false,"suffix":""},{"dropping-particle":"","family":"Bruno","given":"Patricia","non-dropping-particle":"","parse-names":false,"suffix":""},{"dropping-particle":"","family":"Bluvstein","given":"Judith","non-dropping-particle":"","parse-names":false,"suffix":""},{"dropping-particle":"","family":"Hedlund","given":"Julie","non-dropping-particle":"","parse-names":false,"suffix":""},{"dropping-particle":"","family":"Kamens","given":"Rebecca","non-dropping-particle":"","parse-names":false,"suffix":""},{"dropping-particle":"","family":"Maclean","given":"Jane","non-dropping-particle":"","parse-names":false,"suffix":""},{"dropping-particle":"","family":"Nangia","given":"Srishti","non-dropping-particle":"","parse-names":false,"suffix":""},{"dropping-particle":"","family":"Singhal","given":"Nilika Shah","non-dropping-particle":"","parse-names":false,"suffix":""},{"dropping-particle":"","family":"Wilson","given":"Carey A.","non-dropping-particle":"","parse-names":false,"suffix":""},{"dropping-particle":"","family":"Patel","given":"Anup","non-dropping-particle":"","parse-names":false,"suffix":""},{"dropping-particle":"","family":"Cilio","given":"Maria Roberta","non-dropping-particle":"","parse-names":false,"suffix":""}],"container-title":"The Lancet Neurology","id":"ITEM-1","issue":"3","issued":{"date-parts":[["2016"]]},"page":"270-278","publisher":"Elsevier Ltd","title":"Cannabidiol in patients with treatment-resistant epilepsy: an open-label interventional trial","type":"article-journal","volume":"15"},"uris":["http://www.mendeley.com/documents/?uuid=5d3b820f-11b5-4699-a55a-cf435d11ad54"]}],"mendeley":{"formattedCitation":"(1)","plainTextFormattedCitation":"(1)","previouslyFormattedCitation":"(1)"},"properties":{"noteIndex":0},"schema":"https://github.com/citation-style-language/schema/raw/master/csl-citation.json"}</w:instrText>
            </w:r>
            <w:r w:rsidRPr="00DB55B4">
              <w:rPr>
                <w:rFonts w:eastAsia="Arial" w:cs="Times New Roman"/>
                <w:b/>
                <w:bCs/>
                <w:i/>
                <w:iCs/>
                <w:color w:val="000000"/>
                <w:sz w:val="12"/>
                <w:szCs w:val="12"/>
              </w:rPr>
              <w:fldChar w:fldCharType="separate"/>
            </w:r>
            <w:r w:rsidR="006F499D" w:rsidRPr="006F499D">
              <w:rPr>
                <w:rFonts w:eastAsia="Arial" w:cs="Times New Roman"/>
                <w:bCs/>
                <w:iCs/>
                <w:noProof/>
                <w:color w:val="000000"/>
                <w:sz w:val="12"/>
                <w:szCs w:val="12"/>
              </w:rPr>
              <w:t>(1)</w:t>
            </w:r>
            <w:r w:rsidRPr="00DB55B4">
              <w:rPr>
                <w:rFonts w:eastAsia="Arial" w:cs="Times New Roman"/>
                <w:b/>
                <w:bCs/>
                <w:i/>
                <w:iCs/>
                <w:color w:val="000000"/>
                <w:sz w:val="12"/>
                <w:szCs w:val="12"/>
              </w:rPr>
              <w:fldChar w:fldCharType="end"/>
            </w:r>
          </w:p>
        </w:tc>
        <w:tc>
          <w:tcPr>
            <w:tcW w:w="992" w:type="dxa"/>
            <w:tcBorders>
              <w:top w:val="single" w:sz="12" w:space="0" w:color="000000"/>
            </w:tcBorders>
            <w:shd w:val="clear" w:color="auto" w:fill="E7E6E6"/>
            <w:tcMar>
              <w:left w:w="0" w:type="dxa"/>
              <w:right w:w="0" w:type="dxa"/>
            </w:tcMar>
            <w:vAlign w:val="center"/>
          </w:tcPr>
          <w:p w14:paraId="43C7954F"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Szaflarski</w:t>
            </w:r>
          </w:p>
          <w:p w14:paraId="6DF08C83" w14:textId="66B64F1F" w:rsidR="006F499D"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2018</w:t>
            </w:r>
          </w:p>
          <w:p w14:paraId="5AB7CB8B" w14:textId="7C36F3F6"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sidR="006F499D">
              <w:rPr>
                <w:rFonts w:eastAsia="Arial" w:cs="Times New Roman"/>
                <w:b/>
                <w:bCs/>
                <w:i/>
                <w:iCs/>
                <w:color w:val="000000"/>
                <w:sz w:val="12"/>
                <w:szCs w:val="12"/>
              </w:rPr>
              <w:instrText>ADDIN CSL_CITATION {"citationItems":[{"id":"ITEM-1","itemData":{"DOI":"10.1111/epi.14477","ISSN":"15281167","PMID":"29998598","abstract":"Objective: Since 2014, cannabidiol (CBD) has been administered to patients with treatment-resistant epilepsies (TREs) in an ongoing expanded-access program (EAP). We report interim results on the safety and efficacy of CBD in EAP patients treated through December 2016. Methods: Twenty-five US-based EAP sites enrolling patients with TRE taking stable doses of antiepileptic drugs (AEDs) at baseline were included. During the 4-week baseline period, parents/caregivers kept diaries of all countable seizure types. Patients received oral CBD starting at 2-10 mg/kg/d, titrated to a maximum dose of 25-50 mg/kg/d. Patient visits were every 2-4 weeks through 16 weeks and every 2-12 weeks thereafter. Efficacy endpoints included the percentage change from baseline in median monthly convulsive and total seizure frequency, and percentage of patients with ≥50%, ≥75%, and 100% reductions in seizures vs baseline. Data were analyzed descriptively for the efficacy analysis set and using the last-observation-carried-forward method to account for missing data. Adverse events (AEs) were documented at each visit. Results: Of 607 patients in the safety dataset, 146 (24%) withdrew; the most common reasons were lack of efficacy (89 [15%]) and AEs (32 [5%]). Mean age was 13 years (range, 0.4-62). Median number of concomitant AEDs was 3 (range, 0-10). Median CBD dose was 25 mg/kg/d; median treatment duration was 48 weeks. Add-on CBD reduced median monthly convulsive seizures by 51% and total seizures by 48% at 12 weeks; reductions were similar through 96 weeks. Proportion of patients with ≥50%, ≥75%, and 100% reductions in convulsive seizures were 52%, 31%, and 11%, respectively, at 12 weeks, with similar rates through 96 weeks. CBD was generally well tolerated; most common AEs were diarrhea (29%) and somnolence (22%). Significance: Results from this ongoing EAP support previous observational and clinical trial data showing that add-on CBD may be an efficacious long-term treatment option for TRE.","author":[{"dropping-particle":"","family":"Szaflarski","given":"Jerzy P.","non-dropping-particle":"","parse-names":false,"suffix":""},{"dropping-particle":"","family":"Bebin","given":"Elizabeth Martina","non-dropping-particle":"","parse-names":false,"suffix":""},{"dropping-particle":"","family":"Comi","given":"Anne M.","non-dropping-particle":"","parse-names":false,"suffix":""},{"dropping-particle":"","family":"Patel","given":"Anup D.","non-dropping-particle":"","parse-names":false,"suffix":""},{"dropping-particle":"","family":"Joshi","given":"Charuta","non-dropping-particle":"","parse-names":false,"suffix":""},{"dropping-particle":"","family":"Checketts","given":"Daniel","non-dropping-particle":"","parse-names":false,"suffix":""},{"dropping-particle":"","family":"Beal","given":"Jules C.","non-dropping-particle":"","parse-names":false,"suffix":""},{"dropping-particle":"","family":"Laux","given":"Linda C.","non-dropping-particle":"","parse-names":false,"suffix":""},{"dropping-particle":"","family":"Boer","given":"Lisa M.","non-dropping-particle":"De","parse-names":false,"suffix":""},{"dropping-particle":"","family":"Wong","given":"Matthew H.","non-dropping-particle":"","parse-names":false,"suffix":""},{"dropping-particle":"","family":"Lopez","given":"Merrick","non-dropping-particle":"","parse-names":false,"suffix":""},{"dropping-particle":"","family":"Devinsky","given":"Orrin","non-dropping-particle":"","parse-names":false,"suffix":""},{"dropping-particle":"","family":"Lyons","given":"Paul D.","non-dropping-particle":"","parse-names":false,"suffix":""},{"dropping-particle":"","family":"Zentil","given":"Pilar Pichon","non-dropping-particle":"","parse-names":false,"suffix":""},{"dropping-particle":"","family":"Wechsler","given":"Robert","non-dropping-particle":"","parse-names":false,"suffix":""},{"dropping-particle":"","family":"Chez","given":"Michael","non-dropping-particle":"","parse-names":false,"suffix":""},{"dropping-particle":"","family":"Flamini","given":"Robert","non-dropping-particle":"","parse-names":false,"suffix":""},{"dropping-particle":"","family":"Marsh","given":"Eric D.","non-dropping-particle":"","parse-names":false,"suffix":""},{"dropping-particle":"","family":"Miller","given":"Ian","non-dropping-particle":"","parse-names":false,"suffix":""},{"dropping-particle":"","family":"Park","given":"Yong","non-dropping-particle":"","parse-names":false,"suffix":""},{"dropping-particle":"","family":"Segal","given":"Eric","non-dropping-particle":"","parse-names":false,"suffix":""},{"dropping-particle":"","family":"Seltzer","given":"Laurie","non-dropping-particle":"","parse-names":false,"suffix":""},{"dropping-particle":"","family":"Thiele","given":"Elizabeth A.","non-dropping-particle":"","parse-names":false,"suffix":""},{"dropping-particle":"","family":"Weinstock","given":"Arie","non-dropping-particle":"","parse-names":false,"suffix":""}],"container-title":"Epilepsia","id":"ITEM-1","issue":"8","issued":{"date-parts":[["2018","8","1"]]},"page":"1540-1548","publisher":"Blackwell Publishing Inc.","title":"Long-term safety and treatment effects of cannabidiol in children and adults with treatment-resistant epilepsies: Expanded access program results","type":"article-journal","volume":"59"},"uris":["http://www.mendeley.com/documents/?uuid=cd87fa05-76b5-432e-a11d-aabb8ad12aad"]}],"mendeley":{"formattedCitation":"(2)","plainTextFormattedCitation":"(2)","previouslyFormattedCitation":"(2)"},"properties":{"noteIndex":0},"schema":"https://github.com/citation-style-language/schema/raw/master/csl-citation.json"}</w:instrText>
            </w:r>
            <w:r w:rsidRPr="00DB55B4">
              <w:rPr>
                <w:rFonts w:eastAsia="Arial" w:cs="Times New Roman"/>
                <w:b/>
                <w:bCs/>
                <w:i/>
                <w:iCs/>
                <w:color w:val="000000"/>
                <w:sz w:val="12"/>
                <w:szCs w:val="12"/>
              </w:rPr>
              <w:fldChar w:fldCharType="separate"/>
            </w:r>
            <w:r w:rsidR="006F499D" w:rsidRPr="006F499D">
              <w:rPr>
                <w:rFonts w:eastAsia="Arial" w:cs="Times New Roman"/>
                <w:bCs/>
                <w:iCs/>
                <w:noProof/>
                <w:color w:val="000000"/>
                <w:sz w:val="12"/>
                <w:szCs w:val="12"/>
              </w:rPr>
              <w:t>(2)</w:t>
            </w:r>
            <w:r w:rsidRPr="00DB55B4">
              <w:rPr>
                <w:rFonts w:eastAsia="Arial" w:cs="Times New Roman"/>
                <w:b/>
                <w:bCs/>
                <w:i/>
                <w:iCs/>
                <w:color w:val="000000"/>
                <w:sz w:val="12"/>
                <w:szCs w:val="12"/>
              </w:rPr>
              <w:fldChar w:fldCharType="end"/>
            </w:r>
          </w:p>
        </w:tc>
        <w:tc>
          <w:tcPr>
            <w:tcW w:w="992" w:type="dxa"/>
            <w:tcBorders>
              <w:top w:val="single" w:sz="12" w:space="0" w:color="000000"/>
            </w:tcBorders>
            <w:shd w:val="clear" w:color="auto" w:fill="E7E6E6"/>
            <w:tcMar>
              <w:left w:w="0" w:type="dxa"/>
              <w:right w:w="0" w:type="dxa"/>
            </w:tcMar>
            <w:vAlign w:val="center"/>
          </w:tcPr>
          <w:p w14:paraId="58087726"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Laux</w:t>
            </w:r>
          </w:p>
          <w:p w14:paraId="007E049B" w14:textId="7B065803" w:rsidR="006F499D"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2019</w:t>
            </w:r>
          </w:p>
          <w:p w14:paraId="57CFDCF9" w14:textId="436DE03A"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sidR="006F499D">
              <w:rPr>
                <w:rFonts w:eastAsia="Arial" w:cs="Times New Roman"/>
                <w:b/>
                <w:bCs/>
                <w:i/>
                <w:iCs/>
                <w:color w:val="000000"/>
                <w:sz w:val="12"/>
                <w:szCs w:val="12"/>
              </w:rPr>
              <w:instrText>ADDIN CSL_CITATION {"citationItems":[{"id":"ITEM-1","itemData":{"DOI":"10.1016/j.eplepsyres.2019.03.015","ISSN":"18726844","abstract":"Background: Since 2014, patients with severe treatment-resistant epilepsies (TREs) have been receiving add-on cannabidiol (CBD) in an ongoing, expanded access program (EAP), which closely reflects clinical practice. We conducted an interim analysis of long-term efficacy and tolerability in patients with Lennox-Gastaut syndrome (LGS) or Dravet syndrome (DS) who received CBD treatment through December 2016. Methods: Children and adults with LGS/DS taking stable doses of antiepileptic drugs (AEDs) at baseline were included from 25 EAP sites across the United States. During the 4-week baseline period, parents/caregivers kept diaries of all countable seizure types. Patients received a pharmaceutical formulation of highly purified CBD (Epidiolex®; 100 mg/mL) in oral solution at 2–10 mg/kg/day, titrated until tolerability limit or a maximum dose of 25–50 mg/kg/day. Patient visits were every 2–4 weeks. The percentage change from baseline in median monthly convulsive (ie, major motor) and total seizures was evaluated at 12-week intervals through 96 weeks. The percentages of patients who had ≥50%, ≥75%, and 100% reduction in monthly seizures relative to the baseline period were also evaluated. Adverse events (AEs) were monitored and summarized for the safety analysis set (SAS) through 144 weeks. Results: Of the 607 patients in the SAS, 58 had DS and 94 had LGS (N = 152); 455 patients had other TREs. Twenty-eight percent of LGS/DS patients withdrew, primarily owing to lack of efficacy (20%). LGS/DS patients were taking a median of 3 (0–10) concomitant AEDs. Median treatment duration was 78.3 (range, 4.1–146.4) weeks. Between weeks 12 and 96, median CBD dose ranged from 21 to 25 mg/kg/day. At 12 weeks, add-on CBD reduced median monthly major motor seizures by 50% and total seizures by 44%, with consistent reductions in both seizure types through 96 weeks. At 12 weeks, the proportions of patients with ≥50%, ≥75%, and 100% reductions in major motor seizures were 53%, 23%, and 6%; the proportions with corresponding reductions in total seizures were 46%, 26%, and 5%. Responder rates for both seizure types were consistent through 96 weeks. CBD had an acceptable safety profile; the most common AEs were somnolence (30%) and diarrhea (24%). Conclusions: Results from this interim analysis support add-on CBD as an effective long-term treatment option in LGS or DS.","author":[{"dropping-particle":"","family":"Laux","given":"Linda C.","non-dropping-particle":"","parse-names":false,"suffix":""},{"dropping-particle":"","family":"Bebin","given":"E. Martina","non-dropping-particle":"","parse-names":false,"suffix":""},{"dropping-particle":"","family":"Checketts","given":"Daniel","non-dropping-particle":"","parse-names":false,"suffix":""},{"dropping-particle":"","family":"Chez","given":"Michael","non-dropping-particle":"","parse-names":false,"suffix":""},{"dropping-particle":"","family":"Flamini","given":"Robert","non-dropping-particle":"","parse-names":false,"suffix":""},{"dropping-particle":"","family":"Marsh","given":"Eric D.","non-dropping-particle":"","parse-names":false,"suffix":""},{"dropping-particle":"","family":"Miller","given":"Ian","non-dropping-particle":"","parse-names":false,"suffix":""},{"dropping-particle":"","family":"Nichol","given":"Kathryn","non-dropping-particle":"","parse-names":false,"suffix":""},{"dropping-particle":"","family":"Park","given":"Yong","non-dropping-particle":"","parse-names":false,"suffix":""},{"dropping-particle":"","family":"Segal","given":"Eric","non-dropping-particle":"","parse-names":false,"suffix":""},{"dropping-particle":"","family":"Seltzer","given":"Laurie","non-dropping-particle":"","parse-names":false,"suffix":""},{"dropping-particle":"","family":"Szaflarski","given":"Jerzy P.","non-dropping-particle":"","parse-names":false,"suffix":""},{"dropping-particle":"","family":"Thiele","given":"Elizabeth A.","non-dropping-particle":"","parse-names":false,"suffix":""},{"dropping-particle":"","family":"Weinstock","given":"Arie","non-dropping-particle":"","parse-names":false,"suffix":""}],"container-title":"Epilepsy Research","id":"ITEM-1","issue":"January","issued":{"date-parts":[["2019"]]},"page":"13-20","publisher":"Elsevier","title":"Long-term safety and efficacy of cannabidiol in children and adults with treatmentresistant Lennox-Gastaut syndrome or Dravet syndrome: Expanded access program results","type":"article-journal","volume":"154"},"uris":["http://www.mendeley.com/documents/?uuid=8fab2823-0eab-40de-b87b-dad918e475e4"]}],"mendeley":{"formattedCitation":"(3)","plainTextFormattedCitation":"(3)","previouslyFormattedCitation":"(3)"},"properties":{"noteIndex":0},"schema":"https://github.com/citation-style-language/schema/raw/master/csl-citation.json"}</w:instrText>
            </w:r>
            <w:r w:rsidRPr="00DB55B4">
              <w:rPr>
                <w:rFonts w:eastAsia="Arial" w:cs="Times New Roman"/>
                <w:b/>
                <w:bCs/>
                <w:i/>
                <w:iCs/>
                <w:color w:val="000000"/>
                <w:sz w:val="12"/>
                <w:szCs w:val="12"/>
              </w:rPr>
              <w:fldChar w:fldCharType="separate"/>
            </w:r>
            <w:r w:rsidR="006F499D" w:rsidRPr="006F499D">
              <w:rPr>
                <w:rFonts w:eastAsia="Arial" w:cs="Times New Roman"/>
                <w:bCs/>
                <w:iCs/>
                <w:noProof/>
                <w:color w:val="000000"/>
                <w:sz w:val="12"/>
                <w:szCs w:val="12"/>
              </w:rPr>
              <w:t>(3)</w:t>
            </w:r>
            <w:r w:rsidRPr="00DB55B4">
              <w:rPr>
                <w:rFonts w:eastAsia="Arial" w:cs="Times New Roman"/>
                <w:b/>
                <w:bCs/>
                <w:i/>
                <w:iCs/>
                <w:color w:val="000000"/>
                <w:sz w:val="12"/>
                <w:szCs w:val="12"/>
              </w:rPr>
              <w:fldChar w:fldCharType="end"/>
            </w:r>
          </w:p>
        </w:tc>
        <w:tc>
          <w:tcPr>
            <w:tcW w:w="876" w:type="dxa"/>
            <w:tcBorders>
              <w:top w:val="single" w:sz="12" w:space="0" w:color="000000"/>
              <w:right w:val="single" w:sz="12" w:space="0" w:color="000000"/>
            </w:tcBorders>
            <w:shd w:val="clear" w:color="auto" w:fill="E7E6E6"/>
            <w:tcMar>
              <w:left w:w="0" w:type="dxa"/>
              <w:right w:w="0" w:type="dxa"/>
            </w:tcMar>
            <w:vAlign w:val="center"/>
          </w:tcPr>
          <w:p w14:paraId="5C5D1313" w14:textId="77777777"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t>Our study</w:t>
            </w:r>
          </w:p>
        </w:tc>
        <w:tc>
          <w:tcPr>
            <w:tcW w:w="1108" w:type="dxa"/>
            <w:tcBorders>
              <w:top w:val="single" w:sz="12" w:space="0" w:color="000000"/>
              <w:left w:val="single" w:sz="12" w:space="0" w:color="000000"/>
            </w:tcBorders>
            <w:shd w:val="clear" w:color="auto" w:fill="E7E6E6"/>
            <w:noWrap/>
            <w:tcMar>
              <w:left w:w="0" w:type="dxa"/>
              <w:right w:w="0" w:type="dxa"/>
            </w:tcMar>
            <w:vAlign w:val="center"/>
          </w:tcPr>
          <w:p w14:paraId="79B198D7"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612EE0FA" w14:textId="77777777" w:rsidR="006F499D"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2017</w:t>
            </w:r>
          </w:p>
          <w:p w14:paraId="2D416140" w14:textId="210F74B4"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sidR="006F499D">
              <w:rPr>
                <w:rFonts w:eastAsia="Arial" w:cs="Times New Roman"/>
                <w:b/>
                <w:bCs/>
                <w:i/>
                <w:iCs/>
                <w:color w:val="000000"/>
                <w:sz w:val="12"/>
                <w:szCs w:val="12"/>
              </w:rPr>
              <w:instrText>ADDIN CSL_CITATION {"citationItems":[{"id":"ITEM-1","itemData":{"DOI":"10.1056/NEJMoa1611618","ISSN":"15334406","PMID":"28538134","abstract":"BACKGROUND The Dravet syndrome is a complex childhood epilepsy disorder that is associated with drug-resistant seizures and a high mortality rate. We studied cannabidiol for the treatment of drug-resistant seizures in the Dravet syndrome. METHODS In this double-blind, placebo-controlled trial, we randomly assigned 120 children and young adults with the Dravet syndrome and drug-resistant seizures to receive either cannabidiol oral solution at a dose of 20 mg per kilogram of body weight per day or placebo, in addition to standard antiepileptic treatment. The primary end point was the change in convulsive-seizure frequency over a 14-week treatment period, as compared with a 4-week baseline period. RESULTS The median frequency of convulsive seizures per month decreased from 12.4 to 5.9 with cannabidiol, as compared with a decrease from 14.9 to 14.1 with placebo (adjusted median difference between the cannabidiol group and the placebo group in change in seizure frequency, -22.8 percentage points; 95% confidence interval [CI], -41.1 to -5.4; P = 0.01). The percentage of patients who had at least a 50% reduction in convulsiveseizure frequency was 43% with cannabidiol and 27% with placebo (odds ratio, 2.00; 95% CI, 0.93 to 4.30; P = 0.08). The patient's overall condition improved by at least one category on the seven-category Caregiver Global Impression of Change scale in 62% of the cannabidiol group as compared with 34% of the placebo group (P = 0.02). The frequency of total seizures of all types was significantly reduced with cannabidiol (P = 0.03), but there was no significant reduction in nonconvulsive seizures. The percentage of patients who became seizure-free was 5% with cannabidiol and 0% with placebo (P = 0.08). Adverse events that occurred more frequently in the cannabidiol group than in the placebo group included diarrhea, vomiting, fatigue, pyrexia, somnolence, and abnormal results on liver-function tests. There were more withdrawals from the trial in the cannabidiol group. CONCLUSIONS Among patients with the Dravet syndrome, cannabidiol resulted in a greater reduction in convulsive-seizure frequency than placebo and was associated with higher rates of adverse events. (Funded by GW Pharmaceuticals; ClinicalTrials.gov number, NCT02091375.).","author":[{"dropping-particle":"","family":"Devinsky","given":"Orrin","non-dropping-particle":"","parse-names":false,"suffix":""},{"dropping-particle":"","family":"Cross","given":"J. Helen","non-dropping-particle":"","parse-names":false,"suffix":""},{"dropping-particle":"","family":"Laux","given":"Linda","non-dropping-particle":"","parse-names":false,"suffix":""},{"dropping-particle":"","family":"Marsh","given":"Eric","non-dropping-particle":"","parse-names":false,"suffix":""},{"dropping-particle":"","family":"Miller","given":"Ian","non-dropping-particle":"","parse-names":false,"suffix":""},{"dropping-particle":"","family":"Nabbout","given":"Rima","non-dropping-particle":"","parse-names":false,"suffix":""},{"dropping-particle":"","family":"Scheffer","given":"Ingrid E.","non-dropping-particle":"","parse-names":false,"suffix":""},{"dropping-particle":"","family":"Thiele","given":"Elizabeth A.","non-dropping-particle":"","parse-names":false,"suffix":""},{"dropping-particle":"","family":"Wright","given":"Stephen","non-dropping-particle":"","parse-names":false,"suffix":""}],"container-title":"New England Journal of Medicine","id":"ITEM-1","issue":"21","issued":{"date-parts":[["2017"]]},"page":"2011-2020","title":"Trial of cannabidiol for drug-resistant seizures in the dravet syndrome","type":"article-journal","volume":"376"},"uris":["http://www.mendeley.com/documents/?uuid=cdefa4c4-ce24-4c90-bf00-2e56e318267e"]}],"mendeley":{"formattedCitation":"(4)","plainTextFormattedCitation":"(4)","previouslyFormattedCitation":"(4)"},"properties":{"noteIndex":0},"schema":"https://github.com/citation-style-language/schema/raw/master/csl-citation.json"}</w:instrText>
            </w:r>
            <w:r w:rsidRPr="00DB55B4">
              <w:rPr>
                <w:rFonts w:eastAsia="Arial" w:cs="Times New Roman"/>
                <w:b/>
                <w:bCs/>
                <w:i/>
                <w:iCs/>
                <w:color w:val="000000"/>
                <w:sz w:val="12"/>
                <w:szCs w:val="12"/>
              </w:rPr>
              <w:fldChar w:fldCharType="separate"/>
            </w:r>
            <w:r w:rsidR="006F499D" w:rsidRPr="006F499D">
              <w:rPr>
                <w:rFonts w:eastAsia="Arial" w:cs="Times New Roman"/>
                <w:bCs/>
                <w:iCs/>
                <w:noProof/>
                <w:color w:val="000000"/>
                <w:sz w:val="12"/>
                <w:szCs w:val="12"/>
              </w:rPr>
              <w:t>(4)</w:t>
            </w:r>
            <w:r w:rsidRPr="00DB55B4">
              <w:rPr>
                <w:rFonts w:eastAsia="Arial" w:cs="Times New Roman"/>
                <w:b/>
                <w:bCs/>
                <w:i/>
                <w:iCs/>
                <w:color w:val="000000"/>
                <w:sz w:val="12"/>
                <w:szCs w:val="12"/>
              </w:rPr>
              <w:fldChar w:fldCharType="end"/>
            </w:r>
          </w:p>
        </w:tc>
        <w:tc>
          <w:tcPr>
            <w:tcW w:w="992" w:type="dxa"/>
            <w:tcBorders>
              <w:top w:val="single" w:sz="12" w:space="0" w:color="000000"/>
            </w:tcBorders>
            <w:shd w:val="clear" w:color="auto" w:fill="E7E6E6"/>
            <w:tcMar>
              <w:left w:w="0" w:type="dxa"/>
              <w:right w:w="0" w:type="dxa"/>
            </w:tcMar>
            <w:vAlign w:val="center"/>
          </w:tcPr>
          <w:p w14:paraId="403C9284"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05D5ECA8" w14:textId="77777777" w:rsidR="006F499D"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2018</w:t>
            </w:r>
          </w:p>
          <w:p w14:paraId="6ECDA99E" w14:textId="3CCBD017"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sidR="006F499D">
              <w:rPr>
                <w:rFonts w:eastAsia="Arial" w:cs="Times New Roman"/>
                <w:b/>
                <w:bCs/>
                <w:i/>
                <w:iCs/>
                <w:color w:val="000000"/>
                <w:sz w:val="12"/>
                <w:szCs w:val="12"/>
              </w:rPr>
              <w:instrText>ADDIN CSL_CITATION {"citationItems":[{"id":"ITEM-1","itemData":{"DOI":"10.1212/WNL.0000000000005254","ISBN":"0000000000","ISSN":"1526632X","PMID":"29540584","abstract":"OBJECTIVE: To evaluate the safety and preliminary pharmacokinetics of a pharmaceutical formulation of purified cannabidiol (CBD) in children with Dravet syndrome. METHODS: Patients aged 4-10 years were randomized 4:1 to CBD (5, 10, or 20 mg/kg/d) or placebo taken twice daily. The double-blind trial comprised 4-week baseline, 3-week treatment (including titration), 10-day taper, and 4-week follow-up periods. Completers could continue in an open-label extension. Multiple pharmacokinetic blood samples were taken on the first day of dosing and at end of treatment for measurement of CBD, its metabolites 6-OH-CBD, 7-OH-CBD, and 7-COOH-CBD, and antiepileptic drugs (AEDs; clobazam and metabolite N-desmethylclobazam [N-CLB], valproate, levetiracetam, topiramate, and stiripentol). Safety assessments were clinical laboratory tests, physical examinations, vital signs, ECGs, adverse events (AEs), seizure frequency, and suicidality. RESULTS: Thirty-four patients were randomized (10, 8, and 9 to the 5, 10, and 20 mg/kg/d CBD groups, and 7 to placebo); 32 (94%) completed treatment. Exposure to CBD and its metabolites was dose-proportional (AUC0-t). CBD did not affect concomitant AED levels, apart from an increase in N-CLB (except in patients taking stiripentol). The most common AEs on CBD were pyrexia, somnolence, decreased appetite, sedation, vomiting, ataxia, and abnormal behavior. Six patients taking CBD and valproate developed elevated transaminases; none met criteria for drug-induced liver injury and all recovered. No other clinically relevant safety signals were observed. CONCLUSIONS: Exposure to CBD and its metabolites increased proportionally with dose. An interaction with N-CLB was observed, likely related to CBD inhibition of cytochrome P450 subtype 2C19. CBD resulted in more AEs than placebo but was generally well-tolerated. CLASSIFICATION OF EVIDENCE: This study provides Class I evidence that for children with Dravet syndrome, CBD resulted in more AEs than placebo but was generally well-tolerated.","author":[{"dropping-particle":"","family":"Devinsky","given":"Orrin","non-dropping-particle":"","parse-names":false,"suffix":""},{"dropping-particle":"","family":"Patel","given":"Anup D.","non-dropping-particle":"","parse-names":false,"suffix":""},{"dropping-particle":"","family":"Thiele","given":"Elizabeth A.","non-dropping-particle":"","parse-names":false,"suffix":""},{"dropping-particle":"","family":"Wong","given":"Matthew H.","non-dropping-particle":"","parse-names":false,"suffix":""},{"dropping-particle":"","family":"Appleton","given":"Richard","non-dropping-particle":"","parse-names":false,"suffix":""},{"dropping-particle":"","family":"Harden","given":"Cynthia L.","non-dropping-particle":"","parse-names":false,"suffix":""},{"dropping-particle":"","family":"Greenwood","given":"Sam","non-dropping-particle":"","parse-names":false,"suffix":""},{"dropping-particle":"","family":"Morrison","given":"Gilmour","non-dropping-particle":"","parse-names":false,"suffix":""},{"dropping-particle":"","family":"Sommerville","given":"Kenneth","non-dropping-particle":"","parse-names":false,"suffix":""}],"container-title":"Neurology","id":"ITEM-1","issue":"14","issued":{"date-parts":[["2018","4","3"]]},"page":"e1204-e1211","publisher":"NLM (Medline)","title":"Randomized, dose-ranging safety trial of cannabidiol in Dravet syndrome","type":"article-journal","volume":"90"},"uris":["http://www.mendeley.com/documents/?uuid=0e6a8c16-d6d1-4678-81df-0152a90e5eed"]}],"mendeley":{"formattedCitation":"(5)","plainTextFormattedCitation":"(5)","previouslyFormattedCitation":"(5)"},"properties":{"noteIndex":0},"schema":"https://github.com/citation-style-language/schema/raw/master/csl-citation.json"}</w:instrText>
            </w:r>
            <w:r w:rsidRPr="00DB55B4">
              <w:rPr>
                <w:rFonts w:eastAsia="Arial" w:cs="Times New Roman"/>
                <w:b/>
                <w:bCs/>
                <w:i/>
                <w:iCs/>
                <w:color w:val="000000"/>
                <w:sz w:val="12"/>
                <w:szCs w:val="12"/>
              </w:rPr>
              <w:fldChar w:fldCharType="separate"/>
            </w:r>
            <w:r w:rsidR="006F499D" w:rsidRPr="006F499D">
              <w:rPr>
                <w:rFonts w:eastAsia="Arial" w:cs="Times New Roman"/>
                <w:bCs/>
                <w:iCs/>
                <w:noProof/>
                <w:color w:val="000000"/>
                <w:sz w:val="12"/>
                <w:szCs w:val="12"/>
              </w:rPr>
              <w:t>(5)</w:t>
            </w:r>
            <w:r w:rsidRPr="00DB55B4">
              <w:rPr>
                <w:rFonts w:eastAsia="Arial" w:cs="Times New Roman"/>
                <w:b/>
                <w:bCs/>
                <w:i/>
                <w:iCs/>
                <w:color w:val="000000"/>
                <w:sz w:val="12"/>
                <w:szCs w:val="12"/>
              </w:rPr>
              <w:fldChar w:fldCharType="end"/>
            </w:r>
          </w:p>
        </w:tc>
        <w:tc>
          <w:tcPr>
            <w:tcW w:w="992" w:type="dxa"/>
            <w:tcBorders>
              <w:top w:val="single" w:sz="12" w:space="0" w:color="000000"/>
            </w:tcBorders>
            <w:shd w:val="clear" w:color="auto" w:fill="E7E6E6"/>
            <w:tcMar>
              <w:left w:w="0" w:type="dxa"/>
              <w:right w:w="0" w:type="dxa"/>
            </w:tcMar>
            <w:vAlign w:val="center"/>
          </w:tcPr>
          <w:p w14:paraId="62F1002B"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033F586C" w14:textId="77777777" w:rsidR="006F499D"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2019</w:t>
            </w:r>
          </w:p>
          <w:p w14:paraId="52A04F81" w14:textId="4F239C14"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sidR="006F499D">
              <w:rPr>
                <w:rFonts w:eastAsia="Arial" w:cs="Times New Roman"/>
                <w:b/>
                <w:bCs/>
                <w:i/>
                <w:iCs/>
                <w:color w:val="000000"/>
                <w:sz w:val="12"/>
                <w:szCs w:val="12"/>
              </w:rPr>
              <w:instrText>ADDIN CSL_CITATION {"citationItems":[{"id":"ITEM-1","itemData":{"DOI":"10.1111/epi.14628","ISSN":"15281167","abstract":"Objective: Add-on cannabidiol (CBD) significantly reduced seizures associated with Dravet syndrome (DS) in a randomized, double-blind, placebo-controlled trial: GWPCARE1 Part B (NCT02091375). Patients who completed GWPCARE1 Part A (NCT02091206) or Part B, or a second placebo-controlled trial, GWPCARE2 (NCT02224703), were invited to enroll in a long-term open-label extension trial, GWPCARE5 (NCT02224573). We present an interim analysis of the safety, efficacy, and patient-reported outcomes from GWPCARE5. Methods: Patients received a pharmaceutical formulation of highly purified CBD in oral solution (100 mg/mL), titrated from 2.5 to 20 mg/kg/d over a 2-week period, with their existing medications. Based on response and tolerance, CBD could be reduced or increased up to 30 mg/kg/d. Results: By November 2016, a total of 278 patients had completed the original randomized trials, and 264 (95%) enrolled in this open-label extension. Median treatment duration was 274 days (range 1-512) with a mean modal dose of 21 mg/kg/d, and patients received a median of 3 concomitant antiepileptic medications. Adverse events (AEs) occurred in 93.2% of patients and were mostly mild (36.7%) or moderate (39.0%). Commonly reported AEs were diarrhea (34.5%), pyrexia (27.3%), decreased appetite (25.4%), and somnolence (24.6%). Seventeen patients (6.4%) discontinued due to AEs. Twenty-two of the 128 patients from GWPCARE1 (17.2%), all taking valproic acid, had liver transaminase elevations ≥3 times the upper limit of normal. In patients from GWPCARE1 Part B, the median reduction from baseline in monthly seizure frequency assessed in 12-week periods up to week 48 ranged from 38% to 44% for convulsive seizures and 39% to 51% for total seizures. After 48 weeks of treatment, 85% of patients/caregivers reported improvement in the patient's overall condition on the Subject/Caregiver Global Impression of Change scale. Significance: This trial shows that long-term CBD treatment had an acceptable safety profile and led to sustained, clinically meaningful reductions in seizure frequency in patients with treatment-resistant DS.","author":[{"dropping-particle":"","family":"Devinsky","given":"Orrin","non-dropping-particle":"","parse-names":false,"suffix":""},{"dropping-particle":"","family":"Nabbout","given":"Rima","non-dropping-particle":"","parse-names":false,"suffix":""},{"dropping-particle":"","family":"Miller","given":"Ian","non-dropping-particle":"","parse-names":false,"suffix":""},{"dropping-particle":"","family":"Laux","given":"Linda","non-dropping-particle":"","parse-names":false,"suffix":""},{"dropping-particle":"","family":"Zolnowska","given":"Marta","non-dropping-particle":"","parse-names":false,"suffix":""},{"dropping-particle":"","family":"Wright","given":"Stephen","non-dropping-particle":"","parse-names":false,"suffix":""},{"dropping-particle":"","family":"Roberts","given":"Claire","non-dropping-particle":"","parse-names":false,"suffix":""}],"container-title":"Epilepsia","id":"ITEM-1","issue":"2","issued":{"date-parts":[["2019","2","1"]]},"page":"294-302","publisher":"Blackwell Publishing Inc.","title":"Long-term cannabidiol treatment in patients with Dravet syndrome: An open-label extension trial","type":"article-journal","volume":"60"},"uris":["http://www.mendeley.com/documents/?uuid=0e110290-1c34-4199-b9c5-226565acaa23"]}],"mendeley":{"formattedCitation":"(6)","plainTextFormattedCitation":"(6)","previouslyFormattedCitation":"(6)"},"properties":{"noteIndex":0},"schema":"https://github.com/citation-style-language/schema/raw/master/csl-citation.json"}</w:instrText>
            </w:r>
            <w:r w:rsidRPr="00DB55B4">
              <w:rPr>
                <w:rFonts w:eastAsia="Arial" w:cs="Times New Roman"/>
                <w:b/>
                <w:bCs/>
                <w:i/>
                <w:iCs/>
                <w:color w:val="000000"/>
                <w:sz w:val="12"/>
                <w:szCs w:val="12"/>
              </w:rPr>
              <w:fldChar w:fldCharType="separate"/>
            </w:r>
            <w:r w:rsidR="006F499D" w:rsidRPr="006F499D">
              <w:rPr>
                <w:rFonts w:eastAsia="Arial" w:cs="Times New Roman"/>
                <w:bCs/>
                <w:iCs/>
                <w:noProof/>
                <w:color w:val="000000"/>
                <w:sz w:val="12"/>
                <w:szCs w:val="12"/>
              </w:rPr>
              <w:t>(6)</w:t>
            </w:r>
            <w:r w:rsidRPr="00DB55B4">
              <w:rPr>
                <w:rFonts w:eastAsia="Arial" w:cs="Times New Roman"/>
                <w:b/>
                <w:bCs/>
                <w:i/>
                <w:iCs/>
                <w:color w:val="000000"/>
                <w:sz w:val="12"/>
                <w:szCs w:val="12"/>
              </w:rPr>
              <w:fldChar w:fldCharType="end"/>
            </w:r>
          </w:p>
        </w:tc>
        <w:tc>
          <w:tcPr>
            <w:tcW w:w="992" w:type="dxa"/>
            <w:tcBorders>
              <w:top w:val="single" w:sz="12" w:space="0" w:color="000000"/>
            </w:tcBorders>
            <w:shd w:val="clear" w:color="auto" w:fill="E7E6E6"/>
            <w:tcMar>
              <w:left w:w="0" w:type="dxa"/>
              <w:right w:w="0" w:type="dxa"/>
            </w:tcMar>
            <w:vAlign w:val="center"/>
          </w:tcPr>
          <w:p w14:paraId="6B16F88E"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Miller</w:t>
            </w:r>
          </w:p>
          <w:p w14:paraId="7999EF44" w14:textId="77777777" w:rsidR="006F499D"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2020</w:t>
            </w:r>
          </w:p>
          <w:p w14:paraId="6B4A409E" w14:textId="4B73011C"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sidR="006F499D">
              <w:rPr>
                <w:rFonts w:eastAsia="Arial" w:cs="Times New Roman"/>
                <w:b/>
                <w:bCs/>
                <w:i/>
                <w:iCs/>
                <w:color w:val="000000"/>
                <w:sz w:val="12"/>
                <w:szCs w:val="12"/>
              </w:rPr>
              <w:instrText>ADDIN CSL_CITATION {"citationItems":[{"id":"ITEM-1","itemData":{"DOI":"10.1001/jamaneurol.2020.0073","ISSN":"21686157","abstract":"Importance: Clinical evidence supports effectiveness of cannabidiol for treatment-resistant seizures in Dravet syndrome, but this trial is the first to evaluate the 10-mg/kg/d dose. Objective: To evaluate the efficacy and safety of a pharmaceutical formulation of cannabidiol, 10 and 20 mg/kg/d, vs placebo for adjunctive treatment of convulsive seizures in patients with Dravet syndrome. Design, Setting, and Participants: This double-blind, placebo-controlled, randomized clinical trial (GWPCARE2) recruited patients from April 13, 2015, to November 10, 2017, with follow-up completed on April 9, 2018. Of 285 patients screened from 38 centers in the United States, Spain, Poland, the Netherlands, Australia, and Israel, 86 were excluded, and 199 were randomized. Patients were aged 2 to 18 years with a confirmed diagnosis of Dravet syndrome and at least 4 convulsive seizures during the 4-week baseline period while receiving at least 1 antiepileptic drug. Data were analyzed from November 16 (date of unblinding) to December 13 (date of final outputs), 2018, based on intention to treat and per protocol. Interventions: Patients received cannabidiol oral solution at a dose of 10 or 20 mg/kg per day (CBD10 and CBD20 groups, respectively) or matched placebo in 2 equally divided doses for 14 weeks. All patients, caregivers, investigators, and individuals assessing data were blinded to group assignment. Main Outcomes and Measures: The primary outcome was change from baseline in convulsive seizure frequency during the treatment period. Secondary outcomes included change in all seizure frequency, proportion with at least a 50% reduction in convulsive seizure activity, and change in Caregiver Global Impression of Change score. Results: Of 198 eligible patients (mean [SD] age, 9.3 [4.4] years; 104 female [52.5%]), 66 were randomized to the CBD10 group, 67 to the CBD20 group, and 65 to the placebo group, and 190 completed treatment. The percentage reduction from baseline in convulsive seizure frequency was 48.7% for CBD10 group and 45.7% for the CBD20 group vs 26.9% for the placebo group; the percentage reduction from placebo was 29.8% (95% CI, 8.4%-46.2%; P =.01) for CBD10 group and 25.7% (95% CI, 2.9%-43.2%; P =.03) for the CBD20 group. The most common adverse events were decreased appetite, diarrhea, somnolence, pyrexia, and fatigue. Five patients in the CBD20 group discontinued owing to adverse events. Elevated liver transaminase levels occurred more frequently in the CB…","author":[{"dropping-particle":"","family":"Miller","given":"Ian","non-dropping-particle":"","parse-names":false,"suffix":""},{"dropping-particle":"","family":"Scheffer","given":"Ingrid E.","non-dropping-particle":"","parse-names":false,"suffix":""},{"dropping-particle":"","family":"Gunning","given":"Boudewijn","non-dropping-particle":"","parse-names":false,"suffix":""},{"dropping-particle":"","family":"Sanchez-Carpintero","given":"Rocio","non-dropping-particle":"","parse-names":false,"suffix":""},{"dropping-particle":"","family":"Gil-Nagel","given":"Antonio","non-dropping-particle":"","parse-names":false,"suffix":""},{"dropping-particle":"","family":"Perry","given":"M. Scott","non-dropping-particle":"","parse-names":false,"suffix":""},{"dropping-particle":"","family":"Saneto","given":"Russell P.","non-dropping-particle":"","parse-names":false,"suffix":""},{"dropping-particle":"","family":"Checketts","given":"Daniel","non-dropping-particle":"","parse-names":false,"suffix":""},{"dropping-particle":"","family":"Dunayevich","given":"Eduardo","non-dropping-particle":"","parse-names":false,"suffix":""},{"dropping-particle":"","family":"Knappertz","given":"Volker","non-dropping-particle":"","parse-names":false,"suffix":""}],"container-title":"JAMA Neurology","id":"ITEM-1","issued":{"date-parts":[["2020","3","2"]]},"publisher":"American Medical Association","title":"Dose-Ranging Effect of Adjunctive Oral Cannabidiol vs Placebo on Convulsive Seizure Frequency in Dravet Syndrome: A Randomized Clinical Trial","type":"article-journal"},"uris":["http://www.mendeley.com/documents/?uuid=bca5f2a8-aaf5-3919-a5b3-5ab8db3230eb"]}],"mendeley":{"formattedCitation":"(7)","plainTextFormattedCitation":"(7)","previouslyFormattedCitation":"(7)"},"properties":{"noteIndex":0},"schema":"https://github.com/citation-style-language/schema/raw/master/csl-citation.json"}</w:instrText>
            </w:r>
            <w:r w:rsidRPr="00DB55B4">
              <w:rPr>
                <w:rFonts w:eastAsia="Arial" w:cs="Times New Roman"/>
                <w:b/>
                <w:bCs/>
                <w:i/>
                <w:iCs/>
                <w:color w:val="000000"/>
                <w:sz w:val="12"/>
                <w:szCs w:val="12"/>
              </w:rPr>
              <w:fldChar w:fldCharType="separate"/>
            </w:r>
            <w:r w:rsidR="006F499D" w:rsidRPr="006F499D">
              <w:rPr>
                <w:rFonts w:eastAsia="Arial" w:cs="Times New Roman"/>
                <w:bCs/>
                <w:iCs/>
                <w:noProof/>
                <w:color w:val="000000"/>
                <w:sz w:val="12"/>
                <w:szCs w:val="12"/>
              </w:rPr>
              <w:t>(7)</w:t>
            </w:r>
            <w:r w:rsidRPr="00DB55B4">
              <w:rPr>
                <w:rFonts w:eastAsia="Arial" w:cs="Times New Roman"/>
                <w:b/>
                <w:bCs/>
                <w:i/>
                <w:iCs/>
                <w:color w:val="000000"/>
                <w:sz w:val="12"/>
                <w:szCs w:val="12"/>
              </w:rPr>
              <w:fldChar w:fldCharType="end"/>
            </w:r>
          </w:p>
        </w:tc>
        <w:tc>
          <w:tcPr>
            <w:tcW w:w="877" w:type="dxa"/>
            <w:tcBorders>
              <w:top w:val="single" w:sz="12" w:space="0" w:color="000000"/>
              <w:right w:val="single" w:sz="12" w:space="0" w:color="000000"/>
            </w:tcBorders>
            <w:shd w:val="clear" w:color="auto" w:fill="E7E6E6"/>
            <w:tcMar>
              <w:left w:w="0" w:type="dxa"/>
              <w:right w:w="0" w:type="dxa"/>
            </w:tcMar>
            <w:vAlign w:val="center"/>
          </w:tcPr>
          <w:p w14:paraId="1A9DCFEF" w14:textId="77777777"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t>Our study</w:t>
            </w:r>
          </w:p>
        </w:tc>
        <w:tc>
          <w:tcPr>
            <w:tcW w:w="1107" w:type="dxa"/>
            <w:tcBorders>
              <w:top w:val="single" w:sz="12" w:space="0" w:color="000000"/>
              <w:left w:val="single" w:sz="12" w:space="0" w:color="000000"/>
            </w:tcBorders>
            <w:shd w:val="clear" w:color="auto" w:fill="E7E6E6"/>
            <w:tcMar>
              <w:left w:w="0" w:type="dxa"/>
              <w:right w:w="0" w:type="dxa"/>
            </w:tcMar>
            <w:vAlign w:val="center"/>
          </w:tcPr>
          <w:p w14:paraId="333EB1E8"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1AA2D905" w14:textId="77777777" w:rsidR="006F499D"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2018</w:t>
            </w:r>
          </w:p>
          <w:p w14:paraId="073BDFF6" w14:textId="3514EB7D"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sidR="006F499D">
              <w:rPr>
                <w:rFonts w:eastAsia="Arial" w:cs="Times New Roman"/>
                <w:b/>
                <w:bCs/>
                <w:i/>
                <w:iCs/>
                <w:color w:val="000000"/>
                <w:sz w:val="12"/>
                <w:szCs w:val="12"/>
              </w:rPr>
              <w:instrText>ADDIN CSL_CITATION {"citationItems":[{"id":"ITEM-1","itemData":{"DOI":"10.1056/NEJMoa1714631","ISSN":"15334406","abstract":"BACKGROUND Cannabidiol has been used for treatment-resistant seizures in patients with severe early-onset epilepsy. We investigated the efficacy and safety of cannabidiol added to a regimen of conventional antiepileptic medication to treat drop seizures in patients with the Lennox–Gastaut syndrome, a severe developmental epileptic encephalopathy. METHODS In this double-blind, placebo-controlled trial conducted at 30 clinical centers, we randomly assigned patients with the Lennox–Gastaut syndrome (age range, 2 to 55 years) who had had two or more drop seizures per week during a 28-day baseline period to receive cannabidiol oral solution at a dose of either 20 mg per kilogram of body weight (20-mg cannabidiol group) or 10 mg per kilogram (10-mg cannabidiol group) or matching placebo, administered in two equally divided doses daily for 14 weeks. The primary outcome was the percentage change from baseline in the frequency of drop seizures (average per 28 days) during the treatment period. RESULTS A total of 225 patients were enrolled; 76 patients were assigned to the 20-mg cannabidiol group, 73 to the 10-mg cannabidiol group, and 76 to the placebo group. During the 28-day baseline period, the median number of drop seizures was 85 in all trial groups combined. The median percent reduction from baseline in drop-seizure frequency during the treatment period was 41.9% in the 20-mg cannabidiol group, 37.2% in the 10-mg cannabidiol group, and 17.2% in the placebo group (P=0.005 for the 20-mg cannabidiol group vs. placebo group, and P=0.002 for the 10-mg cannabidiol group vs. placebo group). The most common adverse events among the patients in the cannabidiol groups were somnolence, decreased appetite, and diarrhea; these events occurred more frequently in the higher-dose group. Six patients in the 20-mg cannabidiol group and 1 patient in the 10-mg cannabidiol group discontinued the trial medication because of adverse events and were withdrawn from the trial. Fourteen patients who received cannabidiol (9%) had elevated liver aminotransferase concentrations. CONCLUSIONS Among children and adults with the Lennox–Gastaut syndrome, the addition of cannabidiol at a dose of 10 mg or 20 mg per kilogram per day to a conventional antiepileptic regimen resulted in greater reductions in the frequency of drop seizures than placebo. Adverse events with cannabidiol included elevated liver aminotransferase concentrations. (Funded by GW Pharmaceuticals; GWPCARE3 ClinicalTrials.go…","author":[{"dropping-particle":"","family":"Devinsky","given":"Orrin","non-dropping-particle":"","parse-names":false,"suffix":""},{"dropping-particle":"","family":"Patel","given":"Anup D.","non-dropping-particle":"","parse-names":false,"suffix":""},{"dropping-particle":"","family":"Cross","given":"J. Helen","non-dropping-particle":"","parse-names":false,"suffix":""},{"dropping-particle":"","family":"Villanueva","given":"Vicente","non-dropping-particle":"","parse-names":false,"suffix":""},{"dropping-particle":"","family":"Wirrell","given":"Elaine C.","non-dropping-particle":"","parse-names":false,"suffix":""},{"dropping-particle":"","family":"Privitera","given":"Michael","non-dropping-particle":"","parse-names":false,"suffix":""},{"dropping-particle":"","family":"Greenwood","given":"Sam M.","non-dropping-particle":"","parse-names":false,"suffix":""},{"dropping-particle":"","family":"Roberts","given":"Claire","non-dropping-particle":"","parse-names":false,"suffix":""},{"dropping-particle":"","family":"Checketts","given":"Daniel","non-dropping-particle":"","parse-names":false,"suffix":""},{"dropping-particle":"","family":"VanLandingham","given":"Kevan E.","non-dropping-particle":"","parse-names":false,"suffix":""},{"dropping-particle":"","family":"Zuberi","given":"Sameer M.","non-dropping-particle":"","parse-names":false,"suffix":""}],"container-title":"New England Journal of Medicine","id":"ITEM-1","issue":"20","issued":{"date-parts":[["2018"]]},"page":"1888-1897","title":"Effect of cannabidiol on drop seizures in the lennox–gastaut syndrome","type":"article-journal","volume":"378"},"uris":["http://www.mendeley.com/documents/?uuid=7834fb1c-6c93-45f7-b3b9-5c23fdf57365"]}],"mendeley":{"formattedCitation":"(8)","plainTextFormattedCitation":"(8)","previouslyFormattedCitation":"(8)"},"properties":{"noteIndex":0},"schema":"https://github.com/citation-style-language/schema/raw/master/csl-citation.json"}</w:instrText>
            </w:r>
            <w:r w:rsidRPr="00DB55B4">
              <w:rPr>
                <w:rFonts w:eastAsia="Arial" w:cs="Times New Roman"/>
                <w:b/>
                <w:bCs/>
                <w:i/>
                <w:iCs/>
                <w:color w:val="000000"/>
                <w:sz w:val="12"/>
                <w:szCs w:val="12"/>
              </w:rPr>
              <w:fldChar w:fldCharType="separate"/>
            </w:r>
            <w:r w:rsidR="006F499D" w:rsidRPr="006F499D">
              <w:rPr>
                <w:rFonts w:eastAsia="Arial" w:cs="Times New Roman"/>
                <w:bCs/>
                <w:iCs/>
                <w:noProof/>
                <w:color w:val="000000"/>
                <w:sz w:val="12"/>
                <w:szCs w:val="12"/>
              </w:rPr>
              <w:t>(8)</w:t>
            </w:r>
            <w:r w:rsidRPr="00DB55B4">
              <w:rPr>
                <w:rFonts w:eastAsia="Arial" w:cs="Times New Roman"/>
                <w:b/>
                <w:bCs/>
                <w:i/>
                <w:iCs/>
                <w:color w:val="000000"/>
                <w:sz w:val="12"/>
                <w:szCs w:val="12"/>
              </w:rPr>
              <w:fldChar w:fldCharType="end"/>
            </w:r>
          </w:p>
        </w:tc>
        <w:tc>
          <w:tcPr>
            <w:tcW w:w="992" w:type="dxa"/>
            <w:tcBorders>
              <w:top w:val="single" w:sz="12" w:space="0" w:color="000000"/>
            </w:tcBorders>
            <w:shd w:val="clear" w:color="auto" w:fill="E7E6E6"/>
            <w:tcMar>
              <w:left w:w="0" w:type="dxa"/>
              <w:right w:w="0" w:type="dxa"/>
            </w:tcMar>
            <w:vAlign w:val="center"/>
          </w:tcPr>
          <w:p w14:paraId="1F0B8935"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Thiele</w:t>
            </w:r>
          </w:p>
          <w:p w14:paraId="75280D8E" w14:textId="3D6B5FAE" w:rsidR="006F499D"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2018</w:t>
            </w:r>
          </w:p>
          <w:p w14:paraId="189B6982" w14:textId="1A92B72D"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sidR="006F499D">
              <w:rPr>
                <w:rFonts w:eastAsia="Arial" w:cs="Times New Roman"/>
                <w:b/>
                <w:bCs/>
                <w:i/>
                <w:iCs/>
                <w:color w:val="000000"/>
                <w:sz w:val="12"/>
                <w:szCs w:val="12"/>
              </w:rPr>
              <w:instrText>ADDIN CSL_CITATION {"citationItems":[{"id":"ITEM-1","itemData":{"DOI":"10.1016/S0140-6736(18)30136-3","ISSN":"1474547X","PMID":"29395273","abstract":"Background: Patients with Lennox-Gastaut syndrome, a rare, severe form of epileptic encephalopathy, are frequently treatment resistant to available medications. No controlled studies have investigated the use of cannabidiol for patients with seizures associated with Lennox-Gastaut syndrome. We therefore assessed the efficacy and safety of cannabidiol as an add-on anticonvulsant therapy in this population of patients. Methods: In this randomised, double-blind, placebo-controlled trial done at 24 clinical sites in the USA, the Netherlands, and Poland, we investigated the efficacy of cannabidiol as add-on therapy for drop seizures in patients with treatment-resistant Lennox-Gastaut syndrome. Eligible patients (aged 2–55 years) had Lennox-Gastaut syndrome, including a history of slow (&lt;3 Hz) spike-and-wave patterns on electroencephalogram, evidence of more than one type of generalised seizure for at least 6 months, at least two drop seizures per week during the 4-week baseline period, and had not responded to treatment with at least two antiepileptic drugs. Patients were randomly assigned (1:1) using an interactive voice response system, stratified by age group, to receive 20 mg/kg oral cannabidiol daily or matched placebo for 14 weeks. All patients, caregivers, investigators, and individuals assessing data were masked to group assignment. The primary endpoint was percentage change from baseline in monthly frequency of drop seizures during the treatment period, analysed in all patients who received at least one dose of study drug and had post-baseline efficacy data. All randomly assigned patients were included in the safety analyses. This study is registered with ClinicalTrials.gov, number NCT02224690. Findings: Between April 28, 2015, and Oct 15, 2015, we randomly assigned 171 patients to receive cannabidiol (n=86) or placebo (n=85). 14 patients in the cannabidiol group and one in the placebo group discontinued study treatment; all randomly assigned patients received at least one dose of study treatment and had post-baseline efficacy data. The median percentage reduction in monthly drop seizure frequency from baseline was 43·9% (IQR −69·6 to −1·9) in the cannibidiol group and 21·8% (IQR −45·7 to 1·7) in the placebo group. The estimated median difference between the treatment groups was −17·21 (95% CI −30·32 to −4·09; p=0·0135) during the 14-week treatment period. Adverse events occurred in 74 (86%) of 86 patients in the cannabidiol group and 59 (69%) of 85…","author":[{"dropping-particle":"","family":"Thiele","given":"Elizabeth A.","non-dropping-particle":"","parse-names":false,"suffix":""},{"dropping-particle":"","family":"Marsh","given":"Eric D.","non-dropping-particle":"","parse-names":false,"suffix":""},{"dropping-particle":"","family":"French","given":"Jacqueline A.","non-dropping-particle":"","parse-names":false,"suffix":""},{"dropping-particle":"","family":"Mazurkiewicz","given":"Maria B.","non-dropping-particle":"","parse-names":false,"suffix":""},{"dropping-particle":"","family":"Benbadis","given":"Selim R.","non-dropping-particle":"","parse-names":false,"suffix":""},{"dropping-particle":"","family":"Joshi","given":"Charuta","non-dropping-particle":"","parse-names":false,"suffix":""},{"dropping-particle":"","family":"Lyons","given":"Paul D.","non-dropping-particle":"","parse-names":false,"suffix":""},{"dropping-particle":"","family":"Taylor","given":"Adam","non-dropping-particle":"","parse-names":false,"suffix":""},{"dropping-particle":"","family":"Roberts","given":"Claire","non-dropping-particle":"","parse-names":false,"suffix":""},{"dropping-particle":"","family":"Sommerville","given":"Kenneth","non-dropping-particle":"","parse-names":false,"suffix":""},{"dropping-particle":"","family":"Gunning","given":"Boudewjin","non-dropping-particle":"","parse-names":false,"suffix":""},{"dropping-particle":"","family":"Gawlowicz","given":"Jacek","non-dropping-particle":"","parse-names":false,"suffix":""},{"dropping-particle":"","family":"Lisewski","given":"Pawel","non-dropping-particle":"","parse-names":false,"suffix":""},{"dropping-particle":"","family":"Mitosek Szewczyk","given":"Krystyna","non-dropping-particle":"","parse-names":false,"suffix":""},{"dropping-particle":"","family":"Steinborn","given":"Barbara","non-dropping-particle":"","parse-names":false,"suffix":""},{"dropping-particle":"","family":"Zolnowska","given":"Marta","non-dropping-particle":"","parse-names":false,"suffix":""},{"dropping-particle":"","family":"Hughes","given":"Elaine","non-dropping-particle":"","parse-names":false,"suffix":""},{"dropping-particle":"","family":"McLellan","given":"Ailsa","non-dropping-particle":"","parse-names":false,"suffix":""},{"dropping-particle":"","family":"Benbadis","given":"Selim R.","non-dropping-particle":"","parse-names":false,"suffix":""},{"dropping-particle":"","family":"Ciliberto","given":"Michael","non-dropping-particle":"","parse-names":false,"suffix":""},{"dropping-particle":"","family":"Clark","given":"Gary","non-dropping-particle":"","parse-names":false,"suffix":""},{"dropping-particle":"","family":"Dlugos","given":"Dennis","non-dropping-particle":"","parse-names":false,"suffix":""},{"dropping-particle":"","family":"Filloux","given":"Francis","non-dropping-particle":"","parse-names":false,"suffix":""},{"dropping-particle":"","family":"Flamini","given":"Robert","non-dropping-particle":"","parse-names":false,"suffix":""},{"dropping-particle":"","family":"French","given":"Jacqueline A.","non-dropping-particle":"","parse-names":false,"suffix":""},{"dropping-particle":"","family":"Frost","given":"Michael","non-dropping-particle":"","parse-names":false,"suffix":""},{"dropping-particle":"","family":"Haut","given":"Sheryl","non-dropping-particle":"","parse-names":false,"suffix":""},{"dropping-particle":"","family":"Joshi","given":"Charuta","non-dropping-particle":"","parse-names":false,"suffix":""},{"dropping-particle":"","family":"Kapoor","given":"Siddarth","non-dropping-particle":"","parse-names":false,"suffix":""},{"dropping-particle":"","family":"Kessler","given":"Sudha","non-dropping-particle":"","parse-names":false,"suffix":""},{"dropping-particle":"","family":"Laux","given":"Linda","non-dropping-particle":"","parse-names":false,"suffix":""},{"dropping-particle":"","family":"Lyons","given":"Paul D.","non-dropping-particle":"","parse-names":false,"suffix":""},{"dropping-particle":"","family":"Marsh","given":"Eric D.","non-dropping-particle":"","parse-names":false,"suffix":""},{"dropping-particle":"","family":"Moore","given":"David","non-dropping-particle":"","parse-names":false,"suffix":""},{"dropping-particle":"","family":"Morse","given":"Richard","non-dropping-particle":"","parse-names":false,"suffix":""},{"dropping-particle":"","family":"Nagaraddi","given":"Venkatesh","non-dropping-particle":"","parse-names":false,"suffix":""},{"dropping-particle":"","family":"Rosenfeld","given":"William","non-dropping-particle":"","parse-names":false,"suffix":""},{"dropping-particle":"","family":"Seltzer","given":"Laurie","non-dropping-particle":"","parse-names":false,"suffix":""},{"dropping-particle":"","family":"Shellhaas","given":"Renée","non-dropping-particle":"","parse-names":false,"suffix":""},{"dropping-particle":"","family":"Thiele","given":"Elizabeth A.","non-dropping-particle":"","parse-names":false,"suffix":""},{"dropping-particle":"","family":"Thio","given":"Liu Lin","non-dropping-particle":"","parse-names":false,"suffix":""},{"dropping-particle":"","family":"Wang","given":"David","non-dropping-particle":"","parse-names":false,"suffix":""},{"dropping-particle":"","family":"Wilfong","given":"Angus","non-dropping-particle":"","parse-names":false,"suffix":""}],"container-title":"The Lancet","id":"ITEM-1","issue":"10125","issued":{"date-parts":[["2018","1","1"]]},"page":"1085-1096","publisher":"Lancet Publishing Group","title":"Cannabidiol in patients with seizures associated with Lennox-Gastaut syndrome (GWPCARE4): a randomised, double-blind, placebo-controlled phase 3 trial","type":"article-journal","volume":"391"},"uris":["http://www.mendeley.com/documents/?uuid=85d8734c-4855-4c97-9a6a-236c24a89cf5"]}],"mendeley":{"formattedCitation":"(9)","plainTextFormattedCitation":"(9)","previouslyFormattedCitation":"(9)"},"properties":{"noteIndex":0},"schema":"https://github.com/citation-style-language/schema/raw/master/csl-citation.json"}</w:instrText>
            </w:r>
            <w:r w:rsidRPr="00DB55B4">
              <w:rPr>
                <w:rFonts w:eastAsia="Arial" w:cs="Times New Roman"/>
                <w:b/>
                <w:bCs/>
                <w:i/>
                <w:iCs/>
                <w:color w:val="000000"/>
                <w:sz w:val="12"/>
                <w:szCs w:val="12"/>
              </w:rPr>
              <w:fldChar w:fldCharType="separate"/>
            </w:r>
            <w:r w:rsidR="006F499D" w:rsidRPr="006F499D">
              <w:rPr>
                <w:rFonts w:eastAsia="Arial" w:cs="Times New Roman"/>
                <w:bCs/>
                <w:iCs/>
                <w:noProof/>
                <w:color w:val="000000"/>
                <w:sz w:val="12"/>
                <w:szCs w:val="12"/>
              </w:rPr>
              <w:t>(9)</w:t>
            </w:r>
            <w:r w:rsidRPr="00DB55B4">
              <w:rPr>
                <w:rFonts w:eastAsia="Arial" w:cs="Times New Roman"/>
                <w:b/>
                <w:bCs/>
                <w:i/>
                <w:iCs/>
                <w:color w:val="000000"/>
                <w:sz w:val="12"/>
                <w:szCs w:val="12"/>
              </w:rPr>
              <w:fldChar w:fldCharType="end"/>
            </w:r>
          </w:p>
        </w:tc>
        <w:tc>
          <w:tcPr>
            <w:tcW w:w="992" w:type="dxa"/>
            <w:tcBorders>
              <w:top w:val="single" w:sz="12" w:space="0" w:color="000000"/>
            </w:tcBorders>
            <w:shd w:val="clear" w:color="auto" w:fill="E7E6E6"/>
            <w:noWrap/>
            <w:tcMar>
              <w:left w:w="0" w:type="dxa"/>
              <w:right w:w="0" w:type="dxa"/>
            </w:tcMar>
            <w:vAlign w:val="center"/>
          </w:tcPr>
          <w:p w14:paraId="1D2B5CFF"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Thiele</w:t>
            </w:r>
          </w:p>
          <w:p w14:paraId="16175781" w14:textId="1CB50CB6" w:rsidR="006F499D" w:rsidRDefault="00DB55B4" w:rsidP="00591A66">
            <w:pPr>
              <w:spacing w:before="0" w:after="0"/>
              <w:jc w:val="center"/>
              <w:rPr>
                <w:rFonts w:eastAsia="Arial" w:cs="Times New Roman"/>
                <w:b/>
                <w:bCs/>
                <w:i/>
                <w:iCs/>
                <w:color w:val="000000"/>
                <w:sz w:val="12"/>
                <w:szCs w:val="12"/>
                <w:vertAlign w:val="superscript"/>
              </w:rPr>
            </w:pPr>
            <w:r w:rsidRPr="00DB55B4">
              <w:rPr>
                <w:rFonts w:eastAsia="Arial" w:cs="Times New Roman"/>
                <w:b/>
                <w:bCs/>
                <w:i/>
                <w:iCs/>
                <w:color w:val="000000"/>
                <w:sz w:val="12"/>
                <w:szCs w:val="12"/>
              </w:rPr>
              <w:t>2019</w:t>
            </w:r>
          </w:p>
          <w:p w14:paraId="239B6207" w14:textId="65ECAC0E"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vertAlign w:val="superscript"/>
              </w:rPr>
              <w:fldChar w:fldCharType="begin" w:fldLock="1"/>
            </w:r>
            <w:r w:rsidR="006F499D">
              <w:rPr>
                <w:rFonts w:eastAsia="Arial" w:cs="Times New Roman"/>
                <w:b/>
                <w:bCs/>
                <w:i/>
                <w:iCs/>
                <w:color w:val="000000"/>
                <w:sz w:val="12"/>
                <w:szCs w:val="12"/>
                <w:vertAlign w:val="superscript"/>
              </w:rPr>
              <w:instrText>ADDIN CSL_CITATION {"citationItems":[{"id":"ITEM-1","itemData":{"DOI":"10.1111/epi.14670","ISSN":"15281167","abstract":"Objective: Patients with Lennox-Gastaut syndrome (LGS) who completed 1 of 2 randomized, double-blind, placebo-controlled trials of add-on cannabidiol (CBD) (GWPCARE3, NCT02224560 or GWPCARE4, NCT02224690) were invited to enroll in an open-label extension (OLE) study evaluating the long-term safety and efficacy of CBD (GWPCARE5, NCT02224573). Herein we present an interim analysis of the safety, efficacy, and patient-reported outcomes from this trial. Methods: Patients received a pharmaceutical formulation of highly purified CBD oral solution (Epidiolex; 100 mg/mL), titrated from 2.5 to 20 mg/kg/d over a 2-week titration period, in addition to their existing medications. Doses could be reduced if not tolerated or increased up to 30 mg/kg/d if thought to be of benefit. Results: This interim analysis was based on a November 2016 data cut. Of 368 patients who completed treatment in GWPCARE3 and GWPCARE4, 366 (99.5%) enrolled in the OLE study (GWPCARE5). Median treatment duration was 38 weeks at a mean modal dose of 23 mg/kg/d. Most patients (92.1%) experienced adverse events (AEs), primarily of mild (32.5%) or moderate (43.4%) severity. The most common AEs were diarrhea (26.8%), somnolence (23.5%), and convulsion (21.3%). Thirty-five patients (9.6%) discontinued treatment due to AEs. Liver transaminase elevations were reported in 37 patients (10.1%), of whom 29 were receiving concomitant valproic acid; 34 cases resolved spontaneously or with dose modification of CBD or concomitant medication. Median reduction from baseline in drop seizure frequency (quantified monthly over 12-week periods) ranged from 48% to 60% through week 48. Median reduction in monthly total seizure frequency ranged from 48% to 57% across all 12-week periods through week 48. Eighty-eight percent of patients/caregivers reported an improvement in the patient's overall condition per the Subject/Caregiver Global Impression of Change scale. Significance: In this study, long-term add-on CBD treatment had an acceptable safety profile in patients with LGS and led to sustained reductions in seizures.","author":[{"dropping-particle":"","family":"Thiele","given":"Elizabeth","non-dropping-particle":"","parse-names":false,"suffix":""},{"dropping-particle":"","family":"Marsh","given":"Eric","non-dropping-particle":"","parse-names":false,"suffix":""},{"dropping-particle":"","family":"Mazurkiewicz-Beldzinska","given":"Maria","non-dropping-particle":"","parse-names":false,"suffix":""},{"dropping-particle":"","family":"Halford","given":"Jonathan J.","non-dropping-particle":"","parse-names":false,"suffix":""},{"dropping-particle":"","family":"Gunning","given":"Boudewijn","non-dropping-particle":"","parse-names":false,"suffix":""},{"dropping-particle":"","family":"Devinsky","given":"Orrin","non-dropping-particle":"","parse-names":false,"suffix":""},{"dropping-particle":"","family":"Checketts","given":"Daniel","non-dropping-particle":"","parse-names":false,"suffix":""},{"dropping-particle":"","family":"Roberts","given":"Claire","non-dropping-particle":"","parse-names":false,"suffix":""}],"container-title":"Epilepsia","id":"ITEM-1","issue":"3","issued":{"date-parts":[["2019"]]},"page":"419-428","title":"Cannabidiol in patients with Lennox-Gastaut syndrome: Interim analysis of an open-label extension study","type":"article-journal","volume":"60"},"uris":["http://www.mendeley.com/documents/?uuid=08254421-45a9-4708-85aa-ab7ba53ba1d1"]}],"mendeley":{"formattedCitation":"(10)","plainTextFormattedCitation":"(10)","previouslyFormattedCitation":"(10)"},"properties":{"noteIndex":0},"schema":"https://github.com/citation-style-language/schema/raw/master/csl-citation.json"}</w:instrText>
            </w:r>
            <w:r w:rsidRPr="00DB55B4">
              <w:rPr>
                <w:rFonts w:eastAsia="Arial" w:cs="Times New Roman"/>
                <w:b/>
                <w:bCs/>
                <w:i/>
                <w:iCs/>
                <w:color w:val="000000"/>
                <w:sz w:val="12"/>
                <w:szCs w:val="12"/>
                <w:vertAlign w:val="superscript"/>
              </w:rPr>
              <w:fldChar w:fldCharType="separate"/>
            </w:r>
            <w:r w:rsidR="006F499D" w:rsidRPr="006F499D">
              <w:rPr>
                <w:rFonts w:eastAsia="Arial" w:cs="Times New Roman"/>
                <w:bCs/>
                <w:iCs/>
                <w:noProof/>
                <w:color w:val="000000"/>
                <w:sz w:val="12"/>
                <w:szCs w:val="12"/>
              </w:rPr>
              <w:t>(10)</w:t>
            </w:r>
            <w:r w:rsidRPr="00DB55B4">
              <w:rPr>
                <w:rFonts w:eastAsia="Arial" w:cs="Times New Roman"/>
                <w:b/>
                <w:bCs/>
                <w:i/>
                <w:iCs/>
                <w:color w:val="000000"/>
                <w:sz w:val="12"/>
                <w:szCs w:val="12"/>
                <w:vertAlign w:val="superscript"/>
              </w:rPr>
              <w:fldChar w:fldCharType="end"/>
            </w:r>
          </w:p>
        </w:tc>
        <w:tc>
          <w:tcPr>
            <w:tcW w:w="878" w:type="dxa"/>
            <w:tcBorders>
              <w:top w:val="single" w:sz="12" w:space="0" w:color="000000"/>
              <w:right w:val="single" w:sz="12" w:space="0" w:color="000000"/>
            </w:tcBorders>
            <w:shd w:val="clear" w:color="auto" w:fill="E7E6E6"/>
            <w:tcMar>
              <w:left w:w="0" w:type="dxa"/>
              <w:right w:w="0" w:type="dxa"/>
            </w:tcMar>
            <w:vAlign w:val="center"/>
          </w:tcPr>
          <w:p w14:paraId="1B0C73A6" w14:textId="77777777" w:rsidR="00DB55B4" w:rsidRPr="00DB55B4" w:rsidRDefault="00DB55B4"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t>Our study</w:t>
            </w:r>
          </w:p>
        </w:tc>
      </w:tr>
      <w:tr w:rsidR="00DB55B4" w:rsidRPr="00DB55B4" w14:paraId="77A16222" w14:textId="77777777" w:rsidTr="00591A66">
        <w:trPr>
          <w:trHeight w:val="300"/>
          <w:jc w:val="center"/>
        </w:trPr>
        <w:tc>
          <w:tcPr>
            <w:tcW w:w="1388" w:type="dxa"/>
            <w:tcBorders>
              <w:right w:val="single" w:sz="12" w:space="0" w:color="000000"/>
            </w:tcBorders>
            <w:shd w:val="clear" w:color="auto" w:fill="auto"/>
            <w:noWrap/>
            <w:vAlign w:val="center"/>
          </w:tcPr>
          <w:p w14:paraId="45C9626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Number of patients</w:t>
            </w:r>
          </w:p>
          <w:p w14:paraId="59D10B0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(Safety/efficacy)</w:t>
            </w:r>
          </w:p>
        </w:tc>
        <w:tc>
          <w:tcPr>
            <w:tcW w:w="992" w:type="dxa"/>
            <w:tcBorders>
              <w:left w:val="single" w:sz="12" w:space="0" w:color="000000"/>
            </w:tcBorders>
            <w:shd w:val="clear" w:color="auto" w:fill="auto"/>
            <w:noWrap/>
            <w:tcMar>
              <w:left w:w="0" w:type="dxa"/>
              <w:right w:w="0" w:type="dxa"/>
            </w:tcMar>
            <w:vAlign w:val="center"/>
          </w:tcPr>
          <w:p w14:paraId="43A187F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162 / 137</w:t>
            </w:r>
          </w:p>
        </w:tc>
        <w:tc>
          <w:tcPr>
            <w:tcW w:w="992" w:type="dxa"/>
            <w:shd w:val="clear" w:color="auto" w:fill="auto"/>
            <w:tcMar>
              <w:left w:w="0" w:type="dxa"/>
              <w:right w:w="0" w:type="dxa"/>
            </w:tcMar>
            <w:vAlign w:val="center"/>
          </w:tcPr>
          <w:p w14:paraId="26EA59A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607/580</w:t>
            </w:r>
          </w:p>
        </w:tc>
        <w:tc>
          <w:tcPr>
            <w:tcW w:w="992" w:type="dxa"/>
            <w:tcMar>
              <w:left w:w="0" w:type="dxa"/>
              <w:right w:w="0" w:type="dxa"/>
            </w:tcMar>
            <w:vAlign w:val="center"/>
          </w:tcPr>
          <w:p w14:paraId="077D979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152/147</w:t>
            </w:r>
          </w:p>
        </w:tc>
        <w:tc>
          <w:tcPr>
            <w:tcW w:w="876" w:type="dxa"/>
            <w:tcBorders>
              <w:right w:val="single" w:sz="12" w:space="0" w:color="000000"/>
            </w:tcBorders>
            <w:tcMar>
              <w:left w:w="0" w:type="dxa"/>
              <w:right w:w="0" w:type="dxa"/>
            </w:tcMar>
            <w:vAlign w:val="center"/>
          </w:tcPr>
          <w:p w14:paraId="782C1E8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125</w:t>
            </w:r>
          </w:p>
        </w:tc>
        <w:tc>
          <w:tcPr>
            <w:tcW w:w="1108" w:type="dxa"/>
            <w:tcBorders>
              <w:left w:val="single" w:sz="12" w:space="0" w:color="000000"/>
            </w:tcBorders>
            <w:shd w:val="clear" w:color="auto" w:fill="auto"/>
            <w:noWrap/>
            <w:tcMar>
              <w:left w:w="0" w:type="dxa"/>
              <w:right w:w="0" w:type="dxa"/>
            </w:tcMar>
            <w:vAlign w:val="center"/>
          </w:tcPr>
          <w:p w14:paraId="4F9B986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61</w:t>
            </w:r>
          </w:p>
        </w:tc>
        <w:tc>
          <w:tcPr>
            <w:tcW w:w="992" w:type="dxa"/>
            <w:tcMar>
              <w:left w:w="0" w:type="dxa"/>
              <w:right w:w="0" w:type="dxa"/>
            </w:tcMar>
            <w:vAlign w:val="center"/>
          </w:tcPr>
          <w:p w14:paraId="1F336BC9" w14:textId="77777777" w:rsidR="00DB55B4" w:rsidRPr="00DB55B4" w:rsidRDefault="00DB55B4" w:rsidP="00591A66">
            <w:pPr>
              <w:spacing w:before="0" w:after="0"/>
              <w:jc w:val="center"/>
              <w:rPr>
                <w:rFonts w:eastAsia="Calibri" w:cs="Times New Roman"/>
                <w:sz w:val="12"/>
                <w:szCs w:val="12"/>
              </w:rPr>
            </w:pPr>
            <w:r w:rsidRPr="00DB55B4">
              <w:rPr>
                <w:rFonts w:eastAsia="Arial" w:cs="Times New Roman"/>
                <w:b/>
                <w:bCs/>
                <w:i/>
                <w:iCs/>
                <w:color w:val="000000"/>
                <w:sz w:val="12"/>
                <w:szCs w:val="12"/>
              </w:rPr>
              <w:t>34</w:t>
            </w:r>
          </w:p>
        </w:tc>
        <w:tc>
          <w:tcPr>
            <w:tcW w:w="992" w:type="dxa"/>
            <w:shd w:val="clear" w:color="auto" w:fill="auto"/>
            <w:tcMar>
              <w:left w:w="0" w:type="dxa"/>
              <w:right w:w="0" w:type="dxa"/>
            </w:tcMar>
            <w:vAlign w:val="center"/>
          </w:tcPr>
          <w:p w14:paraId="12BABDD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264</w:t>
            </w:r>
          </w:p>
        </w:tc>
        <w:tc>
          <w:tcPr>
            <w:tcW w:w="992" w:type="dxa"/>
            <w:tcMar>
              <w:left w:w="0" w:type="dxa"/>
              <w:right w:w="0" w:type="dxa"/>
            </w:tcMar>
            <w:vAlign w:val="center"/>
          </w:tcPr>
          <w:p w14:paraId="2112717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133</w:t>
            </w:r>
          </w:p>
        </w:tc>
        <w:tc>
          <w:tcPr>
            <w:tcW w:w="877" w:type="dxa"/>
            <w:tcBorders>
              <w:right w:val="single" w:sz="12" w:space="0" w:color="000000"/>
            </w:tcBorders>
            <w:tcMar>
              <w:left w:w="0" w:type="dxa"/>
              <w:right w:w="0" w:type="dxa"/>
            </w:tcMar>
            <w:vAlign w:val="center"/>
          </w:tcPr>
          <w:p w14:paraId="5B97EC8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48</w:t>
            </w:r>
          </w:p>
        </w:tc>
        <w:tc>
          <w:tcPr>
            <w:tcW w:w="1107" w:type="dxa"/>
            <w:tcBorders>
              <w:left w:val="single" w:sz="12" w:space="0" w:color="000000"/>
            </w:tcBorders>
            <w:shd w:val="clear" w:color="auto" w:fill="auto"/>
            <w:tcMar>
              <w:left w:w="0" w:type="dxa"/>
              <w:right w:w="0" w:type="dxa"/>
            </w:tcMar>
            <w:vAlign w:val="center"/>
          </w:tcPr>
          <w:p w14:paraId="6E5A9C8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73, 76</w:t>
            </w:r>
          </w:p>
        </w:tc>
        <w:tc>
          <w:tcPr>
            <w:tcW w:w="992" w:type="dxa"/>
            <w:shd w:val="clear" w:color="auto" w:fill="auto"/>
            <w:tcMar>
              <w:left w:w="0" w:type="dxa"/>
              <w:right w:w="0" w:type="dxa"/>
            </w:tcMar>
            <w:vAlign w:val="center"/>
          </w:tcPr>
          <w:p w14:paraId="2534204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86</w:t>
            </w:r>
          </w:p>
        </w:tc>
        <w:tc>
          <w:tcPr>
            <w:tcW w:w="992" w:type="dxa"/>
            <w:shd w:val="clear" w:color="auto" w:fill="auto"/>
            <w:noWrap/>
            <w:tcMar>
              <w:left w:w="0" w:type="dxa"/>
              <w:right w:w="0" w:type="dxa"/>
            </w:tcMar>
            <w:vAlign w:val="center"/>
          </w:tcPr>
          <w:p w14:paraId="5BC6AB2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366</w:t>
            </w:r>
          </w:p>
        </w:tc>
        <w:tc>
          <w:tcPr>
            <w:tcW w:w="878" w:type="dxa"/>
            <w:tcBorders>
              <w:right w:val="single" w:sz="12" w:space="0" w:color="000000"/>
            </w:tcBorders>
            <w:tcMar>
              <w:left w:w="0" w:type="dxa"/>
              <w:right w:w="0" w:type="dxa"/>
            </w:tcMar>
            <w:vAlign w:val="center"/>
          </w:tcPr>
          <w:p w14:paraId="6FA0672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62</w:t>
            </w:r>
          </w:p>
        </w:tc>
      </w:tr>
      <w:tr w:rsidR="00DB55B4" w:rsidRPr="00DB55B4" w14:paraId="3C543AC6" w14:textId="77777777" w:rsidTr="00591A66">
        <w:trPr>
          <w:trHeight w:val="300"/>
          <w:jc w:val="center"/>
        </w:trPr>
        <w:tc>
          <w:tcPr>
            <w:tcW w:w="1388" w:type="dxa"/>
            <w:tcBorders>
              <w:right w:val="single" w:sz="12" w:space="0" w:color="000000"/>
            </w:tcBorders>
            <w:noWrap/>
            <w:vAlign w:val="center"/>
            <w:hideMark/>
          </w:tcPr>
          <w:p w14:paraId="053EAA0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Age (years)</w:t>
            </w:r>
          </w:p>
        </w:tc>
        <w:tc>
          <w:tcPr>
            <w:tcW w:w="992" w:type="dxa"/>
            <w:tcBorders>
              <w:left w:val="single" w:sz="12" w:space="0" w:color="000000"/>
            </w:tcBorders>
            <w:noWrap/>
            <w:tcMar>
              <w:left w:w="0" w:type="dxa"/>
              <w:right w:w="0" w:type="dxa"/>
            </w:tcMar>
            <w:vAlign w:val="center"/>
            <w:hideMark/>
          </w:tcPr>
          <w:p w14:paraId="500D121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10.5 (0.9-26.2)</w:t>
            </w:r>
          </w:p>
        </w:tc>
        <w:tc>
          <w:tcPr>
            <w:tcW w:w="992" w:type="dxa"/>
            <w:tcMar>
              <w:left w:w="0" w:type="dxa"/>
              <w:right w:w="0" w:type="dxa"/>
            </w:tcMar>
            <w:vAlign w:val="center"/>
          </w:tcPr>
          <w:p w14:paraId="207B4CB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13.2 (0.4‐62.1)</w:t>
            </w:r>
          </w:p>
        </w:tc>
        <w:tc>
          <w:tcPr>
            <w:tcW w:w="992" w:type="dxa"/>
            <w:tcMar>
              <w:left w:w="0" w:type="dxa"/>
              <w:right w:w="0" w:type="dxa"/>
            </w:tcMar>
            <w:vAlign w:val="center"/>
          </w:tcPr>
          <w:p w14:paraId="353A5B2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12 (1.7-51)</w:t>
            </w:r>
          </w:p>
        </w:tc>
        <w:tc>
          <w:tcPr>
            <w:tcW w:w="876" w:type="dxa"/>
            <w:tcBorders>
              <w:right w:val="single" w:sz="12" w:space="0" w:color="000000"/>
            </w:tcBorders>
            <w:tcMar>
              <w:left w:w="0" w:type="dxa"/>
              <w:right w:w="0" w:type="dxa"/>
            </w:tcMar>
            <w:vAlign w:val="center"/>
          </w:tcPr>
          <w:p w14:paraId="1AC79EC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9 [6-14]</w:t>
            </w:r>
          </w:p>
        </w:tc>
        <w:tc>
          <w:tcPr>
            <w:tcW w:w="1108" w:type="dxa"/>
            <w:tcBorders>
              <w:left w:val="single" w:sz="12" w:space="0" w:color="000000"/>
            </w:tcBorders>
            <w:noWrap/>
            <w:tcMar>
              <w:left w:w="0" w:type="dxa"/>
              <w:right w:w="0" w:type="dxa"/>
            </w:tcMar>
            <w:vAlign w:val="center"/>
            <w:hideMark/>
          </w:tcPr>
          <w:p w14:paraId="7722967F"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9.1 [2.5–18.0]</w:t>
            </w:r>
          </w:p>
        </w:tc>
        <w:tc>
          <w:tcPr>
            <w:tcW w:w="992" w:type="dxa"/>
            <w:tcMar>
              <w:left w:w="0" w:type="dxa"/>
              <w:right w:w="0" w:type="dxa"/>
            </w:tcMar>
            <w:vAlign w:val="center"/>
          </w:tcPr>
          <w:p w14:paraId="04F4896A" w14:textId="77777777" w:rsidR="00DB55B4" w:rsidRPr="00DB55B4" w:rsidRDefault="00DB55B4" w:rsidP="00591A66">
            <w:pPr>
              <w:spacing w:before="0" w:after="0"/>
              <w:jc w:val="center"/>
              <w:rPr>
                <w:rFonts w:eastAsia="Calibri" w:cs="Times New Roman"/>
                <w:sz w:val="12"/>
                <w:szCs w:val="12"/>
              </w:rPr>
            </w:pPr>
            <w:r w:rsidRPr="00DB55B4">
              <w:rPr>
                <w:rFonts w:eastAsia="Arial" w:cs="Times New Roman"/>
                <w:color w:val="000000"/>
                <w:sz w:val="12"/>
                <w:szCs w:val="12"/>
              </w:rPr>
              <w:t>7.6</w:t>
            </w:r>
            <w:r w:rsidRPr="00DB55B4">
              <w:rPr>
                <w:rFonts w:eastAsia="Calibri" w:cs="Times New Roman"/>
                <w:sz w:val="12"/>
                <w:szCs w:val="12"/>
              </w:rPr>
              <w:t>±1.8</w:t>
            </w:r>
          </w:p>
        </w:tc>
        <w:tc>
          <w:tcPr>
            <w:tcW w:w="992" w:type="dxa"/>
            <w:tcMar>
              <w:left w:w="0" w:type="dxa"/>
              <w:right w:w="0" w:type="dxa"/>
            </w:tcMar>
            <w:vAlign w:val="center"/>
          </w:tcPr>
          <w:p w14:paraId="344863F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9.3 (2.5-19.3)</w:t>
            </w:r>
          </w:p>
        </w:tc>
        <w:tc>
          <w:tcPr>
            <w:tcW w:w="992" w:type="dxa"/>
            <w:tcMar>
              <w:left w:w="0" w:type="dxa"/>
              <w:right w:w="0" w:type="dxa"/>
            </w:tcMar>
            <w:vAlign w:val="center"/>
          </w:tcPr>
          <w:p w14:paraId="583037B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9.2 (2.3-17.7)</w:t>
            </w:r>
          </w:p>
          <w:p w14:paraId="4CD5AB9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9.3 (2.2-18.9)</w:t>
            </w:r>
          </w:p>
        </w:tc>
        <w:tc>
          <w:tcPr>
            <w:tcW w:w="877" w:type="dxa"/>
            <w:tcBorders>
              <w:right w:val="single" w:sz="12" w:space="0" w:color="000000"/>
            </w:tcBorders>
            <w:tcMar>
              <w:left w:w="0" w:type="dxa"/>
              <w:right w:w="0" w:type="dxa"/>
            </w:tcMar>
            <w:vAlign w:val="center"/>
          </w:tcPr>
          <w:p w14:paraId="3C257AD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7 [5-10.3]</w:t>
            </w:r>
          </w:p>
        </w:tc>
        <w:tc>
          <w:tcPr>
            <w:tcW w:w="1107" w:type="dxa"/>
            <w:tcBorders>
              <w:left w:val="single" w:sz="12" w:space="0" w:color="000000"/>
            </w:tcBorders>
            <w:tcMar>
              <w:left w:w="0" w:type="dxa"/>
              <w:right w:w="0" w:type="dxa"/>
            </w:tcMar>
            <w:vAlign w:val="center"/>
          </w:tcPr>
          <w:p w14:paraId="04E6EEB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15.4 ± 9.5</w:t>
            </w:r>
          </w:p>
          <w:p w14:paraId="2A609D1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16 ± 10.8</w:t>
            </w:r>
          </w:p>
        </w:tc>
        <w:tc>
          <w:tcPr>
            <w:tcW w:w="992" w:type="dxa"/>
            <w:tcMar>
              <w:left w:w="0" w:type="dxa"/>
              <w:right w:w="0" w:type="dxa"/>
            </w:tcMar>
            <w:vAlign w:val="center"/>
          </w:tcPr>
          <w:p w14:paraId="5776BD6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14.2 (2.7–39.0)</w:t>
            </w:r>
          </w:p>
        </w:tc>
        <w:tc>
          <w:tcPr>
            <w:tcW w:w="992" w:type="dxa"/>
            <w:noWrap/>
            <w:tcMar>
              <w:left w:w="0" w:type="dxa"/>
              <w:right w:w="0" w:type="dxa"/>
            </w:tcMar>
            <w:vAlign w:val="center"/>
            <w:hideMark/>
          </w:tcPr>
          <w:p w14:paraId="014C76D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13.7 (3.0‐48.3)</w:t>
            </w:r>
          </w:p>
        </w:tc>
        <w:tc>
          <w:tcPr>
            <w:tcW w:w="878" w:type="dxa"/>
            <w:tcBorders>
              <w:right w:val="single" w:sz="12" w:space="0" w:color="000000"/>
            </w:tcBorders>
            <w:tcMar>
              <w:left w:w="0" w:type="dxa"/>
              <w:right w:w="0" w:type="dxa"/>
            </w:tcMar>
            <w:vAlign w:val="center"/>
          </w:tcPr>
          <w:p w14:paraId="6D7854A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13 [8.25-15.8]</w:t>
            </w:r>
          </w:p>
        </w:tc>
      </w:tr>
      <w:tr w:rsidR="00DB55B4" w:rsidRPr="00DB55B4" w14:paraId="60922C4F" w14:textId="77777777" w:rsidTr="00591A66">
        <w:trPr>
          <w:trHeight w:val="300"/>
          <w:jc w:val="center"/>
        </w:trPr>
        <w:tc>
          <w:tcPr>
            <w:tcW w:w="1388" w:type="dxa"/>
            <w:tcBorders>
              <w:right w:val="single" w:sz="12" w:space="0" w:color="000000"/>
            </w:tcBorders>
            <w:noWrap/>
            <w:vAlign w:val="center"/>
          </w:tcPr>
          <w:p w14:paraId="065F947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Gender (male)</w:t>
            </w:r>
          </w:p>
        </w:tc>
        <w:tc>
          <w:tcPr>
            <w:tcW w:w="992" w:type="dxa"/>
            <w:tcBorders>
              <w:left w:val="single" w:sz="12" w:space="0" w:color="000000"/>
            </w:tcBorders>
            <w:noWrap/>
            <w:tcMar>
              <w:left w:w="0" w:type="dxa"/>
              <w:right w:w="0" w:type="dxa"/>
            </w:tcMar>
            <w:vAlign w:val="center"/>
          </w:tcPr>
          <w:p w14:paraId="1BCFB7E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80 (49%)</w:t>
            </w:r>
          </w:p>
        </w:tc>
        <w:tc>
          <w:tcPr>
            <w:tcW w:w="992" w:type="dxa"/>
            <w:tcMar>
              <w:left w:w="0" w:type="dxa"/>
              <w:right w:w="0" w:type="dxa"/>
            </w:tcMar>
            <w:vAlign w:val="center"/>
          </w:tcPr>
          <w:p w14:paraId="0ACFF45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313 (52%)</w:t>
            </w:r>
          </w:p>
        </w:tc>
        <w:tc>
          <w:tcPr>
            <w:tcW w:w="992" w:type="dxa"/>
            <w:tcMar>
              <w:left w:w="0" w:type="dxa"/>
              <w:right w:w="0" w:type="dxa"/>
            </w:tcMar>
            <w:vAlign w:val="center"/>
          </w:tcPr>
          <w:p w14:paraId="66DE518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93 (61%)</w:t>
            </w:r>
          </w:p>
        </w:tc>
        <w:tc>
          <w:tcPr>
            <w:tcW w:w="876" w:type="dxa"/>
            <w:tcBorders>
              <w:right w:val="single" w:sz="12" w:space="0" w:color="000000"/>
            </w:tcBorders>
            <w:tcMar>
              <w:left w:w="0" w:type="dxa"/>
              <w:right w:w="0" w:type="dxa"/>
            </w:tcMar>
            <w:vAlign w:val="center"/>
          </w:tcPr>
          <w:p w14:paraId="79EA754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59 (47.2%)</w:t>
            </w:r>
          </w:p>
        </w:tc>
        <w:tc>
          <w:tcPr>
            <w:tcW w:w="1108" w:type="dxa"/>
            <w:tcBorders>
              <w:left w:val="single" w:sz="12" w:space="0" w:color="000000"/>
            </w:tcBorders>
            <w:noWrap/>
            <w:tcMar>
              <w:left w:w="0" w:type="dxa"/>
              <w:right w:w="0" w:type="dxa"/>
            </w:tcMar>
            <w:vAlign w:val="center"/>
          </w:tcPr>
          <w:p w14:paraId="32A2A28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35 (57%)</w:t>
            </w:r>
          </w:p>
        </w:tc>
        <w:tc>
          <w:tcPr>
            <w:tcW w:w="992" w:type="dxa"/>
            <w:tcMar>
              <w:left w:w="0" w:type="dxa"/>
              <w:right w:w="0" w:type="dxa"/>
            </w:tcMar>
            <w:vAlign w:val="center"/>
          </w:tcPr>
          <w:p w14:paraId="2440E3D7" w14:textId="77777777" w:rsidR="00DB55B4" w:rsidRPr="00DB55B4" w:rsidRDefault="00DB55B4" w:rsidP="00591A66">
            <w:pPr>
              <w:spacing w:before="0" w:after="0"/>
              <w:jc w:val="center"/>
              <w:rPr>
                <w:rFonts w:eastAsia="Calibri" w:cs="Times New Roman"/>
                <w:sz w:val="12"/>
                <w:szCs w:val="12"/>
              </w:rPr>
            </w:pPr>
            <w:r w:rsidRPr="00DB55B4">
              <w:rPr>
                <w:rFonts w:eastAsia="Arial" w:cs="Times New Roman"/>
                <w:i/>
                <w:iCs/>
                <w:color w:val="000000"/>
                <w:sz w:val="12"/>
                <w:szCs w:val="12"/>
              </w:rPr>
              <w:t>16 (47%)</w:t>
            </w:r>
          </w:p>
        </w:tc>
        <w:tc>
          <w:tcPr>
            <w:tcW w:w="992" w:type="dxa"/>
            <w:tcMar>
              <w:left w:w="0" w:type="dxa"/>
              <w:right w:w="0" w:type="dxa"/>
            </w:tcMar>
            <w:vAlign w:val="center"/>
          </w:tcPr>
          <w:p w14:paraId="687172B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133 (50%)</w:t>
            </w:r>
          </w:p>
        </w:tc>
        <w:tc>
          <w:tcPr>
            <w:tcW w:w="992" w:type="dxa"/>
            <w:tcMar>
              <w:left w:w="0" w:type="dxa"/>
              <w:right w:w="0" w:type="dxa"/>
            </w:tcMar>
            <w:vAlign w:val="center"/>
          </w:tcPr>
          <w:p w14:paraId="6349C3F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27 (41%)</w:t>
            </w:r>
          </w:p>
          <w:p w14:paraId="1FF0E35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36 (54%)</w:t>
            </w:r>
          </w:p>
        </w:tc>
        <w:tc>
          <w:tcPr>
            <w:tcW w:w="877" w:type="dxa"/>
            <w:tcBorders>
              <w:right w:val="single" w:sz="12" w:space="0" w:color="000000"/>
            </w:tcBorders>
            <w:tcMar>
              <w:left w:w="0" w:type="dxa"/>
              <w:right w:w="0" w:type="dxa"/>
            </w:tcMar>
            <w:vAlign w:val="center"/>
          </w:tcPr>
          <w:p w14:paraId="774EEC1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18 (37.5%)</w:t>
            </w:r>
          </w:p>
        </w:tc>
        <w:tc>
          <w:tcPr>
            <w:tcW w:w="1107" w:type="dxa"/>
            <w:tcBorders>
              <w:left w:val="single" w:sz="12" w:space="0" w:color="000000"/>
            </w:tcBorders>
            <w:tcMar>
              <w:left w:w="0" w:type="dxa"/>
              <w:right w:w="0" w:type="dxa"/>
            </w:tcMar>
            <w:vAlign w:val="center"/>
          </w:tcPr>
          <w:p w14:paraId="29C49DA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40 (55%),</w:t>
            </w:r>
          </w:p>
          <w:p w14:paraId="76E1D5F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45 (59%)</w:t>
            </w:r>
          </w:p>
        </w:tc>
        <w:tc>
          <w:tcPr>
            <w:tcW w:w="992" w:type="dxa"/>
            <w:tcMar>
              <w:left w:w="0" w:type="dxa"/>
              <w:right w:w="0" w:type="dxa"/>
            </w:tcMar>
            <w:vAlign w:val="center"/>
          </w:tcPr>
          <w:p w14:paraId="50DAD9BF"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45 (52%)</w:t>
            </w:r>
          </w:p>
        </w:tc>
        <w:tc>
          <w:tcPr>
            <w:tcW w:w="992" w:type="dxa"/>
            <w:noWrap/>
            <w:tcMar>
              <w:left w:w="0" w:type="dxa"/>
              <w:right w:w="0" w:type="dxa"/>
            </w:tcMar>
            <w:vAlign w:val="center"/>
          </w:tcPr>
          <w:p w14:paraId="76E04D0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198 (54%)</w:t>
            </w:r>
          </w:p>
        </w:tc>
        <w:tc>
          <w:tcPr>
            <w:tcW w:w="878" w:type="dxa"/>
            <w:tcBorders>
              <w:right w:val="single" w:sz="12" w:space="0" w:color="000000"/>
            </w:tcBorders>
            <w:tcMar>
              <w:left w:w="0" w:type="dxa"/>
              <w:right w:w="0" w:type="dxa"/>
            </w:tcMar>
            <w:vAlign w:val="center"/>
          </w:tcPr>
          <w:p w14:paraId="15F7DAD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35 (56.4%)</w:t>
            </w:r>
          </w:p>
        </w:tc>
      </w:tr>
      <w:tr w:rsidR="00DB55B4" w:rsidRPr="00DB55B4" w14:paraId="7B6B628B" w14:textId="77777777" w:rsidTr="00591A66">
        <w:trPr>
          <w:trHeight w:val="300"/>
          <w:jc w:val="center"/>
        </w:trPr>
        <w:tc>
          <w:tcPr>
            <w:tcW w:w="1388" w:type="dxa"/>
            <w:tcBorders>
              <w:right w:val="single" w:sz="12" w:space="0" w:color="000000"/>
            </w:tcBorders>
            <w:noWrap/>
            <w:vAlign w:val="center"/>
            <w:hideMark/>
          </w:tcPr>
          <w:p w14:paraId="62BACF3A" w14:textId="77777777" w:rsidR="00DB55B4" w:rsidRPr="00DB55B4" w:rsidRDefault="00DB55B4" w:rsidP="00591A66">
            <w:pPr>
              <w:spacing w:before="0" w:after="0"/>
              <w:jc w:val="center"/>
              <w:rPr>
                <w:rFonts w:eastAsia="Calibri" w:cs="Times New Roman"/>
                <w:b/>
                <w:bCs/>
                <w:sz w:val="12"/>
                <w:szCs w:val="12"/>
              </w:rPr>
            </w:pPr>
            <w:r w:rsidRPr="00DB55B4">
              <w:rPr>
                <w:rFonts w:eastAsia="Calibri" w:cs="Times New Roman"/>
                <w:b/>
                <w:bCs/>
                <w:sz w:val="12"/>
                <w:szCs w:val="12"/>
              </w:rPr>
              <w:t>Dravet</w:t>
            </w:r>
          </w:p>
        </w:tc>
        <w:tc>
          <w:tcPr>
            <w:tcW w:w="992" w:type="dxa"/>
            <w:tcBorders>
              <w:left w:val="single" w:sz="12" w:space="0" w:color="000000"/>
            </w:tcBorders>
            <w:noWrap/>
            <w:tcMar>
              <w:left w:w="0" w:type="dxa"/>
              <w:right w:w="0" w:type="dxa"/>
            </w:tcMar>
            <w:vAlign w:val="center"/>
            <w:hideMark/>
          </w:tcPr>
          <w:p w14:paraId="33ACDFE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33 (20%)</w:t>
            </w:r>
          </w:p>
        </w:tc>
        <w:tc>
          <w:tcPr>
            <w:tcW w:w="992" w:type="dxa"/>
            <w:tcMar>
              <w:left w:w="0" w:type="dxa"/>
              <w:right w:w="0" w:type="dxa"/>
            </w:tcMar>
            <w:vAlign w:val="center"/>
          </w:tcPr>
          <w:p w14:paraId="0A176A9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58 (10%)</w:t>
            </w:r>
          </w:p>
        </w:tc>
        <w:tc>
          <w:tcPr>
            <w:tcW w:w="992" w:type="dxa"/>
            <w:tcMar>
              <w:left w:w="0" w:type="dxa"/>
              <w:right w:w="0" w:type="dxa"/>
            </w:tcMar>
            <w:vAlign w:val="center"/>
          </w:tcPr>
          <w:p w14:paraId="3F61782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58 (39%)</w:t>
            </w:r>
          </w:p>
        </w:tc>
        <w:tc>
          <w:tcPr>
            <w:tcW w:w="876" w:type="dxa"/>
            <w:tcBorders>
              <w:right w:val="single" w:sz="12" w:space="0" w:color="000000"/>
            </w:tcBorders>
            <w:tcMar>
              <w:left w:w="0" w:type="dxa"/>
              <w:right w:w="0" w:type="dxa"/>
            </w:tcMar>
            <w:vAlign w:val="center"/>
          </w:tcPr>
          <w:p w14:paraId="194C353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48 (38.4%)</w:t>
            </w:r>
          </w:p>
        </w:tc>
        <w:tc>
          <w:tcPr>
            <w:tcW w:w="1108" w:type="dxa"/>
            <w:tcBorders>
              <w:left w:val="single" w:sz="12" w:space="0" w:color="000000"/>
            </w:tcBorders>
            <w:noWrap/>
            <w:tcMar>
              <w:left w:w="0" w:type="dxa"/>
              <w:right w:w="0" w:type="dxa"/>
            </w:tcMar>
            <w:vAlign w:val="center"/>
            <w:hideMark/>
          </w:tcPr>
          <w:p w14:paraId="1BA20A7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61 (100%)</w:t>
            </w:r>
          </w:p>
        </w:tc>
        <w:tc>
          <w:tcPr>
            <w:tcW w:w="992" w:type="dxa"/>
            <w:tcMar>
              <w:left w:w="0" w:type="dxa"/>
              <w:right w:w="0" w:type="dxa"/>
            </w:tcMar>
            <w:vAlign w:val="center"/>
          </w:tcPr>
          <w:p w14:paraId="3277893D" w14:textId="77777777" w:rsidR="00DB55B4" w:rsidRPr="00DB55B4" w:rsidRDefault="00DB55B4" w:rsidP="00591A66">
            <w:pPr>
              <w:spacing w:before="0" w:after="0"/>
              <w:jc w:val="center"/>
              <w:rPr>
                <w:rFonts w:eastAsia="Calibri" w:cs="Times New Roman"/>
                <w:sz w:val="12"/>
                <w:szCs w:val="12"/>
              </w:rPr>
            </w:pPr>
            <w:r w:rsidRPr="00DB55B4">
              <w:rPr>
                <w:rFonts w:eastAsia="Arial" w:cs="Times New Roman"/>
                <w:color w:val="000000"/>
                <w:sz w:val="12"/>
                <w:szCs w:val="12"/>
              </w:rPr>
              <w:t>34 (100%)</w:t>
            </w:r>
          </w:p>
        </w:tc>
        <w:tc>
          <w:tcPr>
            <w:tcW w:w="992" w:type="dxa"/>
            <w:tcMar>
              <w:left w:w="0" w:type="dxa"/>
              <w:right w:w="0" w:type="dxa"/>
            </w:tcMar>
            <w:vAlign w:val="center"/>
          </w:tcPr>
          <w:p w14:paraId="2ED8AA2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264 (100%)</w:t>
            </w:r>
          </w:p>
        </w:tc>
        <w:tc>
          <w:tcPr>
            <w:tcW w:w="992" w:type="dxa"/>
            <w:tcMar>
              <w:left w:w="0" w:type="dxa"/>
              <w:right w:w="0" w:type="dxa"/>
            </w:tcMar>
            <w:vAlign w:val="center"/>
          </w:tcPr>
          <w:p w14:paraId="4903539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66 (100%)</w:t>
            </w:r>
          </w:p>
          <w:p w14:paraId="1FAB542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67 (100%)</w:t>
            </w:r>
          </w:p>
        </w:tc>
        <w:tc>
          <w:tcPr>
            <w:tcW w:w="877" w:type="dxa"/>
            <w:tcBorders>
              <w:right w:val="single" w:sz="12" w:space="0" w:color="000000"/>
            </w:tcBorders>
            <w:tcMar>
              <w:left w:w="0" w:type="dxa"/>
              <w:right w:w="0" w:type="dxa"/>
            </w:tcMar>
            <w:vAlign w:val="center"/>
          </w:tcPr>
          <w:p w14:paraId="0AC9074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48 (100%)</w:t>
            </w:r>
          </w:p>
        </w:tc>
        <w:tc>
          <w:tcPr>
            <w:tcW w:w="1107" w:type="dxa"/>
            <w:tcBorders>
              <w:left w:val="single" w:sz="12" w:space="0" w:color="000000"/>
            </w:tcBorders>
            <w:tcMar>
              <w:left w:w="0" w:type="dxa"/>
              <w:right w:w="0" w:type="dxa"/>
            </w:tcMar>
            <w:vAlign w:val="center"/>
          </w:tcPr>
          <w:p w14:paraId="5D29333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109DB71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noWrap/>
            <w:tcMar>
              <w:left w:w="0" w:type="dxa"/>
              <w:right w:w="0" w:type="dxa"/>
            </w:tcMar>
            <w:vAlign w:val="center"/>
            <w:hideMark/>
          </w:tcPr>
          <w:p w14:paraId="0D84DFF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878" w:type="dxa"/>
            <w:tcBorders>
              <w:right w:val="single" w:sz="12" w:space="0" w:color="000000"/>
            </w:tcBorders>
            <w:tcMar>
              <w:left w:w="0" w:type="dxa"/>
              <w:right w:w="0" w:type="dxa"/>
            </w:tcMar>
            <w:vAlign w:val="center"/>
          </w:tcPr>
          <w:p w14:paraId="3D90E9F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r>
      <w:tr w:rsidR="00DB55B4" w:rsidRPr="00DB55B4" w14:paraId="435B5FD3" w14:textId="77777777" w:rsidTr="00591A66">
        <w:trPr>
          <w:trHeight w:val="300"/>
          <w:jc w:val="center"/>
        </w:trPr>
        <w:tc>
          <w:tcPr>
            <w:tcW w:w="1388" w:type="dxa"/>
            <w:tcBorders>
              <w:right w:val="single" w:sz="12" w:space="0" w:color="000000"/>
            </w:tcBorders>
            <w:noWrap/>
            <w:vAlign w:val="center"/>
            <w:hideMark/>
          </w:tcPr>
          <w:p w14:paraId="61B05DD6" w14:textId="77777777" w:rsidR="00DB55B4" w:rsidRPr="00DB55B4" w:rsidRDefault="00DB55B4" w:rsidP="00591A66">
            <w:pPr>
              <w:spacing w:before="0" w:after="0"/>
              <w:jc w:val="center"/>
              <w:rPr>
                <w:rFonts w:eastAsia="Calibri" w:cs="Times New Roman"/>
                <w:b/>
                <w:bCs/>
                <w:sz w:val="12"/>
                <w:szCs w:val="12"/>
              </w:rPr>
            </w:pPr>
            <w:r w:rsidRPr="00DB55B4">
              <w:rPr>
                <w:rFonts w:eastAsia="Calibri" w:cs="Times New Roman"/>
                <w:b/>
                <w:bCs/>
                <w:sz w:val="12"/>
                <w:szCs w:val="12"/>
              </w:rPr>
              <w:t>Lennox-Gastaut</w:t>
            </w:r>
          </w:p>
        </w:tc>
        <w:tc>
          <w:tcPr>
            <w:tcW w:w="992" w:type="dxa"/>
            <w:tcBorders>
              <w:left w:val="single" w:sz="12" w:space="0" w:color="000000"/>
            </w:tcBorders>
            <w:noWrap/>
            <w:tcMar>
              <w:left w:w="0" w:type="dxa"/>
              <w:right w:w="0" w:type="dxa"/>
            </w:tcMar>
            <w:vAlign w:val="center"/>
            <w:hideMark/>
          </w:tcPr>
          <w:p w14:paraId="460CD7F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31 (19%)</w:t>
            </w:r>
          </w:p>
        </w:tc>
        <w:tc>
          <w:tcPr>
            <w:tcW w:w="992" w:type="dxa"/>
            <w:tcMar>
              <w:left w:w="0" w:type="dxa"/>
              <w:right w:w="0" w:type="dxa"/>
            </w:tcMar>
            <w:vAlign w:val="center"/>
          </w:tcPr>
          <w:p w14:paraId="75C54CC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94 (15%)</w:t>
            </w:r>
          </w:p>
        </w:tc>
        <w:tc>
          <w:tcPr>
            <w:tcW w:w="992" w:type="dxa"/>
            <w:tcMar>
              <w:left w:w="0" w:type="dxa"/>
              <w:right w:w="0" w:type="dxa"/>
            </w:tcMar>
            <w:vAlign w:val="center"/>
          </w:tcPr>
          <w:p w14:paraId="2D1E934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94 (61%)</w:t>
            </w:r>
          </w:p>
        </w:tc>
        <w:tc>
          <w:tcPr>
            <w:tcW w:w="876" w:type="dxa"/>
            <w:tcBorders>
              <w:right w:val="single" w:sz="12" w:space="0" w:color="000000"/>
            </w:tcBorders>
            <w:tcMar>
              <w:left w:w="0" w:type="dxa"/>
              <w:right w:w="0" w:type="dxa"/>
            </w:tcMar>
            <w:vAlign w:val="center"/>
          </w:tcPr>
          <w:p w14:paraId="09040A4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62 (49.6%)</w:t>
            </w:r>
          </w:p>
        </w:tc>
        <w:tc>
          <w:tcPr>
            <w:tcW w:w="1108" w:type="dxa"/>
            <w:tcBorders>
              <w:left w:val="single" w:sz="12" w:space="0" w:color="000000"/>
            </w:tcBorders>
            <w:noWrap/>
            <w:tcMar>
              <w:left w:w="0" w:type="dxa"/>
              <w:right w:w="0" w:type="dxa"/>
            </w:tcMar>
            <w:vAlign w:val="center"/>
            <w:hideMark/>
          </w:tcPr>
          <w:p w14:paraId="7B0BA56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08D454A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54C153F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17BF839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877" w:type="dxa"/>
            <w:tcBorders>
              <w:right w:val="single" w:sz="12" w:space="0" w:color="000000"/>
            </w:tcBorders>
            <w:tcMar>
              <w:left w:w="0" w:type="dxa"/>
              <w:right w:w="0" w:type="dxa"/>
            </w:tcMar>
            <w:vAlign w:val="center"/>
          </w:tcPr>
          <w:p w14:paraId="29276B8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1107" w:type="dxa"/>
            <w:tcBorders>
              <w:left w:val="single" w:sz="12" w:space="0" w:color="000000"/>
            </w:tcBorders>
            <w:tcMar>
              <w:left w:w="0" w:type="dxa"/>
              <w:right w:w="0" w:type="dxa"/>
            </w:tcMar>
            <w:vAlign w:val="center"/>
          </w:tcPr>
          <w:p w14:paraId="68540A2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149 (100%)</w:t>
            </w:r>
          </w:p>
          <w:p w14:paraId="7B176A23" w14:textId="77777777" w:rsidR="00DB55B4" w:rsidRPr="00DB55B4" w:rsidRDefault="00DB55B4" w:rsidP="00591A66">
            <w:pPr>
              <w:spacing w:before="0" w:after="0"/>
              <w:jc w:val="center"/>
              <w:rPr>
                <w:rFonts w:eastAsia="Calibri" w:cs="Times New Roman"/>
                <w:sz w:val="12"/>
                <w:szCs w:val="12"/>
              </w:rPr>
            </w:pPr>
          </w:p>
        </w:tc>
        <w:tc>
          <w:tcPr>
            <w:tcW w:w="992" w:type="dxa"/>
            <w:tcMar>
              <w:left w:w="0" w:type="dxa"/>
              <w:right w:w="0" w:type="dxa"/>
            </w:tcMar>
            <w:vAlign w:val="center"/>
          </w:tcPr>
          <w:p w14:paraId="4C4FC25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86 (100%)</w:t>
            </w:r>
          </w:p>
        </w:tc>
        <w:tc>
          <w:tcPr>
            <w:tcW w:w="992" w:type="dxa"/>
            <w:noWrap/>
            <w:tcMar>
              <w:left w:w="0" w:type="dxa"/>
              <w:right w:w="0" w:type="dxa"/>
            </w:tcMar>
            <w:vAlign w:val="center"/>
            <w:hideMark/>
          </w:tcPr>
          <w:p w14:paraId="2ADF66B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366 (100%)</w:t>
            </w:r>
          </w:p>
        </w:tc>
        <w:tc>
          <w:tcPr>
            <w:tcW w:w="878" w:type="dxa"/>
            <w:tcBorders>
              <w:right w:val="single" w:sz="12" w:space="0" w:color="000000"/>
            </w:tcBorders>
            <w:tcMar>
              <w:left w:w="0" w:type="dxa"/>
              <w:right w:w="0" w:type="dxa"/>
            </w:tcMar>
            <w:vAlign w:val="center"/>
          </w:tcPr>
          <w:p w14:paraId="5775200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62 (100%)</w:t>
            </w:r>
          </w:p>
        </w:tc>
      </w:tr>
      <w:tr w:rsidR="00DB55B4" w:rsidRPr="00DB55B4" w14:paraId="198BEDBD" w14:textId="77777777" w:rsidTr="00591A66">
        <w:trPr>
          <w:trHeight w:val="300"/>
          <w:jc w:val="center"/>
        </w:trPr>
        <w:tc>
          <w:tcPr>
            <w:tcW w:w="1388" w:type="dxa"/>
            <w:tcBorders>
              <w:right w:val="single" w:sz="12" w:space="0" w:color="000000"/>
            </w:tcBorders>
            <w:noWrap/>
            <w:vAlign w:val="center"/>
            <w:hideMark/>
          </w:tcPr>
          <w:p w14:paraId="2377F7F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Number of AEDs</w:t>
            </w:r>
          </w:p>
        </w:tc>
        <w:tc>
          <w:tcPr>
            <w:tcW w:w="992" w:type="dxa"/>
            <w:tcBorders>
              <w:left w:val="single" w:sz="12" w:space="0" w:color="000000"/>
            </w:tcBorders>
            <w:noWrap/>
            <w:tcMar>
              <w:left w:w="0" w:type="dxa"/>
              <w:right w:w="0" w:type="dxa"/>
            </w:tcMar>
            <w:vAlign w:val="center"/>
            <w:hideMark/>
          </w:tcPr>
          <w:p w14:paraId="4C70C88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(0-7)</w:t>
            </w:r>
          </w:p>
        </w:tc>
        <w:tc>
          <w:tcPr>
            <w:tcW w:w="992" w:type="dxa"/>
            <w:tcMar>
              <w:left w:w="0" w:type="dxa"/>
              <w:right w:w="0" w:type="dxa"/>
            </w:tcMar>
            <w:vAlign w:val="center"/>
          </w:tcPr>
          <w:p w14:paraId="1DC997F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(0‐10)</w:t>
            </w:r>
          </w:p>
        </w:tc>
        <w:tc>
          <w:tcPr>
            <w:tcW w:w="992" w:type="dxa"/>
            <w:tcMar>
              <w:left w:w="0" w:type="dxa"/>
              <w:right w:w="0" w:type="dxa"/>
            </w:tcMar>
            <w:vAlign w:val="center"/>
          </w:tcPr>
          <w:p w14:paraId="59D6DB8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(0-10)</w:t>
            </w:r>
          </w:p>
        </w:tc>
        <w:tc>
          <w:tcPr>
            <w:tcW w:w="876" w:type="dxa"/>
            <w:tcBorders>
              <w:right w:val="single" w:sz="12" w:space="0" w:color="000000"/>
            </w:tcBorders>
            <w:tcMar>
              <w:left w:w="0" w:type="dxa"/>
              <w:right w:w="0" w:type="dxa"/>
            </w:tcMar>
            <w:vAlign w:val="center"/>
          </w:tcPr>
          <w:p w14:paraId="22B0C83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[3-4]</w:t>
            </w:r>
          </w:p>
          <w:p w14:paraId="72FE080C" w14:textId="77777777" w:rsidR="00DB55B4" w:rsidRPr="00DB55B4" w:rsidRDefault="00DB55B4" w:rsidP="00591A66">
            <w:pPr>
              <w:spacing w:before="0" w:after="0"/>
              <w:jc w:val="center"/>
              <w:rPr>
                <w:rFonts w:eastAsia="Calibri" w:cs="Times New Roman"/>
                <w:sz w:val="12"/>
                <w:szCs w:val="12"/>
              </w:rPr>
            </w:pPr>
          </w:p>
        </w:tc>
        <w:tc>
          <w:tcPr>
            <w:tcW w:w="1108" w:type="dxa"/>
            <w:tcBorders>
              <w:left w:val="single" w:sz="12" w:space="0" w:color="000000"/>
            </w:tcBorders>
            <w:noWrap/>
            <w:tcMar>
              <w:left w:w="0" w:type="dxa"/>
              <w:right w:w="0" w:type="dxa"/>
            </w:tcMar>
            <w:vAlign w:val="center"/>
            <w:hideMark/>
          </w:tcPr>
          <w:p w14:paraId="1687B04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3.0±1.0</w:t>
            </w:r>
          </w:p>
        </w:tc>
        <w:tc>
          <w:tcPr>
            <w:tcW w:w="992" w:type="dxa"/>
            <w:tcMar>
              <w:left w:w="0" w:type="dxa"/>
              <w:right w:w="0" w:type="dxa"/>
            </w:tcMar>
            <w:vAlign w:val="center"/>
          </w:tcPr>
          <w:p w14:paraId="6E82F18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2.6 ± 0.9</w:t>
            </w:r>
          </w:p>
        </w:tc>
        <w:tc>
          <w:tcPr>
            <w:tcW w:w="992" w:type="dxa"/>
            <w:tcMar>
              <w:left w:w="0" w:type="dxa"/>
              <w:right w:w="0" w:type="dxa"/>
            </w:tcMar>
            <w:vAlign w:val="center"/>
          </w:tcPr>
          <w:p w14:paraId="3077CDE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(1-6)</w:t>
            </w:r>
          </w:p>
        </w:tc>
        <w:tc>
          <w:tcPr>
            <w:tcW w:w="992" w:type="dxa"/>
            <w:tcMar>
              <w:left w:w="0" w:type="dxa"/>
              <w:right w:w="0" w:type="dxa"/>
            </w:tcMar>
            <w:vAlign w:val="center"/>
          </w:tcPr>
          <w:p w14:paraId="7F233AC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(1-5)</w:t>
            </w:r>
          </w:p>
          <w:p w14:paraId="0593146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(1-4)</w:t>
            </w:r>
          </w:p>
        </w:tc>
        <w:tc>
          <w:tcPr>
            <w:tcW w:w="877" w:type="dxa"/>
            <w:tcBorders>
              <w:right w:val="single" w:sz="12" w:space="0" w:color="000000"/>
            </w:tcBorders>
            <w:tcMar>
              <w:left w:w="0" w:type="dxa"/>
              <w:right w:w="0" w:type="dxa"/>
            </w:tcMar>
            <w:vAlign w:val="center"/>
          </w:tcPr>
          <w:p w14:paraId="76817B5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[3-4]</w:t>
            </w:r>
          </w:p>
        </w:tc>
        <w:tc>
          <w:tcPr>
            <w:tcW w:w="1107" w:type="dxa"/>
            <w:tcBorders>
              <w:left w:val="single" w:sz="12" w:space="0" w:color="000000"/>
            </w:tcBorders>
            <w:tcMar>
              <w:left w:w="0" w:type="dxa"/>
              <w:right w:w="0" w:type="dxa"/>
            </w:tcMar>
            <w:vAlign w:val="center"/>
          </w:tcPr>
          <w:p w14:paraId="6064C77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[1–5],</w:t>
            </w:r>
          </w:p>
          <w:p w14:paraId="1544EF9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[0–5]</w:t>
            </w:r>
          </w:p>
        </w:tc>
        <w:tc>
          <w:tcPr>
            <w:tcW w:w="992" w:type="dxa"/>
            <w:tcMar>
              <w:left w:w="0" w:type="dxa"/>
              <w:right w:w="0" w:type="dxa"/>
            </w:tcMar>
            <w:vAlign w:val="center"/>
          </w:tcPr>
          <w:p w14:paraId="10A7E85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[1–5]</w:t>
            </w:r>
          </w:p>
        </w:tc>
        <w:tc>
          <w:tcPr>
            <w:tcW w:w="992" w:type="dxa"/>
            <w:noWrap/>
            <w:tcMar>
              <w:left w:w="0" w:type="dxa"/>
              <w:right w:w="0" w:type="dxa"/>
            </w:tcMar>
            <w:vAlign w:val="center"/>
            <w:hideMark/>
          </w:tcPr>
          <w:p w14:paraId="1488465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(0-9)</w:t>
            </w:r>
          </w:p>
        </w:tc>
        <w:tc>
          <w:tcPr>
            <w:tcW w:w="878" w:type="dxa"/>
            <w:tcBorders>
              <w:right w:val="single" w:sz="12" w:space="0" w:color="000000"/>
            </w:tcBorders>
            <w:tcMar>
              <w:left w:w="0" w:type="dxa"/>
              <w:right w:w="0" w:type="dxa"/>
            </w:tcMar>
            <w:vAlign w:val="center"/>
          </w:tcPr>
          <w:p w14:paraId="4AFE519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 [3-4]</w:t>
            </w:r>
          </w:p>
        </w:tc>
      </w:tr>
      <w:tr w:rsidR="00DB55B4" w:rsidRPr="00DB55B4" w14:paraId="3A1ABC6C" w14:textId="77777777" w:rsidTr="00591A66">
        <w:trPr>
          <w:trHeight w:val="300"/>
          <w:jc w:val="center"/>
        </w:trPr>
        <w:tc>
          <w:tcPr>
            <w:tcW w:w="1388" w:type="dxa"/>
            <w:tcBorders>
              <w:right w:val="single" w:sz="12" w:space="0" w:color="000000"/>
            </w:tcBorders>
            <w:noWrap/>
            <w:vAlign w:val="center"/>
            <w:hideMark/>
          </w:tcPr>
          <w:p w14:paraId="282C18C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CLB</w:t>
            </w:r>
          </w:p>
        </w:tc>
        <w:tc>
          <w:tcPr>
            <w:tcW w:w="992" w:type="dxa"/>
            <w:tcBorders>
              <w:left w:val="single" w:sz="12" w:space="0" w:color="000000"/>
            </w:tcBorders>
            <w:noWrap/>
            <w:tcMar>
              <w:left w:w="0" w:type="dxa"/>
              <w:right w:w="0" w:type="dxa"/>
            </w:tcMar>
            <w:vAlign w:val="center"/>
            <w:hideMark/>
          </w:tcPr>
          <w:p w14:paraId="3EBEFE6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85 (52%)</w:t>
            </w:r>
          </w:p>
        </w:tc>
        <w:tc>
          <w:tcPr>
            <w:tcW w:w="992" w:type="dxa"/>
            <w:tcMar>
              <w:left w:w="0" w:type="dxa"/>
              <w:right w:w="0" w:type="dxa"/>
            </w:tcMar>
            <w:vAlign w:val="center"/>
          </w:tcPr>
          <w:p w14:paraId="4031ADA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319 (53%)</w:t>
            </w:r>
          </w:p>
        </w:tc>
        <w:tc>
          <w:tcPr>
            <w:tcW w:w="992" w:type="dxa"/>
            <w:tcMar>
              <w:left w:w="0" w:type="dxa"/>
              <w:right w:w="0" w:type="dxa"/>
            </w:tcMar>
            <w:vAlign w:val="center"/>
          </w:tcPr>
          <w:p w14:paraId="4CDF8E0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99 (65.1%)</w:t>
            </w:r>
          </w:p>
        </w:tc>
        <w:tc>
          <w:tcPr>
            <w:tcW w:w="876" w:type="dxa"/>
            <w:tcBorders>
              <w:right w:val="single" w:sz="12" w:space="0" w:color="000000"/>
            </w:tcBorders>
            <w:tcMar>
              <w:left w:w="0" w:type="dxa"/>
              <w:right w:w="0" w:type="dxa"/>
            </w:tcMar>
            <w:vAlign w:val="center"/>
          </w:tcPr>
          <w:p w14:paraId="37594CE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76 (60.8%)</w:t>
            </w:r>
          </w:p>
        </w:tc>
        <w:tc>
          <w:tcPr>
            <w:tcW w:w="1108" w:type="dxa"/>
            <w:tcBorders>
              <w:left w:val="single" w:sz="12" w:space="0" w:color="000000"/>
            </w:tcBorders>
            <w:noWrap/>
            <w:tcMar>
              <w:left w:w="0" w:type="dxa"/>
              <w:right w:w="0" w:type="dxa"/>
            </w:tcMar>
            <w:vAlign w:val="center"/>
            <w:hideMark/>
          </w:tcPr>
          <w:p w14:paraId="77E8455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40 (66%)</w:t>
            </w:r>
          </w:p>
        </w:tc>
        <w:tc>
          <w:tcPr>
            <w:tcW w:w="992" w:type="dxa"/>
            <w:tcMar>
              <w:left w:w="0" w:type="dxa"/>
              <w:right w:w="0" w:type="dxa"/>
            </w:tcMar>
            <w:vAlign w:val="center"/>
          </w:tcPr>
          <w:p w14:paraId="24B9B58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23 (68%)</w:t>
            </w:r>
          </w:p>
        </w:tc>
        <w:tc>
          <w:tcPr>
            <w:tcW w:w="992" w:type="dxa"/>
            <w:tcMar>
              <w:left w:w="0" w:type="dxa"/>
              <w:right w:w="0" w:type="dxa"/>
            </w:tcMar>
            <w:vAlign w:val="center"/>
          </w:tcPr>
          <w:p w14:paraId="03761DD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180 (68%)</w:t>
            </w:r>
          </w:p>
        </w:tc>
        <w:tc>
          <w:tcPr>
            <w:tcW w:w="992" w:type="dxa"/>
            <w:tcMar>
              <w:left w:w="0" w:type="dxa"/>
              <w:right w:w="0" w:type="dxa"/>
            </w:tcMar>
            <w:vAlign w:val="center"/>
          </w:tcPr>
          <w:p w14:paraId="6562949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46 (68%)</w:t>
            </w:r>
          </w:p>
          <w:p w14:paraId="11EC6C5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40 (60%)</w:t>
            </w:r>
          </w:p>
        </w:tc>
        <w:tc>
          <w:tcPr>
            <w:tcW w:w="877" w:type="dxa"/>
            <w:tcBorders>
              <w:right w:val="single" w:sz="12" w:space="0" w:color="000000"/>
            </w:tcBorders>
            <w:tcMar>
              <w:left w:w="0" w:type="dxa"/>
              <w:right w:w="0" w:type="dxa"/>
            </w:tcMar>
            <w:vAlign w:val="center"/>
          </w:tcPr>
          <w:p w14:paraId="3605BBA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37 (77.1%)</w:t>
            </w:r>
          </w:p>
        </w:tc>
        <w:tc>
          <w:tcPr>
            <w:tcW w:w="1107" w:type="dxa"/>
            <w:tcBorders>
              <w:left w:val="single" w:sz="12" w:space="0" w:color="000000"/>
            </w:tcBorders>
            <w:tcMar>
              <w:left w:w="0" w:type="dxa"/>
              <w:right w:w="0" w:type="dxa"/>
            </w:tcMar>
            <w:vAlign w:val="center"/>
          </w:tcPr>
          <w:p w14:paraId="14FD7C7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37 (51%),</w:t>
            </w:r>
          </w:p>
          <w:p w14:paraId="5B9BD56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36 (47%)</w:t>
            </w:r>
          </w:p>
        </w:tc>
        <w:tc>
          <w:tcPr>
            <w:tcW w:w="992" w:type="dxa"/>
            <w:tcMar>
              <w:left w:w="0" w:type="dxa"/>
              <w:right w:w="0" w:type="dxa"/>
            </w:tcMar>
            <w:vAlign w:val="center"/>
          </w:tcPr>
          <w:p w14:paraId="04571F9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41 (48%)</w:t>
            </w:r>
          </w:p>
        </w:tc>
        <w:tc>
          <w:tcPr>
            <w:tcW w:w="992" w:type="dxa"/>
            <w:noWrap/>
            <w:tcMar>
              <w:left w:w="0" w:type="dxa"/>
              <w:right w:w="0" w:type="dxa"/>
            </w:tcMar>
            <w:vAlign w:val="center"/>
            <w:hideMark/>
          </w:tcPr>
          <w:p w14:paraId="1D63ED2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188 (51%)</w:t>
            </w:r>
          </w:p>
        </w:tc>
        <w:tc>
          <w:tcPr>
            <w:tcW w:w="878" w:type="dxa"/>
            <w:tcBorders>
              <w:right w:val="single" w:sz="12" w:space="0" w:color="000000"/>
            </w:tcBorders>
            <w:tcMar>
              <w:left w:w="0" w:type="dxa"/>
              <w:right w:w="0" w:type="dxa"/>
            </w:tcMar>
            <w:vAlign w:val="center"/>
          </w:tcPr>
          <w:p w14:paraId="1D8CB57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33 (53.2%)</w:t>
            </w:r>
          </w:p>
        </w:tc>
      </w:tr>
      <w:tr w:rsidR="00DB55B4" w:rsidRPr="00DB55B4" w14:paraId="6E78E232" w14:textId="77777777" w:rsidTr="00591A66">
        <w:trPr>
          <w:trHeight w:val="300"/>
          <w:jc w:val="center"/>
        </w:trPr>
        <w:tc>
          <w:tcPr>
            <w:tcW w:w="1388" w:type="dxa"/>
            <w:tcBorders>
              <w:right w:val="single" w:sz="12" w:space="0" w:color="000000"/>
            </w:tcBorders>
            <w:noWrap/>
            <w:vAlign w:val="center"/>
            <w:hideMark/>
          </w:tcPr>
          <w:p w14:paraId="2EBB506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VPA</w:t>
            </w:r>
          </w:p>
        </w:tc>
        <w:tc>
          <w:tcPr>
            <w:tcW w:w="992" w:type="dxa"/>
            <w:tcBorders>
              <w:left w:val="single" w:sz="12" w:space="0" w:color="000000"/>
            </w:tcBorders>
            <w:noWrap/>
            <w:tcMar>
              <w:left w:w="0" w:type="dxa"/>
              <w:right w:w="0" w:type="dxa"/>
            </w:tcMar>
            <w:vAlign w:val="center"/>
            <w:hideMark/>
          </w:tcPr>
          <w:p w14:paraId="6309539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48 (30%)</w:t>
            </w:r>
          </w:p>
        </w:tc>
        <w:tc>
          <w:tcPr>
            <w:tcW w:w="992" w:type="dxa"/>
            <w:tcMar>
              <w:left w:w="0" w:type="dxa"/>
              <w:right w:w="0" w:type="dxa"/>
            </w:tcMar>
            <w:vAlign w:val="center"/>
          </w:tcPr>
          <w:p w14:paraId="77D8BA9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183 (30%)</w:t>
            </w:r>
          </w:p>
        </w:tc>
        <w:tc>
          <w:tcPr>
            <w:tcW w:w="992" w:type="dxa"/>
            <w:tcMar>
              <w:left w:w="0" w:type="dxa"/>
              <w:right w:w="0" w:type="dxa"/>
            </w:tcMar>
            <w:vAlign w:val="center"/>
          </w:tcPr>
          <w:p w14:paraId="507A506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64 (42.1%)</w:t>
            </w:r>
          </w:p>
        </w:tc>
        <w:tc>
          <w:tcPr>
            <w:tcW w:w="876" w:type="dxa"/>
            <w:tcBorders>
              <w:right w:val="single" w:sz="12" w:space="0" w:color="000000"/>
            </w:tcBorders>
            <w:tcMar>
              <w:left w:w="0" w:type="dxa"/>
              <w:right w:w="0" w:type="dxa"/>
            </w:tcMar>
            <w:vAlign w:val="center"/>
          </w:tcPr>
          <w:p w14:paraId="7F6B3F7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81 (64.8%)</w:t>
            </w:r>
          </w:p>
        </w:tc>
        <w:tc>
          <w:tcPr>
            <w:tcW w:w="1108" w:type="dxa"/>
            <w:tcBorders>
              <w:left w:val="single" w:sz="12" w:space="0" w:color="000000"/>
            </w:tcBorders>
            <w:noWrap/>
            <w:tcMar>
              <w:left w:w="0" w:type="dxa"/>
              <w:right w:w="0" w:type="dxa"/>
            </w:tcMar>
            <w:vAlign w:val="center"/>
            <w:hideMark/>
          </w:tcPr>
          <w:p w14:paraId="506F372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37 (61%)</w:t>
            </w:r>
          </w:p>
        </w:tc>
        <w:tc>
          <w:tcPr>
            <w:tcW w:w="992" w:type="dxa"/>
            <w:tcMar>
              <w:left w:w="0" w:type="dxa"/>
              <w:right w:w="0" w:type="dxa"/>
            </w:tcMar>
            <w:vAlign w:val="center"/>
          </w:tcPr>
          <w:p w14:paraId="55A3117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22 (65%)</w:t>
            </w:r>
          </w:p>
        </w:tc>
        <w:tc>
          <w:tcPr>
            <w:tcW w:w="992" w:type="dxa"/>
            <w:tcMar>
              <w:left w:w="0" w:type="dxa"/>
              <w:right w:w="0" w:type="dxa"/>
            </w:tcMar>
            <w:vAlign w:val="center"/>
          </w:tcPr>
          <w:p w14:paraId="6BE183E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168 (64%)</w:t>
            </w:r>
          </w:p>
        </w:tc>
        <w:tc>
          <w:tcPr>
            <w:tcW w:w="992" w:type="dxa"/>
            <w:tcMar>
              <w:left w:w="0" w:type="dxa"/>
              <w:right w:w="0" w:type="dxa"/>
            </w:tcMar>
            <w:vAlign w:val="center"/>
          </w:tcPr>
          <w:p w14:paraId="458D286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44 (67%)</w:t>
            </w:r>
          </w:p>
          <w:p w14:paraId="5354C7C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47 (70%)</w:t>
            </w:r>
          </w:p>
        </w:tc>
        <w:tc>
          <w:tcPr>
            <w:tcW w:w="877" w:type="dxa"/>
            <w:tcBorders>
              <w:right w:val="single" w:sz="12" w:space="0" w:color="000000"/>
            </w:tcBorders>
            <w:tcMar>
              <w:left w:w="0" w:type="dxa"/>
              <w:right w:w="0" w:type="dxa"/>
            </w:tcMar>
            <w:vAlign w:val="center"/>
          </w:tcPr>
          <w:p w14:paraId="7680B92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81 (64.8%)</w:t>
            </w:r>
          </w:p>
        </w:tc>
        <w:tc>
          <w:tcPr>
            <w:tcW w:w="1107" w:type="dxa"/>
            <w:tcBorders>
              <w:left w:val="single" w:sz="12" w:space="0" w:color="000000"/>
            </w:tcBorders>
            <w:tcMar>
              <w:left w:w="0" w:type="dxa"/>
              <w:right w:w="0" w:type="dxa"/>
            </w:tcMar>
            <w:vAlign w:val="center"/>
          </w:tcPr>
          <w:p w14:paraId="434C6FF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27 (37%),</w:t>
            </w:r>
          </w:p>
          <w:p w14:paraId="66709D1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28 (37%)</w:t>
            </w:r>
          </w:p>
        </w:tc>
        <w:tc>
          <w:tcPr>
            <w:tcW w:w="992" w:type="dxa"/>
            <w:tcMar>
              <w:left w:w="0" w:type="dxa"/>
              <w:right w:w="0" w:type="dxa"/>
            </w:tcMar>
            <w:vAlign w:val="center"/>
          </w:tcPr>
          <w:p w14:paraId="0946677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36 (42%)</w:t>
            </w:r>
          </w:p>
        </w:tc>
        <w:tc>
          <w:tcPr>
            <w:tcW w:w="992" w:type="dxa"/>
            <w:noWrap/>
            <w:tcMar>
              <w:left w:w="0" w:type="dxa"/>
              <w:right w:w="0" w:type="dxa"/>
            </w:tcMar>
            <w:vAlign w:val="center"/>
            <w:hideMark/>
          </w:tcPr>
          <w:p w14:paraId="6CFB6B2F"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136 (37%)</w:t>
            </w:r>
          </w:p>
        </w:tc>
        <w:tc>
          <w:tcPr>
            <w:tcW w:w="878" w:type="dxa"/>
            <w:tcBorders>
              <w:right w:val="single" w:sz="12" w:space="0" w:color="000000"/>
            </w:tcBorders>
            <w:tcMar>
              <w:left w:w="0" w:type="dxa"/>
              <w:right w:w="0" w:type="dxa"/>
            </w:tcMar>
            <w:vAlign w:val="center"/>
          </w:tcPr>
          <w:p w14:paraId="044BE41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40 (64.5%)</w:t>
            </w:r>
          </w:p>
        </w:tc>
      </w:tr>
      <w:tr w:rsidR="00DB55B4" w:rsidRPr="00DB55B4" w14:paraId="53D5CBF2" w14:textId="77777777" w:rsidTr="00591A66">
        <w:trPr>
          <w:trHeight w:val="300"/>
          <w:jc w:val="center"/>
        </w:trPr>
        <w:tc>
          <w:tcPr>
            <w:tcW w:w="1388" w:type="dxa"/>
            <w:tcBorders>
              <w:right w:val="single" w:sz="12" w:space="0" w:color="000000"/>
            </w:tcBorders>
            <w:noWrap/>
            <w:vAlign w:val="center"/>
            <w:hideMark/>
          </w:tcPr>
          <w:p w14:paraId="2E8A94B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STP</w:t>
            </w:r>
          </w:p>
        </w:tc>
        <w:tc>
          <w:tcPr>
            <w:tcW w:w="992" w:type="dxa"/>
            <w:tcBorders>
              <w:left w:val="single" w:sz="12" w:space="0" w:color="000000"/>
            </w:tcBorders>
            <w:noWrap/>
            <w:tcMar>
              <w:left w:w="0" w:type="dxa"/>
              <w:right w:w="0" w:type="dxa"/>
            </w:tcMar>
            <w:vAlign w:val="center"/>
            <w:hideMark/>
          </w:tcPr>
          <w:p w14:paraId="1577464F"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1BD10FC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16 (3%)</w:t>
            </w:r>
          </w:p>
        </w:tc>
        <w:tc>
          <w:tcPr>
            <w:tcW w:w="992" w:type="dxa"/>
            <w:tcMar>
              <w:left w:w="0" w:type="dxa"/>
              <w:right w:w="0" w:type="dxa"/>
            </w:tcMar>
            <w:vAlign w:val="center"/>
          </w:tcPr>
          <w:p w14:paraId="3E571F4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876" w:type="dxa"/>
            <w:tcBorders>
              <w:right w:val="single" w:sz="12" w:space="0" w:color="000000"/>
            </w:tcBorders>
            <w:tcMar>
              <w:left w:w="0" w:type="dxa"/>
              <w:right w:w="0" w:type="dxa"/>
            </w:tcMar>
            <w:vAlign w:val="center"/>
          </w:tcPr>
          <w:p w14:paraId="2F57ECC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38 (30.4%)</w:t>
            </w:r>
          </w:p>
        </w:tc>
        <w:tc>
          <w:tcPr>
            <w:tcW w:w="1108" w:type="dxa"/>
            <w:tcBorders>
              <w:left w:val="single" w:sz="12" w:space="0" w:color="000000"/>
            </w:tcBorders>
            <w:noWrap/>
            <w:tcMar>
              <w:left w:w="0" w:type="dxa"/>
              <w:right w:w="0" w:type="dxa"/>
            </w:tcMar>
            <w:vAlign w:val="center"/>
            <w:hideMark/>
          </w:tcPr>
          <w:p w14:paraId="5B22EC5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30 (49%)</w:t>
            </w:r>
          </w:p>
        </w:tc>
        <w:tc>
          <w:tcPr>
            <w:tcW w:w="992" w:type="dxa"/>
            <w:tcMar>
              <w:left w:w="0" w:type="dxa"/>
              <w:right w:w="0" w:type="dxa"/>
            </w:tcMar>
            <w:vAlign w:val="center"/>
          </w:tcPr>
          <w:p w14:paraId="65D207A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7 (21%)</w:t>
            </w:r>
          </w:p>
        </w:tc>
        <w:tc>
          <w:tcPr>
            <w:tcW w:w="992" w:type="dxa"/>
            <w:tcMar>
              <w:left w:w="0" w:type="dxa"/>
              <w:right w:w="0" w:type="dxa"/>
            </w:tcMar>
            <w:vAlign w:val="center"/>
          </w:tcPr>
          <w:p w14:paraId="457D163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101 (38%)</w:t>
            </w:r>
          </w:p>
        </w:tc>
        <w:tc>
          <w:tcPr>
            <w:tcW w:w="992" w:type="dxa"/>
            <w:tcMar>
              <w:left w:w="0" w:type="dxa"/>
              <w:right w:w="0" w:type="dxa"/>
            </w:tcMar>
            <w:vAlign w:val="center"/>
          </w:tcPr>
          <w:p w14:paraId="6AC9454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25 (38%)</w:t>
            </w:r>
          </w:p>
          <w:p w14:paraId="467432E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22 (33%)</w:t>
            </w:r>
          </w:p>
        </w:tc>
        <w:tc>
          <w:tcPr>
            <w:tcW w:w="877" w:type="dxa"/>
            <w:tcBorders>
              <w:right w:val="single" w:sz="12" w:space="0" w:color="000000"/>
            </w:tcBorders>
            <w:tcMar>
              <w:left w:w="0" w:type="dxa"/>
              <w:right w:w="0" w:type="dxa"/>
            </w:tcMar>
            <w:vAlign w:val="center"/>
          </w:tcPr>
          <w:p w14:paraId="72D0931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38 (79.2%)</w:t>
            </w:r>
          </w:p>
        </w:tc>
        <w:tc>
          <w:tcPr>
            <w:tcW w:w="1107" w:type="dxa"/>
            <w:tcBorders>
              <w:left w:val="single" w:sz="12" w:space="0" w:color="000000"/>
            </w:tcBorders>
            <w:tcMar>
              <w:left w:w="0" w:type="dxa"/>
              <w:right w:w="0" w:type="dxa"/>
            </w:tcMar>
            <w:vAlign w:val="center"/>
          </w:tcPr>
          <w:p w14:paraId="46A8B44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5118BB4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noWrap/>
            <w:tcMar>
              <w:left w:w="0" w:type="dxa"/>
              <w:right w:w="0" w:type="dxa"/>
            </w:tcMar>
            <w:vAlign w:val="center"/>
            <w:hideMark/>
          </w:tcPr>
          <w:p w14:paraId="3CD517B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878" w:type="dxa"/>
            <w:tcBorders>
              <w:right w:val="single" w:sz="12" w:space="0" w:color="000000"/>
            </w:tcBorders>
            <w:tcMar>
              <w:left w:w="0" w:type="dxa"/>
              <w:right w:w="0" w:type="dxa"/>
            </w:tcMar>
            <w:vAlign w:val="center"/>
          </w:tcPr>
          <w:p w14:paraId="55FC870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0 (0%)</w:t>
            </w:r>
          </w:p>
        </w:tc>
      </w:tr>
      <w:tr w:rsidR="00DB55B4" w:rsidRPr="00DB55B4" w14:paraId="15B0B089" w14:textId="77777777" w:rsidTr="00591A66">
        <w:trPr>
          <w:trHeight w:val="300"/>
          <w:jc w:val="center"/>
        </w:trPr>
        <w:tc>
          <w:tcPr>
            <w:tcW w:w="1388" w:type="dxa"/>
            <w:tcBorders>
              <w:right w:val="single" w:sz="12" w:space="0" w:color="000000"/>
            </w:tcBorders>
            <w:noWrap/>
            <w:vAlign w:val="center"/>
            <w:hideMark/>
          </w:tcPr>
          <w:p w14:paraId="4BFDF50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VNS</w:t>
            </w:r>
          </w:p>
        </w:tc>
        <w:tc>
          <w:tcPr>
            <w:tcW w:w="992" w:type="dxa"/>
            <w:tcBorders>
              <w:left w:val="single" w:sz="12" w:space="0" w:color="000000"/>
            </w:tcBorders>
            <w:noWrap/>
            <w:tcMar>
              <w:left w:w="0" w:type="dxa"/>
              <w:right w:w="0" w:type="dxa"/>
            </w:tcMar>
            <w:vAlign w:val="center"/>
            <w:hideMark/>
          </w:tcPr>
          <w:p w14:paraId="68ADFFE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17 (10%)</w:t>
            </w:r>
          </w:p>
        </w:tc>
        <w:tc>
          <w:tcPr>
            <w:tcW w:w="992" w:type="dxa"/>
            <w:tcMar>
              <w:left w:w="0" w:type="dxa"/>
              <w:right w:w="0" w:type="dxa"/>
            </w:tcMar>
            <w:vAlign w:val="center"/>
          </w:tcPr>
          <w:p w14:paraId="763E61F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18 (3%)</w:t>
            </w:r>
          </w:p>
        </w:tc>
        <w:tc>
          <w:tcPr>
            <w:tcW w:w="992" w:type="dxa"/>
            <w:tcMar>
              <w:left w:w="0" w:type="dxa"/>
              <w:right w:w="0" w:type="dxa"/>
            </w:tcMar>
            <w:vAlign w:val="center"/>
          </w:tcPr>
          <w:p w14:paraId="5241D51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876" w:type="dxa"/>
            <w:tcBorders>
              <w:right w:val="single" w:sz="12" w:space="0" w:color="000000"/>
            </w:tcBorders>
            <w:tcMar>
              <w:left w:w="0" w:type="dxa"/>
              <w:right w:w="0" w:type="dxa"/>
            </w:tcMar>
            <w:vAlign w:val="center"/>
          </w:tcPr>
          <w:p w14:paraId="4297C2D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16 (13%)</w:t>
            </w:r>
          </w:p>
        </w:tc>
        <w:tc>
          <w:tcPr>
            <w:tcW w:w="1108" w:type="dxa"/>
            <w:tcBorders>
              <w:left w:val="single" w:sz="12" w:space="0" w:color="000000"/>
            </w:tcBorders>
            <w:noWrap/>
            <w:tcMar>
              <w:left w:w="0" w:type="dxa"/>
              <w:right w:w="0" w:type="dxa"/>
            </w:tcMar>
            <w:vAlign w:val="center"/>
            <w:hideMark/>
          </w:tcPr>
          <w:p w14:paraId="5319BD5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 (10%)</w:t>
            </w:r>
          </w:p>
        </w:tc>
        <w:tc>
          <w:tcPr>
            <w:tcW w:w="992" w:type="dxa"/>
            <w:tcMar>
              <w:left w:w="0" w:type="dxa"/>
              <w:right w:w="0" w:type="dxa"/>
            </w:tcMar>
            <w:vAlign w:val="center"/>
          </w:tcPr>
          <w:p w14:paraId="1D82992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 (6%)</w:t>
            </w:r>
          </w:p>
        </w:tc>
        <w:tc>
          <w:tcPr>
            <w:tcW w:w="992" w:type="dxa"/>
            <w:tcMar>
              <w:left w:w="0" w:type="dxa"/>
              <w:right w:w="0" w:type="dxa"/>
            </w:tcMar>
            <w:vAlign w:val="center"/>
          </w:tcPr>
          <w:p w14:paraId="3639B35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5EA1484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877" w:type="dxa"/>
            <w:tcBorders>
              <w:right w:val="single" w:sz="12" w:space="0" w:color="000000"/>
            </w:tcBorders>
            <w:tcMar>
              <w:left w:w="0" w:type="dxa"/>
              <w:right w:w="0" w:type="dxa"/>
            </w:tcMar>
            <w:vAlign w:val="center"/>
          </w:tcPr>
          <w:p w14:paraId="6C5F80F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0 (0%)</w:t>
            </w:r>
          </w:p>
        </w:tc>
        <w:tc>
          <w:tcPr>
            <w:tcW w:w="1107" w:type="dxa"/>
            <w:tcBorders>
              <w:left w:val="single" w:sz="12" w:space="0" w:color="000000"/>
            </w:tcBorders>
            <w:tcMar>
              <w:left w:w="0" w:type="dxa"/>
              <w:right w:w="0" w:type="dxa"/>
            </w:tcMar>
            <w:vAlign w:val="center"/>
          </w:tcPr>
          <w:p w14:paraId="26E2AEF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15 (21%),</w:t>
            </w:r>
          </w:p>
          <w:p w14:paraId="615FE91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17 (22%)</w:t>
            </w:r>
          </w:p>
        </w:tc>
        <w:tc>
          <w:tcPr>
            <w:tcW w:w="992" w:type="dxa"/>
            <w:tcMar>
              <w:left w:w="0" w:type="dxa"/>
              <w:right w:w="0" w:type="dxa"/>
            </w:tcMar>
            <w:vAlign w:val="center"/>
          </w:tcPr>
          <w:p w14:paraId="377EE92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26 (30%)</w:t>
            </w:r>
          </w:p>
        </w:tc>
        <w:tc>
          <w:tcPr>
            <w:tcW w:w="992" w:type="dxa"/>
            <w:noWrap/>
            <w:tcMar>
              <w:left w:w="0" w:type="dxa"/>
              <w:right w:w="0" w:type="dxa"/>
            </w:tcMar>
            <w:vAlign w:val="center"/>
            <w:hideMark/>
          </w:tcPr>
          <w:p w14:paraId="1AC290E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878" w:type="dxa"/>
            <w:tcBorders>
              <w:right w:val="single" w:sz="12" w:space="0" w:color="000000"/>
            </w:tcBorders>
            <w:tcMar>
              <w:left w:w="0" w:type="dxa"/>
              <w:right w:w="0" w:type="dxa"/>
            </w:tcMar>
            <w:vAlign w:val="center"/>
          </w:tcPr>
          <w:p w14:paraId="353D8F5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14 (23%)</w:t>
            </w:r>
          </w:p>
        </w:tc>
      </w:tr>
      <w:tr w:rsidR="00DB55B4" w:rsidRPr="00DB55B4" w14:paraId="6382B59B" w14:textId="77777777" w:rsidTr="00591A66">
        <w:trPr>
          <w:trHeight w:val="300"/>
          <w:jc w:val="center"/>
        </w:trPr>
        <w:tc>
          <w:tcPr>
            <w:tcW w:w="1388" w:type="dxa"/>
            <w:tcBorders>
              <w:right w:val="single" w:sz="12" w:space="0" w:color="000000"/>
            </w:tcBorders>
            <w:noWrap/>
            <w:vAlign w:val="center"/>
            <w:hideMark/>
          </w:tcPr>
          <w:p w14:paraId="3671268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KD</w:t>
            </w:r>
          </w:p>
        </w:tc>
        <w:tc>
          <w:tcPr>
            <w:tcW w:w="992" w:type="dxa"/>
            <w:tcBorders>
              <w:left w:val="single" w:sz="12" w:space="0" w:color="000000"/>
            </w:tcBorders>
            <w:noWrap/>
            <w:tcMar>
              <w:left w:w="0" w:type="dxa"/>
              <w:right w:w="0" w:type="dxa"/>
            </w:tcMar>
            <w:vAlign w:val="center"/>
            <w:hideMark/>
          </w:tcPr>
          <w:p w14:paraId="2DDFC9B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13 (8%)</w:t>
            </w:r>
          </w:p>
        </w:tc>
        <w:tc>
          <w:tcPr>
            <w:tcW w:w="992" w:type="dxa"/>
            <w:tcMar>
              <w:left w:w="0" w:type="dxa"/>
              <w:right w:w="0" w:type="dxa"/>
            </w:tcMar>
            <w:vAlign w:val="center"/>
          </w:tcPr>
          <w:p w14:paraId="7D49F53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18 (3%)</w:t>
            </w:r>
          </w:p>
        </w:tc>
        <w:tc>
          <w:tcPr>
            <w:tcW w:w="992" w:type="dxa"/>
            <w:tcMar>
              <w:left w:w="0" w:type="dxa"/>
              <w:right w:w="0" w:type="dxa"/>
            </w:tcMar>
            <w:vAlign w:val="center"/>
          </w:tcPr>
          <w:p w14:paraId="19518F0F"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876" w:type="dxa"/>
            <w:tcBorders>
              <w:right w:val="single" w:sz="12" w:space="0" w:color="000000"/>
            </w:tcBorders>
            <w:tcMar>
              <w:left w:w="0" w:type="dxa"/>
              <w:right w:w="0" w:type="dxa"/>
            </w:tcMar>
            <w:vAlign w:val="center"/>
          </w:tcPr>
          <w:p w14:paraId="68E9F5F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5 (4%)</w:t>
            </w:r>
          </w:p>
        </w:tc>
        <w:tc>
          <w:tcPr>
            <w:tcW w:w="1108" w:type="dxa"/>
            <w:tcBorders>
              <w:left w:val="single" w:sz="12" w:space="0" w:color="000000"/>
            </w:tcBorders>
            <w:noWrap/>
            <w:tcMar>
              <w:left w:w="0" w:type="dxa"/>
              <w:right w:w="0" w:type="dxa"/>
            </w:tcMar>
            <w:vAlign w:val="center"/>
            <w:hideMark/>
          </w:tcPr>
          <w:p w14:paraId="728DAB1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 (10%)</w:t>
            </w:r>
          </w:p>
        </w:tc>
        <w:tc>
          <w:tcPr>
            <w:tcW w:w="992" w:type="dxa"/>
            <w:tcMar>
              <w:left w:w="0" w:type="dxa"/>
              <w:right w:w="0" w:type="dxa"/>
            </w:tcMar>
            <w:vAlign w:val="center"/>
          </w:tcPr>
          <w:p w14:paraId="3FE9918F"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 (18%)</w:t>
            </w:r>
          </w:p>
        </w:tc>
        <w:tc>
          <w:tcPr>
            <w:tcW w:w="992" w:type="dxa"/>
            <w:tcMar>
              <w:left w:w="0" w:type="dxa"/>
              <w:right w:w="0" w:type="dxa"/>
            </w:tcMar>
            <w:vAlign w:val="center"/>
          </w:tcPr>
          <w:p w14:paraId="7E81ECB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5962490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877" w:type="dxa"/>
            <w:tcBorders>
              <w:right w:val="single" w:sz="12" w:space="0" w:color="000000"/>
            </w:tcBorders>
            <w:tcMar>
              <w:left w:w="0" w:type="dxa"/>
              <w:right w:w="0" w:type="dxa"/>
            </w:tcMar>
            <w:vAlign w:val="center"/>
          </w:tcPr>
          <w:p w14:paraId="2A98356F"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 (4.1%)</w:t>
            </w:r>
          </w:p>
        </w:tc>
        <w:tc>
          <w:tcPr>
            <w:tcW w:w="1107" w:type="dxa"/>
            <w:tcBorders>
              <w:left w:val="single" w:sz="12" w:space="0" w:color="000000"/>
            </w:tcBorders>
            <w:tcMar>
              <w:left w:w="0" w:type="dxa"/>
              <w:right w:w="0" w:type="dxa"/>
            </w:tcMar>
            <w:vAlign w:val="center"/>
          </w:tcPr>
          <w:p w14:paraId="2C46BD6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 (8%),</w:t>
            </w:r>
          </w:p>
          <w:p w14:paraId="30DC658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 (8%)</w:t>
            </w:r>
          </w:p>
        </w:tc>
        <w:tc>
          <w:tcPr>
            <w:tcW w:w="992" w:type="dxa"/>
            <w:tcMar>
              <w:left w:w="0" w:type="dxa"/>
              <w:right w:w="0" w:type="dxa"/>
            </w:tcMar>
            <w:vAlign w:val="center"/>
          </w:tcPr>
          <w:p w14:paraId="1230528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 (5%)</w:t>
            </w:r>
          </w:p>
        </w:tc>
        <w:tc>
          <w:tcPr>
            <w:tcW w:w="992" w:type="dxa"/>
            <w:noWrap/>
            <w:tcMar>
              <w:left w:w="0" w:type="dxa"/>
              <w:right w:w="0" w:type="dxa"/>
            </w:tcMar>
            <w:vAlign w:val="center"/>
            <w:hideMark/>
          </w:tcPr>
          <w:p w14:paraId="62DAAE0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878" w:type="dxa"/>
            <w:tcBorders>
              <w:right w:val="single" w:sz="12" w:space="0" w:color="000000"/>
            </w:tcBorders>
            <w:tcMar>
              <w:left w:w="0" w:type="dxa"/>
              <w:right w:w="0" w:type="dxa"/>
            </w:tcMar>
            <w:vAlign w:val="center"/>
          </w:tcPr>
          <w:p w14:paraId="7A532A1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 (2%)</w:t>
            </w:r>
          </w:p>
        </w:tc>
      </w:tr>
      <w:tr w:rsidR="00DB55B4" w:rsidRPr="00DB55B4" w14:paraId="53AED3C1" w14:textId="77777777" w:rsidTr="00591A66">
        <w:trPr>
          <w:trHeight w:val="300"/>
          <w:jc w:val="center"/>
        </w:trPr>
        <w:tc>
          <w:tcPr>
            <w:tcW w:w="1388" w:type="dxa"/>
            <w:tcBorders>
              <w:right w:val="single" w:sz="12" w:space="0" w:color="000000"/>
            </w:tcBorders>
            <w:noWrap/>
            <w:vAlign w:val="center"/>
            <w:hideMark/>
          </w:tcPr>
          <w:p w14:paraId="287DE1E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Monthly frequency of TOTAL seizures</w:t>
            </w:r>
          </w:p>
        </w:tc>
        <w:tc>
          <w:tcPr>
            <w:tcW w:w="992" w:type="dxa"/>
            <w:tcBorders>
              <w:left w:val="single" w:sz="12" w:space="0" w:color="000000"/>
              <w:bottom w:val="single" w:sz="12" w:space="0" w:color="000000"/>
            </w:tcBorders>
            <w:noWrap/>
            <w:tcMar>
              <w:left w:w="0" w:type="dxa"/>
              <w:right w:w="0" w:type="dxa"/>
            </w:tcMar>
            <w:vAlign w:val="center"/>
            <w:hideMark/>
          </w:tcPr>
          <w:p w14:paraId="004F8E7F"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60.5</w:t>
            </w:r>
          </w:p>
          <w:p w14:paraId="071A472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[19.6-151]</w:t>
            </w:r>
          </w:p>
          <w:p w14:paraId="162757D1" w14:textId="77777777" w:rsidR="00DB55B4" w:rsidRPr="00DB55B4" w:rsidRDefault="00DB55B4" w:rsidP="00591A66">
            <w:pPr>
              <w:spacing w:before="0" w:after="0"/>
              <w:jc w:val="center"/>
              <w:rPr>
                <w:rFonts w:eastAsia="Calibri" w:cs="Times New Roman"/>
                <w:sz w:val="12"/>
                <w:szCs w:val="12"/>
              </w:rPr>
            </w:pPr>
          </w:p>
        </w:tc>
        <w:tc>
          <w:tcPr>
            <w:tcW w:w="992" w:type="dxa"/>
            <w:tcBorders>
              <w:bottom w:val="single" w:sz="12" w:space="0" w:color="000000"/>
            </w:tcBorders>
            <w:tcMar>
              <w:left w:w="0" w:type="dxa"/>
              <w:right w:w="0" w:type="dxa"/>
            </w:tcMar>
            <w:vAlign w:val="center"/>
          </w:tcPr>
          <w:p w14:paraId="7E60AFD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72*</w:t>
            </w:r>
          </w:p>
          <w:p w14:paraId="5E462A7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[22-196]</w:t>
            </w:r>
          </w:p>
        </w:tc>
        <w:tc>
          <w:tcPr>
            <w:tcW w:w="992" w:type="dxa"/>
            <w:tcBorders>
              <w:bottom w:val="single" w:sz="12" w:space="0" w:color="000000"/>
            </w:tcBorders>
            <w:tcMar>
              <w:left w:w="0" w:type="dxa"/>
              <w:right w:w="0" w:type="dxa"/>
            </w:tcMar>
            <w:vAlign w:val="center"/>
          </w:tcPr>
          <w:p w14:paraId="44D84D1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63 [23-140]</w:t>
            </w:r>
          </w:p>
        </w:tc>
        <w:tc>
          <w:tcPr>
            <w:tcW w:w="876" w:type="dxa"/>
            <w:tcBorders>
              <w:bottom w:val="single" w:sz="12" w:space="0" w:color="000000"/>
              <w:right w:val="single" w:sz="12" w:space="0" w:color="000000"/>
            </w:tcBorders>
            <w:tcMar>
              <w:left w:w="0" w:type="dxa"/>
              <w:right w:w="0" w:type="dxa"/>
            </w:tcMar>
            <w:vAlign w:val="center"/>
          </w:tcPr>
          <w:p w14:paraId="3911F26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30.5</w:t>
            </w:r>
          </w:p>
          <w:p w14:paraId="008D0FBF"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[5-122]</w:t>
            </w:r>
          </w:p>
        </w:tc>
        <w:tc>
          <w:tcPr>
            <w:tcW w:w="1108" w:type="dxa"/>
            <w:tcBorders>
              <w:left w:val="single" w:sz="12" w:space="0" w:color="000000"/>
              <w:bottom w:val="single" w:sz="12" w:space="0" w:color="000000"/>
            </w:tcBorders>
            <w:noWrap/>
            <w:tcMar>
              <w:left w:w="0" w:type="dxa"/>
              <w:right w:w="0" w:type="dxa"/>
            </w:tcMar>
            <w:vAlign w:val="center"/>
            <w:hideMark/>
          </w:tcPr>
          <w:p w14:paraId="3EA1B9F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24.0</w:t>
            </w:r>
          </w:p>
        </w:tc>
        <w:tc>
          <w:tcPr>
            <w:tcW w:w="992" w:type="dxa"/>
            <w:tcBorders>
              <w:bottom w:val="single" w:sz="12" w:space="0" w:color="000000"/>
            </w:tcBorders>
            <w:tcMar>
              <w:left w:w="0" w:type="dxa"/>
              <w:right w:w="0" w:type="dxa"/>
            </w:tcMar>
            <w:vAlign w:val="center"/>
          </w:tcPr>
          <w:p w14:paraId="5D67758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Borders>
              <w:bottom w:val="single" w:sz="12" w:space="0" w:color="000000"/>
            </w:tcBorders>
            <w:tcMar>
              <w:left w:w="0" w:type="dxa"/>
              <w:right w:w="0" w:type="dxa"/>
            </w:tcMar>
            <w:vAlign w:val="center"/>
          </w:tcPr>
          <w:p w14:paraId="6514573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32.4</w:t>
            </w:r>
          </w:p>
        </w:tc>
        <w:tc>
          <w:tcPr>
            <w:tcW w:w="992" w:type="dxa"/>
            <w:tcBorders>
              <w:bottom w:val="single" w:sz="12" w:space="0" w:color="000000"/>
            </w:tcBorders>
            <w:tcMar>
              <w:left w:w="0" w:type="dxa"/>
              <w:right w:w="0" w:type="dxa"/>
            </w:tcMar>
            <w:vAlign w:val="center"/>
          </w:tcPr>
          <w:p w14:paraId="5863BCE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35 (10-104)</w:t>
            </w:r>
          </w:p>
          <w:p w14:paraId="055248B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26 (10-194)</w:t>
            </w:r>
          </w:p>
        </w:tc>
        <w:tc>
          <w:tcPr>
            <w:tcW w:w="877" w:type="dxa"/>
            <w:tcBorders>
              <w:bottom w:val="single" w:sz="12" w:space="0" w:color="000000"/>
              <w:right w:val="single" w:sz="12" w:space="0" w:color="000000"/>
            </w:tcBorders>
            <w:tcMar>
              <w:left w:w="0" w:type="dxa"/>
              <w:right w:w="0" w:type="dxa"/>
            </w:tcMar>
            <w:vAlign w:val="center"/>
          </w:tcPr>
          <w:p w14:paraId="40BCCF8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5.5</w:t>
            </w:r>
          </w:p>
          <w:p w14:paraId="267149B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[3.9-13.5]</w:t>
            </w:r>
          </w:p>
        </w:tc>
        <w:tc>
          <w:tcPr>
            <w:tcW w:w="1107" w:type="dxa"/>
            <w:tcBorders>
              <w:left w:val="single" w:sz="12" w:space="0" w:color="000000"/>
              <w:bottom w:val="single" w:sz="12" w:space="0" w:color="000000"/>
            </w:tcBorders>
            <w:tcMar>
              <w:left w:w="0" w:type="dxa"/>
              <w:right w:w="0" w:type="dxa"/>
            </w:tcMar>
            <w:vAlign w:val="center"/>
          </w:tcPr>
          <w:p w14:paraId="6326317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165.0 [81.3-359],</w:t>
            </w:r>
          </w:p>
          <w:p w14:paraId="4B43CA3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174.3 [82.7-392.4]</w:t>
            </w:r>
          </w:p>
        </w:tc>
        <w:tc>
          <w:tcPr>
            <w:tcW w:w="992" w:type="dxa"/>
            <w:tcBorders>
              <w:bottom w:val="single" w:sz="12" w:space="0" w:color="000000"/>
            </w:tcBorders>
            <w:tcMar>
              <w:left w:w="0" w:type="dxa"/>
              <w:right w:w="0" w:type="dxa"/>
            </w:tcMar>
            <w:vAlign w:val="center"/>
          </w:tcPr>
          <w:p w14:paraId="02B0833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144.6</w:t>
            </w:r>
          </w:p>
          <w:p w14:paraId="48A7489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[72.0-385.7]</w:t>
            </w:r>
          </w:p>
        </w:tc>
        <w:tc>
          <w:tcPr>
            <w:tcW w:w="992" w:type="dxa"/>
            <w:tcBorders>
              <w:bottom w:val="single" w:sz="12" w:space="0" w:color="000000"/>
            </w:tcBorders>
            <w:noWrap/>
            <w:tcMar>
              <w:left w:w="0" w:type="dxa"/>
              <w:right w:w="0" w:type="dxa"/>
            </w:tcMar>
            <w:vAlign w:val="center"/>
            <w:hideMark/>
          </w:tcPr>
          <w:p w14:paraId="5497F69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167.6</w:t>
            </w:r>
          </w:p>
        </w:tc>
        <w:tc>
          <w:tcPr>
            <w:tcW w:w="878" w:type="dxa"/>
            <w:tcBorders>
              <w:bottom w:val="single" w:sz="12" w:space="0" w:color="000000"/>
              <w:right w:val="single" w:sz="12" w:space="0" w:color="000000"/>
            </w:tcBorders>
            <w:tcMar>
              <w:left w:w="0" w:type="dxa"/>
              <w:right w:w="0" w:type="dxa"/>
            </w:tcMar>
            <w:vAlign w:val="center"/>
          </w:tcPr>
          <w:p w14:paraId="64DBB86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91.5</w:t>
            </w:r>
          </w:p>
          <w:p w14:paraId="5C3E0E1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[38.3-236.4]</w:t>
            </w:r>
          </w:p>
        </w:tc>
      </w:tr>
      <w:bookmarkEnd w:id="1"/>
    </w:tbl>
    <w:p w14:paraId="74FE7FAE" w14:textId="77777777" w:rsidR="00DB55B4" w:rsidRPr="00DB55B4" w:rsidRDefault="00DB55B4" w:rsidP="00523AE9">
      <w:pPr>
        <w:spacing w:before="0" w:after="160" w:line="259" w:lineRule="auto"/>
        <w:jc w:val="both"/>
        <w:rPr>
          <w:rFonts w:eastAsia="Calibri" w:cs="Times New Roman"/>
          <w:sz w:val="16"/>
          <w:szCs w:val="16"/>
          <w:lang w:val="it-IT"/>
        </w:rPr>
      </w:pPr>
    </w:p>
    <w:p w14:paraId="62753DFB" w14:textId="77777777" w:rsidR="00DB55B4" w:rsidRPr="00DB55B4" w:rsidRDefault="00DB55B4" w:rsidP="00523AE9">
      <w:pPr>
        <w:spacing w:before="0" w:after="0"/>
        <w:jc w:val="both"/>
        <w:rPr>
          <w:rFonts w:eastAsia="Calibri" w:cs="Times New Roman"/>
          <w:szCs w:val="24"/>
          <w:lang w:val="it-IT"/>
        </w:rPr>
      </w:pPr>
      <w:r w:rsidRPr="00DB55B4">
        <w:rPr>
          <w:rFonts w:eastAsia="Calibri" w:cs="Times New Roman"/>
          <w:szCs w:val="24"/>
          <w:lang w:val="it-IT"/>
        </w:rPr>
        <w:t>Data are n (%), mean ± standard deviation,  median (range) or median [</w:t>
      </w:r>
      <w:r w:rsidRPr="00DB55B4">
        <w:rPr>
          <w:rFonts w:eastAsia="Calibri" w:cs="Times New Roman"/>
          <w:szCs w:val="24"/>
          <w:vertAlign w:val="superscript"/>
          <w:lang w:val="it-IT"/>
        </w:rPr>
        <w:t>25th-75th</w:t>
      </w:r>
      <w:r w:rsidRPr="00DB55B4">
        <w:rPr>
          <w:rFonts w:eastAsia="Calibri" w:cs="Times New Roman"/>
          <w:szCs w:val="24"/>
          <w:lang w:val="it-IT"/>
        </w:rPr>
        <w:t xml:space="preserve"> percentile] and based on analysis group. </w:t>
      </w:r>
    </w:p>
    <w:p w14:paraId="46D7A51E" w14:textId="77777777" w:rsidR="00DB55B4" w:rsidRPr="00DB55B4" w:rsidRDefault="00DB55B4" w:rsidP="00523AE9">
      <w:pPr>
        <w:spacing w:before="0" w:after="0"/>
        <w:jc w:val="both"/>
        <w:rPr>
          <w:rFonts w:eastAsia="Calibri" w:cs="Times New Roman"/>
          <w:szCs w:val="24"/>
          <w:lang w:val="it-IT"/>
        </w:rPr>
      </w:pPr>
      <w:r w:rsidRPr="00DB55B4">
        <w:rPr>
          <w:rFonts w:eastAsia="Calibri" w:cs="Times New Roman"/>
          <w:szCs w:val="24"/>
          <w:lang w:val="it-IT"/>
        </w:rPr>
        <w:t xml:space="preserve">*Based on efficacy group. </w:t>
      </w:r>
    </w:p>
    <w:p w14:paraId="59E64F0E" w14:textId="77777777" w:rsidR="00DB55B4" w:rsidRPr="00DB55B4" w:rsidRDefault="00DB55B4" w:rsidP="00523AE9">
      <w:pPr>
        <w:spacing w:before="0" w:after="160" w:line="259" w:lineRule="auto"/>
        <w:jc w:val="both"/>
        <w:rPr>
          <w:rFonts w:eastAsia="Arial" w:cs="Times New Roman"/>
          <w:b/>
          <w:bCs/>
          <w:sz w:val="22"/>
          <w:lang w:val="it-IT"/>
        </w:rPr>
      </w:pPr>
    </w:p>
    <w:bookmarkEnd w:id="0"/>
    <w:p w14:paraId="7373C026" w14:textId="77777777" w:rsidR="00DB55B4" w:rsidRPr="00DB55B4" w:rsidRDefault="00DB55B4" w:rsidP="00523AE9">
      <w:pPr>
        <w:spacing w:before="0" w:after="160" w:line="259" w:lineRule="auto"/>
        <w:contextualSpacing/>
        <w:jc w:val="both"/>
        <w:rPr>
          <w:rFonts w:eastAsia="Calibri" w:cs="Times New Roman"/>
          <w:sz w:val="16"/>
          <w:szCs w:val="16"/>
          <w:lang w:val="it-IT"/>
        </w:rPr>
      </w:pPr>
    </w:p>
    <w:p w14:paraId="3A9F5982" w14:textId="77777777" w:rsidR="00DB55B4" w:rsidRPr="00DB55B4" w:rsidRDefault="00DB55B4" w:rsidP="00523AE9">
      <w:pPr>
        <w:spacing w:before="0" w:after="160" w:line="259" w:lineRule="auto"/>
        <w:jc w:val="both"/>
        <w:rPr>
          <w:rFonts w:eastAsia="Calibri" w:cs="Times New Roman"/>
          <w:sz w:val="16"/>
          <w:szCs w:val="16"/>
          <w:lang w:val="it-IT"/>
        </w:rPr>
      </w:pPr>
      <w:r w:rsidRPr="00DB55B4">
        <w:rPr>
          <w:rFonts w:eastAsia="Calibri" w:cs="Times New Roman"/>
          <w:sz w:val="16"/>
          <w:szCs w:val="16"/>
          <w:lang w:val="it-IT"/>
        </w:rPr>
        <w:br w:type="page"/>
      </w:r>
    </w:p>
    <w:p w14:paraId="18054063" w14:textId="77777777" w:rsidR="00DB55B4" w:rsidRDefault="00DB55B4" w:rsidP="00523AE9">
      <w:pPr>
        <w:spacing w:before="0" w:after="160" w:line="259" w:lineRule="auto"/>
        <w:jc w:val="both"/>
        <w:rPr>
          <w:rFonts w:eastAsia="Arial" w:cs="Times New Roman"/>
          <w:b/>
          <w:bCs/>
          <w:sz w:val="22"/>
          <w:lang w:val="it-IT"/>
        </w:rPr>
      </w:pPr>
    </w:p>
    <w:p w14:paraId="0E3992B1" w14:textId="62775BAF" w:rsidR="00DB55B4" w:rsidRPr="00DB55B4" w:rsidRDefault="00DB55B4" w:rsidP="00523AE9">
      <w:pPr>
        <w:spacing w:before="0" w:after="160" w:line="259" w:lineRule="auto"/>
        <w:jc w:val="both"/>
        <w:rPr>
          <w:rFonts w:eastAsia="Arial" w:cs="Times New Roman"/>
          <w:b/>
          <w:bCs/>
          <w:szCs w:val="24"/>
          <w:lang w:val="it-IT"/>
        </w:rPr>
      </w:pPr>
      <w:r w:rsidRPr="00DB55B4">
        <w:rPr>
          <w:rFonts w:eastAsia="Arial" w:cs="Times New Roman"/>
          <w:b/>
          <w:bCs/>
          <w:szCs w:val="24"/>
          <w:lang w:val="it-IT"/>
        </w:rPr>
        <w:t xml:space="preserve">Supplementary Table 2. Comparison of Cannabidiol safety in previously published </w:t>
      </w:r>
      <w:r w:rsidRPr="00DB55B4">
        <w:rPr>
          <w:rFonts w:eastAsia="Calibri" w:cs="Times New Roman"/>
          <w:b/>
          <w:bCs/>
          <w:szCs w:val="24"/>
          <w:lang w:val="it-IT"/>
        </w:rPr>
        <w:t xml:space="preserve">open-label and </w:t>
      </w:r>
      <w:r w:rsidRPr="00DB55B4">
        <w:rPr>
          <w:rFonts w:eastAsia="Arial" w:cs="Times New Roman"/>
          <w:b/>
          <w:bCs/>
          <w:szCs w:val="24"/>
          <w:lang w:val="it-IT"/>
        </w:rPr>
        <w:t xml:space="preserve">randomized controlled trials. </w:t>
      </w:r>
    </w:p>
    <w:tbl>
      <w:tblPr>
        <w:tblStyle w:val="Grilledutableau1"/>
        <w:tblW w:w="14170" w:type="dxa"/>
        <w:jc w:val="center"/>
        <w:tblLayout w:type="fixed"/>
        <w:tblLook w:val="06A0" w:firstRow="1" w:lastRow="0" w:firstColumn="1" w:lastColumn="0" w:noHBand="1" w:noVBand="1"/>
      </w:tblPr>
      <w:tblGrid>
        <w:gridCol w:w="1555"/>
        <w:gridCol w:w="970"/>
        <w:gridCol w:w="970"/>
        <w:gridCol w:w="971"/>
        <w:gridCol w:w="970"/>
        <w:gridCol w:w="970"/>
        <w:gridCol w:w="971"/>
        <w:gridCol w:w="970"/>
        <w:gridCol w:w="971"/>
        <w:gridCol w:w="970"/>
        <w:gridCol w:w="970"/>
        <w:gridCol w:w="971"/>
        <w:gridCol w:w="970"/>
        <w:gridCol w:w="971"/>
      </w:tblGrid>
      <w:tr w:rsidR="00DB55B4" w:rsidRPr="00DB55B4" w14:paraId="0D8F57F0" w14:textId="77777777" w:rsidTr="00591A66">
        <w:trPr>
          <w:jc w:val="center"/>
        </w:trPr>
        <w:tc>
          <w:tcPr>
            <w:tcW w:w="1555" w:type="dxa"/>
            <w:tcBorders>
              <w:bottom w:val="single" w:sz="4" w:space="0" w:color="auto"/>
              <w:right w:val="single" w:sz="12" w:space="0" w:color="000000"/>
            </w:tcBorders>
            <w:shd w:val="clear" w:color="auto" w:fill="E7E6E6"/>
            <w:vAlign w:val="center"/>
          </w:tcPr>
          <w:p w14:paraId="51BD4832" w14:textId="77777777" w:rsidR="00DB55B4" w:rsidRPr="00DB55B4" w:rsidRDefault="00DB55B4" w:rsidP="00591A66">
            <w:pPr>
              <w:spacing w:before="0" w:after="0"/>
              <w:jc w:val="center"/>
              <w:rPr>
                <w:rFonts w:eastAsia="Arial" w:cs="Times New Roman"/>
                <w:sz w:val="12"/>
                <w:szCs w:val="12"/>
              </w:rPr>
            </w:pPr>
          </w:p>
        </w:tc>
        <w:tc>
          <w:tcPr>
            <w:tcW w:w="3881" w:type="dxa"/>
            <w:gridSpan w:val="4"/>
            <w:tcBorders>
              <w:top w:val="single" w:sz="12" w:space="0" w:color="000000"/>
              <w:left w:val="single" w:sz="12" w:space="0" w:color="000000"/>
              <w:bottom w:val="single" w:sz="12" w:space="0" w:color="000000"/>
              <w:right w:val="single" w:sz="12" w:space="0" w:color="000000"/>
            </w:tcBorders>
            <w:shd w:val="clear" w:color="auto" w:fill="E7E6E6"/>
            <w:vAlign w:val="center"/>
          </w:tcPr>
          <w:p w14:paraId="65879355"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Drug-resistant epilepsy</w:t>
            </w:r>
          </w:p>
        </w:tc>
        <w:tc>
          <w:tcPr>
            <w:tcW w:w="4852" w:type="dxa"/>
            <w:gridSpan w:val="5"/>
            <w:tcBorders>
              <w:top w:val="single" w:sz="12" w:space="0" w:color="000000"/>
              <w:left w:val="single" w:sz="12" w:space="0" w:color="000000"/>
              <w:bottom w:val="single" w:sz="12" w:space="0" w:color="000000"/>
              <w:right w:val="single" w:sz="12" w:space="0" w:color="000000"/>
            </w:tcBorders>
            <w:shd w:val="clear" w:color="auto" w:fill="E7E6E6"/>
            <w:vAlign w:val="center"/>
          </w:tcPr>
          <w:p w14:paraId="1D2C16AC"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Dravet syndrome</w:t>
            </w:r>
          </w:p>
        </w:tc>
        <w:tc>
          <w:tcPr>
            <w:tcW w:w="3882" w:type="dxa"/>
            <w:gridSpan w:val="4"/>
            <w:tcBorders>
              <w:top w:val="single" w:sz="12" w:space="0" w:color="000000"/>
              <w:left w:val="single" w:sz="12" w:space="0" w:color="000000"/>
              <w:bottom w:val="single" w:sz="12" w:space="0" w:color="000000"/>
              <w:right w:val="single" w:sz="12" w:space="0" w:color="000000"/>
            </w:tcBorders>
            <w:shd w:val="clear" w:color="auto" w:fill="E7E6E6"/>
            <w:vAlign w:val="center"/>
          </w:tcPr>
          <w:p w14:paraId="3F6E8273"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Lennox-Gastaut syndrome</w:t>
            </w:r>
          </w:p>
        </w:tc>
      </w:tr>
      <w:tr w:rsidR="006F499D" w:rsidRPr="00DB55B4" w14:paraId="6817BB80" w14:textId="77777777" w:rsidTr="00591A66">
        <w:trPr>
          <w:jc w:val="center"/>
        </w:trPr>
        <w:tc>
          <w:tcPr>
            <w:tcW w:w="1555" w:type="dxa"/>
            <w:tcBorders>
              <w:top w:val="single" w:sz="4" w:space="0" w:color="auto"/>
              <w:left w:val="single" w:sz="4" w:space="0" w:color="auto"/>
              <w:bottom w:val="single" w:sz="4" w:space="0" w:color="auto"/>
              <w:right w:val="single" w:sz="12" w:space="0" w:color="000000"/>
            </w:tcBorders>
            <w:shd w:val="clear" w:color="auto" w:fill="E7E6E6"/>
            <w:vAlign w:val="center"/>
          </w:tcPr>
          <w:p w14:paraId="4F2D43B7" w14:textId="77777777" w:rsidR="006F499D" w:rsidRPr="00DB55B4" w:rsidRDefault="006F499D" w:rsidP="00591A66">
            <w:pPr>
              <w:spacing w:before="0" w:after="0"/>
              <w:jc w:val="center"/>
              <w:rPr>
                <w:rFonts w:eastAsia="Arial" w:cs="Times New Roman"/>
                <w:sz w:val="12"/>
                <w:szCs w:val="12"/>
              </w:rPr>
            </w:pPr>
          </w:p>
        </w:tc>
        <w:tc>
          <w:tcPr>
            <w:tcW w:w="970" w:type="dxa"/>
            <w:tcBorders>
              <w:top w:val="single" w:sz="12" w:space="0" w:color="000000"/>
              <w:left w:val="single" w:sz="12" w:space="0" w:color="000000"/>
              <w:bottom w:val="single" w:sz="4" w:space="0" w:color="auto"/>
            </w:tcBorders>
            <w:shd w:val="clear" w:color="auto" w:fill="E7E6E6"/>
            <w:vAlign w:val="center"/>
          </w:tcPr>
          <w:p w14:paraId="0C76B252" w14:textId="77777777"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40A3BE58" w14:textId="77777777" w:rsidR="006F499D"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2016</w:t>
            </w:r>
          </w:p>
          <w:p w14:paraId="168B9FCC" w14:textId="4C52EA49" w:rsidR="006F499D" w:rsidRPr="00DB55B4" w:rsidRDefault="006F499D" w:rsidP="00591A66">
            <w:pPr>
              <w:spacing w:before="0" w:after="0"/>
              <w:jc w:val="center"/>
              <w:rPr>
                <w:rFonts w:eastAsia="Arial" w:cs="Times New Roman"/>
                <w:b/>
                <w:bCs/>
                <w:i/>
                <w:iCs/>
                <w:color w:val="000000"/>
                <w:sz w:val="12"/>
                <w:szCs w:val="12"/>
                <w:vertAlign w:val="superscript"/>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{"citationItems":[{"id":"ITEM-1","itemData":{"DOI":"10.1016/S1474-4422(15)00379-8","ISSN":"14744465","PMID":"26724101","abstract":"Background Almost a third of patients with epilepsy have a treatment-resistant form, which is associated with severe morbidity and increased mortality. Cannabis-based treatments for epilepsy have generated much interest, but scientific data are scarce. We aimed to establish whether addition of cannabidiol to existing anti-epileptic regimens would be safe, tolerated, and efficacious in children and young adults with treatment-resistant epilepsy. Methods In this open-label trial, patients (aged 1–30 years) with severe, intractable, childhood-onset, treatment-resistant epilepsy, who were receiving stable doses of antiepileptic drugs before study entry, were enrolled in an expanded-access programme at 11 epilepsy centres across the USA. Patients were given oral cannabidiol at 2–5 mg/kg per day, up-titrated until intolerance or to a maximum dose of 25 mg/kg or 50 mg/kg per day (dependent on study site). The primary objective was to establish the safety and tolerability of cannabidiol and the primary efficacy endpoint was median percentage change in the mean monthly frequency of motor seizures at 12 weeks. The efficacy analysis was by modified intention to treat. Comparisons of the percentage change in frequency of motor seizures were done with a Mann-Whitney U test. Results Between Jan 15, 2014, and Jan 15, 2015, 214 patients were enrolled; 162 (76%) patients who had at least 12 weeks of follow-up after the first dose of cannabidiol were included in the safety and tolerability analysis, and 137 (64%) patients were included in the efficacy analysis. In the safety group, 33 (20%) patients had Dravet syndrome and 31 (19%) patients had Lennox-Gastaut syndrome. The remaining patients had intractable epilepsies of different causes and type. Adverse events were reported in 128 (79%) of the 162 patients within the safety group. Adverse events reported in more than 10% of patients were somnolence (n=41 [25%]), decreased appetite (n=31 [19%]), diarrhoea (n=31 [19%]), fatigue (n=21 [13%]), and convulsion (n=18 [11%]). Five (3%) patients discontinued treatment because of an adverse event. Serious adverse events were reported in 48 (30%) patients, including one death—a sudden unexpected death in epilepsy regarded as unrelated to study drug. 20 (12%) patients had severe adverse events possibly related to cannabidiol use, the most common of which was status epilepticus (n=9 [6%]). The median monthly frequency of motor seizures was 30·0 (IQR 11·0–96·0) at baseline and 15·8 …","author":[{"dropping-particle":"","family":"Devinsky","given":"Orrin","non-dropping-particle":"","parse-names":false,"suffix":""},{"dropping-particle":"","family":"Marsh","given":"Eric","non-dropping-particle":"","parse-names":false,"suffix":""},{"dropping-particle":"","family":"Friedman","given":"Daniel","non-dropping-particle":"","parse-names":false,"suffix":""},{"dropping-particle":"","family":"Thiele","given":"Elizabeth","non-dropping-particle":"","parse-names":false,"suffix":""},{"dropping-particle":"","family":"Laux","given":"Linda","non-dropping-particle":"","parse-names":false,"suffix":""},{"dropping-particle":"","family":"Sullivan","given":"Joseph","non-dropping-particle":"","parse-names":false,"suffix":""},{"dropping-particle":"","family":"Miller","given":"Ian","non-dropping-particle":"","parse-names":false,"suffix":""},{"dropping-particle":"","family":"Flamini","given":"Robert","non-dropping-particle":"","parse-names":false,"suffix":""},{"dropping-particle":"","family":"Wilfong","given":"Angus","non-dropping-particle":"","parse-names":false,"suffix":""},{"dropping-particle":"","family":"Filloux","given":"Francis","non-dropping-particle":"","parse-names":false,"suffix":""},{"dropping-particle":"","family":"Wong","given":"Matthew","non-dropping-particle":"","parse-names":false,"suffix":""},{"dropping-particle":"","family":"Tilton","given":"Nicole","non-dropping-particle":"","parse-names":false,"suffix":""},{"dropping-particle":"","family":"Bruno","given":"Patricia","non-dropping-particle":"","parse-names":false,"suffix":""},{"dropping-particle":"","family":"Bluvstein","given":"Judith","non-dropping-particle":"","parse-names":false,"suffix":""},{"dropping-particle":"","family":"Hedlund","given":"Julie","non-dropping-particle":"","parse-names":false,"suffix":""},{"dropping-particle":"","family":"Kamens","given":"Rebecca","non-dropping-particle":"","parse-names":false,"suffix":""},{"dropping-particle":"","family":"Maclean","given":"Jane","non-dropping-particle":"","parse-names":false,"suffix":""},{"dropping-particle":"","family":"Nangia","given":"Srishti","non-dropping-particle":"","parse-names":false,"suffix":""},{"dropping-particle":"","family":"Singhal","given":"Nilika Shah","non-dropping-particle":"","parse-names":false,"suffix":""},{"dropping-particle":"","family":"Wilson","given":"Carey A.","non-dropping-particle":"","parse-names":false,"suffix":""},{"dropping-particle":"","family":"Patel","given":"Anup","non-dropping-particle":"","parse-names":false,"suffix":""},{"dropping-particle":"","family":"Cilio","given":"Maria Roberta","non-dropping-particle":"","parse-names":false,"suffix":""}],"container-title":"The Lancet Neurology","id":"ITEM-1","issue":"3","issued":{"date-parts":[["2016"]]},"page":"270-278","publisher":"Elsevier Ltd","title":"Cannabidiol in patients with treatment-resistant epilepsy: an open-label interventional trial","type":"article-journal","volume":"15"},"uris":["http://www.mendeley.com/documents/?uuid=5d3b820f-11b5-4699-a55a-cf435d11ad54"]}],"mendeley":{"formattedCitation":"(1)","plainTextFormattedCitation":"(1)","previouslyFormattedCitation":"(1)"},"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(1)</w:t>
            </w:r>
            <w:r w:rsidRPr="00DB55B4">
              <w:rPr>
                <w:rFonts w:eastAsia="Arial" w:cs="Times New Roman"/>
                <w:b/>
                <w:bCs/>
                <w:i/>
                <w:iCs/>
                <w:color w:val="000000"/>
                <w:sz w:val="12"/>
                <w:szCs w:val="12"/>
              </w:rPr>
              <w:fldChar w:fldCharType="end"/>
            </w:r>
          </w:p>
        </w:tc>
        <w:tc>
          <w:tcPr>
            <w:tcW w:w="970" w:type="dxa"/>
            <w:tcBorders>
              <w:top w:val="single" w:sz="12" w:space="0" w:color="000000"/>
              <w:bottom w:val="single" w:sz="4" w:space="0" w:color="auto"/>
            </w:tcBorders>
            <w:shd w:val="clear" w:color="auto" w:fill="E7E6E6"/>
            <w:vAlign w:val="center"/>
          </w:tcPr>
          <w:p w14:paraId="299039A1" w14:textId="77777777"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Szaflarski</w:t>
            </w:r>
          </w:p>
          <w:p w14:paraId="1CFF9362" w14:textId="77777777" w:rsidR="006F499D"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2018</w:t>
            </w:r>
          </w:p>
          <w:p w14:paraId="057E0032" w14:textId="0275E2AC" w:rsidR="006F499D" w:rsidRPr="00DB55B4" w:rsidRDefault="006F499D" w:rsidP="00591A66">
            <w:pPr>
              <w:spacing w:before="0" w:after="0"/>
              <w:jc w:val="center"/>
              <w:rPr>
                <w:rFonts w:eastAsia="Arial" w:cs="Times New Roman"/>
                <w:b/>
                <w:bCs/>
                <w:i/>
                <w:iCs/>
                <w:color w:val="000000"/>
                <w:sz w:val="12"/>
                <w:szCs w:val="12"/>
                <w:vertAlign w:val="superscript"/>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{"citationItems":[{"id":"ITEM-1","itemData":{"DOI":"10.1111/epi.14477","ISSN":"15281167","PMID":"29998598","abstract":"Objective: Since 2014, cannabidiol (CBD) has been administered to patients with treatment-resistant epilepsies (TREs) in an ongoing expanded-access program (EAP). We report interim results on the safety and efficacy of CBD in EAP patients treated through December 2016. Methods: Twenty-five US-based EAP sites enrolling patients with TRE taking stable doses of antiepileptic drugs (AEDs) at baseline were included. During the 4-week baseline period, parents/caregivers kept diaries of all countable seizure types. Patients received oral CBD starting at 2-10 mg/kg/d, titrated to a maximum dose of 25-50 mg/kg/d. Patient visits were every 2-4 weeks through 16 weeks and every 2-12 weeks thereafter. Efficacy endpoints included the percentage change from baseline in median monthly convulsive and total seizure frequency, and percentage of patients with ≥50%, ≥75%, and 100% reductions in seizures vs baseline. Data were analyzed descriptively for the efficacy analysis set and using the last-observation-carried-forward method to account for missing data. Adverse events (AEs) were documented at each visit. Results: Of 607 patients in the safety dataset, 146 (24%) withdrew; the most common reasons were lack of efficacy (89 [15%]) and AEs (32 [5%]). Mean age was 13 years (range, 0.4-62). Median number of concomitant AEDs was 3 (range, 0-10). Median CBD dose was 25 mg/kg/d; median treatment duration was 48 weeks. Add-on CBD reduced median monthly convulsive seizures by 51% and total seizures by 48% at 12 weeks; reductions were similar through 96 weeks. Proportion of patients with ≥50%, ≥75%, and 100% reductions in convulsive seizures were 52%, 31%, and 11%, respectively, at 12 weeks, with similar rates through 96 weeks. CBD was generally well tolerated; most common AEs were diarrhea (29%) and somnolence (22%). Significance: Results from this ongoing EAP support previous observational and clinical trial data showing that add-on CBD may be an efficacious long-term treatment option for TRE.","author":[{"dropping-particle":"","family":"Szaflarski","given":"Jerzy P.","non-dropping-particle":"","parse-names":false,"suffix":""},{"dropping-particle":"","family":"Bebin","given":"Elizabeth Martina","non-dropping-particle":"","parse-names":false,"suffix":""},{"dropping-particle":"","family":"Comi","given":"Anne M.","non-dropping-particle":"","parse-names":false,"suffix":""},{"dropping-particle":"","family":"Patel","given":"Anup D.","non-dropping-particle":"","parse-names":false,"suffix":""},{"dropping-particle":"","family":"Joshi","given":"Charuta","non-dropping-particle":"","parse-names":false,"suffix":""},{"dropping-particle":"","family":"Checketts","given":"Daniel","non-dropping-particle":"","parse-names":false,"suffix":""},{"dropping-particle":"","family":"Beal","given":"Jules C.","non-dropping-particle":"","parse-names":false,"suffix":""},{"dropping-particle":"","family":"Laux","given":"Linda C.","non-dropping-particle":"","parse-names":false,"suffix":""},{"dropping-particle":"","family":"Boer","given":"Lisa M.","non-dropping-particle":"De","parse-names":false,"suffix":""},{"dropping-particle":"","family":"Wong","given":"Matthew H.","non-dropping-particle":"","parse-names":false,"suffix":""},{"dropping-particle":"","family":"Lopez","given":"Merrick","non-dropping-particle":"","parse-names":false,"suffix":""},{"dropping-particle":"","family":"Devinsky","given":"Orrin","non-dropping-particle":"","parse-names":false,"suffix":""},{"dropping-particle":"","family":"Lyons","given":"Paul D.","non-dropping-particle":"","parse-names":false,"suffix":""},{"dropping-particle":"","family":"Zentil","given":"Pilar Pichon","non-dropping-particle":"","parse-names":false,"suffix":""},{"dropping-particle":"","family":"Wechsler","given":"Robert","non-dropping-particle":"","parse-names":false,"suffix":""},{"dropping-particle":"","family":"Chez","given":"Michael","non-dropping-particle":"","parse-names":false,"suffix":""},{"dropping-particle":"","family":"Flamini","given":"Robert","non-dropping-particle":"","parse-names":false,"suffix":""},{"dropping-particle":"","family":"Marsh","given":"Eric D.","non-dropping-particle":"","parse-names":false,"suffix":""},{"dropping-particle":"","family":"Miller","given":"Ian","non-dropping-particle":"","parse-names":false,"suffix":""},{"dropping-particle":"","family":"Park","given":"Yong","non-dropping-particle":"","parse-names":false,"suffix":""},{"dropping-particle":"","family":"Segal","given":"Eric","non-dropping-particle":"","parse-names":false,"suffix":""},{"dropping-particle":"","family":"Seltzer","given":"Laurie","non-dropping-particle":"","parse-names":false,"suffix":""},{"dropping-particle":"","family":"Thiele","given":"Elizabeth A.","non-dropping-particle":"","parse-names":false,"suffix":""},{"dropping-particle":"","family":"Weinstock","given":"Arie","non-dropping-particle":"","parse-names":false,"suffix":""}],"container-title":"Epilepsia","id":"ITEM-1","issue":"8","issued":{"date-parts":[["2018","8","1"]]},"page":"1540-1548","publisher":"Blackwell Publishing Inc.","title":"Long-term safety and treatment effects of cannabidiol in children and adults with treatment-resistant epilepsies: Expanded access program results","type":"article-journal","volume":"59"},"uris":["http://www.mendeley.com/documents/?uuid=cd87fa05-76b5-432e-a11d-aabb8ad12aad"]}],"mendeley":{"formattedCitation":"(2)","plainTextFormattedCitation":"(2)","previouslyFormattedCitation":"(2)"},"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(2)</w:t>
            </w:r>
            <w:r w:rsidRPr="00DB55B4">
              <w:rPr>
                <w:rFonts w:eastAsia="Arial" w:cs="Times New Roman"/>
                <w:b/>
                <w:bCs/>
                <w:i/>
                <w:iCs/>
                <w:color w:val="000000"/>
                <w:sz w:val="12"/>
                <w:szCs w:val="12"/>
              </w:rPr>
              <w:fldChar w:fldCharType="end"/>
            </w:r>
          </w:p>
        </w:tc>
        <w:tc>
          <w:tcPr>
            <w:tcW w:w="971" w:type="dxa"/>
            <w:tcBorders>
              <w:top w:val="single" w:sz="12" w:space="0" w:color="000000"/>
              <w:bottom w:val="single" w:sz="4" w:space="0" w:color="auto"/>
            </w:tcBorders>
            <w:shd w:val="clear" w:color="auto" w:fill="E7E6E6"/>
            <w:vAlign w:val="center"/>
          </w:tcPr>
          <w:p w14:paraId="4C306C9C" w14:textId="77777777"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Laux</w:t>
            </w:r>
          </w:p>
          <w:p w14:paraId="78C371A3" w14:textId="77777777" w:rsidR="006F499D"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2019</w:t>
            </w:r>
          </w:p>
          <w:p w14:paraId="493BB4E5" w14:textId="2B6CA61C"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{"citationItems":[{"id":"ITEM-1","itemData":{"DOI":"10.1016/j.eplepsyres.2019.03.015","ISSN":"18726844","abstract":"Background: Since 2014, patients with severe treatment-resistant epilepsies (TREs) have been receiving add-on cannabidiol (CBD) in an ongoing, expanded access program (EAP), which closely reflects clinical practice. We conducted an interim analysis of long-term efficacy and tolerability in patients with Lennox-Gastaut syndrome (LGS) or Dravet syndrome (DS) who received CBD treatment through December 2016. Methods: Children and adults with LGS/DS taking stable doses of antiepileptic drugs (AEDs) at baseline were included from 25 EAP sites across the United States. During the 4-week baseline period, parents/caregivers kept diaries of all countable seizure types. Patients received a pharmaceutical formulation of highly purified CBD (Epidiolex®; 100 mg/mL) in oral solution at 2–10 mg/kg/day, titrated until tolerability limit or a maximum dose of 25–50 mg/kg/day. Patient visits were every 2–4 weeks. The percentage change from baseline in median monthly convulsive (ie, major motor) and total seizures was evaluated at 12-week intervals through 96 weeks. The percentages of patients who had ≥50%, ≥75%, and 100% reduction in monthly seizures relative to the baseline period were also evaluated. Adverse events (AEs) were monitored and summarized for the safety analysis set (SAS) through 144 weeks. Results: Of the 607 patients in the SAS, 58 had DS and 94 had LGS (N = 152); 455 patients had other TREs. Twenty-eight percent of LGS/DS patients withdrew, primarily owing to lack of efficacy (20%). LGS/DS patients were taking a median of 3 (0–10) concomitant AEDs. Median treatment duration was 78.3 (range, 4.1–146.4) weeks. Between weeks 12 and 96, median CBD dose ranged from 21 to 25 mg/kg/day. At 12 weeks, add-on CBD reduced median monthly major motor seizures by 50% and total seizures by 44%, with consistent reductions in both seizure types through 96 weeks. At 12 weeks, the proportions of patients with ≥50%, ≥75%, and 100% reductions in major motor seizures were 53%, 23%, and 6%; the proportions with corresponding reductions in total seizures were 46%, 26%, and 5%. Responder rates for both seizure types were consistent through 96 weeks. CBD had an acceptable safety profile; the most common AEs were somnolence (30%) and diarrhea (24%). Conclusions: Results from this interim analysis support add-on CBD as an effective long-term treatment option in LGS or DS.","author":[{"dropping-particle":"","family":"Laux","given":"Linda C.","non-dropping-particle":"","parse-names":false,"suffix":""},{"dropping-particle":"","family":"Bebin","given":"E. Martina","non-dropping-particle":"","parse-names":false,"suffix":""},{"dropping-particle":"","family":"Checketts","given":"Daniel","non-dropping-particle":"","parse-names":false,"suffix":""},{"dropping-particle":"","family":"Chez","given":"Michael","non-dropping-particle":"","parse-names":false,"suffix":""},{"dropping-particle":"","family":"Flamini","given":"Robert","non-dropping-particle":"","parse-names":false,"suffix":""},{"dropping-particle":"","family":"Marsh","given":"Eric D.","non-dropping-particle":"","parse-names":false,"suffix":""},{"dropping-particle":"","family":"Miller","given":"Ian","non-dropping-particle":"","parse-names":false,"suffix":""},{"dropping-particle":"","family":"Nichol","given":"Kathryn","non-dropping-particle":"","parse-names":false,"suffix":""},{"dropping-particle":"","family":"Park","given":"Yong","non-dropping-particle":"","parse-names":false,"suffix":""},{"dropping-particle":"","family":"Segal","given":"Eric","non-dropping-particle":"","parse-names":false,"suffix":""},{"dropping-particle":"","family":"Seltzer","given":"Laurie","non-dropping-particle":"","parse-names":false,"suffix":""},{"dropping-particle":"","family":"Szaflarski","given":"Jerzy P.","non-dropping-particle":"","parse-names":false,"suffix":""},{"dropping-particle":"","family":"Thiele","given":"Elizabeth A.","non-dropping-particle":"","parse-names":false,"suffix":""},{"dropping-particle":"","family":"Weinstock","given":"Arie","non-dropping-particle":"","parse-names":false,"suffix":""}],"container-title":"Epilepsy Research","id":"ITEM-1","issue":"January","issued":{"date-parts":[["2019"]]},"page":"13-20","publisher":"Elsevier","title":"Long-term safety and efficacy of cannabidiol in children and adults with treatmentresistant Lennox-Gastaut syndrome or Dravet syndrome: Expanded access program results","type":"article-journal","volume":"154"},"uris":["http://www.mendeley.com/documents/?uuid=8fab2823-0eab-40de-b87b-dad918e475e4"]}],"mendeley":{"formattedCitation":"(3)","plainTextFormattedCitation":"(3)","previouslyFormattedCitation":"(3)"},"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(3)</w:t>
            </w:r>
            <w:r w:rsidRPr="00DB55B4">
              <w:rPr>
                <w:rFonts w:eastAsia="Arial" w:cs="Times New Roman"/>
                <w:b/>
                <w:bCs/>
                <w:i/>
                <w:iCs/>
                <w:color w:val="000000"/>
                <w:sz w:val="12"/>
                <w:szCs w:val="12"/>
              </w:rPr>
              <w:fldChar w:fldCharType="end"/>
            </w:r>
          </w:p>
        </w:tc>
        <w:tc>
          <w:tcPr>
            <w:tcW w:w="970" w:type="dxa"/>
            <w:tcBorders>
              <w:top w:val="single" w:sz="12" w:space="0" w:color="000000"/>
              <w:bottom w:val="single" w:sz="4" w:space="0" w:color="auto"/>
              <w:right w:val="single" w:sz="12" w:space="0" w:color="000000"/>
            </w:tcBorders>
            <w:shd w:val="clear" w:color="auto" w:fill="E7E6E6"/>
            <w:vAlign w:val="center"/>
          </w:tcPr>
          <w:p w14:paraId="12977FD3" w14:textId="623066EC"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Our study</w:t>
            </w:r>
          </w:p>
        </w:tc>
        <w:tc>
          <w:tcPr>
            <w:tcW w:w="970" w:type="dxa"/>
            <w:tcBorders>
              <w:top w:val="single" w:sz="12" w:space="0" w:color="000000"/>
              <w:left w:val="single" w:sz="12" w:space="0" w:color="000000"/>
              <w:bottom w:val="single" w:sz="4" w:space="0" w:color="auto"/>
            </w:tcBorders>
            <w:shd w:val="clear" w:color="auto" w:fill="E7E6E6"/>
            <w:vAlign w:val="center"/>
          </w:tcPr>
          <w:p w14:paraId="15017D55" w14:textId="77777777"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7531D275" w14:textId="77777777" w:rsidR="006F499D"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2017</w:t>
            </w:r>
          </w:p>
          <w:p w14:paraId="590F71D4" w14:textId="2109FD96" w:rsidR="006F499D" w:rsidRPr="00DB55B4" w:rsidRDefault="006F499D" w:rsidP="00591A66">
            <w:pPr>
              <w:spacing w:before="0" w:after="0"/>
              <w:jc w:val="center"/>
              <w:rPr>
                <w:rFonts w:eastAsia="Arial" w:cs="Times New Roman"/>
                <w:b/>
                <w:bCs/>
                <w:i/>
                <w:iCs/>
                <w:color w:val="000000"/>
                <w:sz w:val="12"/>
                <w:szCs w:val="12"/>
                <w:vertAlign w:val="superscript"/>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{"citationItems":[{"id":"ITEM-1","itemData":{"DOI":"10.1056/NEJMoa1611618","ISSN":"15334406","PMID":"28538134","abstract":"BACKGROUND The Dravet syndrome is a complex childhood epilepsy disorder that is associated with drug-resistant seizures and a high mortality rate. We studied cannabidiol for the treatment of drug-resistant seizures in the Dravet syndrome. METHODS In this double-blind, placebo-controlled trial, we randomly assigned 120 children and young adults with the Dravet syndrome and drug-resistant seizures to receive either cannabidiol oral solution at a dose of 20 mg per kilogram of body weight per day or placebo, in addition to standard antiepileptic treatment. The primary end point was the change in convulsive-seizure frequency over a 14-week treatment period, as compared with a 4-week baseline period. RESULTS The median frequency of convulsive seizures per month decreased from 12.4 to 5.9 with cannabidiol, as compared with a decrease from 14.9 to 14.1 with placebo (adjusted median difference between the cannabidiol group and the placebo group in change in seizure frequency, -22.8 percentage points; 95% confidence interval [CI], -41.1 to -5.4; P = 0.01). The percentage of patients who had at least a 50% reduction in convulsiveseizure frequency was 43% with cannabidiol and 27% with placebo (odds ratio, 2.00; 95% CI, 0.93 to 4.30; P = 0.08). The patient's overall condition improved by at least one category on the seven-category Caregiver Global Impression of Change scale in 62% of the cannabidiol group as compared with 34% of the placebo group (P = 0.02). The frequency of total seizures of all types was significantly reduced with cannabidiol (P = 0.03), but there was no significant reduction in nonconvulsive seizures. The percentage of patients who became seizure-free was 5% with cannabidiol and 0% with placebo (P = 0.08). Adverse events that occurred more frequently in the cannabidiol group than in the placebo group included diarrhea, vomiting, fatigue, pyrexia, somnolence, and abnormal results on liver-function tests. There were more withdrawals from the trial in the cannabidiol group. CONCLUSIONS Among patients with the Dravet syndrome, cannabidiol resulted in a greater reduction in convulsive-seizure frequency than placebo and was associated with higher rates of adverse events. (Funded by GW Pharmaceuticals; ClinicalTrials.gov number, NCT02091375.).","author":[{"dropping-particle":"","family":"Devinsky","given":"Orrin","non-dropping-particle":"","parse-names":false,"suffix":""},{"dropping-particle":"","family":"Cross","given":"J. Helen","non-dropping-particle":"","parse-names":false,"suffix":""},{"dropping-particle":"","family":"Laux","given":"Linda","non-dropping-particle":"","parse-names":false,"suffix":""},{"dropping-particle":"","family":"Marsh","given":"Eric","non-dropping-particle":"","parse-names":false,"suffix":""},{"dropping-particle":"","family":"Miller","given":"Ian","non-dropping-particle":"","parse-names":false,"suffix":""},{"dropping-particle":"","family":"Nabbout","given":"Rima","non-dropping-particle":"","parse-names":false,"suffix":""},{"dropping-particle":"","family":"Scheffer","given":"Ingrid E.","non-dropping-particle":"","parse-names":false,"suffix":""},{"dropping-particle":"","family":"Thiele","given":"Elizabeth A.","non-dropping-particle":"","parse-names":false,"suffix":""},{"dropping-particle":"","family":"Wright","given":"Stephen","non-dropping-particle":"","parse-names":false,"suffix":""}],"container-title":"New England Journal of Medicine","id":"ITEM-1","issue":"21","issued":{"date-parts":[["2017"]]},"page":"2011-2020","title":"Trial of cannabidiol for drug-resistant seizures in the dravet syndrome","type":"article-journal","volume":"376"},"uris":["http://www.mendeley.com/documents/?uuid=cdefa4c4-ce24-4c90-bf00-2e56e318267e"]}],"mendeley":{"formattedCitation":"(4)","plainTextFormattedCitation":"(4)","previouslyFormattedCitation":"(4)"},"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(4)</w:t>
            </w:r>
            <w:r w:rsidRPr="00DB55B4">
              <w:rPr>
                <w:rFonts w:eastAsia="Arial" w:cs="Times New Roman"/>
                <w:b/>
                <w:bCs/>
                <w:i/>
                <w:iCs/>
                <w:color w:val="000000"/>
                <w:sz w:val="12"/>
                <w:szCs w:val="12"/>
              </w:rPr>
              <w:fldChar w:fldCharType="end"/>
            </w:r>
          </w:p>
        </w:tc>
        <w:tc>
          <w:tcPr>
            <w:tcW w:w="971" w:type="dxa"/>
            <w:tcBorders>
              <w:top w:val="single" w:sz="12" w:space="0" w:color="000000"/>
              <w:bottom w:val="single" w:sz="4" w:space="0" w:color="auto"/>
            </w:tcBorders>
            <w:shd w:val="clear" w:color="auto" w:fill="E7E6E6"/>
            <w:vAlign w:val="center"/>
          </w:tcPr>
          <w:p w14:paraId="4C8F7F77" w14:textId="77777777"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3819CCFA" w14:textId="77777777" w:rsidR="006F499D"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2018</w:t>
            </w:r>
          </w:p>
          <w:p w14:paraId="408ECA5A" w14:textId="78A6CA3A" w:rsidR="006F499D" w:rsidRPr="00DB55B4" w:rsidRDefault="006F499D" w:rsidP="00591A66">
            <w:pPr>
              <w:spacing w:before="0" w:after="0"/>
              <w:jc w:val="center"/>
              <w:rPr>
                <w:rFonts w:eastAsia="Arial" w:cs="Times New Roman"/>
                <w:b/>
                <w:bCs/>
                <w:i/>
                <w:iCs/>
                <w:color w:val="000000"/>
                <w:sz w:val="12"/>
                <w:szCs w:val="12"/>
                <w:vertAlign w:val="superscript"/>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{"citationItems":[{"id":"ITEM-1","itemData":{"DOI":"10.1212/WNL.0000000000005254","ISBN":"0000000000","ISSN":"1526632X","PMID":"29540584","abstract":"OBJECTIVE: To evaluate the safety and preliminary pharmacokinetics of a pharmaceutical formulation of purified cannabidiol (CBD) in children with Dravet syndrome. METHODS: Patients aged 4-10 years were randomized 4:1 to CBD (5, 10, or 20 mg/kg/d) or placebo taken twice daily. The double-blind trial comprised 4-week baseline, 3-week treatment (including titration), 10-day taper, and 4-week follow-up periods. Completers could continue in an open-label extension. Multiple pharmacokinetic blood samples were taken on the first day of dosing and at end of treatment for measurement of CBD, its metabolites 6-OH-CBD, 7-OH-CBD, and 7-COOH-CBD, and antiepileptic drugs (AEDs; clobazam and metabolite N-desmethylclobazam [N-CLB], valproate, levetiracetam, topiramate, and stiripentol). Safety assessments were clinical laboratory tests, physical examinations, vital signs, ECGs, adverse events (AEs), seizure frequency, and suicidality. RESULTS: Thirty-four patients were randomized (10, 8, and 9 to the 5, 10, and 20 mg/kg/d CBD groups, and 7 to placebo); 32 (94%) completed treatment. Exposure to CBD and its metabolites was dose-proportional (AUC0-t). CBD did not affect concomitant AED levels, apart from an increase in N-CLB (except in patients taking stiripentol). The most common AEs on CBD were pyrexia, somnolence, decreased appetite, sedation, vomiting, ataxia, and abnormal behavior. Six patients taking CBD and valproate developed elevated transaminases; none met criteria for drug-induced liver injury and all recovered. No other clinically relevant safety signals were observed. CONCLUSIONS: Exposure to CBD and its metabolites increased proportionally with dose. An interaction with N-CLB was observed, likely related to CBD inhibition of cytochrome P450 subtype 2C19. CBD resulted in more AEs than placebo but was generally well-tolerated. CLASSIFICATION OF EVIDENCE: This study provides Class I evidence that for children with Dravet syndrome, CBD resulted in more AEs than placebo but was generally well-tolerated.","author":[{"dropping-particle":"","family":"Devinsky","given":"Orrin","non-dropping-particle":"","parse-names":false,"suffix":""},{"dropping-particle":"","family":"Patel","given":"Anup D.","non-dropping-particle":"","parse-names":false,"suffix":""},{"dropping-particle":"","family":"Thiele","given":"Elizabeth A.","non-dropping-particle":"","parse-names":false,"suffix":""},{"dropping-particle":"","family":"Wong","given":"Matthew H.","non-dropping-particle":"","parse-names":false,"suffix":""},{"dropping-particle":"","family":"Appleton","given":"Richard","non-dropping-particle":"","parse-names":false,"suffix":""},{"dropping-particle":"","family":"Harden","given":"Cynthia L.","non-dropping-particle":"","parse-names":false,"suffix":""},{"dropping-particle":"","family":"Greenwood","given":"Sam","non-dropping-particle":"","parse-names":false,"suffix":""},{"dropping-particle":"","family":"Morrison","given":"Gilmour","non-dropping-particle":"","parse-names":false,"suffix":""},{"dropping-particle":"","family":"Sommerville","given":"Kenneth","non-dropping-particle":"","parse-names":false,"suffix":""}],"container-title":"Neurology","id":"ITEM-1","issue":"14","issued":{"date-parts":[["2018","4","3"]]},"page":"e1204-e1211","publisher":"NLM (Medline)","title":"Randomized, dose-ranging safety trial of cannabidiol in Dravet syndrome","type":"article-journal","volume":"90"},"uris":["http://www.mendeley.com/documents/?uuid=0e6a8c16-d6d1-4678-81df-0152a90e5eed"]}],"mendeley":{"formattedCitation":"(5)","plainTextFormattedCitation":"(5)","previouslyFormattedCitation":"(5)"},"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(5)</w:t>
            </w:r>
            <w:r w:rsidRPr="00DB55B4">
              <w:rPr>
                <w:rFonts w:eastAsia="Arial" w:cs="Times New Roman"/>
                <w:b/>
                <w:bCs/>
                <w:i/>
                <w:iCs/>
                <w:color w:val="000000"/>
                <w:sz w:val="12"/>
                <w:szCs w:val="12"/>
              </w:rPr>
              <w:fldChar w:fldCharType="end"/>
            </w:r>
          </w:p>
        </w:tc>
        <w:tc>
          <w:tcPr>
            <w:tcW w:w="970" w:type="dxa"/>
            <w:tcBorders>
              <w:top w:val="single" w:sz="12" w:space="0" w:color="000000"/>
              <w:bottom w:val="single" w:sz="4" w:space="0" w:color="auto"/>
            </w:tcBorders>
            <w:shd w:val="clear" w:color="auto" w:fill="E7E6E6"/>
            <w:vAlign w:val="center"/>
          </w:tcPr>
          <w:p w14:paraId="375D182A" w14:textId="77777777"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0974D84E" w14:textId="77777777" w:rsidR="006F499D"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2019</w:t>
            </w:r>
          </w:p>
          <w:p w14:paraId="40F5AD98" w14:textId="5A5547C5" w:rsidR="006F499D" w:rsidRPr="00DB55B4" w:rsidRDefault="006F499D" w:rsidP="00591A66">
            <w:pPr>
              <w:spacing w:before="0" w:after="0"/>
              <w:jc w:val="center"/>
              <w:rPr>
                <w:rFonts w:eastAsia="Arial" w:cs="Times New Roman"/>
                <w:b/>
                <w:bCs/>
                <w:i/>
                <w:iCs/>
                <w:color w:val="000000"/>
                <w:sz w:val="12"/>
                <w:szCs w:val="12"/>
                <w:vertAlign w:val="superscript"/>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{"citationItems":[{"id":"ITEM-1","itemData":{"DOI":"10.1111/epi.14628","ISSN":"15281167","abstract":"Objective: Add-on cannabidiol (CBD) significantly reduced seizures associated with Dravet syndrome (DS) in a randomized, double-blind, placebo-controlled trial: GWPCARE1 Part B (NCT02091375). Patients who completed GWPCARE1 Part A (NCT02091206) or Part B, or a second placebo-controlled trial, GWPCARE2 (NCT02224703), were invited to enroll in a long-term open-label extension trial, GWPCARE5 (NCT02224573). We present an interim analysis of the safety, efficacy, and patient-reported outcomes from GWPCARE5. Methods: Patients received a pharmaceutical formulation of highly purified CBD in oral solution (100 mg/mL), titrated from 2.5 to 20 mg/kg/d over a 2-week period, with their existing medications. Based on response and tolerance, CBD could be reduced or increased up to 30 mg/kg/d. Results: By November 2016, a total of 278 patients had completed the original randomized trials, and 264 (95%) enrolled in this open-label extension. Median treatment duration was 274 days (range 1-512) with a mean modal dose of 21 mg/kg/d, and patients received a median of 3 concomitant antiepileptic medications. Adverse events (AEs) occurred in 93.2% of patients and were mostly mild (36.7%) or moderate (39.0%). Commonly reported AEs were diarrhea (34.5%), pyrexia (27.3%), decreased appetite (25.4%), and somnolence (24.6%). Seventeen patients (6.4%) discontinued due to AEs. Twenty-two of the 128 patients from GWPCARE1 (17.2%), all taking valproic acid, had liver transaminase elevations ≥3 times the upper limit of normal. In patients from GWPCARE1 Part B, the median reduction from baseline in monthly seizure frequency assessed in 12-week periods up to week 48 ranged from 38% to 44% for convulsive seizures and 39% to 51% for total seizures. After 48 weeks of treatment, 85% of patients/caregivers reported improvement in the patient's overall condition on the Subject/Caregiver Global Impression of Change scale. Significance: This trial shows that long-term CBD treatment had an acceptable safety profile and led to sustained, clinically meaningful reductions in seizure frequency in patients with treatment-resistant DS.","author":[{"dropping-particle":"","family":"Devinsky","given":"Orrin","non-dropping-particle":"","parse-names":false,"suffix":""},{"dropping-particle":"","family":"Nabbout","given":"Rima","non-dropping-particle":"","parse-names":false,"suffix":""},{"dropping-particle":"","family":"Miller","given":"Ian","non-dropping-particle":"","parse-names":false,"suffix":""},{"dropping-particle":"","family":"Laux","given":"Linda","non-dropping-particle":"","parse-names":false,"suffix":""},{"dropping-particle":"","family":"Zolnowska","given":"Marta","non-dropping-particle":"","parse-names":false,"suffix":""},{"dropping-particle":"","family":"Wright","given":"Stephen","non-dropping-particle":"","parse-names":false,"suffix":""},{"dropping-particle":"","family":"Roberts","given":"Claire","non-dropping-particle":"","parse-names":false,"suffix":""}],"container-title":"Epilepsia","id":"ITEM-1","issue":"2","issued":{"date-parts":[["2019","2","1"]]},"page":"294-302","publisher":"Blackwell Publishing Inc.","title":"Long-term cannabidiol treatment in patients with Dravet syndrome: An open-label extension trial","type":"article-journal","volume":"60"},"uris":["http://www.mendeley.com/documents/?uuid=0e110290-1c34-4199-b9c5-226565acaa23"]}],"mendeley":{"formattedCitation":"(6)","plainTextFormattedCitation":"(6)","previouslyFormattedCitation":"(6)"},"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(6)</w:t>
            </w:r>
            <w:r w:rsidRPr="00DB55B4">
              <w:rPr>
                <w:rFonts w:eastAsia="Arial" w:cs="Times New Roman"/>
                <w:b/>
                <w:bCs/>
                <w:i/>
                <w:iCs/>
                <w:color w:val="000000"/>
                <w:sz w:val="12"/>
                <w:szCs w:val="12"/>
              </w:rPr>
              <w:fldChar w:fldCharType="end"/>
            </w:r>
          </w:p>
        </w:tc>
        <w:tc>
          <w:tcPr>
            <w:tcW w:w="971" w:type="dxa"/>
            <w:tcBorders>
              <w:top w:val="single" w:sz="12" w:space="0" w:color="000000"/>
              <w:bottom w:val="single" w:sz="4" w:space="0" w:color="auto"/>
            </w:tcBorders>
            <w:shd w:val="clear" w:color="auto" w:fill="E7E6E6"/>
            <w:vAlign w:val="center"/>
          </w:tcPr>
          <w:p w14:paraId="66B8081C" w14:textId="77777777"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Miller</w:t>
            </w:r>
          </w:p>
          <w:p w14:paraId="3D1C077E" w14:textId="77777777" w:rsidR="006F499D"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2020</w:t>
            </w:r>
          </w:p>
          <w:p w14:paraId="370E3167" w14:textId="1424D2CD"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{"citationItems":[{"id":"ITEM-1","itemData":{"DOI":"10.1001/jamaneurol.2020.0073","ISSN":"21686157","abstract":"Importance: Clinical evidence supports effectiveness of cannabidiol for treatment-resistant seizures in Dravet syndrome, but this trial is the first to evaluate the 10-mg/kg/d dose. Objective: To evaluate the efficacy and safety of a pharmaceutical formulation of cannabidiol, 10 and 20 mg/kg/d, vs placebo for adjunctive treatment of convulsive seizures in patients with Dravet syndrome. Design, Setting, and Participants: This double-blind, placebo-controlled, randomized clinical trial (GWPCARE2) recruited patients from April 13, 2015, to November 10, 2017, with follow-up completed on April 9, 2018. Of 285 patients screened from 38 centers in the United States, Spain, Poland, the Netherlands, Australia, and Israel, 86 were excluded, and 199 were randomized. Patients were aged 2 to 18 years with a confirmed diagnosis of Dravet syndrome and at least 4 convulsive seizures during the 4-week baseline period while receiving at least 1 antiepileptic drug. Data were analyzed from November 16 (date of unblinding) to December 13 (date of final outputs), 2018, based on intention to treat and per protocol. Interventions: Patients received cannabidiol oral solution at a dose of 10 or 20 mg/kg per day (CBD10 and CBD20 groups, respectively) or matched placebo in 2 equally divided doses for 14 weeks. All patients, caregivers, investigators, and individuals assessing data were blinded to group assignment. Main Outcomes and Measures: The primary outcome was change from baseline in convulsive seizure frequency during the treatment period. Secondary outcomes included change in all seizure frequency, proportion with at least a 50% reduction in convulsive seizure activity, and change in Caregiver Global Impression of Change score. Results: Of 198 eligible patients (mean [SD] age, 9.3 [4.4] years; 104 female [52.5%]), 66 were randomized to the CBD10 group, 67 to the CBD20 group, and 65 to the placebo group, and 190 completed treatment. The percentage reduction from baseline in convulsive seizure frequency was 48.7% for CBD10 group and 45.7% for the CBD20 group vs 26.9% for the placebo group; the percentage reduction from placebo was 29.8% (95% CI, 8.4%-46.2%; P =.01) for CBD10 group and 25.7% (95% CI, 2.9%-43.2%; P =.03) for the CBD20 group. The most common adverse events were decreased appetite, diarrhea, somnolence, pyrexia, and fatigue. Five patients in the CBD20 group discontinued owing to adverse events. Elevated liver transaminase levels occurred more frequently in the CB…","author":[{"dropping-particle":"","family":"Miller","given":"Ian","non-dropping-particle":"","parse-names":false,"suffix":""},{"dropping-particle":"","family":"Scheffer","given":"Ingrid E.","non-dropping-particle":"","parse-names":false,"suffix":""},{"dropping-particle":"","family":"Gunning","given":"Boudewijn","non-dropping-particle":"","parse-names":false,"suffix":""},{"dropping-particle":"","family":"Sanchez-Carpintero","given":"Rocio","non-dropping-particle":"","parse-names":false,"suffix":""},{"dropping-particle":"","family":"Gil-Nagel","given":"Antonio","non-dropping-particle":"","parse-names":false,"suffix":""},{"dropping-particle":"","family":"Perry","given":"M. Scott","non-dropping-particle":"","parse-names":false,"suffix":""},{"dropping-particle":"","family":"Saneto","given":"Russell P.","non-dropping-particle":"","parse-names":false,"suffix":""},{"dropping-particle":"","family":"Checketts","given":"Daniel","non-dropping-particle":"","parse-names":false,"suffix":""},{"dropping-particle":"","family":"Dunayevich","given":"Eduardo","non-dropping-particle":"","parse-names":false,"suffix":""},{"dropping-particle":"","family":"Knappertz","given":"Volker","non-dropping-particle":"","parse-names":false,"suffix":""}],"container-title":"JAMA Neurology","id":"ITEM-1","issued":{"date-parts":[["2020","3","2"]]},"publisher":"American Medical Association","title":"Dose-Ranging Effect of Adjunctive Oral Cannabidiol vs Placebo on Convulsive Seizure Frequency in Dravet Syndrome: A Randomized Clinical Trial","type":"article-journal"},"uris":["http://www.mendeley.com/documents/?uuid=bca5f2a8-aaf5-3919-a5b3-5ab8db3230eb"]}],"mendeley":{"formattedCitation":"(7)","plainTextFormattedCitation":"(7)","previouslyFormattedCitation":"(7)"},"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(7)</w:t>
            </w:r>
            <w:r w:rsidRPr="00DB55B4">
              <w:rPr>
                <w:rFonts w:eastAsia="Arial" w:cs="Times New Roman"/>
                <w:b/>
                <w:bCs/>
                <w:i/>
                <w:iCs/>
                <w:color w:val="000000"/>
                <w:sz w:val="12"/>
                <w:szCs w:val="12"/>
              </w:rPr>
              <w:fldChar w:fldCharType="end"/>
            </w:r>
          </w:p>
        </w:tc>
        <w:tc>
          <w:tcPr>
            <w:tcW w:w="970" w:type="dxa"/>
            <w:tcBorders>
              <w:top w:val="single" w:sz="12" w:space="0" w:color="000000"/>
              <w:bottom w:val="single" w:sz="4" w:space="0" w:color="auto"/>
              <w:right w:val="single" w:sz="12" w:space="0" w:color="000000"/>
            </w:tcBorders>
            <w:shd w:val="clear" w:color="auto" w:fill="E7E6E6"/>
            <w:vAlign w:val="center"/>
          </w:tcPr>
          <w:p w14:paraId="368A20AC" w14:textId="7A55CC73"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Our study</w:t>
            </w:r>
          </w:p>
        </w:tc>
        <w:tc>
          <w:tcPr>
            <w:tcW w:w="970" w:type="dxa"/>
            <w:tcBorders>
              <w:top w:val="single" w:sz="12" w:space="0" w:color="000000"/>
              <w:left w:val="single" w:sz="12" w:space="0" w:color="000000"/>
              <w:bottom w:val="single" w:sz="4" w:space="0" w:color="auto"/>
            </w:tcBorders>
            <w:shd w:val="clear" w:color="auto" w:fill="E7E6E6"/>
            <w:vAlign w:val="center"/>
          </w:tcPr>
          <w:p w14:paraId="0A9B6D5A" w14:textId="77777777"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07BEC4E7" w14:textId="77777777" w:rsidR="006F499D"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2018</w:t>
            </w:r>
          </w:p>
          <w:p w14:paraId="6C1441AB" w14:textId="19541753" w:rsidR="006F499D" w:rsidRPr="00DB55B4" w:rsidRDefault="006F499D" w:rsidP="00591A66">
            <w:pPr>
              <w:spacing w:before="0" w:after="0"/>
              <w:jc w:val="center"/>
              <w:rPr>
                <w:rFonts w:eastAsia="Arial" w:cs="Times New Roman"/>
                <w:b/>
                <w:bCs/>
                <w:i/>
                <w:iCs/>
                <w:color w:val="000000"/>
                <w:sz w:val="12"/>
                <w:szCs w:val="12"/>
                <w:vertAlign w:val="superscript"/>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{"citationItems":[{"id":"ITEM-1","itemData":{"DOI":"10.1056/NEJMoa1714631","ISSN":"15334406","abstract":"BACKGROUND Cannabidiol has been used for treatment-resistant seizures in patients with severe early-onset epilepsy. We investigated the efficacy and safety of cannabidiol added to a regimen of conventional antiepileptic medication to treat drop seizures in patients with the Lennox–Gastaut syndrome, a severe developmental epileptic encephalopathy. METHODS In this double-blind, placebo-controlled trial conducted at 30 clinical centers, we randomly assigned patients with the Lennox–Gastaut syndrome (age range, 2 to 55 years) who had had two or more drop seizures per week during a 28-day baseline period to receive cannabidiol oral solution at a dose of either 20 mg per kilogram of body weight (20-mg cannabidiol group) or 10 mg per kilogram (10-mg cannabidiol group) or matching placebo, administered in two equally divided doses daily for 14 weeks. The primary outcome was the percentage change from baseline in the frequency of drop seizures (average per 28 days) during the treatment period. RESULTS A total of 225 patients were enrolled; 76 patients were assigned to the 20-mg cannabidiol group, 73 to the 10-mg cannabidiol group, and 76 to the placebo group. During the 28-day baseline period, the median number of drop seizures was 85 in all trial groups combined. The median percent reduction from baseline in drop-seizure frequency during the treatment period was 41.9% in the 20-mg cannabidiol group, 37.2% in the 10-mg cannabidiol group, and 17.2% in the placebo group (P=0.005 for the 20-mg cannabidiol group vs. placebo group, and P=0.002 for the 10-mg cannabidiol group vs. placebo group). The most common adverse events among the patients in the cannabidiol groups were somnolence, decreased appetite, and diarrhea; these events occurred more frequently in the higher-dose group. Six patients in the 20-mg cannabidiol group and 1 patient in the 10-mg cannabidiol group discontinued the trial medication because of adverse events and were withdrawn from the trial. Fourteen patients who received cannabidiol (9%) had elevated liver aminotransferase concentrations. CONCLUSIONS Among children and adults with the Lennox–Gastaut syndrome, the addition of cannabidiol at a dose of 10 mg or 20 mg per kilogram per day to a conventional antiepileptic regimen resulted in greater reductions in the frequency of drop seizures than placebo. Adverse events with cannabidiol included elevated liver aminotransferase concentrations. (Funded by GW Pharmaceuticals; GWPCARE3 ClinicalTrials.go…","author":[{"dropping-particle":"","family":"Devinsky","given":"Orrin","non-dropping-particle":"","parse-names":false,"suffix":""},{"dropping-particle":"","family":"Patel","given":"Anup D.","non-dropping-particle":"","parse-names":false,"suffix":""},{"dropping-particle":"","family":"Cross","given":"J. Helen","non-dropping-particle":"","parse-names":false,"suffix":""},{"dropping-particle":"","family":"Villanueva","given":"Vicente","non-dropping-particle":"","parse-names":false,"suffix":""},{"dropping-particle":"","family":"Wirrell","given":"Elaine C.","non-dropping-particle":"","parse-names":false,"suffix":""},{"dropping-particle":"","family":"Privitera","given":"Michael","non-dropping-particle":"","parse-names":false,"suffix":""},{"dropping-particle":"","family":"Greenwood","given":"Sam M.","non-dropping-particle":"","parse-names":false,"suffix":""},{"dropping-particle":"","family":"Roberts","given":"Claire","non-dropping-particle":"","parse-names":false,"suffix":""},{"dropping-particle":"","family":"Checketts","given":"Daniel","non-dropping-particle":"","parse-names":false,"suffix":""},{"dropping-particle":"","family":"VanLandingham","given":"Kevan E.","non-dropping-particle":"","parse-names":false,"suffix":""},{"dropping-particle":"","family":"Zuberi","given":"Sameer M.","non-dropping-particle":"","parse-names":false,"suffix":""}],"container-title":"New England Journal of Medicine","id":"ITEM-1","issue":"20","issued":{"date-parts":[["2018"]]},"page":"1888-1897","title":"Effect of cannabidiol on drop seizures in the lennox–gastaut syndrome","type":"article-journal","volume":"378"},"uris":["http://www.mendeley.com/documents/?uuid=7834fb1c-6c93-45f7-b3b9-5c23fdf57365"]}],"mendeley":{"formattedCitation":"(8)","plainTextFormattedCitation":"(8)","previouslyFormattedCitation":"(8)"},"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(8)</w:t>
            </w:r>
            <w:r w:rsidRPr="00DB55B4">
              <w:rPr>
                <w:rFonts w:eastAsia="Arial" w:cs="Times New Roman"/>
                <w:b/>
                <w:bCs/>
                <w:i/>
                <w:iCs/>
                <w:color w:val="000000"/>
                <w:sz w:val="12"/>
                <w:szCs w:val="12"/>
              </w:rPr>
              <w:fldChar w:fldCharType="end"/>
            </w:r>
          </w:p>
        </w:tc>
        <w:tc>
          <w:tcPr>
            <w:tcW w:w="971" w:type="dxa"/>
            <w:tcBorders>
              <w:top w:val="single" w:sz="12" w:space="0" w:color="000000"/>
              <w:bottom w:val="single" w:sz="4" w:space="0" w:color="auto"/>
            </w:tcBorders>
            <w:shd w:val="clear" w:color="auto" w:fill="E7E6E6"/>
            <w:vAlign w:val="center"/>
          </w:tcPr>
          <w:p w14:paraId="2D57ADE7" w14:textId="77777777"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Thiele</w:t>
            </w:r>
          </w:p>
          <w:p w14:paraId="17B74B97" w14:textId="77777777" w:rsidR="006F499D"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2018</w:t>
            </w:r>
          </w:p>
          <w:p w14:paraId="0318C714" w14:textId="39E11BAC" w:rsidR="006F499D" w:rsidRPr="00DB55B4" w:rsidRDefault="006F499D" w:rsidP="00591A66">
            <w:pPr>
              <w:spacing w:before="0" w:after="0"/>
              <w:jc w:val="center"/>
              <w:rPr>
                <w:rFonts w:eastAsia="Arial" w:cs="Times New Roman"/>
                <w:b/>
                <w:bCs/>
                <w:i/>
                <w:iCs/>
                <w:color w:val="000000"/>
                <w:sz w:val="12"/>
                <w:szCs w:val="12"/>
                <w:vertAlign w:val="superscript"/>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{"citationItems":[{"id":"ITEM-1","itemData":{"DOI":"10.1016/S0140-6736(18)30136-3","ISSN":"1474547X","PMID":"29395273","abstract":"Background: Patients with Lennox-Gastaut syndrome, a rare, severe form of epileptic encephalopathy, are frequently treatment resistant to available medications. No controlled studies have investigated the use of cannabidiol for patients with seizures associated with Lennox-Gastaut syndrome. We therefore assessed the efficacy and safety of cannabidiol as an add-on anticonvulsant therapy in this population of patients. Methods: In this randomised, double-blind, placebo-controlled trial done at 24 clinical sites in the USA, the Netherlands, and Poland, we investigated the efficacy of cannabidiol as add-on therapy for drop seizures in patients with treatment-resistant Lennox-Gastaut syndrome. Eligible patients (aged 2–55 years) had Lennox-Gastaut syndrome, including a history of slow (&lt;3 Hz) spike-and-wave patterns on electroencephalogram, evidence of more than one type of generalised seizure for at least 6 months, at least two drop seizures per week during the 4-week baseline period, and had not responded to treatment with at least two antiepileptic drugs. Patients were randomly assigned (1:1) using an interactive voice response system, stratified by age group, to receive 20 mg/kg oral cannabidiol daily or matched placebo for 14 weeks. All patients, caregivers, investigators, and individuals assessing data were masked to group assignment. The primary endpoint was percentage change from baseline in monthly frequency of drop seizures during the treatment period, analysed in all patients who received at least one dose of study drug and had post-baseline efficacy data. All randomly assigned patients were included in the safety analyses. This study is registered with ClinicalTrials.gov, number NCT02224690. Findings: Between April 28, 2015, and Oct 15, 2015, we randomly assigned 171 patients to receive cannabidiol (n=86) or placebo (n=85). 14 patients in the cannabidiol group and one in the placebo group discontinued study treatment; all randomly assigned patients received at least one dose of study treatment and had post-baseline efficacy data. The median percentage reduction in monthly drop seizure frequency from baseline was 43·9% (IQR −69·6 to −1·9) in the cannibidiol group and 21·8% (IQR −45·7 to 1·7) in the placebo group. The estimated median difference between the treatment groups was −17·21 (95% CI −30·32 to −4·09; p=0·0135) during the 14-week treatment period. Adverse events occurred in 74 (86%) of 86 patients in the cannabidiol group and 59 (69%) of 85…","author":[{"dropping-particle":"","family":"Thiele","given":"Elizabeth A.","non-dropping-particle":"","parse-names":false,"suffix":""},{"dropping-particle":"","family":"Marsh","given":"Eric D.","non-dropping-particle":"","parse-names":false,"suffix":""},{"dropping-particle":"","family":"French","given":"Jacqueline A.","non-dropping-particle":"","parse-names":false,"suffix":""},{"dropping-particle":"","family":"Mazurkiewicz","given":"Maria B.","non-dropping-particle":"","parse-names":false,"suffix":""},{"dropping-particle":"","family":"Benbadis","given":"Selim R.","non-dropping-particle":"","parse-names":false,"suffix":""},{"dropping-particle":"","family":"Joshi","given":"Charuta","non-dropping-particle":"","parse-names":false,"suffix":""},{"dropping-particle":"","family":"Lyons","given":"Paul D.","non-dropping-particle":"","parse-names":false,"suffix":""},{"dropping-particle":"","family":"Taylor","given":"Adam","non-dropping-particle":"","parse-names":false,"suffix":""},{"dropping-particle":"","family":"Roberts","given":"Claire","non-dropping-particle":"","parse-names":false,"suffix":""},{"dropping-particle":"","family":"Sommerville","given":"Kenneth","non-dropping-particle":"","parse-names":false,"suffix":""},{"dropping-particle":"","family":"Gunning","given":"Boudewjin","non-dropping-particle":"","parse-names":false,"suffix":""},{"dropping-particle":"","family":"Gawlowicz","given":"Jacek","non-dropping-particle":"","parse-names":false,"suffix":""},{"dropping-particle":"","family":"Lisewski","given":"Pawel","non-dropping-particle":"","parse-names":false,"suffix":""},{"dropping-particle":"","family":"Mitosek Szewczyk","given":"Krystyna","non-dropping-particle":"","parse-names":false,"suffix":""},{"dropping-particle":"","family":"Steinborn","given":"Barbara","non-dropping-particle":"","parse-names":false,"suffix":""},{"dropping-particle":"","family":"Zolnowska","given":"Marta","non-dropping-particle":"","parse-names":false,"suffix":""},{"dropping-particle":"","family":"Hughes","given":"Elaine","non-dropping-particle":"","parse-names":false,"suffix":""},{"dropping-particle":"","family":"McLellan","given":"Ailsa","non-dropping-particle":"","parse-names":false,"suffix":""},{"dropping-particle":"","family":"Benbadis","given":"Selim R.","non-dropping-particle":"","parse-names":false,"suffix":""},{"dropping-particle":"","family":"Ciliberto","given":"Michael","non-dropping-particle":"","parse-names":false,"suffix":""},{"dropping-particle":"","family":"Clark","given":"Gary","non-dropping-particle":"","parse-names":false,"suffix":""},{"dropping-particle":"","family":"Dlugos","given":"Dennis","non-dropping-particle":"","parse-names":false,"suffix":""},{"dropping-particle":"","family":"Filloux","given":"Francis","non-dropping-particle":"","parse-names":false,"suffix":""},{"dropping-particle":"","family":"Flamini","given":"Robert","non-dropping-particle":"","parse-names":false,"suffix":""},{"dropping-particle":"","family":"French","given":"Jacqueline A.","non-dropping-particle":"","parse-names":false,"suffix":""},{"dropping-particle":"","family":"Frost","given":"Michael","non-dropping-particle":"","parse-names":false,"suffix":""},{"dropping-particle":"","family":"Haut","given":"Sheryl","non-dropping-particle":"","parse-names":false,"suffix":""},{"dropping-particle":"","family":"Joshi","given":"Charuta","non-dropping-particle":"","parse-names":false,"suffix":""},{"dropping-particle":"","family":"Kapoor","given":"Siddarth","non-dropping-particle":"","parse-names":false,"suffix":""},{"dropping-particle":"","family":"Kessler","given":"Sudha","non-dropping-particle":"","parse-names":false,"suffix":""},{"dropping-particle":"","family":"Laux","given":"Linda","non-dropping-particle":"","parse-names":false,"suffix":""},{"dropping-particle":"","family":"Lyons","given":"Paul D.","non-dropping-particle":"","parse-names":false,"suffix":""},{"dropping-particle":"","family":"Marsh","given":"Eric D.","non-dropping-particle":"","parse-names":false,"suffix":""},{"dropping-particle":"","family":"Moore","given":"David","non-dropping-particle":"","parse-names":false,"suffix":""},{"dropping-particle":"","family":"Morse","given":"Richard","non-dropping-particle":"","parse-names":false,"suffix":""},{"dropping-particle":"","family":"Nagaraddi","given":"Venkatesh","non-dropping-particle":"","parse-names":false,"suffix":""},{"dropping-particle":"","family":"Rosenfeld","given":"William","non-dropping-particle":"","parse-names":false,"suffix":""},{"dropping-particle":"","family":"Seltzer","given":"Laurie","non-dropping-particle":"","parse-names":false,"suffix":""},{"dropping-particle":"","family":"Shellhaas","given":"Renée","non-dropping-particle":"","parse-names":false,"suffix":""},{"dropping-particle":"","family":"Thiele","given":"Elizabeth A.","non-dropping-particle":"","parse-names":false,"suffix":""},{"dropping-particle":"","family":"Thio","given":"Liu Lin","non-dropping-particle":"","parse-names":false,"suffix":""},{"dropping-particle":"","family":"Wang","given":"David","non-dropping-particle":"","parse-names":false,"suffix":""},{"dropping-particle":"","family":"Wilfong","given":"Angus","non-dropping-particle":"","parse-names":false,"suffix":""}],"container-title":"The Lancet","id":"ITEM-1","issue":"10125","issued":{"date-parts":[["2018","1","1"]]},"page":"1085-1096","publisher":"Lancet Publishing Group","title":"Cannabidiol in patients with seizures associated with Lennox-Gastaut syndrome (GWPCARE4): a randomised, double-blind, placebo-controlled phase 3 trial","type":"article-journal","volume":"391"},"uris":["http://www.mendeley.com/documents/?uuid=85d8734c-4855-4c97-9a6a-236c24a89cf5"]}],"mendeley":{"formattedCitation":"(9)","plainTextFormattedCitation":"(9)","previouslyFormattedCitation":"(9)"},"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(9)</w:t>
            </w:r>
            <w:r w:rsidRPr="00DB55B4">
              <w:rPr>
                <w:rFonts w:eastAsia="Arial" w:cs="Times New Roman"/>
                <w:b/>
                <w:bCs/>
                <w:i/>
                <w:iCs/>
                <w:color w:val="000000"/>
                <w:sz w:val="12"/>
                <w:szCs w:val="12"/>
              </w:rPr>
              <w:fldChar w:fldCharType="end"/>
            </w:r>
          </w:p>
        </w:tc>
        <w:tc>
          <w:tcPr>
            <w:tcW w:w="970" w:type="dxa"/>
            <w:tcBorders>
              <w:top w:val="single" w:sz="12" w:space="0" w:color="000000"/>
              <w:bottom w:val="single" w:sz="4" w:space="0" w:color="auto"/>
              <w:right w:val="single" w:sz="4" w:space="0" w:color="auto"/>
            </w:tcBorders>
            <w:shd w:val="clear" w:color="auto" w:fill="E7E6E6"/>
            <w:vAlign w:val="center"/>
          </w:tcPr>
          <w:p w14:paraId="482DC166" w14:textId="77777777"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Thiele</w:t>
            </w:r>
          </w:p>
          <w:p w14:paraId="1E613E9F" w14:textId="77777777" w:rsidR="006F499D" w:rsidRDefault="006F499D" w:rsidP="00591A66">
            <w:pPr>
              <w:spacing w:before="0" w:after="0"/>
              <w:jc w:val="center"/>
              <w:rPr>
                <w:rFonts w:eastAsia="Arial" w:cs="Times New Roman"/>
                <w:b/>
                <w:bCs/>
                <w:i/>
                <w:iCs/>
                <w:color w:val="000000"/>
                <w:sz w:val="12"/>
                <w:szCs w:val="12"/>
                <w:vertAlign w:val="superscript"/>
              </w:rPr>
            </w:pPr>
            <w:r w:rsidRPr="00DB55B4">
              <w:rPr>
                <w:rFonts w:eastAsia="Arial" w:cs="Times New Roman"/>
                <w:b/>
                <w:bCs/>
                <w:i/>
                <w:iCs/>
                <w:color w:val="000000"/>
                <w:sz w:val="12"/>
                <w:szCs w:val="12"/>
              </w:rPr>
              <w:t>2019</w:t>
            </w:r>
          </w:p>
          <w:p w14:paraId="75ED5C1A" w14:textId="73ABB892" w:rsidR="006F499D" w:rsidRPr="00DB55B4" w:rsidRDefault="006F499D"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vertAlign w:val="superscript"/>
              </w:rPr>
              <w:fldChar w:fldCharType="begin" w:fldLock="1"/>
            </w:r>
            <w:r>
              <w:rPr>
                <w:rFonts w:eastAsia="Arial" w:cs="Times New Roman"/>
                <w:b/>
                <w:bCs/>
                <w:i/>
                <w:iCs/>
                <w:color w:val="000000"/>
                <w:sz w:val="12"/>
                <w:szCs w:val="12"/>
                <w:vertAlign w:val="superscript"/>
              </w:rPr>
              <w:instrText>ADDIN CSL_CITATION {"citationItems":[{"id":"ITEM-1","itemData":{"DOI":"10.1111/epi.14670","ISSN":"15281167","abstract":"Objective: Patients with Lennox-Gastaut syndrome (LGS) who completed 1 of 2 randomized, double-blind, placebo-controlled trials of add-on cannabidiol (CBD) (GWPCARE3, NCT02224560 or GWPCARE4, NCT02224690) were invited to enroll in an open-label extension (OLE) study evaluating the long-term safety and efficacy of CBD (GWPCARE5, NCT02224573). Herein we present an interim analysis of the safety, efficacy, and patient-reported outcomes from this trial. Methods: Patients received a pharmaceutical formulation of highly purified CBD oral solution (Epidiolex; 100 mg/mL), titrated from 2.5 to 20 mg/kg/d over a 2-week titration period, in addition to their existing medications. Doses could be reduced if not tolerated or increased up to 30 mg/kg/d if thought to be of benefit. Results: This interim analysis was based on a November 2016 data cut. Of 368 patients who completed treatment in GWPCARE3 and GWPCARE4, 366 (99.5%) enrolled in the OLE study (GWPCARE5). Median treatment duration was 38 weeks at a mean modal dose of 23 mg/kg/d. Most patients (92.1%) experienced adverse events (AEs), primarily of mild (32.5%) or moderate (43.4%) severity. The most common AEs were diarrhea (26.8%), somnolence (23.5%), and convulsion (21.3%). Thirty-five patients (9.6%) discontinued treatment due to AEs. Liver transaminase elevations were reported in 37 patients (10.1%), of whom 29 were receiving concomitant valproic acid; 34 cases resolved spontaneously or with dose modification of CBD or concomitant medication. Median reduction from baseline in drop seizure frequency (quantified monthly over 12-week periods) ranged from 48% to 60% through week 48. Median reduction in monthly total seizure frequency ranged from 48% to 57% across all 12-week periods through week 48. Eighty-eight percent of patients/caregivers reported an improvement in the patient's overall condition per the Subject/Caregiver Global Impression of Change scale. Significance: In this study, long-term add-on CBD treatment had an acceptable safety profile in patients with LGS and led to sustained reductions in seizures.","author":[{"dropping-particle":"","family":"Thiele","given":"Elizabeth","non-dropping-particle":"","parse-names":false,"suffix":""},{"dropping-particle":"","family":"Marsh","given":"Eric","non-dropping-particle":"","parse-names":false,"suffix":""},{"dropping-particle":"","family":"Mazurkiewicz-Beldzinska","given":"Maria","non-dropping-particle":"","parse-names":false,"suffix":""},{"dropping-particle":"","family":"Halford","given":"Jonathan J.","non-dropping-particle":"","parse-names":false,"suffix":""},{"dropping-particle":"","family":"Gunning","given":"Boudewijn","non-dropping-particle":"","parse-names":false,"suffix":""},{"dropping-particle":"","family":"Devinsky","given":"Orrin","non-dropping-particle":"","parse-names":false,"suffix":""},{"dropping-particle":"","family":"Checketts","given":"Daniel","non-dropping-particle":"","parse-names":false,"suffix":""},{"dropping-particle":"","family":"Roberts","given":"Claire","non-dropping-particle":"","parse-names":false,"suffix":""}],"container-title":"Epilepsia","id":"ITEM-1","issue":"3","issued":{"date-parts":[["2019"]]},"page":"419-428","title":"Cannabidiol in patients with Lennox-Gastaut syndrome: Interim analysis of an open-label extension study","type":"article-journal","volume":"60"},"uris":["http://www.mendeley.com/documents/?uuid=08254421-45a9-4708-85aa-ab7ba53ba1d1"]}],"mendeley":{"formattedCitation":"(10)","plainTextFormattedCitation":"(10)","previouslyFormattedCitation":"(10)"},"properties":{"noteIndex":0},"schema":"https://github.com/citation-style-language/schema/raw/master/csl-citation.json"}</w:instrText>
            </w:r>
            <w:r w:rsidRPr="00DB55B4">
              <w:rPr>
                <w:rFonts w:eastAsia="Arial" w:cs="Times New Roman"/>
                <w:b/>
                <w:bCs/>
                <w:i/>
                <w:iCs/>
                <w:color w:val="000000"/>
                <w:sz w:val="12"/>
                <w:szCs w:val="12"/>
                <w:vertAlign w:val="superscript"/>
              </w:rPr>
              <w:fldChar w:fldCharType="separate"/>
            </w:r>
            <w:r w:rsidRPr="006F499D">
              <w:rPr>
                <w:rFonts w:eastAsia="Arial" w:cs="Times New Roman"/>
                <w:bCs/>
                <w:iCs/>
                <w:noProof/>
                <w:color w:val="000000"/>
                <w:sz w:val="12"/>
                <w:szCs w:val="12"/>
              </w:rPr>
              <w:t>(10)</w:t>
            </w:r>
            <w:r w:rsidRPr="00DB55B4">
              <w:rPr>
                <w:rFonts w:eastAsia="Arial" w:cs="Times New Roman"/>
                <w:b/>
                <w:bCs/>
                <w:i/>
                <w:iCs/>
                <w:color w:val="000000"/>
                <w:sz w:val="12"/>
                <w:szCs w:val="12"/>
                <w:vertAlign w:val="superscript"/>
              </w:rPr>
              <w:fldChar w:fldCharType="end"/>
            </w:r>
          </w:p>
        </w:tc>
        <w:tc>
          <w:tcPr>
            <w:tcW w:w="971" w:type="dxa"/>
            <w:tcBorders>
              <w:top w:val="single" w:sz="12" w:space="0" w:color="000000"/>
              <w:bottom w:val="single" w:sz="4" w:space="0" w:color="auto"/>
              <w:right w:val="single" w:sz="12" w:space="0" w:color="000000"/>
            </w:tcBorders>
            <w:shd w:val="clear" w:color="auto" w:fill="E7E6E6"/>
            <w:vAlign w:val="center"/>
          </w:tcPr>
          <w:p w14:paraId="2DF3412A" w14:textId="54A75296" w:rsidR="006F499D" w:rsidRPr="00DB55B4" w:rsidRDefault="00C77FAB"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Our study</w:t>
            </w:r>
          </w:p>
        </w:tc>
      </w:tr>
      <w:tr w:rsidR="00DB55B4" w:rsidRPr="00DB55B4" w14:paraId="04496CF3" w14:textId="77777777" w:rsidTr="00591A66">
        <w:trPr>
          <w:trHeight w:val="227"/>
          <w:jc w:val="center"/>
        </w:trPr>
        <w:tc>
          <w:tcPr>
            <w:tcW w:w="1555" w:type="dxa"/>
            <w:tcBorders>
              <w:top w:val="single" w:sz="4" w:space="0" w:color="auto"/>
              <w:right w:val="single" w:sz="12" w:space="0" w:color="000000"/>
            </w:tcBorders>
            <w:vAlign w:val="center"/>
          </w:tcPr>
          <w:p w14:paraId="7181162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Study</w:t>
            </w:r>
          </w:p>
        </w:tc>
        <w:tc>
          <w:tcPr>
            <w:tcW w:w="970" w:type="dxa"/>
            <w:tcBorders>
              <w:top w:val="single" w:sz="4" w:space="0" w:color="auto"/>
              <w:left w:val="single" w:sz="12" w:space="0" w:color="000000"/>
            </w:tcBorders>
            <w:vAlign w:val="center"/>
          </w:tcPr>
          <w:p w14:paraId="003B0121" w14:textId="77777777" w:rsidR="00DB55B4" w:rsidRPr="00DB55B4" w:rsidRDefault="00DB55B4" w:rsidP="00591A66">
            <w:pPr>
              <w:spacing w:before="0" w:after="0" w:line="276" w:lineRule="auto"/>
              <w:jc w:val="center"/>
              <w:rPr>
                <w:rFonts w:eastAsia="Calibri" w:cs="Times New Roman"/>
                <w:sz w:val="12"/>
                <w:szCs w:val="12"/>
              </w:rPr>
            </w:pPr>
            <w:r w:rsidRPr="00DB55B4">
              <w:rPr>
                <w:rFonts w:eastAsia="Arial" w:cs="Times New Roman"/>
                <w:color w:val="000000"/>
                <w:sz w:val="12"/>
                <w:szCs w:val="12"/>
              </w:rPr>
              <w:t>OL</w:t>
            </w:r>
          </w:p>
        </w:tc>
        <w:tc>
          <w:tcPr>
            <w:tcW w:w="970" w:type="dxa"/>
            <w:tcBorders>
              <w:top w:val="single" w:sz="4" w:space="0" w:color="auto"/>
            </w:tcBorders>
            <w:vAlign w:val="center"/>
          </w:tcPr>
          <w:p w14:paraId="72A6FC5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EAP</w:t>
            </w:r>
          </w:p>
        </w:tc>
        <w:tc>
          <w:tcPr>
            <w:tcW w:w="971" w:type="dxa"/>
            <w:tcBorders>
              <w:top w:val="single" w:sz="4" w:space="0" w:color="auto"/>
            </w:tcBorders>
            <w:vAlign w:val="center"/>
          </w:tcPr>
          <w:p w14:paraId="0B2AAB83"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EAP</w:t>
            </w:r>
          </w:p>
        </w:tc>
        <w:tc>
          <w:tcPr>
            <w:tcW w:w="970" w:type="dxa"/>
            <w:tcBorders>
              <w:top w:val="single" w:sz="4" w:space="0" w:color="auto"/>
              <w:right w:val="single" w:sz="12" w:space="0" w:color="000000"/>
            </w:tcBorders>
            <w:vAlign w:val="center"/>
          </w:tcPr>
          <w:p w14:paraId="7F027AA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OL</w:t>
            </w:r>
          </w:p>
        </w:tc>
        <w:tc>
          <w:tcPr>
            <w:tcW w:w="970" w:type="dxa"/>
            <w:tcBorders>
              <w:top w:val="single" w:sz="4" w:space="0" w:color="auto"/>
              <w:left w:val="single" w:sz="12" w:space="0" w:color="000000"/>
            </w:tcBorders>
            <w:vAlign w:val="center"/>
          </w:tcPr>
          <w:p w14:paraId="1D28767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RCT</w:t>
            </w:r>
          </w:p>
        </w:tc>
        <w:tc>
          <w:tcPr>
            <w:tcW w:w="971" w:type="dxa"/>
            <w:tcBorders>
              <w:top w:val="single" w:sz="4" w:space="0" w:color="auto"/>
            </w:tcBorders>
            <w:vAlign w:val="center"/>
          </w:tcPr>
          <w:p w14:paraId="3455A1C0"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RCT</w:t>
            </w:r>
          </w:p>
        </w:tc>
        <w:tc>
          <w:tcPr>
            <w:tcW w:w="970" w:type="dxa"/>
            <w:tcBorders>
              <w:top w:val="single" w:sz="4" w:space="0" w:color="auto"/>
            </w:tcBorders>
            <w:vAlign w:val="center"/>
          </w:tcPr>
          <w:p w14:paraId="542B1984"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OLE</w:t>
            </w:r>
          </w:p>
        </w:tc>
        <w:tc>
          <w:tcPr>
            <w:tcW w:w="971" w:type="dxa"/>
            <w:tcBorders>
              <w:top w:val="single" w:sz="4" w:space="0" w:color="auto"/>
            </w:tcBorders>
            <w:vAlign w:val="center"/>
          </w:tcPr>
          <w:p w14:paraId="147EC3D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RCT</w:t>
            </w:r>
          </w:p>
        </w:tc>
        <w:tc>
          <w:tcPr>
            <w:tcW w:w="970" w:type="dxa"/>
            <w:tcBorders>
              <w:top w:val="single" w:sz="4" w:space="0" w:color="auto"/>
              <w:right w:val="single" w:sz="12" w:space="0" w:color="000000"/>
            </w:tcBorders>
            <w:vAlign w:val="center"/>
          </w:tcPr>
          <w:p w14:paraId="5E2B84EA"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OL</w:t>
            </w:r>
          </w:p>
        </w:tc>
        <w:tc>
          <w:tcPr>
            <w:tcW w:w="970" w:type="dxa"/>
            <w:tcBorders>
              <w:top w:val="single" w:sz="4" w:space="0" w:color="auto"/>
              <w:left w:val="single" w:sz="12" w:space="0" w:color="000000"/>
            </w:tcBorders>
            <w:vAlign w:val="center"/>
          </w:tcPr>
          <w:p w14:paraId="4696EA3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RCT</w:t>
            </w:r>
          </w:p>
        </w:tc>
        <w:tc>
          <w:tcPr>
            <w:tcW w:w="971" w:type="dxa"/>
            <w:tcBorders>
              <w:top w:val="single" w:sz="4" w:space="0" w:color="auto"/>
            </w:tcBorders>
            <w:vAlign w:val="center"/>
          </w:tcPr>
          <w:p w14:paraId="26A4E8D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RCT</w:t>
            </w:r>
          </w:p>
        </w:tc>
        <w:tc>
          <w:tcPr>
            <w:tcW w:w="970" w:type="dxa"/>
            <w:tcBorders>
              <w:top w:val="single" w:sz="4" w:space="0" w:color="auto"/>
            </w:tcBorders>
            <w:vAlign w:val="center"/>
          </w:tcPr>
          <w:p w14:paraId="1F8599A3" w14:textId="77777777" w:rsidR="00DB55B4" w:rsidRPr="00DB55B4" w:rsidRDefault="00DB55B4" w:rsidP="00591A66">
            <w:pPr>
              <w:spacing w:before="0" w:after="0" w:line="276" w:lineRule="auto"/>
              <w:jc w:val="center"/>
              <w:rPr>
                <w:rFonts w:eastAsia="Calibri" w:cs="Times New Roman"/>
                <w:sz w:val="12"/>
                <w:szCs w:val="12"/>
              </w:rPr>
            </w:pPr>
            <w:r w:rsidRPr="00DB55B4">
              <w:rPr>
                <w:rFonts w:eastAsia="Arial" w:cs="Times New Roman"/>
                <w:color w:val="000000"/>
                <w:sz w:val="12"/>
                <w:szCs w:val="12"/>
              </w:rPr>
              <w:t>OLE</w:t>
            </w:r>
          </w:p>
        </w:tc>
        <w:tc>
          <w:tcPr>
            <w:tcW w:w="971" w:type="dxa"/>
            <w:tcBorders>
              <w:top w:val="single" w:sz="4" w:space="0" w:color="auto"/>
              <w:right w:val="single" w:sz="12" w:space="0" w:color="000000"/>
            </w:tcBorders>
            <w:vAlign w:val="center"/>
          </w:tcPr>
          <w:p w14:paraId="6363BCA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OL</w:t>
            </w:r>
          </w:p>
        </w:tc>
      </w:tr>
      <w:tr w:rsidR="00DB55B4" w:rsidRPr="00DB55B4" w14:paraId="21FE71A7" w14:textId="77777777" w:rsidTr="00591A66">
        <w:trPr>
          <w:trHeight w:val="227"/>
          <w:jc w:val="center"/>
        </w:trPr>
        <w:tc>
          <w:tcPr>
            <w:tcW w:w="1555" w:type="dxa"/>
            <w:tcBorders>
              <w:right w:val="single" w:sz="12" w:space="0" w:color="000000"/>
            </w:tcBorders>
            <w:vAlign w:val="center"/>
          </w:tcPr>
          <w:p w14:paraId="0FE559AE"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Period</w:t>
            </w:r>
          </w:p>
        </w:tc>
        <w:tc>
          <w:tcPr>
            <w:tcW w:w="970" w:type="dxa"/>
            <w:tcBorders>
              <w:left w:val="single" w:sz="12" w:space="0" w:color="000000"/>
            </w:tcBorders>
            <w:vAlign w:val="center"/>
          </w:tcPr>
          <w:p w14:paraId="6CAE32E9" w14:textId="77777777"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01/2014 - 01/2015</w:t>
            </w:r>
          </w:p>
        </w:tc>
        <w:tc>
          <w:tcPr>
            <w:tcW w:w="970" w:type="dxa"/>
            <w:vAlign w:val="center"/>
          </w:tcPr>
          <w:p w14:paraId="71E41884" w14:textId="77777777"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01/2014 - 12/2016</w:t>
            </w:r>
          </w:p>
        </w:tc>
        <w:tc>
          <w:tcPr>
            <w:tcW w:w="971" w:type="dxa"/>
            <w:vAlign w:val="center"/>
          </w:tcPr>
          <w:p w14:paraId="568D742A" w14:textId="77777777"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01/2014-12/2016</w:t>
            </w:r>
          </w:p>
        </w:tc>
        <w:tc>
          <w:tcPr>
            <w:tcW w:w="970" w:type="dxa"/>
            <w:tcBorders>
              <w:right w:val="single" w:sz="12" w:space="0" w:color="000000"/>
            </w:tcBorders>
            <w:vAlign w:val="center"/>
          </w:tcPr>
          <w:p w14:paraId="0BAE64F9" w14:textId="77777777"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03/2019-09/2019</w:t>
            </w:r>
          </w:p>
        </w:tc>
        <w:tc>
          <w:tcPr>
            <w:tcW w:w="970" w:type="dxa"/>
            <w:tcBorders>
              <w:left w:val="single" w:sz="12" w:space="0" w:color="000000"/>
            </w:tcBorders>
            <w:vAlign w:val="center"/>
          </w:tcPr>
          <w:p w14:paraId="3C6465A5" w14:textId="77777777"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w:t>
            </w:r>
          </w:p>
        </w:tc>
        <w:tc>
          <w:tcPr>
            <w:tcW w:w="971" w:type="dxa"/>
            <w:vAlign w:val="center"/>
          </w:tcPr>
          <w:p w14:paraId="729C45D4" w14:textId="77777777"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10/2014-03/2015</w:t>
            </w:r>
          </w:p>
        </w:tc>
        <w:tc>
          <w:tcPr>
            <w:tcW w:w="970" w:type="dxa"/>
            <w:vAlign w:val="center"/>
          </w:tcPr>
          <w:p w14:paraId="702FBC84" w14:textId="77777777"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11/2016</w:t>
            </w:r>
          </w:p>
        </w:tc>
        <w:tc>
          <w:tcPr>
            <w:tcW w:w="971" w:type="dxa"/>
            <w:vAlign w:val="center"/>
          </w:tcPr>
          <w:p w14:paraId="7260005F" w14:textId="3E370146"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04/2015-11/2017</w:t>
            </w:r>
          </w:p>
        </w:tc>
        <w:tc>
          <w:tcPr>
            <w:tcW w:w="970" w:type="dxa"/>
            <w:tcBorders>
              <w:right w:val="single" w:sz="12" w:space="0" w:color="000000"/>
            </w:tcBorders>
            <w:vAlign w:val="center"/>
          </w:tcPr>
          <w:p w14:paraId="67FB366B" w14:textId="77777777"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03/2019-09/2019</w:t>
            </w:r>
          </w:p>
        </w:tc>
        <w:tc>
          <w:tcPr>
            <w:tcW w:w="970" w:type="dxa"/>
            <w:tcBorders>
              <w:left w:val="single" w:sz="12" w:space="0" w:color="000000"/>
            </w:tcBorders>
            <w:vAlign w:val="center"/>
          </w:tcPr>
          <w:p w14:paraId="2B639518" w14:textId="77777777"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06/2015 - 12/2015</w:t>
            </w:r>
          </w:p>
        </w:tc>
        <w:tc>
          <w:tcPr>
            <w:tcW w:w="971" w:type="dxa"/>
            <w:vAlign w:val="center"/>
          </w:tcPr>
          <w:p w14:paraId="265B749D" w14:textId="77777777"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04/2015 - 10/2015</w:t>
            </w:r>
          </w:p>
        </w:tc>
        <w:tc>
          <w:tcPr>
            <w:tcW w:w="970" w:type="dxa"/>
            <w:vAlign w:val="center"/>
          </w:tcPr>
          <w:p w14:paraId="1D957C09" w14:textId="77777777"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11/2016</w:t>
            </w:r>
          </w:p>
        </w:tc>
        <w:tc>
          <w:tcPr>
            <w:tcW w:w="971" w:type="dxa"/>
            <w:tcBorders>
              <w:right w:val="single" w:sz="12" w:space="0" w:color="000000"/>
            </w:tcBorders>
            <w:vAlign w:val="center"/>
          </w:tcPr>
          <w:p w14:paraId="0AC42650" w14:textId="77777777" w:rsidR="00DB55B4" w:rsidRPr="00DB55B4" w:rsidRDefault="00DB55B4" w:rsidP="00591A66">
            <w:pPr>
              <w:spacing w:before="0" w:after="0" w:line="276" w:lineRule="auto"/>
              <w:jc w:val="center"/>
              <w:rPr>
                <w:rFonts w:eastAsia="Arial" w:cs="Times New Roman"/>
                <w:i/>
                <w:iCs/>
                <w:color w:val="000000"/>
                <w:sz w:val="12"/>
                <w:szCs w:val="12"/>
              </w:rPr>
            </w:pPr>
            <w:r w:rsidRPr="00DB55B4">
              <w:rPr>
                <w:rFonts w:eastAsia="Arial" w:cs="Times New Roman"/>
                <w:i/>
                <w:iCs/>
                <w:color w:val="000000"/>
                <w:sz w:val="12"/>
                <w:szCs w:val="12"/>
              </w:rPr>
              <w:t>03/2019-09/2019</w:t>
            </w:r>
          </w:p>
        </w:tc>
      </w:tr>
      <w:tr w:rsidR="00DB55B4" w:rsidRPr="00DB55B4" w14:paraId="2FA6D114" w14:textId="77777777" w:rsidTr="00591A66">
        <w:trPr>
          <w:trHeight w:val="227"/>
          <w:jc w:val="center"/>
        </w:trPr>
        <w:tc>
          <w:tcPr>
            <w:tcW w:w="1555" w:type="dxa"/>
            <w:tcBorders>
              <w:right w:val="single" w:sz="12" w:space="0" w:color="000000"/>
            </w:tcBorders>
            <w:vAlign w:val="center"/>
          </w:tcPr>
          <w:p w14:paraId="395ADC0D"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Number of patients</w:t>
            </w:r>
          </w:p>
        </w:tc>
        <w:tc>
          <w:tcPr>
            <w:tcW w:w="970" w:type="dxa"/>
            <w:tcBorders>
              <w:left w:val="single" w:sz="12" w:space="0" w:color="000000"/>
            </w:tcBorders>
            <w:vAlign w:val="center"/>
          </w:tcPr>
          <w:p w14:paraId="6DB8A40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162</w:t>
            </w:r>
          </w:p>
        </w:tc>
        <w:tc>
          <w:tcPr>
            <w:tcW w:w="970" w:type="dxa"/>
            <w:vAlign w:val="center"/>
          </w:tcPr>
          <w:p w14:paraId="5F79A16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607</w:t>
            </w:r>
          </w:p>
        </w:tc>
        <w:tc>
          <w:tcPr>
            <w:tcW w:w="971" w:type="dxa"/>
            <w:vAlign w:val="center"/>
          </w:tcPr>
          <w:p w14:paraId="58326FE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152</w:t>
            </w:r>
          </w:p>
        </w:tc>
        <w:tc>
          <w:tcPr>
            <w:tcW w:w="970" w:type="dxa"/>
            <w:tcBorders>
              <w:right w:val="single" w:sz="12" w:space="0" w:color="000000"/>
            </w:tcBorders>
            <w:vAlign w:val="center"/>
          </w:tcPr>
          <w:p w14:paraId="21FB7ED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125</w:t>
            </w:r>
          </w:p>
        </w:tc>
        <w:tc>
          <w:tcPr>
            <w:tcW w:w="970" w:type="dxa"/>
            <w:tcBorders>
              <w:left w:val="single" w:sz="12" w:space="0" w:color="000000"/>
            </w:tcBorders>
            <w:vAlign w:val="center"/>
          </w:tcPr>
          <w:p w14:paraId="483E692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61</w:t>
            </w:r>
          </w:p>
        </w:tc>
        <w:tc>
          <w:tcPr>
            <w:tcW w:w="971" w:type="dxa"/>
            <w:vAlign w:val="center"/>
          </w:tcPr>
          <w:p w14:paraId="1D54F5F4"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10, 8, 9</w:t>
            </w:r>
          </w:p>
        </w:tc>
        <w:tc>
          <w:tcPr>
            <w:tcW w:w="970" w:type="dxa"/>
            <w:vAlign w:val="center"/>
          </w:tcPr>
          <w:p w14:paraId="5F6C63F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264</w:t>
            </w:r>
          </w:p>
        </w:tc>
        <w:tc>
          <w:tcPr>
            <w:tcW w:w="971" w:type="dxa"/>
            <w:vAlign w:val="center"/>
          </w:tcPr>
          <w:p w14:paraId="5C44AC4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66, 67</w:t>
            </w:r>
          </w:p>
        </w:tc>
        <w:tc>
          <w:tcPr>
            <w:tcW w:w="970" w:type="dxa"/>
            <w:tcBorders>
              <w:right w:val="single" w:sz="12" w:space="0" w:color="000000"/>
            </w:tcBorders>
            <w:vAlign w:val="center"/>
          </w:tcPr>
          <w:p w14:paraId="5192626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48</w:t>
            </w:r>
          </w:p>
        </w:tc>
        <w:tc>
          <w:tcPr>
            <w:tcW w:w="970" w:type="dxa"/>
            <w:tcBorders>
              <w:left w:val="single" w:sz="12" w:space="0" w:color="000000"/>
            </w:tcBorders>
            <w:vAlign w:val="center"/>
          </w:tcPr>
          <w:p w14:paraId="77D518B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67, 82</w:t>
            </w:r>
          </w:p>
        </w:tc>
        <w:tc>
          <w:tcPr>
            <w:tcW w:w="971" w:type="dxa"/>
            <w:vAlign w:val="center"/>
          </w:tcPr>
          <w:p w14:paraId="45226A3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86</w:t>
            </w:r>
          </w:p>
        </w:tc>
        <w:tc>
          <w:tcPr>
            <w:tcW w:w="970" w:type="dxa"/>
            <w:vAlign w:val="center"/>
          </w:tcPr>
          <w:p w14:paraId="5451A74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366</w:t>
            </w:r>
          </w:p>
        </w:tc>
        <w:tc>
          <w:tcPr>
            <w:tcW w:w="971" w:type="dxa"/>
            <w:tcBorders>
              <w:right w:val="single" w:sz="12" w:space="0" w:color="000000"/>
            </w:tcBorders>
            <w:vAlign w:val="center"/>
          </w:tcPr>
          <w:p w14:paraId="5B8C47A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62</w:t>
            </w:r>
          </w:p>
        </w:tc>
      </w:tr>
      <w:tr w:rsidR="00DB55B4" w:rsidRPr="00DB55B4" w14:paraId="063A6BA9" w14:textId="77777777" w:rsidTr="00591A66">
        <w:trPr>
          <w:trHeight w:val="227"/>
          <w:jc w:val="center"/>
        </w:trPr>
        <w:tc>
          <w:tcPr>
            <w:tcW w:w="1555" w:type="dxa"/>
            <w:tcBorders>
              <w:right w:val="single" w:sz="12" w:space="0" w:color="000000"/>
            </w:tcBorders>
            <w:vAlign w:val="center"/>
          </w:tcPr>
          <w:p w14:paraId="2DAFB133"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Age of patients</w:t>
            </w:r>
          </w:p>
        </w:tc>
        <w:tc>
          <w:tcPr>
            <w:tcW w:w="970" w:type="dxa"/>
            <w:tcBorders>
              <w:left w:val="single" w:sz="12" w:space="0" w:color="000000"/>
            </w:tcBorders>
            <w:vAlign w:val="center"/>
          </w:tcPr>
          <w:p w14:paraId="482DCF90"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1-30 y</w:t>
            </w:r>
          </w:p>
        </w:tc>
        <w:tc>
          <w:tcPr>
            <w:tcW w:w="970" w:type="dxa"/>
            <w:vAlign w:val="center"/>
          </w:tcPr>
          <w:p w14:paraId="20809F9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vAlign w:val="center"/>
          </w:tcPr>
          <w:p w14:paraId="0176C98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1.7-51</w:t>
            </w:r>
          </w:p>
        </w:tc>
        <w:tc>
          <w:tcPr>
            <w:tcW w:w="970" w:type="dxa"/>
            <w:tcBorders>
              <w:right w:val="single" w:sz="12" w:space="0" w:color="000000"/>
            </w:tcBorders>
            <w:vAlign w:val="center"/>
          </w:tcPr>
          <w:p w14:paraId="451F2FCA"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2-20 y</w:t>
            </w:r>
          </w:p>
        </w:tc>
        <w:tc>
          <w:tcPr>
            <w:tcW w:w="970" w:type="dxa"/>
            <w:tcBorders>
              <w:left w:val="single" w:sz="12" w:space="0" w:color="000000"/>
            </w:tcBorders>
            <w:vAlign w:val="center"/>
          </w:tcPr>
          <w:p w14:paraId="5879451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2-18 y</w:t>
            </w:r>
          </w:p>
        </w:tc>
        <w:tc>
          <w:tcPr>
            <w:tcW w:w="971" w:type="dxa"/>
            <w:vAlign w:val="center"/>
          </w:tcPr>
          <w:p w14:paraId="3F5CF14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4-10 y</w:t>
            </w:r>
          </w:p>
        </w:tc>
        <w:tc>
          <w:tcPr>
            <w:tcW w:w="970" w:type="dxa"/>
            <w:vAlign w:val="center"/>
          </w:tcPr>
          <w:p w14:paraId="6BA0194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2-18 y</w:t>
            </w:r>
          </w:p>
        </w:tc>
        <w:tc>
          <w:tcPr>
            <w:tcW w:w="971" w:type="dxa"/>
            <w:vAlign w:val="center"/>
          </w:tcPr>
          <w:p w14:paraId="77F6FB14"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2-18 y</w:t>
            </w:r>
          </w:p>
        </w:tc>
        <w:tc>
          <w:tcPr>
            <w:tcW w:w="970" w:type="dxa"/>
            <w:tcBorders>
              <w:right w:val="single" w:sz="12" w:space="0" w:color="000000"/>
            </w:tcBorders>
            <w:vAlign w:val="center"/>
          </w:tcPr>
          <w:p w14:paraId="590B2E5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2-17 y</w:t>
            </w:r>
          </w:p>
        </w:tc>
        <w:tc>
          <w:tcPr>
            <w:tcW w:w="970" w:type="dxa"/>
            <w:tcBorders>
              <w:left w:val="single" w:sz="12" w:space="0" w:color="000000"/>
            </w:tcBorders>
            <w:vAlign w:val="center"/>
          </w:tcPr>
          <w:p w14:paraId="1CFCC39A"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2-55 y</w:t>
            </w:r>
          </w:p>
        </w:tc>
        <w:tc>
          <w:tcPr>
            <w:tcW w:w="971" w:type="dxa"/>
            <w:vAlign w:val="center"/>
          </w:tcPr>
          <w:p w14:paraId="27E8AD2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2-55 y</w:t>
            </w:r>
          </w:p>
        </w:tc>
        <w:tc>
          <w:tcPr>
            <w:tcW w:w="970" w:type="dxa"/>
            <w:vAlign w:val="center"/>
          </w:tcPr>
          <w:p w14:paraId="2448AD6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2-55 y</w:t>
            </w:r>
          </w:p>
        </w:tc>
        <w:tc>
          <w:tcPr>
            <w:tcW w:w="971" w:type="dxa"/>
            <w:tcBorders>
              <w:right w:val="single" w:sz="12" w:space="0" w:color="000000"/>
            </w:tcBorders>
            <w:vAlign w:val="center"/>
          </w:tcPr>
          <w:p w14:paraId="1332282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2-20 y</w:t>
            </w:r>
          </w:p>
        </w:tc>
      </w:tr>
      <w:tr w:rsidR="00DB55B4" w:rsidRPr="00DB55B4" w14:paraId="08E6910C" w14:textId="77777777" w:rsidTr="00591A66">
        <w:trPr>
          <w:trHeight w:val="227"/>
          <w:jc w:val="center"/>
        </w:trPr>
        <w:tc>
          <w:tcPr>
            <w:tcW w:w="1555" w:type="dxa"/>
            <w:tcBorders>
              <w:right w:val="single" w:sz="12" w:space="0" w:color="000000"/>
            </w:tcBorders>
            <w:vAlign w:val="center"/>
          </w:tcPr>
          <w:p w14:paraId="0A40D49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CBD titration</w:t>
            </w:r>
          </w:p>
        </w:tc>
        <w:tc>
          <w:tcPr>
            <w:tcW w:w="970" w:type="dxa"/>
            <w:tcBorders>
              <w:left w:val="single" w:sz="12" w:space="0" w:color="000000"/>
            </w:tcBorders>
            <w:vAlign w:val="center"/>
          </w:tcPr>
          <w:p w14:paraId="74276B8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 mg/kg/w</w:t>
            </w:r>
          </w:p>
        </w:tc>
        <w:tc>
          <w:tcPr>
            <w:tcW w:w="970" w:type="dxa"/>
            <w:vAlign w:val="center"/>
          </w:tcPr>
          <w:p w14:paraId="27561F3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2-10 mg/kg/d</w:t>
            </w:r>
          </w:p>
        </w:tc>
        <w:tc>
          <w:tcPr>
            <w:tcW w:w="971" w:type="dxa"/>
            <w:vAlign w:val="center"/>
          </w:tcPr>
          <w:p w14:paraId="2DF8924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2-10 mg/kg/d</w:t>
            </w:r>
          </w:p>
        </w:tc>
        <w:tc>
          <w:tcPr>
            <w:tcW w:w="970" w:type="dxa"/>
            <w:tcBorders>
              <w:right w:val="single" w:sz="12" w:space="0" w:color="000000"/>
            </w:tcBorders>
            <w:vAlign w:val="center"/>
          </w:tcPr>
          <w:p w14:paraId="34101C43"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 mg/kg/w</w:t>
            </w:r>
          </w:p>
        </w:tc>
        <w:tc>
          <w:tcPr>
            <w:tcW w:w="970" w:type="dxa"/>
            <w:tcBorders>
              <w:left w:val="single" w:sz="12" w:space="0" w:color="000000"/>
            </w:tcBorders>
            <w:vAlign w:val="center"/>
          </w:tcPr>
          <w:p w14:paraId="6918FCD8" w14:textId="77777777" w:rsidR="00DB55B4" w:rsidRPr="00DB55B4" w:rsidRDefault="00DB55B4" w:rsidP="00591A66">
            <w:pPr>
              <w:spacing w:before="0" w:after="0" w:line="276" w:lineRule="auto"/>
              <w:jc w:val="center"/>
              <w:rPr>
                <w:rFonts w:eastAsia="Calibri" w:cs="Times New Roman"/>
                <w:sz w:val="12"/>
                <w:szCs w:val="12"/>
              </w:rPr>
            </w:pPr>
            <w:r w:rsidRPr="00DB55B4">
              <w:rPr>
                <w:rFonts w:eastAsia="Arial" w:cs="Times New Roman"/>
                <w:color w:val="000000"/>
                <w:sz w:val="12"/>
                <w:szCs w:val="12"/>
              </w:rPr>
              <w:t>10 mg/kg/w</w:t>
            </w:r>
          </w:p>
        </w:tc>
        <w:tc>
          <w:tcPr>
            <w:tcW w:w="971" w:type="dxa"/>
            <w:vAlign w:val="center"/>
          </w:tcPr>
          <w:p w14:paraId="7EA8E7B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0" w:type="dxa"/>
            <w:vAlign w:val="center"/>
          </w:tcPr>
          <w:p w14:paraId="30CF7F34"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10 mg/kg/w</w:t>
            </w:r>
          </w:p>
        </w:tc>
        <w:tc>
          <w:tcPr>
            <w:tcW w:w="971" w:type="dxa"/>
            <w:vAlign w:val="center"/>
          </w:tcPr>
          <w:p w14:paraId="234FA843"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1.1 mg/kg/d</w:t>
            </w:r>
          </w:p>
          <w:p w14:paraId="41F6D8E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1.6 mg/kg/d</w:t>
            </w:r>
          </w:p>
        </w:tc>
        <w:tc>
          <w:tcPr>
            <w:tcW w:w="970" w:type="dxa"/>
            <w:tcBorders>
              <w:right w:val="single" w:sz="12" w:space="0" w:color="000000"/>
            </w:tcBorders>
            <w:vAlign w:val="center"/>
          </w:tcPr>
          <w:p w14:paraId="35ECB39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 mg/kg/w</w:t>
            </w:r>
          </w:p>
        </w:tc>
        <w:tc>
          <w:tcPr>
            <w:tcW w:w="970" w:type="dxa"/>
            <w:tcBorders>
              <w:left w:val="single" w:sz="12" w:space="0" w:color="000000"/>
            </w:tcBorders>
            <w:vAlign w:val="center"/>
          </w:tcPr>
          <w:p w14:paraId="54B3A51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2.5-5 mg/kg/d</w:t>
            </w:r>
          </w:p>
        </w:tc>
        <w:tc>
          <w:tcPr>
            <w:tcW w:w="971" w:type="dxa"/>
            <w:vAlign w:val="center"/>
          </w:tcPr>
          <w:p w14:paraId="0AD14464" w14:textId="77777777" w:rsidR="00DB55B4" w:rsidRPr="00DB55B4" w:rsidRDefault="00DB55B4" w:rsidP="00591A66">
            <w:pPr>
              <w:spacing w:before="0" w:after="0" w:line="276" w:lineRule="auto"/>
              <w:jc w:val="center"/>
              <w:rPr>
                <w:rFonts w:eastAsia="Calibri" w:cs="Times New Roman"/>
                <w:sz w:val="12"/>
                <w:szCs w:val="12"/>
              </w:rPr>
            </w:pPr>
            <w:r w:rsidRPr="00DB55B4">
              <w:rPr>
                <w:rFonts w:eastAsia="Arial" w:cs="Times New Roman"/>
                <w:color w:val="000000"/>
                <w:sz w:val="12"/>
                <w:szCs w:val="12"/>
              </w:rPr>
              <w:t>10 mg/kg/w</w:t>
            </w:r>
          </w:p>
        </w:tc>
        <w:tc>
          <w:tcPr>
            <w:tcW w:w="970" w:type="dxa"/>
            <w:vAlign w:val="center"/>
          </w:tcPr>
          <w:p w14:paraId="19396C6C" w14:textId="77777777" w:rsidR="00DB55B4" w:rsidRPr="00DB55B4" w:rsidRDefault="00DB55B4" w:rsidP="00591A66">
            <w:pPr>
              <w:spacing w:before="0" w:after="0" w:line="276" w:lineRule="auto"/>
              <w:jc w:val="center"/>
              <w:rPr>
                <w:rFonts w:eastAsia="Calibri" w:cs="Times New Roman"/>
                <w:sz w:val="12"/>
                <w:szCs w:val="12"/>
              </w:rPr>
            </w:pPr>
            <w:r w:rsidRPr="00DB55B4">
              <w:rPr>
                <w:rFonts w:eastAsia="Arial" w:cs="Times New Roman"/>
                <w:color w:val="000000"/>
                <w:sz w:val="12"/>
                <w:szCs w:val="12"/>
              </w:rPr>
              <w:t>10 mg/kg/w</w:t>
            </w:r>
          </w:p>
        </w:tc>
        <w:tc>
          <w:tcPr>
            <w:tcW w:w="971" w:type="dxa"/>
            <w:tcBorders>
              <w:right w:val="single" w:sz="12" w:space="0" w:color="000000"/>
            </w:tcBorders>
            <w:vAlign w:val="center"/>
          </w:tcPr>
          <w:p w14:paraId="4B0138A3"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 mg/kg/w</w:t>
            </w:r>
          </w:p>
        </w:tc>
      </w:tr>
      <w:tr w:rsidR="00DB55B4" w:rsidRPr="00DB55B4" w14:paraId="08E91449" w14:textId="77777777" w:rsidTr="00591A66">
        <w:trPr>
          <w:trHeight w:val="227"/>
          <w:jc w:val="center"/>
        </w:trPr>
        <w:tc>
          <w:tcPr>
            <w:tcW w:w="1555" w:type="dxa"/>
            <w:tcBorders>
              <w:right w:val="single" w:sz="12" w:space="0" w:color="000000"/>
            </w:tcBorders>
            <w:tcMar>
              <w:left w:w="0" w:type="dxa"/>
              <w:right w:w="0" w:type="dxa"/>
            </w:tcMar>
            <w:vAlign w:val="center"/>
          </w:tcPr>
          <w:p w14:paraId="105725F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CBD max dose (mg/kg/d)</w:t>
            </w:r>
          </w:p>
        </w:tc>
        <w:tc>
          <w:tcPr>
            <w:tcW w:w="970" w:type="dxa"/>
            <w:tcBorders>
              <w:left w:val="single" w:sz="12" w:space="0" w:color="000000"/>
            </w:tcBorders>
            <w:vAlign w:val="center"/>
          </w:tcPr>
          <w:p w14:paraId="7A576B4F" w14:textId="5F38A7D4"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25-50</w:t>
            </w:r>
          </w:p>
        </w:tc>
        <w:tc>
          <w:tcPr>
            <w:tcW w:w="970" w:type="dxa"/>
            <w:vAlign w:val="center"/>
          </w:tcPr>
          <w:p w14:paraId="06BCB0F6" w14:textId="1B8B6235"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25-50</w:t>
            </w:r>
          </w:p>
        </w:tc>
        <w:tc>
          <w:tcPr>
            <w:tcW w:w="971" w:type="dxa"/>
            <w:vAlign w:val="center"/>
          </w:tcPr>
          <w:p w14:paraId="0FDD7934" w14:textId="4D435E33"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25-50</w:t>
            </w:r>
          </w:p>
        </w:tc>
        <w:tc>
          <w:tcPr>
            <w:tcW w:w="970" w:type="dxa"/>
            <w:tcBorders>
              <w:right w:val="single" w:sz="12" w:space="0" w:color="000000"/>
            </w:tcBorders>
            <w:vAlign w:val="center"/>
          </w:tcPr>
          <w:p w14:paraId="3E7F7D55" w14:textId="2C81A74A"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w:t>
            </w:r>
          </w:p>
        </w:tc>
        <w:tc>
          <w:tcPr>
            <w:tcW w:w="970" w:type="dxa"/>
            <w:tcBorders>
              <w:left w:val="single" w:sz="12" w:space="0" w:color="000000"/>
            </w:tcBorders>
            <w:vAlign w:val="center"/>
          </w:tcPr>
          <w:p w14:paraId="3BF7FD9F" w14:textId="04FB96C8"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20</w:t>
            </w:r>
          </w:p>
        </w:tc>
        <w:tc>
          <w:tcPr>
            <w:tcW w:w="971" w:type="dxa"/>
            <w:vAlign w:val="center"/>
          </w:tcPr>
          <w:p w14:paraId="33C98B23" w14:textId="42D4226A"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20</w:t>
            </w:r>
          </w:p>
        </w:tc>
        <w:tc>
          <w:tcPr>
            <w:tcW w:w="970" w:type="dxa"/>
            <w:vAlign w:val="center"/>
          </w:tcPr>
          <w:p w14:paraId="55EB9767" w14:textId="5F391958"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20-30</w:t>
            </w:r>
          </w:p>
        </w:tc>
        <w:tc>
          <w:tcPr>
            <w:tcW w:w="971" w:type="dxa"/>
            <w:vAlign w:val="center"/>
          </w:tcPr>
          <w:p w14:paraId="4A1C3484" w14:textId="2C8E20D5"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10, 20</w:t>
            </w:r>
          </w:p>
        </w:tc>
        <w:tc>
          <w:tcPr>
            <w:tcW w:w="970" w:type="dxa"/>
            <w:tcBorders>
              <w:right w:val="single" w:sz="12" w:space="0" w:color="000000"/>
            </w:tcBorders>
            <w:vAlign w:val="center"/>
          </w:tcPr>
          <w:p w14:paraId="37178D96" w14:textId="638E5961"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20</w:t>
            </w:r>
          </w:p>
        </w:tc>
        <w:tc>
          <w:tcPr>
            <w:tcW w:w="970" w:type="dxa"/>
            <w:tcBorders>
              <w:left w:val="single" w:sz="12" w:space="0" w:color="000000"/>
            </w:tcBorders>
            <w:vAlign w:val="center"/>
          </w:tcPr>
          <w:p w14:paraId="1D9F80F8" w14:textId="6707BB72"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10, 20</w:t>
            </w:r>
          </w:p>
        </w:tc>
        <w:tc>
          <w:tcPr>
            <w:tcW w:w="971" w:type="dxa"/>
            <w:vAlign w:val="center"/>
          </w:tcPr>
          <w:p w14:paraId="0B237CE5" w14:textId="2EAF031F"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20</w:t>
            </w:r>
          </w:p>
        </w:tc>
        <w:tc>
          <w:tcPr>
            <w:tcW w:w="970" w:type="dxa"/>
            <w:vAlign w:val="center"/>
          </w:tcPr>
          <w:p w14:paraId="6B7B05A6" w14:textId="0B1775A9"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20-30</w:t>
            </w:r>
          </w:p>
        </w:tc>
        <w:tc>
          <w:tcPr>
            <w:tcW w:w="971" w:type="dxa"/>
            <w:tcBorders>
              <w:right w:val="single" w:sz="12" w:space="0" w:color="000000"/>
            </w:tcBorders>
            <w:vAlign w:val="center"/>
          </w:tcPr>
          <w:p w14:paraId="6994B4CD" w14:textId="1E098D1E"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20</w:t>
            </w:r>
          </w:p>
        </w:tc>
      </w:tr>
      <w:tr w:rsidR="00DB55B4" w:rsidRPr="00DB55B4" w14:paraId="3DACEE81" w14:textId="77777777" w:rsidTr="00591A66">
        <w:trPr>
          <w:trHeight w:val="227"/>
          <w:jc w:val="center"/>
        </w:trPr>
        <w:tc>
          <w:tcPr>
            <w:tcW w:w="1555" w:type="dxa"/>
            <w:tcBorders>
              <w:right w:val="single" w:sz="12" w:space="0" w:color="000000"/>
            </w:tcBorders>
            <w:tcMar>
              <w:left w:w="0" w:type="dxa"/>
              <w:right w:w="0" w:type="dxa"/>
            </w:tcMar>
            <w:vAlign w:val="center"/>
          </w:tcPr>
          <w:p w14:paraId="70BBF900"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CBD mean/median (mg/kg/d)</w:t>
            </w:r>
          </w:p>
        </w:tc>
        <w:tc>
          <w:tcPr>
            <w:tcW w:w="970" w:type="dxa"/>
            <w:tcBorders>
              <w:left w:val="single" w:sz="12" w:space="0" w:color="000000"/>
            </w:tcBorders>
            <w:vAlign w:val="center"/>
          </w:tcPr>
          <w:p w14:paraId="764C75F3" w14:textId="6F777EA1"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22.9 ± 9.1</w:t>
            </w:r>
          </w:p>
        </w:tc>
        <w:tc>
          <w:tcPr>
            <w:tcW w:w="970" w:type="dxa"/>
            <w:vAlign w:val="center"/>
          </w:tcPr>
          <w:p w14:paraId="6E55DC57" w14:textId="5641D24F"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w:t>
            </w:r>
          </w:p>
        </w:tc>
        <w:tc>
          <w:tcPr>
            <w:tcW w:w="971" w:type="dxa"/>
            <w:vAlign w:val="center"/>
          </w:tcPr>
          <w:p w14:paraId="6EF2F98D" w14:textId="362E093A"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25</w:t>
            </w:r>
          </w:p>
        </w:tc>
        <w:tc>
          <w:tcPr>
            <w:tcW w:w="970" w:type="dxa"/>
            <w:tcBorders>
              <w:right w:val="single" w:sz="12" w:space="0" w:color="000000"/>
            </w:tcBorders>
            <w:vAlign w:val="center"/>
          </w:tcPr>
          <w:p w14:paraId="7A5C917A" w14:textId="1F24B876"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13.5 ± 4.2</w:t>
            </w:r>
          </w:p>
        </w:tc>
        <w:tc>
          <w:tcPr>
            <w:tcW w:w="970" w:type="dxa"/>
            <w:tcBorders>
              <w:left w:val="single" w:sz="12" w:space="0" w:color="000000"/>
            </w:tcBorders>
            <w:vAlign w:val="center"/>
          </w:tcPr>
          <w:p w14:paraId="4C45EDE1" w14:textId="5EC537CB"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20</w:t>
            </w:r>
          </w:p>
        </w:tc>
        <w:tc>
          <w:tcPr>
            <w:tcW w:w="971" w:type="dxa"/>
            <w:vAlign w:val="center"/>
          </w:tcPr>
          <w:p w14:paraId="31C3B49E" w14:textId="4EFA5809"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5, 10, 20</w:t>
            </w:r>
          </w:p>
        </w:tc>
        <w:tc>
          <w:tcPr>
            <w:tcW w:w="970" w:type="dxa"/>
            <w:vAlign w:val="center"/>
          </w:tcPr>
          <w:p w14:paraId="3BF4F01C" w14:textId="751043AF"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21.2 ± 5.2</w:t>
            </w:r>
          </w:p>
        </w:tc>
        <w:tc>
          <w:tcPr>
            <w:tcW w:w="971" w:type="dxa"/>
            <w:vAlign w:val="center"/>
          </w:tcPr>
          <w:p w14:paraId="3EAC2C6D" w14:textId="0C01786E"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10, 20</w:t>
            </w:r>
          </w:p>
        </w:tc>
        <w:tc>
          <w:tcPr>
            <w:tcW w:w="970" w:type="dxa"/>
            <w:tcBorders>
              <w:right w:val="single" w:sz="12" w:space="0" w:color="000000"/>
            </w:tcBorders>
            <w:vAlign w:val="center"/>
          </w:tcPr>
          <w:p w14:paraId="6E312BA9" w14:textId="2F75BE26"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14 ± 3.6</w:t>
            </w:r>
          </w:p>
        </w:tc>
        <w:tc>
          <w:tcPr>
            <w:tcW w:w="970" w:type="dxa"/>
            <w:tcBorders>
              <w:left w:val="single" w:sz="12" w:space="0" w:color="000000"/>
            </w:tcBorders>
            <w:vAlign w:val="center"/>
          </w:tcPr>
          <w:p w14:paraId="6F64D8F8" w14:textId="530C7565"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10, 20</w:t>
            </w:r>
          </w:p>
        </w:tc>
        <w:tc>
          <w:tcPr>
            <w:tcW w:w="971" w:type="dxa"/>
            <w:vAlign w:val="center"/>
          </w:tcPr>
          <w:p w14:paraId="0AE49590" w14:textId="2000895F"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20</w:t>
            </w:r>
          </w:p>
        </w:tc>
        <w:tc>
          <w:tcPr>
            <w:tcW w:w="970" w:type="dxa"/>
            <w:vAlign w:val="center"/>
          </w:tcPr>
          <w:p w14:paraId="7E4A6557" w14:textId="4FA2C7A5"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22.8 ± 5</w:t>
            </w:r>
          </w:p>
        </w:tc>
        <w:tc>
          <w:tcPr>
            <w:tcW w:w="971" w:type="dxa"/>
            <w:tcBorders>
              <w:right w:val="single" w:sz="12" w:space="0" w:color="000000"/>
            </w:tcBorders>
            <w:vAlign w:val="center"/>
          </w:tcPr>
          <w:p w14:paraId="071EA502" w14:textId="32D1DF62"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13.1 ± 4.5</w:t>
            </w:r>
          </w:p>
        </w:tc>
      </w:tr>
      <w:tr w:rsidR="00DB55B4" w:rsidRPr="00DB55B4" w14:paraId="140549A3" w14:textId="77777777" w:rsidTr="00591A66">
        <w:trPr>
          <w:trHeight w:val="227"/>
          <w:jc w:val="center"/>
        </w:trPr>
        <w:tc>
          <w:tcPr>
            <w:tcW w:w="1555" w:type="dxa"/>
            <w:tcBorders>
              <w:right w:val="single" w:sz="12" w:space="0" w:color="000000"/>
            </w:tcBorders>
            <w:vAlign w:val="center"/>
          </w:tcPr>
          <w:p w14:paraId="2E46AE3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Study lenght</w:t>
            </w:r>
          </w:p>
        </w:tc>
        <w:tc>
          <w:tcPr>
            <w:tcW w:w="970" w:type="dxa"/>
            <w:tcBorders>
              <w:left w:val="single" w:sz="12" w:space="0" w:color="000000"/>
            </w:tcBorders>
            <w:vAlign w:val="center"/>
          </w:tcPr>
          <w:p w14:paraId="68966EA3"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12 w</w:t>
            </w:r>
          </w:p>
        </w:tc>
        <w:tc>
          <w:tcPr>
            <w:tcW w:w="970" w:type="dxa"/>
            <w:vAlign w:val="center"/>
          </w:tcPr>
          <w:p w14:paraId="6E1F4A50"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48 w [23-95]</w:t>
            </w:r>
          </w:p>
        </w:tc>
        <w:tc>
          <w:tcPr>
            <w:tcW w:w="971" w:type="dxa"/>
            <w:vAlign w:val="center"/>
          </w:tcPr>
          <w:p w14:paraId="4172DCD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80.1 [20.7-107.7]</w:t>
            </w:r>
          </w:p>
        </w:tc>
        <w:tc>
          <w:tcPr>
            <w:tcW w:w="970" w:type="dxa"/>
            <w:tcBorders>
              <w:right w:val="single" w:sz="12" w:space="0" w:color="000000"/>
            </w:tcBorders>
            <w:vAlign w:val="center"/>
          </w:tcPr>
          <w:p w14:paraId="6E90099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27 w</w:t>
            </w:r>
          </w:p>
        </w:tc>
        <w:tc>
          <w:tcPr>
            <w:tcW w:w="970" w:type="dxa"/>
            <w:tcBorders>
              <w:left w:val="single" w:sz="12" w:space="0" w:color="000000"/>
            </w:tcBorders>
            <w:vAlign w:val="center"/>
          </w:tcPr>
          <w:p w14:paraId="26CCB0A3"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14 w</w:t>
            </w:r>
          </w:p>
        </w:tc>
        <w:tc>
          <w:tcPr>
            <w:tcW w:w="971" w:type="dxa"/>
            <w:vAlign w:val="center"/>
          </w:tcPr>
          <w:p w14:paraId="15A11B7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 w</w:t>
            </w:r>
          </w:p>
        </w:tc>
        <w:tc>
          <w:tcPr>
            <w:tcW w:w="970" w:type="dxa"/>
            <w:vAlign w:val="center"/>
          </w:tcPr>
          <w:p w14:paraId="60A8155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274 d (1-512)</w:t>
            </w:r>
          </w:p>
        </w:tc>
        <w:tc>
          <w:tcPr>
            <w:tcW w:w="971" w:type="dxa"/>
            <w:vAlign w:val="center"/>
          </w:tcPr>
          <w:p w14:paraId="2B47E51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14 w</w:t>
            </w:r>
          </w:p>
        </w:tc>
        <w:tc>
          <w:tcPr>
            <w:tcW w:w="970" w:type="dxa"/>
            <w:tcBorders>
              <w:right w:val="single" w:sz="12" w:space="0" w:color="000000"/>
            </w:tcBorders>
            <w:vAlign w:val="center"/>
          </w:tcPr>
          <w:p w14:paraId="002CF44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27 w</w:t>
            </w:r>
          </w:p>
        </w:tc>
        <w:tc>
          <w:tcPr>
            <w:tcW w:w="970" w:type="dxa"/>
            <w:tcBorders>
              <w:left w:val="single" w:sz="12" w:space="0" w:color="000000"/>
            </w:tcBorders>
            <w:vAlign w:val="center"/>
          </w:tcPr>
          <w:p w14:paraId="57A34B5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14 w</w:t>
            </w:r>
          </w:p>
        </w:tc>
        <w:tc>
          <w:tcPr>
            <w:tcW w:w="971" w:type="dxa"/>
            <w:vAlign w:val="center"/>
          </w:tcPr>
          <w:p w14:paraId="2E8E076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14 w</w:t>
            </w:r>
          </w:p>
        </w:tc>
        <w:tc>
          <w:tcPr>
            <w:tcW w:w="970" w:type="dxa"/>
            <w:vAlign w:val="center"/>
          </w:tcPr>
          <w:p w14:paraId="19BE9E2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38 w (3-430 d)</w:t>
            </w:r>
          </w:p>
        </w:tc>
        <w:tc>
          <w:tcPr>
            <w:tcW w:w="971" w:type="dxa"/>
            <w:tcBorders>
              <w:right w:val="single" w:sz="12" w:space="0" w:color="000000"/>
            </w:tcBorders>
            <w:vAlign w:val="center"/>
          </w:tcPr>
          <w:p w14:paraId="40C6570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27 w</w:t>
            </w:r>
          </w:p>
        </w:tc>
      </w:tr>
      <w:tr w:rsidR="00DB55B4" w:rsidRPr="00DB55B4" w14:paraId="26EA6344" w14:textId="77777777" w:rsidTr="00591A66">
        <w:trPr>
          <w:trHeight w:val="227"/>
          <w:jc w:val="center"/>
        </w:trPr>
        <w:tc>
          <w:tcPr>
            <w:tcW w:w="1555" w:type="dxa"/>
            <w:tcBorders>
              <w:right w:val="single" w:sz="12" w:space="0" w:color="000000"/>
            </w:tcBorders>
            <w:shd w:val="clear" w:color="auto" w:fill="E7E6E6"/>
            <w:vAlign w:val="center"/>
          </w:tcPr>
          <w:p w14:paraId="29E6BE7E" w14:textId="77777777" w:rsidR="00DB55B4" w:rsidRPr="00DB55B4" w:rsidRDefault="00DB55B4" w:rsidP="00591A66">
            <w:pPr>
              <w:spacing w:before="0" w:after="0" w:line="276" w:lineRule="auto"/>
              <w:jc w:val="center"/>
              <w:rPr>
                <w:rFonts w:eastAsia="Arial" w:cs="Times New Roman"/>
                <w:b/>
                <w:bCs/>
                <w:color w:val="000000"/>
                <w:sz w:val="12"/>
                <w:szCs w:val="12"/>
              </w:rPr>
            </w:pPr>
            <w:r w:rsidRPr="00DB55B4">
              <w:rPr>
                <w:rFonts w:eastAsia="Arial" w:cs="Times New Roman"/>
                <w:b/>
                <w:bCs/>
                <w:color w:val="000000"/>
                <w:sz w:val="12"/>
                <w:szCs w:val="12"/>
              </w:rPr>
              <w:t>Withdrawal</w:t>
            </w:r>
          </w:p>
        </w:tc>
        <w:tc>
          <w:tcPr>
            <w:tcW w:w="970" w:type="dxa"/>
            <w:tcBorders>
              <w:left w:val="single" w:sz="12" w:space="0" w:color="000000"/>
            </w:tcBorders>
            <w:shd w:val="clear" w:color="auto" w:fill="E7E6E6"/>
            <w:vAlign w:val="center"/>
          </w:tcPr>
          <w:p w14:paraId="1426BE2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11 (6.8%)</w:t>
            </w:r>
          </w:p>
        </w:tc>
        <w:tc>
          <w:tcPr>
            <w:tcW w:w="970" w:type="dxa"/>
            <w:shd w:val="clear" w:color="auto" w:fill="E7E6E6"/>
            <w:vAlign w:val="center"/>
          </w:tcPr>
          <w:p w14:paraId="2D5A3BA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146 (24%)</w:t>
            </w:r>
          </w:p>
        </w:tc>
        <w:tc>
          <w:tcPr>
            <w:tcW w:w="971" w:type="dxa"/>
            <w:shd w:val="clear" w:color="auto" w:fill="E7E6E6"/>
            <w:vAlign w:val="center"/>
          </w:tcPr>
          <w:p w14:paraId="79AF732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42 (27.6%)</w:t>
            </w:r>
          </w:p>
        </w:tc>
        <w:tc>
          <w:tcPr>
            <w:tcW w:w="970" w:type="dxa"/>
            <w:tcBorders>
              <w:right w:val="single" w:sz="12" w:space="0" w:color="000000"/>
            </w:tcBorders>
            <w:shd w:val="clear" w:color="auto" w:fill="E7E6E6"/>
            <w:vAlign w:val="center"/>
          </w:tcPr>
          <w:p w14:paraId="5AE2425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26 (20.8%)</w:t>
            </w:r>
          </w:p>
        </w:tc>
        <w:tc>
          <w:tcPr>
            <w:tcW w:w="970" w:type="dxa"/>
            <w:tcBorders>
              <w:left w:val="single" w:sz="12" w:space="0" w:color="000000"/>
            </w:tcBorders>
            <w:shd w:val="clear" w:color="auto" w:fill="E7E6E6"/>
            <w:vAlign w:val="center"/>
          </w:tcPr>
          <w:p w14:paraId="3517D80D"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9 (14.7%)</w:t>
            </w:r>
          </w:p>
        </w:tc>
        <w:tc>
          <w:tcPr>
            <w:tcW w:w="971" w:type="dxa"/>
            <w:shd w:val="clear" w:color="auto" w:fill="E7E6E6"/>
            <w:vAlign w:val="center"/>
          </w:tcPr>
          <w:p w14:paraId="6EC8396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1, 1 (7.4%)</w:t>
            </w:r>
          </w:p>
        </w:tc>
        <w:tc>
          <w:tcPr>
            <w:tcW w:w="970" w:type="dxa"/>
            <w:shd w:val="clear" w:color="auto" w:fill="E7E6E6"/>
            <w:vAlign w:val="center"/>
          </w:tcPr>
          <w:p w14:paraId="124ECD4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75 (28.4%)</w:t>
            </w:r>
          </w:p>
        </w:tc>
        <w:tc>
          <w:tcPr>
            <w:tcW w:w="971" w:type="dxa"/>
            <w:shd w:val="clear" w:color="auto" w:fill="E7E6E6"/>
            <w:vAlign w:val="center"/>
          </w:tcPr>
          <w:p w14:paraId="7425104D"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9 (6.7%)</w:t>
            </w:r>
          </w:p>
        </w:tc>
        <w:tc>
          <w:tcPr>
            <w:tcW w:w="970" w:type="dxa"/>
            <w:tcBorders>
              <w:right w:val="single" w:sz="12" w:space="0" w:color="000000"/>
            </w:tcBorders>
            <w:shd w:val="clear" w:color="auto" w:fill="E7E6E6"/>
            <w:vAlign w:val="center"/>
          </w:tcPr>
          <w:p w14:paraId="4CEF441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11 (23 %)</w:t>
            </w:r>
          </w:p>
        </w:tc>
        <w:tc>
          <w:tcPr>
            <w:tcW w:w="970" w:type="dxa"/>
            <w:tcBorders>
              <w:left w:val="single" w:sz="12" w:space="0" w:color="000000"/>
            </w:tcBorders>
            <w:shd w:val="clear" w:color="auto" w:fill="E7E6E6"/>
            <w:vAlign w:val="center"/>
          </w:tcPr>
          <w:p w14:paraId="1213482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 9 (7.4%)</w:t>
            </w:r>
          </w:p>
        </w:tc>
        <w:tc>
          <w:tcPr>
            <w:tcW w:w="971" w:type="dxa"/>
            <w:shd w:val="clear" w:color="auto" w:fill="E7E6E6"/>
            <w:vAlign w:val="center"/>
          </w:tcPr>
          <w:p w14:paraId="08C48D7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14 (16.3%)</w:t>
            </w:r>
          </w:p>
        </w:tc>
        <w:tc>
          <w:tcPr>
            <w:tcW w:w="970" w:type="dxa"/>
            <w:shd w:val="clear" w:color="auto" w:fill="E7E6E6"/>
            <w:vAlign w:val="center"/>
          </w:tcPr>
          <w:p w14:paraId="7773BAA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67 (18.3%)</w:t>
            </w:r>
          </w:p>
        </w:tc>
        <w:tc>
          <w:tcPr>
            <w:tcW w:w="971" w:type="dxa"/>
            <w:tcBorders>
              <w:right w:val="single" w:sz="12" w:space="0" w:color="000000"/>
            </w:tcBorders>
            <w:shd w:val="clear" w:color="auto" w:fill="E7E6E6"/>
            <w:vAlign w:val="center"/>
          </w:tcPr>
          <w:p w14:paraId="2DCCDA9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10 (16.1%)</w:t>
            </w:r>
          </w:p>
        </w:tc>
      </w:tr>
      <w:tr w:rsidR="00DB55B4" w:rsidRPr="00DB55B4" w14:paraId="049724EF" w14:textId="77777777" w:rsidTr="00591A66">
        <w:trPr>
          <w:trHeight w:val="227"/>
          <w:jc w:val="center"/>
        </w:trPr>
        <w:tc>
          <w:tcPr>
            <w:tcW w:w="1555" w:type="dxa"/>
            <w:tcBorders>
              <w:right w:val="single" w:sz="12" w:space="0" w:color="000000"/>
            </w:tcBorders>
            <w:vAlign w:val="center"/>
          </w:tcPr>
          <w:p w14:paraId="08EEF914"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AE</w:t>
            </w:r>
          </w:p>
        </w:tc>
        <w:tc>
          <w:tcPr>
            <w:tcW w:w="970" w:type="dxa"/>
            <w:tcBorders>
              <w:left w:val="single" w:sz="12" w:space="0" w:color="000000"/>
            </w:tcBorders>
            <w:vAlign w:val="center"/>
          </w:tcPr>
          <w:p w14:paraId="52D631C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 (3%)</w:t>
            </w:r>
          </w:p>
        </w:tc>
        <w:tc>
          <w:tcPr>
            <w:tcW w:w="970" w:type="dxa"/>
            <w:vAlign w:val="center"/>
          </w:tcPr>
          <w:p w14:paraId="7E40A45D"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31 (5.1%)</w:t>
            </w:r>
          </w:p>
        </w:tc>
        <w:tc>
          <w:tcPr>
            <w:tcW w:w="971" w:type="dxa"/>
            <w:vAlign w:val="center"/>
          </w:tcPr>
          <w:p w14:paraId="10EE746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 (3.3%)</w:t>
            </w:r>
          </w:p>
        </w:tc>
        <w:tc>
          <w:tcPr>
            <w:tcW w:w="970" w:type="dxa"/>
            <w:tcBorders>
              <w:right w:val="single" w:sz="12" w:space="0" w:color="000000"/>
            </w:tcBorders>
            <w:vAlign w:val="center"/>
          </w:tcPr>
          <w:p w14:paraId="26F46D8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 (1.6%)</w:t>
            </w:r>
          </w:p>
        </w:tc>
        <w:tc>
          <w:tcPr>
            <w:tcW w:w="970" w:type="dxa"/>
            <w:tcBorders>
              <w:left w:val="single" w:sz="12" w:space="0" w:color="000000"/>
            </w:tcBorders>
            <w:vAlign w:val="center"/>
          </w:tcPr>
          <w:p w14:paraId="0A1BCE2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8 (13.1%)</w:t>
            </w:r>
          </w:p>
        </w:tc>
        <w:tc>
          <w:tcPr>
            <w:tcW w:w="971" w:type="dxa"/>
            <w:vAlign w:val="center"/>
          </w:tcPr>
          <w:p w14:paraId="67BFB74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 (7.4%)</w:t>
            </w:r>
          </w:p>
        </w:tc>
        <w:tc>
          <w:tcPr>
            <w:tcW w:w="970" w:type="dxa"/>
            <w:vAlign w:val="center"/>
          </w:tcPr>
          <w:p w14:paraId="40E62EB3"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19 (7.2%)</w:t>
            </w:r>
          </w:p>
        </w:tc>
        <w:tc>
          <w:tcPr>
            <w:tcW w:w="971" w:type="dxa"/>
            <w:vAlign w:val="center"/>
          </w:tcPr>
          <w:p w14:paraId="599A6D0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 (3.7%)</w:t>
            </w:r>
          </w:p>
        </w:tc>
        <w:tc>
          <w:tcPr>
            <w:tcW w:w="970" w:type="dxa"/>
            <w:tcBorders>
              <w:right w:val="single" w:sz="12" w:space="0" w:color="000000"/>
            </w:tcBorders>
            <w:vAlign w:val="center"/>
          </w:tcPr>
          <w:p w14:paraId="14569EB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 ( 2%)</w:t>
            </w:r>
          </w:p>
        </w:tc>
        <w:tc>
          <w:tcPr>
            <w:tcW w:w="970" w:type="dxa"/>
            <w:tcBorders>
              <w:left w:val="single" w:sz="12" w:space="0" w:color="000000"/>
            </w:tcBorders>
            <w:vAlign w:val="center"/>
          </w:tcPr>
          <w:p w14:paraId="5A14544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 6 (4.7%)</w:t>
            </w:r>
          </w:p>
        </w:tc>
        <w:tc>
          <w:tcPr>
            <w:tcW w:w="971" w:type="dxa"/>
            <w:vAlign w:val="center"/>
          </w:tcPr>
          <w:p w14:paraId="58F33583"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12 (14%)</w:t>
            </w:r>
          </w:p>
        </w:tc>
        <w:tc>
          <w:tcPr>
            <w:tcW w:w="970" w:type="dxa"/>
            <w:vAlign w:val="center"/>
          </w:tcPr>
          <w:p w14:paraId="0558C22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35 (9.6%)</w:t>
            </w:r>
          </w:p>
        </w:tc>
        <w:tc>
          <w:tcPr>
            <w:tcW w:w="971" w:type="dxa"/>
            <w:tcBorders>
              <w:right w:val="single" w:sz="12" w:space="0" w:color="000000"/>
            </w:tcBorders>
            <w:vAlign w:val="center"/>
          </w:tcPr>
          <w:p w14:paraId="391C0FC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(0%)</w:t>
            </w:r>
          </w:p>
        </w:tc>
      </w:tr>
      <w:tr w:rsidR="00DB55B4" w:rsidRPr="00DB55B4" w14:paraId="5E4C16D1" w14:textId="77777777" w:rsidTr="00591A66">
        <w:trPr>
          <w:trHeight w:val="227"/>
          <w:jc w:val="center"/>
        </w:trPr>
        <w:tc>
          <w:tcPr>
            <w:tcW w:w="1555" w:type="dxa"/>
            <w:tcBorders>
              <w:right w:val="single" w:sz="12" w:space="0" w:color="000000"/>
            </w:tcBorders>
            <w:vAlign w:val="center"/>
          </w:tcPr>
          <w:p w14:paraId="3570A929"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Hepatoxicity</w:t>
            </w:r>
          </w:p>
        </w:tc>
        <w:tc>
          <w:tcPr>
            <w:tcW w:w="970" w:type="dxa"/>
            <w:tcBorders>
              <w:left w:val="single" w:sz="12" w:space="0" w:color="000000"/>
            </w:tcBorders>
            <w:vAlign w:val="center"/>
          </w:tcPr>
          <w:p w14:paraId="3E16568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 (&lt;1%)</w:t>
            </w:r>
          </w:p>
        </w:tc>
        <w:tc>
          <w:tcPr>
            <w:tcW w:w="970" w:type="dxa"/>
            <w:vAlign w:val="center"/>
          </w:tcPr>
          <w:p w14:paraId="7A030BBA"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vAlign w:val="center"/>
          </w:tcPr>
          <w:p w14:paraId="61E5DABA"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0" w:type="dxa"/>
            <w:tcBorders>
              <w:right w:val="single" w:sz="12" w:space="0" w:color="000000"/>
            </w:tcBorders>
            <w:vAlign w:val="center"/>
          </w:tcPr>
          <w:p w14:paraId="4A04EAA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(0%)</w:t>
            </w:r>
          </w:p>
        </w:tc>
        <w:tc>
          <w:tcPr>
            <w:tcW w:w="970" w:type="dxa"/>
            <w:tcBorders>
              <w:left w:val="single" w:sz="12" w:space="0" w:color="000000"/>
            </w:tcBorders>
            <w:vAlign w:val="center"/>
          </w:tcPr>
          <w:p w14:paraId="39AB2E1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vAlign w:val="center"/>
          </w:tcPr>
          <w:p w14:paraId="7714C46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0" w:type="dxa"/>
            <w:vAlign w:val="center"/>
          </w:tcPr>
          <w:p w14:paraId="72BFBA9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vAlign w:val="center"/>
          </w:tcPr>
          <w:p w14:paraId="406754E1" w14:textId="77777777" w:rsidR="00DB55B4" w:rsidRPr="00DB55B4" w:rsidRDefault="00DB55B4" w:rsidP="00591A66">
            <w:pPr>
              <w:spacing w:before="0" w:after="0" w:line="276" w:lineRule="auto"/>
              <w:jc w:val="center"/>
              <w:rPr>
                <w:rFonts w:eastAsia="Arial" w:cs="Times New Roman"/>
                <w:color w:val="000000"/>
                <w:sz w:val="12"/>
                <w:szCs w:val="12"/>
              </w:rPr>
            </w:pPr>
          </w:p>
        </w:tc>
        <w:tc>
          <w:tcPr>
            <w:tcW w:w="970" w:type="dxa"/>
            <w:tcBorders>
              <w:right w:val="single" w:sz="12" w:space="0" w:color="000000"/>
            </w:tcBorders>
            <w:vAlign w:val="center"/>
          </w:tcPr>
          <w:p w14:paraId="573023F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(0%)</w:t>
            </w:r>
          </w:p>
        </w:tc>
        <w:tc>
          <w:tcPr>
            <w:tcW w:w="970" w:type="dxa"/>
            <w:tcBorders>
              <w:left w:val="single" w:sz="12" w:space="0" w:color="000000"/>
            </w:tcBorders>
            <w:vAlign w:val="center"/>
          </w:tcPr>
          <w:p w14:paraId="6CE0879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vAlign w:val="center"/>
          </w:tcPr>
          <w:p w14:paraId="7CBF2D1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 (2.3%)</w:t>
            </w:r>
          </w:p>
        </w:tc>
        <w:tc>
          <w:tcPr>
            <w:tcW w:w="970" w:type="dxa"/>
            <w:vAlign w:val="center"/>
          </w:tcPr>
          <w:p w14:paraId="4D316E7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tcBorders>
              <w:right w:val="single" w:sz="12" w:space="0" w:color="000000"/>
            </w:tcBorders>
            <w:vAlign w:val="center"/>
          </w:tcPr>
          <w:p w14:paraId="7C68DF5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(0%)</w:t>
            </w:r>
          </w:p>
        </w:tc>
      </w:tr>
      <w:tr w:rsidR="00DB55B4" w:rsidRPr="00DB55B4" w14:paraId="44281754" w14:textId="77777777" w:rsidTr="00591A66">
        <w:trPr>
          <w:trHeight w:val="227"/>
          <w:jc w:val="center"/>
        </w:trPr>
        <w:tc>
          <w:tcPr>
            <w:tcW w:w="1555" w:type="dxa"/>
            <w:tcBorders>
              <w:right w:val="single" w:sz="12" w:space="0" w:color="000000"/>
            </w:tcBorders>
            <w:vAlign w:val="center"/>
          </w:tcPr>
          <w:p w14:paraId="28143B73"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AST, AST</w:t>
            </w:r>
          </w:p>
        </w:tc>
        <w:tc>
          <w:tcPr>
            <w:tcW w:w="970" w:type="dxa"/>
            <w:tcBorders>
              <w:left w:val="single" w:sz="12" w:space="0" w:color="000000"/>
            </w:tcBorders>
            <w:vAlign w:val="center"/>
          </w:tcPr>
          <w:p w14:paraId="2B39775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0" w:type="dxa"/>
            <w:vAlign w:val="center"/>
          </w:tcPr>
          <w:p w14:paraId="56A4A9F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vAlign w:val="center"/>
          </w:tcPr>
          <w:p w14:paraId="06191C4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0" w:type="dxa"/>
            <w:tcBorders>
              <w:right w:val="single" w:sz="12" w:space="0" w:color="000000"/>
            </w:tcBorders>
            <w:vAlign w:val="center"/>
          </w:tcPr>
          <w:p w14:paraId="0C5ECECD"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(0%)</w:t>
            </w:r>
          </w:p>
        </w:tc>
        <w:tc>
          <w:tcPr>
            <w:tcW w:w="970" w:type="dxa"/>
            <w:tcBorders>
              <w:left w:val="single" w:sz="12" w:space="0" w:color="000000"/>
            </w:tcBorders>
            <w:vAlign w:val="center"/>
          </w:tcPr>
          <w:p w14:paraId="2C303D6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 (4.9%)</w:t>
            </w:r>
          </w:p>
        </w:tc>
        <w:tc>
          <w:tcPr>
            <w:tcW w:w="971" w:type="dxa"/>
            <w:vAlign w:val="center"/>
          </w:tcPr>
          <w:p w14:paraId="51AF80D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 (3.7%)</w:t>
            </w:r>
          </w:p>
        </w:tc>
        <w:tc>
          <w:tcPr>
            <w:tcW w:w="970" w:type="dxa"/>
            <w:vAlign w:val="center"/>
          </w:tcPr>
          <w:p w14:paraId="54EE805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10 (3.8%)</w:t>
            </w:r>
          </w:p>
        </w:tc>
        <w:tc>
          <w:tcPr>
            <w:tcW w:w="971" w:type="dxa"/>
            <w:vAlign w:val="center"/>
          </w:tcPr>
          <w:p w14:paraId="5CBE40FA" w14:textId="77777777" w:rsidR="00DB55B4" w:rsidRPr="00DB55B4" w:rsidRDefault="00DB55B4" w:rsidP="00591A66">
            <w:pPr>
              <w:spacing w:before="0" w:after="0" w:line="276" w:lineRule="auto"/>
              <w:jc w:val="center"/>
              <w:rPr>
                <w:rFonts w:eastAsia="Arial" w:cs="Times New Roman"/>
                <w:color w:val="000000"/>
                <w:sz w:val="12"/>
                <w:szCs w:val="12"/>
              </w:rPr>
            </w:pPr>
          </w:p>
        </w:tc>
        <w:tc>
          <w:tcPr>
            <w:tcW w:w="970" w:type="dxa"/>
            <w:tcBorders>
              <w:right w:val="single" w:sz="12" w:space="0" w:color="000000"/>
            </w:tcBorders>
            <w:vAlign w:val="center"/>
          </w:tcPr>
          <w:p w14:paraId="09CF9994"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(0%)</w:t>
            </w:r>
          </w:p>
        </w:tc>
        <w:tc>
          <w:tcPr>
            <w:tcW w:w="970" w:type="dxa"/>
            <w:tcBorders>
              <w:left w:val="single" w:sz="12" w:space="0" w:color="000000"/>
            </w:tcBorders>
            <w:vAlign w:val="center"/>
          </w:tcPr>
          <w:p w14:paraId="7C4385A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 4 (3.3%)</w:t>
            </w:r>
          </w:p>
        </w:tc>
        <w:tc>
          <w:tcPr>
            <w:tcW w:w="971" w:type="dxa"/>
            <w:vAlign w:val="center"/>
          </w:tcPr>
          <w:p w14:paraId="456C1F8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 (7%)</w:t>
            </w:r>
          </w:p>
        </w:tc>
        <w:tc>
          <w:tcPr>
            <w:tcW w:w="970" w:type="dxa"/>
            <w:vAlign w:val="center"/>
          </w:tcPr>
          <w:p w14:paraId="60035F0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 (1.4%)</w:t>
            </w:r>
          </w:p>
        </w:tc>
        <w:tc>
          <w:tcPr>
            <w:tcW w:w="971" w:type="dxa"/>
            <w:tcBorders>
              <w:right w:val="single" w:sz="12" w:space="0" w:color="000000"/>
            </w:tcBorders>
            <w:vAlign w:val="center"/>
          </w:tcPr>
          <w:p w14:paraId="7C618494"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(0%)</w:t>
            </w:r>
          </w:p>
        </w:tc>
      </w:tr>
      <w:tr w:rsidR="00DB55B4" w:rsidRPr="00DB55B4" w14:paraId="255018FD" w14:textId="77777777" w:rsidTr="00591A66">
        <w:trPr>
          <w:trHeight w:val="227"/>
          <w:jc w:val="center"/>
        </w:trPr>
        <w:tc>
          <w:tcPr>
            <w:tcW w:w="1555" w:type="dxa"/>
            <w:tcBorders>
              <w:right w:val="single" w:sz="12" w:space="0" w:color="000000"/>
            </w:tcBorders>
            <w:shd w:val="clear" w:color="auto" w:fill="E7E6E6"/>
            <w:vAlign w:val="center"/>
          </w:tcPr>
          <w:p w14:paraId="5113CB34" w14:textId="77777777" w:rsidR="00DB55B4" w:rsidRPr="00DB55B4" w:rsidRDefault="00DB55B4" w:rsidP="00591A66">
            <w:pPr>
              <w:spacing w:before="0" w:after="0" w:line="276" w:lineRule="auto"/>
              <w:jc w:val="center"/>
              <w:rPr>
                <w:rFonts w:eastAsia="Arial" w:cs="Times New Roman"/>
                <w:b/>
                <w:bCs/>
                <w:color w:val="000000"/>
                <w:sz w:val="12"/>
                <w:szCs w:val="12"/>
              </w:rPr>
            </w:pPr>
            <w:r w:rsidRPr="00DB55B4">
              <w:rPr>
                <w:rFonts w:eastAsia="Arial" w:cs="Times New Roman"/>
                <w:b/>
                <w:bCs/>
                <w:color w:val="000000"/>
                <w:sz w:val="12"/>
                <w:szCs w:val="12"/>
              </w:rPr>
              <w:t>AE, n (%)</w:t>
            </w:r>
          </w:p>
        </w:tc>
        <w:tc>
          <w:tcPr>
            <w:tcW w:w="970" w:type="dxa"/>
            <w:tcBorders>
              <w:left w:val="single" w:sz="12" w:space="0" w:color="000000"/>
            </w:tcBorders>
            <w:shd w:val="clear" w:color="auto" w:fill="E7E6E6"/>
            <w:vAlign w:val="center"/>
          </w:tcPr>
          <w:p w14:paraId="7F6773F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128 (79%)</w:t>
            </w:r>
          </w:p>
        </w:tc>
        <w:tc>
          <w:tcPr>
            <w:tcW w:w="970" w:type="dxa"/>
            <w:shd w:val="clear" w:color="auto" w:fill="E7E6E6"/>
            <w:vAlign w:val="center"/>
          </w:tcPr>
          <w:p w14:paraId="3ED9928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536 (88.3%)</w:t>
            </w:r>
          </w:p>
        </w:tc>
        <w:tc>
          <w:tcPr>
            <w:tcW w:w="971" w:type="dxa"/>
            <w:shd w:val="clear" w:color="auto" w:fill="E7E6E6"/>
            <w:vAlign w:val="center"/>
          </w:tcPr>
          <w:p w14:paraId="3BD7AC0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138 (91.8%)</w:t>
            </w:r>
          </w:p>
        </w:tc>
        <w:tc>
          <w:tcPr>
            <w:tcW w:w="970" w:type="dxa"/>
            <w:tcBorders>
              <w:right w:val="single" w:sz="12" w:space="0" w:color="000000"/>
            </w:tcBorders>
            <w:shd w:val="clear" w:color="auto" w:fill="E7E6E6"/>
            <w:vAlign w:val="center"/>
          </w:tcPr>
          <w:p w14:paraId="5BF0221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61 (48.8%)</w:t>
            </w:r>
          </w:p>
        </w:tc>
        <w:tc>
          <w:tcPr>
            <w:tcW w:w="970" w:type="dxa"/>
            <w:tcBorders>
              <w:left w:val="single" w:sz="12" w:space="0" w:color="000000"/>
            </w:tcBorders>
            <w:shd w:val="clear" w:color="auto" w:fill="E7E6E6"/>
            <w:vAlign w:val="center"/>
          </w:tcPr>
          <w:p w14:paraId="2659F05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57 (93.4%)</w:t>
            </w:r>
          </w:p>
        </w:tc>
        <w:tc>
          <w:tcPr>
            <w:tcW w:w="971" w:type="dxa"/>
            <w:shd w:val="clear" w:color="auto" w:fill="E7E6E6"/>
            <w:vAlign w:val="center"/>
          </w:tcPr>
          <w:p w14:paraId="6365A40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8, 5, 7 (74%)</w:t>
            </w:r>
          </w:p>
        </w:tc>
        <w:tc>
          <w:tcPr>
            <w:tcW w:w="970" w:type="dxa"/>
            <w:shd w:val="clear" w:color="auto" w:fill="E7E6E6"/>
            <w:vAlign w:val="center"/>
          </w:tcPr>
          <w:p w14:paraId="4D526E6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246 (93.2%)</w:t>
            </w:r>
          </w:p>
        </w:tc>
        <w:tc>
          <w:tcPr>
            <w:tcW w:w="971" w:type="dxa"/>
            <w:shd w:val="clear" w:color="auto" w:fill="E7E6E6"/>
            <w:vAlign w:val="center"/>
          </w:tcPr>
          <w:p w14:paraId="6E61E7F7" w14:textId="77777777" w:rsidR="00DB55B4" w:rsidRPr="00DB55B4" w:rsidRDefault="00DB55B4" w:rsidP="00591A66">
            <w:pPr>
              <w:spacing w:before="0" w:after="0" w:line="276" w:lineRule="auto"/>
              <w:jc w:val="center"/>
              <w:rPr>
                <w:rFonts w:eastAsia="Arial" w:cs="Times New Roman"/>
                <w:color w:val="000000"/>
                <w:sz w:val="12"/>
                <w:szCs w:val="12"/>
              </w:rPr>
            </w:pPr>
          </w:p>
        </w:tc>
        <w:tc>
          <w:tcPr>
            <w:tcW w:w="970" w:type="dxa"/>
            <w:tcBorders>
              <w:right w:val="single" w:sz="12" w:space="0" w:color="000000"/>
            </w:tcBorders>
            <w:shd w:val="clear" w:color="auto" w:fill="E7E6E6"/>
            <w:vAlign w:val="center"/>
          </w:tcPr>
          <w:p w14:paraId="3D0CCF50"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30 (62.5 %)</w:t>
            </w:r>
          </w:p>
        </w:tc>
        <w:tc>
          <w:tcPr>
            <w:tcW w:w="970" w:type="dxa"/>
            <w:tcBorders>
              <w:left w:val="single" w:sz="12" w:space="0" w:color="000000"/>
            </w:tcBorders>
            <w:shd w:val="clear" w:color="auto" w:fill="E7E6E6"/>
            <w:vAlign w:val="center"/>
          </w:tcPr>
          <w:p w14:paraId="2F7A0F2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56, 77 (89.3%)</w:t>
            </w:r>
          </w:p>
        </w:tc>
        <w:tc>
          <w:tcPr>
            <w:tcW w:w="971" w:type="dxa"/>
            <w:shd w:val="clear" w:color="auto" w:fill="E7E6E6"/>
            <w:vAlign w:val="center"/>
          </w:tcPr>
          <w:p w14:paraId="78A3EB8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74 (86%)</w:t>
            </w:r>
          </w:p>
        </w:tc>
        <w:tc>
          <w:tcPr>
            <w:tcW w:w="970" w:type="dxa"/>
            <w:shd w:val="clear" w:color="auto" w:fill="E7E6E6"/>
            <w:vAlign w:val="center"/>
          </w:tcPr>
          <w:p w14:paraId="438FD29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337 (92.1%)</w:t>
            </w:r>
          </w:p>
        </w:tc>
        <w:tc>
          <w:tcPr>
            <w:tcW w:w="971" w:type="dxa"/>
            <w:tcBorders>
              <w:right w:val="single" w:sz="12" w:space="0" w:color="000000"/>
            </w:tcBorders>
            <w:shd w:val="clear" w:color="auto" w:fill="E7E6E6"/>
            <w:vAlign w:val="center"/>
          </w:tcPr>
          <w:p w14:paraId="7F8ED360"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26 (41.9%)</w:t>
            </w:r>
          </w:p>
        </w:tc>
      </w:tr>
      <w:tr w:rsidR="00DB55B4" w:rsidRPr="00DB55B4" w14:paraId="5FFB6004" w14:textId="77777777" w:rsidTr="00591A66">
        <w:trPr>
          <w:trHeight w:val="227"/>
          <w:jc w:val="center"/>
        </w:trPr>
        <w:tc>
          <w:tcPr>
            <w:tcW w:w="1555" w:type="dxa"/>
            <w:tcBorders>
              <w:right w:val="single" w:sz="12" w:space="0" w:color="000000"/>
            </w:tcBorders>
            <w:vAlign w:val="center"/>
          </w:tcPr>
          <w:p w14:paraId="0CDB795B"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Somnolence</w:t>
            </w:r>
          </w:p>
        </w:tc>
        <w:tc>
          <w:tcPr>
            <w:tcW w:w="970" w:type="dxa"/>
            <w:tcBorders>
              <w:left w:val="single" w:sz="12" w:space="0" w:color="000000"/>
            </w:tcBorders>
            <w:vAlign w:val="center"/>
          </w:tcPr>
          <w:p w14:paraId="5ACB4A8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41 (25%)</w:t>
            </w:r>
          </w:p>
        </w:tc>
        <w:tc>
          <w:tcPr>
            <w:tcW w:w="970" w:type="dxa"/>
            <w:vAlign w:val="center"/>
          </w:tcPr>
          <w:p w14:paraId="43F83A1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136 (22.4%)</w:t>
            </w:r>
          </w:p>
        </w:tc>
        <w:tc>
          <w:tcPr>
            <w:tcW w:w="971" w:type="dxa"/>
            <w:vAlign w:val="center"/>
          </w:tcPr>
          <w:p w14:paraId="24DA9FDD"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45 (30%)</w:t>
            </w:r>
          </w:p>
        </w:tc>
        <w:tc>
          <w:tcPr>
            <w:tcW w:w="970" w:type="dxa"/>
            <w:tcBorders>
              <w:right w:val="single" w:sz="12" w:space="0" w:color="000000"/>
            </w:tcBorders>
            <w:vAlign w:val="center"/>
          </w:tcPr>
          <w:p w14:paraId="7233AAA3"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26 (20.8%)</w:t>
            </w:r>
          </w:p>
        </w:tc>
        <w:tc>
          <w:tcPr>
            <w:tcW w:w="970" w:type="dxa"/>
            <w:tcBorders>
              <w:left w:val="single" w:sz="12" w:space="0" w:color="000000"/>
            </w:tcBorders>
            <w:vAlign w:val="center"/>
          </w:tcPr>
          <w:p w14:paraId="432628C0"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22 (36%)</w:t>
            </w:r>
          </w:p>
        </w:tc>
        <w:tc>
          <w:tcPr>
            <w:tcW w:w="971" w:type="dxa"/>
            <w:vAlign w:val="center"/>
          </w:tcPr>
          <w:p w14:paraId="29F61934"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 3, 0 (18.5%)</w:t>
            </w:r>
          </w:p>
        </w:tc>
        <w:tc>
          <w:tcPr>
            <w:tcW w:w="970" w:type="dxa"/>
            <w:vAlign w:val="center"/>
          </w:tcPr>
          <w:p w14:paraId="6131B65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65 (24.6%)</w:t>
            </w:r>
          </w:p>
        </w:tc>
        <w:tc>
          <w:tcPr>
            <w:tcW w:w="971" w:type="dxa"/>
            <w:vAlign w:val="center"/>
          </w:tcPr>
          <w:p w14:paraId="4B2DB26D"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16 (25%)</w:t>
            </w:r>
          </w:p>
          <w:p w14:paraId="3322D29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16 (23%)</w:t>
            </w:r>
          </w:p>
        </w:tc>
        <w:tc>
          <w:tcPr>
            <w:tcW w:w="970" w:type="dxa"/>
            <w:tcBorders>
              <w:right w:val="single" w:sz="12" w:space="0" w:color="000000"/>
            </w:tcBorders>
            <w:vAlign w:val="center"/>
          </w:tcPr>
          <w:p w14:paraId="59F6DB20"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11 (23%)</w:t>
            </w:r>
          </w:p>
        </w:tc>
        <w:tc>
          <w:tcPr>
            <w:tcW w:w="970" w:type="dxa"/>
            <w:tcBorders>
              <w:left w:val="single" w:sz="12" w:space="0" w:color="000000"/>
            </w:tcBorders>
            <w:vAlign w:val="center"/>
          </w:tcPr>
          <w:p w14:paraId="6E4151C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14, 25 (26.2%)</w:t>
            </w:r>
          </w:p>
        </w:tc>
        <w:tc>
          <w:tcPr>
            <w:tcW w:w="971" w:type="dxa"/>
            <w:vAlign w:val="center"/>
          </w:tcPr>
          <w:p w14:paraId="5AEA785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13 (15%)</w:t>
            </w:r>
          </w:p>
        </w:tc>
        <w:tc>
          <w:tcPr>
            <w:tcW w:w="970" w:type="dxa"/>
            <w:vAlign w:val="center"/>
          </w:tcPr>
          <w:p w14:paraId="701754A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86 (23.5%)</w:t>
            </w:r>
          </w:p>
        </w:tc>
        <w:tc>
          <w:tcPr>
            <w:tcW w:w="971" w:type="dxa"/>
            <w:tcBorders>
              <w:right w:val="single" w:sz="12" w:space="0" w:color="000000"/>
            </w:tcBorders>
            <w:vAlign w:val="center"/>
          </w:tcPr>
          <w:p w14:paraId="4A169914"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13 (21%)</w:t>
            </w:r>
          </w:p>
        </w:tc>
      </w:tr>
      <w:tr w:rsidR="00DB55B4" w:rsidRPr="00DB55B4" w14:paraId="52F68919" w14:textId="77777777" w:rsidTr="00591A66">
        <w:trPr>
          <w:trHeight w:val="227"/>
          <w:jc w:val="center"/>
        </w:trPr>
        <w:tc>
          <w:tcPr>
            <w:tcW w:w="1555" w:type="dxa"/>
            <w:tcBorders>
              <w:right w:val="single" w:sz="12" w:space="0" w:color="000000"/>
            </w:tcBorders>
            <w:vAlign w:val="center"/>
          </w:tcPr>
          <w:p w14:paraId="499F6BCB"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Decr. appetit</w:t>
            </w:r>
          </w:p>
        </w:tc>
        <w:tc>
          <w:tcPr>
            <w:tcW w:w="970" w:type="dxa"/>
            <w:tcBorders>
              <w:left w:val="single" w:sz="12" w:space="0" w:color="000000"/>
            </w:tcBorders>
            <w:vAlign w:val="center"/>
          </w:tcPr>
          <w:p w14:paraId="03F72BA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31 (19%)</w:t>
            </w:r>
          </w:p>
        </w:tc>
        <w:tc>
          <w:tcPr>
            <w:tcW w:w="970" w:type="dxa"/>
            <w:vAlign w:val="center"/>
          </w:tcPr>
          <w:p w14:paraId="3C51940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75 (12.4%)</w:t>
            </w:r>
          </w:p>
        </w:tc>
        <w:tc>
          <w:tcPr>
            <w:tcW w:w="971" w:type="dxa"/>
            <w:vAlign w:val="center"/>
          </w:tcPr>
          <w:p w14:paraId="20A7E65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24 (16%)</w:t>
            </w:r>
          </w:p>
        </w:tc>
        <w:tc>
          <w:tcPr>
            <w:tcW w:w="970" w:type="dxa"/>
            <w:tcBorders>
              <w:right w:val="single" w:sz="12" w:space="0" w:color="000000"/>
            </w:tcBorders>
            <w:vAlign w:val="center"/>
          </w:tcPr>
          <w:p w14:paraId="643D959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12 (9.6%)</w:t>
            </w:r>
          </w:p>
        </w:tc>
        <w:tc>
          <w:tcPr>
            <w:tcW w:w="970" w:type="dxa"/>
            <w:tcBorders>
              <w:left w:val="single" w:sz="12" w:space="0" w:color="000000"/>
            </w:tcBorders>
            <w:vAlign w:val="center"/>
          </w:tcPr>
          <w:p w14:paraId="29A09BD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17 (28%)</w:t>
            </w:r>
          </w:p>
        </w:tc>
        <w:tc>
          <w:tcPr>
            <w:tcW w:w="971" w:type="dxa"/>
            <w:vAlign w:val="center"/>
          </w:tcPr>
          <w:p w14:paraId="11878D1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1, 4 (18.5%)</w:t>
            </w:r>
          </w:p>
        </w:tc>
        <w:tc>
          <w:tcPr>
            <w:tcW w:w="970" w:type="dxa"/>
            <w:vAlign w:val="center"/>
          </w:tcPr>
          <w:p w14:paraId="183C096A"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67 (25.4%)</w:t>
            </w:r>
          </w:p>
        </w:tc>
        <w:tc>
          <w:tcPr>
            <w:tcW w:w="971" w:type="dxa"/>
            <w:vAlign w:val="center"/>
          </w:tcPr>
          <w:p w14:paraId="5241F67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11 (17%)</w:t>
            </w:r>
          </w:p>
          <w:p w14:paraId="4799B7C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20 (29%)</w:t>
            </w:r>
          </w:p>
        </w:tc>
        <w:tc>
          <w:tcPr>
            <w:tcW w:w="970" w:type="dxa"/>
            <w:tcBorders>
              <w:right w:val="single" w:sz="12" w:space="0" w:color="000000"/>
            </w:tcBorders>
            <w:vAlign w:val="center"/>
          </w:tcPr>
          <w:p w14:paraId="6F2B569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8 (16.7%)</w:t>
            </w:r>
          </w:p>
        </w:tc>
        <w:tc>
          <w:tcPr>
            <w:tcW w:w="970" w:type="dxa"/>
            <w:tcBorders>
              <w:left w:val="single" w:sz="12" w:space="0" w:color="000000"/>
            </w:tcBorders>
            <w:vAlign w:val="center"/>
          </w:tcPr>
          <w:p w14:paraId="6CA65CE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11, 21 (21.5%)</w:t>
            </w:r>
          </w:p>
        </w:tc>
        <w:tc>
          <w:tcPr>
            <w:tcW w:w="971" w:type="dxa"/>
            <w:vAlign w:val="center"/>
          </w:tcPr>
          <w:p w14:paraId="45483AE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11 (13%)</w:t>
            </w:r>
          </w:p>
        </w:tc>
        <w:tc>
          <w:tcPr>
            <w:tcW w:w="970" w:type="dxa"/>
            <w:vAlign w:val="center"/>
          </w:tcPr>
          <w:p w14:paraId="7F098AE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65 (17.8%)</w:t>
            </w:r>
          </w:p>
        </w:tc>
        <w:tc>
          <w:tcPr>
            <w:tcW w:w="971" w:type="dxa"/>
            <w:tcBorders>
              <w:right w:val="single" w:sz="12" w:space="0" w:color="000000"/>
            </w:tcBorders>
            <w:vAlign w:val="center"/>
          </w:tcPr>
          <w:p w14:paraId="2C22ED4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 (4.8%)</w:t>
            </w:r>
          </w:p>
        </w:tc>
      </w:tr>
      <w:tr w:rsidR="00DB55B4" w:rsidRPr="00DB55B4" w14:paraId="089DD4DD" w14:textId="77777777" w:rsidTr="00591A66">
        <w:trPr>
          <w:trHeight w:val="227"/>
          <w:jc w:val="center"/>
        </w:trPr>
        <w:tc>
          <w:tcPr>
            <w:tcW w:w="1555" w:type="dxa"/>
            <w:tcBorders>
              <w:right w:val="single" w:sz="12" w:space="0" w:color="000000"/>
            </w:tcBorders>
            <w:vAlign w:val="center"/>
          </w:tcPr>
          <w:p w14:paraId="56F67406"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Diarrhea</w:t>
            </w:r>
          </w:p>
        </w:tc>
        <w:tc>
          <w:tcPr>
            <w:tcW w:w="970" w:type="dxa"/>
            <w:tcBorders>
              <w:left w:val="single" w:sz="12" w:space="0" w:color="000000"/>
            </w:tcBorders>
            <w:vAlign w:val="center"/>
          </w:tcPr>
          <w:p w14:paraId="47CDF24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31 (19%)</w:t>
            </w:r>
          </w:p>
        </w:tc>
        <w:tc>
          <w:tcPr>
            <w:tcW w:w="970" w:type="dxa"/>
            <w:vAlign w:val="center"/>
          </w:tcPr>
          <w:p w14:paraId="42D38CE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177 (29.2%)</w:t>
            </w:r>
          </w:p>
        </w:tc>
        <w:tc>
          <w:tcPr>
            <w:tcW w:w="971" w:type="dxa"/>
            <w:vAlign w:val="center"/>
          </w:tcPr>
          <w:p w14:paraId="48D1DD0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36 (24%)</w:t>
            </w:r>
          </w:p>
        </w:tc>
        <w:tc>
          <w:tcPr>
            <w:tcW w:w="970" w:type="dxa"/>
            <w:tcBorders>
              <w:right w:val="single" w:sz="12" w:space="0" w:color="000000"/>
            </w:tcBorders>
            <w:vAlign w:val="center"/>
          </w:tcPr>
          <w:p w14:paraId="36191E3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 (4.8%)</w:t>
            </w:r>
          </w:p>
        </w:tc>
        <w:tc>
          <w:tcPr>
            <w:tcW w:w="970" w:type="dxa"/>
            <w:tcBorders>
              <w:left w:val="single" w:sz="12" w:space="0" w:color="000000"/>
            </w:tcBorders>
            <w:vAlign w:val="center"/>
          </w:tcPr>
          <w:p w14:paraId="7CA951E3"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19 (31%)</w:t>
            </w:r>
          </w:p>
        </w:tc>
        <w:tc>
          <w:tcPr>
            <w:tcW w:w="971" w:type="dxa"/>
            <w:vAlign w:val="center"/>
          </w:tcPr>
          <w:p w14:paraId="06B761D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0" w:type="dxa"/>
            <w:vAlign w:val="center"/>
          </w:tcPr>
          <w:p w14:paraId="4431FA1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91 (34.5%)</w:t>
            </w:r>
          </w:p>
        </w:tc>
        <w:tc>
          <w:tcPr>
            <w:tcW w:w="971" w:type="dxa"/>
            <w:vAlign w:val="center"/>
          </w:tcPr>
          <w:p w14:paraId="4C53C43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11 (17%)</w:t>
            </w:r>
          </w:p>
          <w:p w14:paraId="449AF12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18 (26%)</w:t>
            </w:r>
          </w:p>
        </w:tc>
        <w:tc>
          <w:tcPr>
            <w:tcW w:w="970" w:type="dxa"/>
            <w:tcBorders>
              <w:right w:val="single" w:sz="12" w:space="0" w:color="000000"/>
            </w:tcBorders>
            <w:vAlign w:val="center"/>
          </w:tcPr>
          <w:p w14:paraId="07226573"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 (10.4%)</w:t>
            </w:r>
          </w:p>
        </w:tc>
        <w:tc>
          <w:tcPr>
            <w:tcW w:w="970" w:type="dxa"/>
            <w:tcBorders>
              <w:left w:val="single" w:sz="12" w:space="0" w:color="000000"/>
            </w:tcBorders>
            <w:vAlign w:val="center"/>
          </w:tcPr>
          <w:p w14:paraId="4D9A9F0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7, 12 (12.7%)</w:t>
            </w:r>
          </w:p>
        </w:tc>
        <w:tc>
          <w:tcPr>
            <w:tcW w:w="971" w:type="dxa"/>
            <w:vAlign w:val="center"/>
          </w:tcPr>
          <w:p w14:paraId="3FD4B15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16 (19%)</w:t>
            </w:r>
          </w:p>
        </w:tc>
        <w:tc>
          <w:tcPr>
            <w:tcW w:w="970" w:type="dxa"/>
            <w:vAlign w:val="center"/>
          </w:tcPr>
          <w:p w14:paraId="5DA4BEA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98 (26.8%)</w:t>
            </w:r>
          </w:p>
        </w:tc>
        <w:tc>
          <w:tcPr>
            <w:tcW w:w="971" w:type="dxa"/>
            <w:tcBorders>
              <w:right w:val="single" w:sz="12" w:space="0" w:color="000000"/>
            </w:tcBorders>
            <w:vAlign w:val="center"/>
          </w:tcPr>
          <w:p w14:paraId="143321A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 (1.6%)</w:t>
            </w:r>
          </w:p>
        </w:tc>
      </w:tr>
      <w:tr w:rsidR="00DB55B4" w:rsidRPr="00DB55B4" w14:paraId="46B8D15D" w14:textId="77777777" w:rsidTr="00591A66">
        <w:trPr>
          <w:trHeight w:val="227"/>
          <w:jc w:val="center"/>
        </w:trPr>
        <w:tc>
          <w:tcPr>
            <w:tcW w:w="1555" w:type="dxa"/>
            <w:tcBorders>
              <w:right w:val="single" w:sz="12" w:space="0" w:color="000000"/>
            </w:tcBorders>
            <w:vAlign w:val="center"/>
          </w:tcPr>
          <w:p w14:paraId="29FBDEAE"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Fatigue</w:t>
            </w:r>
          </w:p>
        </w:tc>
        <w:tc>
          <w:tcPr>
            <w:tcW w:w="970" w:type="dxa"/>
            <w:tcBorders>
              <w:left w:val="single" w:sz="12" w:space="0" w:color="000000"/>
            </w:tcBorders>
            <w:vAlign w:val="center"/>
          </w:tcPr>
          <w:p w14:paraId="3E9A7C1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21 (13%)</w:t>
            </w:r>
          </w:p>
        </w:tc>
        <w:tc>
          <w:tcPr>
            <w:tcW w:w="970" w:type="dxa"/>
            <w:vAlign w:val="center"/>
          </w:tcPr>
          <w:p w14:paraId="479892F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65 (10.7%)</w:t>
            </w:r>
          </w:p>
        </w:tc>
        <w:tc>
          <w:tcPr>
            <w:tcW w:w="971" w:type="dxa"/>
            <w:vAlign w:val="center"/>
          </w:tcPr>
          <w:p w14:paraId="434B088A"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24 (16%)</w:t>
            </w:r>
          </w:p>
        </w:tc>
        <w:tc>
          <w:tcPr>
            <w:tcW w:w="970" w:type="dxa"/>
            <w:tcBorders>
              <w:right w:val="single" w:sz="12" w:space="0" w:color="000000"/>
            </w:tcBorders>
            <w:vAlign w:val="center"/>
          </w:tcPr>
          <w:p w14:paraId="309364C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20 (16%)</w:t>
            </w:r>
          </w:p>
        </w:tc>
        <w:tc>
          <w:tcPr>
            <w:tcW w:w="970" w:type="dxa"/>
            <w:tcBorders>
              <w:left w:val="single" w:sz="12" w:space="0" w:color="000000"/>
            </w:tcBorders>
            <w:vAlign w:val="center"/>
          </w:tcPr>
          <w:p w14:paraId="218F286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12 (20%)</w:t>
            </w:r>
          </w:p>
        </w:tc>
        <w:tc>
          <w:tcPr>
            <w:tcW w:w="971" w:type="dxa"/>
            <w:vAlign w:val="center"/>
          </w:tcPr>
          <w:p w14:paraId="0C0DAAA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0, 1 (3.7%)</w:t>
            </w:r>
          </w:p>
        </w:tc>
        <w:tc>
          <w:tcPr>
            <w:tcW w:w="970" w:type="dxa"/>
            <w:vAlign w:val="center"/>
          </w:tcPr>
          <w:p w14:paraId="0359454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27 (10.2%)</w:t>
            </w:r>
          </w:p>
        </w:tc>
        <w:tc>
          <w:tcPr>
            <w:tcW w:w="971" w:type="dxa"/>
            <w:vAlign w:val="center"/>
          </w:tcPr>
          <w:p w14:paraId="12C28E0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 (8%)</w:t>
            </w:r>
          </w:p>
          <w:p w14:paraId="4CCE897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15 (22%)</w:t>
            </w:r>
          </w:p>
        </w:tc>
        <w:tc>
          <w:tcPr>
            <w:tcW w:w="970" w:type="dxa"/>
            <w:tcBorders>
              <w:right w:val="single" w:sz="12" w:space="0" w:color="000000"/>
            </w:tcBorders>
            <w:vAlign w:val="center"/>
          </w:tcPr>
          <w:p w14:paraId="2A7C708D"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9 (18.8%)</w:t>
            </w:r>
          </w:p>
        </w:tc>
        <w:tc>
          <w:tcPr>
            <w:tcW w:w="970" w:type="dxa"/>
            <w:tcBorders>
              <w:left w:val="single" w:sz="12" w:space="0" w:color="000000"/>
            </w:tcBorders>
            <w:vAlign w:val="center"/>
          </w:tcPr>
          <w:p w14:paraId="02F68E4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vAlign w:val="center"/>
          </w:tcPr>
          <w:p w14:paraId="47BD882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9 (10.5%)</w:t>
            </w:r>
          </w:p>
        </w:tc>
        <w:tc>
          <w:tcPr>
            <w:tcW w:w="970" w:type="dxa"/>
            <w:vAlign w:val="center"/>
          </w:tcPr>
          <w:p w14:paraId="4D1CD66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tcBorders>
              <w:right w:val="single" w:sz="12" w:space="0" w:color="000000"/>
            </w:tcBorders>
            <w:vAlign w:val="center"/>
          </w:tcPr>
          <w:p w14:paraId="665ADC0D"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8 (12.9%)</w:t>
            </w:r>
          </w:p>
        </w:tc>
      </w:tr>
      <w:tr w:rsidR="00DB55B4" w:rsidRPr="00DB55B4" w14:paraId="6B0BD86B" w14:textId="77777777" w:rsidTr="00591A66">
        <w:trPr>
          <w:trHeight w:val="227"/>
          <w:jc w:val="center"/>
        </w:trPr>
        <w:tc>
          <w:tcPr>
            <w:tcW w:w="1555" w:type="dxa"/>
            <w:tcBorders>
              <w:right w:val="single" w:sz="12" w:space="0" w:color="000000"/>
            </w:tcBorders>
            <w:vAlign w:val="center"/>
          </w:tcPr>
          <w:p w14:paraId="3B44B32E"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Behaviour disorder</w:t>
            </w:r>
          </w:p>
        </w:tc>
        <w:tc>
          <w:tcPr>
            <w:tcW w:w="970" w:type="dxa"/>
            <w:tcBorders>
              <w:left w:val="single" w:sz="12" w:space="0" w:color="000000"/>
            </w:tcBorders>
            <w:vAlign w:val="center"/>
          </w:tcPr>
          <w:p w14:paraId="559AAFB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 (3.7%)</w:t>
            </w:r>
          </w:p>
        </w:tc>
        <w:tc>
          <w:tcPr>
            <w:tcW w:w="970" w:type="dxa"/>
            <w:vAlign w:val="center"/>
          </w:tcPr>
          <w:p w14:paraId="2A55098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vAlign w:val="center"/>
          </w:tcPr>
          <w:p w14:paraId="1B5B636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0" w:type="dxa"/>
            <w:tcBorders>
              <w:right w:val="single" w:sz="12" w:space="0" w:color="000000"/>
            </w:tcBorders>
            <w:vAlign w:val="center"/>
          </w:tcPr>
          <w:p w14:paraId="1C01145A"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16 (12.8%)</w:t>
            </w:r>
          </w:p>
        </w:tc>
        <w:tc>
          <w:tcPr>
            <w:tcW w:w="970" w:type="dxa"/>
            <w:tcBorders>
              <w:left w:val="single" w:sz="12" w:space="0" w:color="000000"/>
            </w:tcBorders>
            <w:vAlign w:val="center"/>
          </w:tcPr>
          <w:p w14:paraId="7076816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vAlign w:val="center"/>
          </w:tcPr>
          <w:p w14:paraId="0D5056C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 0, 0 (11.1%)</w:t>
            </w:r>
          </w:p>
        </w:tc>
        <w:tc>
          <w:tcPr>
            <w:tcW w:w="970" w:type="dxa"/>
            <w:vAlign w:val="center"/>
          </w:tcPr>
          <w:p w14:paraId="5E1D7624"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vAlign w:val="center"/>
          </w:tcPr>
          <w:p w14:paraId="2B4A343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 (3.8%)</w:t>
            </w:r>
          </w:p>
          <w:p w14:paraId="58C22CD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 (11.9%)</w:t>
            </w:r>
          </w:p>
        </w:tc>
        <w:tc>
          <w:tcPr>
            <w:tcW w:w="970" w:type="dxa"/>
            <w:tcBorders>
              <w:right w:val="single" w:sz="12" w:space="0" w:color="000000"/>
            </w:tcBorders>
            <w:vAlign w:val="center"/>
          </w:tcPr>
          <w:p w14:paraId="2C3E646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 (12.5%)</w:t>
            </w:r>
          </w:p>
        </w:tc>
        <w:tc>
          <w:tcPr>
            <w:tcW w:w="970" w:type="dxa"/>
            <w:tcBorders>
              <w:left w:val="single" w:sz="12" w:space="0" w:color="000000"/>
            </w:tcBorders>
            <w:vAlign w:val="center"/>
          </w:tcPr>
          <w:p w14:paraId="709DD33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vAlign w:val="center"/>
          </w:tcPr>
          <w:p w14:paraId="71BE1B4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 (3.5%)</w:t>
            </w:r>
          </w:p>
        </w:tc>
        <w:tc>
          <w:tcPr>
            <w:tcW w:w="970" w:type="dxa"/>
            <w:vAlign w:val="center"/>
          </w:tcPr>
          <w:p w14:paraId="252A969E"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tcBorders>
              <w:right w:val="single" w:sz="12" w:space="0" w:color="000000"/>
            </w:tcBorders>
            <w:vAlign w:val="center"/>
          </w:tcPr>
          <w:p w14:paraId="6DE0FB0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9 (14.5%)</w:t>
            </w:r>
          </w:p>
        </w:tc>
      </w:tr>
      <w:tr w:rsidR="00DB55B4" w:rsidRPr="00DB55B4" w14:paraId="0DA5AB79" w14:textId="77777777" w:rsidTr="00591A66">
        <w:trPr>
          <w:trHeight w:val="227"/>
          <w:jc w:val="center"/>
        </w:trPr>
        <w:tc>
          <w:tcPr>
            <w:tcW w:w="1555" w:type="dxa"/>
            <w:tcBorders>
              <w:right w:val="single" w:sz="12" w:space="0" w:color="000000"/>
            </w:tcBorders>
            <w:vAlign w:val="center"/>
          </w:tcPr>
          <w:p w14:paraId="407A71CA"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Vomiting</w:t>
            </w:r>
          </w:p>
        </w:tc>
        <w:tc>
          <w:tcPr>
            <w:tcW w:w="970" w:type="dxa"/>
            <w:tcBorders>
              <w:left w:val="single" w:sz="12" w:space="0" w:color="000000"/>
            </w:tcBorders>
            <w:vAlign w:val="center"/>
          </w:tcPr>
          <w:p w14:paraId="346C220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 (3.7%)</w:t>
            </w:r>
          </w:p>
        </w:tc>
        <w:tc>
          <w:tcPr>
            <w:tcW w:w="970" w:type="dxa"/>
            <w:vAlign w:val="center"/>
          </w:tcPr>
          <w:p w14:paraId="336269F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69 (11.4%)</w:t>
            </w:r>
          </w:p>
        </w:tc>
        <w:tc>
          <w:tcPr>
            <w:tcW w:w="971" w:type="dxa"/>
            <w:vAlign w:val="center"/>
          </w:tcPr>
          <w:p w14:paraId="6188197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20 (13%)</w:t>
            </w:r>
          </w:p>
        </w:tc>
        <w:tc>
          <w:tcPr>
            <w:tcW w:w="970" w:type="dxa"/>
            <w:tcBorders>
              <w:right w:val="single" w:sz="12" w:space="0" w:color="000000"/>
            </w:tcBorders>
            <w:vAlign w:val="center"/>
          </w:tcPr>
          <w:p w14:paraId="3D470523"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(0%)</w:t>
            </w:r>
          </w:p>
        </w:tc>
        <w:tc>
          <w:tcPr>
            <w:tcW w:w="970" w:type="dxa"/>
            <w:tcBorders>
              <w:left w:val="single" w:sz="12" w:space="0" w:color="000000"/>
            </w:tcBorders>
            <w:vAlign w:val="center"/>
          </w:tcPr>
          <w:p w14:paraId="689CEE0C"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9 (15%)</w:t>
            </w:r>
          </w:p>
        </w:tc>
        <w:tc>
          <w:tcPr>
            <w:tcW w:w="971" w:type="dxa"/>
            <w:vAlign w:val="center"/>
          </w:tcPr>
          <w:p w14:paraId="6765367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 1, 1 (11.1%)</w:t>
            </w:r>
          </w:p>
        </w:tc>
        <w:tc>
          <w:tcPr>
            <w:tcW w:w="970" w:type="dxa"/>
            <w:vAlign w:val="center"/>
          </w:tcPr>
          <w:p w14:paraId="30E894C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37 (14%)</w:t>
            </w:r>
          </w:p>
        </w:tc>
        <w:tc>
          <w:tcPr>
            <w:tcW w:w="971" w:type="dxa"/>
            <w:vAlign w:val="center"/>
          </w:tcPr>
          <w:p w14:paraId="65A1878A"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4 (6%)</w:t>
            </w:r>
          </w:p>
          <w:p w14:paraId="00D997C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11 (16%)</w:t>
            </w:r>
          </w:p>
        </w:tc>
        <w:tc>
          <w:tcPr>
            <w:tcW w:w="970" w:type="dxa"/>
            <w:tcBorders>
              <w:right w:val="single" w:sz="12" w:space="0" w:color="000000"/>
            </w:tcBorders>
            <w:vAlign w:val="center"/>
          </w:tcPr>
          <w:p w14:paraId="36A023DA"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(0%)</w:t>
            </w:r>
          </w:p>
        </w:tc>
        <w:tc>
          <w:tcPr>
            <w:tcW w:w="970" w:type="dxa"/>
            <w:tcBorders>
              <w:left w:val="single" w:sz="12" w:space="0" w:color="000000"/>
            </w:tcBorders>
            <w:vAlign w:val="center"/>
          </w:tcPr>
          <w:p w14:paraId="388C406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4, 10 (9.4%)</w:t>
            </w:r>
          </w:p>
        </w:tc>
        <w:tc>
          <w:tcPr>
            <w:tcW w:w="971" w:type="dxa"/>
            <w:vAlign w:val="center"/>
          </w:tcPr>
          <w:p w14:paraId="778EBAE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9 (10.5%)</w:t>
            </w:r>
          </w:p>
        </w:tc>
        <w:tc>
          <w:tcPr>
            <w:tcW w:w="970" w:type="dxa"/>
            <w:vAlign w:val="center"/>
          </w:tcPr>
          <w:p w14:paraId="39A51ED0"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65 (17.8%)</w:t>
            </w:r>
          </w:p>
        </w:tc>
        <w:tc>
          <w:tcPr>
            <w:tcW w:w="971" w:type="dxa"/>
            <w:tcBorders>
              <w:right w:val="single" w:sz="12" w:space="0" w:color="000000"/>
            </w:tcBorders>
            <w:vAlign w:val="center"/>
          </w:tcPr>
          <w:p w14:paraId="0E9BE4D0"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(0%)</w:t>
            </w:r>
          </w:p>
        </w:tc>
      </w:tr>
      <w:tr w:rsidR="00DB55B4" w:rsidRPr="00DB55B4" w14:paraId="0BAE5C03" w14:textId="77777777" w:rsidTr="00591A66">
        <w:trPr>
          <w:trHeight w:val="227"/>
          <w:jc w:val="center"/>
        </w:trPr>
        <w:tc>
          <w:tcPr>
            <w:tcW w:w="1555" w:type="dxa"/>
            <w:tcBorders>
              <w:right w:val="single" w:sz="12" w:space="0" w:color="000000"/>
            </w:tcBorders>
            <w:vAlign w:val="center"/>
          </w:tcPr>
          <w:p w14:paraId="27B0055E"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Convulsion</w:t>
            </w:r>
          </w:p>
        </w:tc>
        <w:tc>
          <w:tcPr>
            <w:tcW w:w="970" w:type="dxa"/>
            <w:tcBorders>
              <w:left w:val="single" w:sz="12" w:space="0" w:color="000000"/>
            </w:tcBorders>
            <w:vAlign w:val="center"/>
          </w:tcPr>
          <w:p w14:paraId="26CABAC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18 (11%)</w:t>
            </w:r>
          </w:p>
        </w:tc>
        <w:tc>
          <w:tcPr>
            <w:tcW w:w="970" w:type="dxa"/>
            <w:vAlign w:val="center"/>
          </w:tcPr>
          <w:p w14:paraId="4A6BE65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102 (17%)</w:t>
            </w:r>
          </w:p>
        </w:tc>
        <w:tc>
          <w:tcPr>
            <w:tcW w:w="971" w:type="dxa"/>
            <w:vAlign w:val="center"/>
          </w:tcPr>
          <w:p w14:paraId="286F879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36 (24%)</w:t>
            </w:r>
          </w:p>
        </w:tc>
        <w:tc>
          <w:tcPr>
            <w:tcW w:w="970" w:type="dxa"/>
            <w:tcBorders>
              <w:right w:val="single" w:sz="12" w:space="0" w:color="000000"/>
            </w:tcBorders>
            <w:vAlign w:val="center"/>
          </w:tcPr>
          <w:p w14:paraId="59B1A7B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 (0.8%)</w:t>
            </w:r>
          </w:p>
        </w:tc>
        <w:tc>
          <w:tcPr>
            <w:tcW w:w="970" w:type="dxa"/>
            <w:tcBorders>
              <w:left w:val="single" w:sz="12" w:space="0" w:color="000000"/>
            </w:tcBorders>
            <w:vAlign w:val="center"/>
          </w:tcPr>
          <w:p w14:paraId="0F7BD4A0"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7 (11%)</w:t>
            </w:r>
          </w:p>
        </w:tc>
        <w:tc>
          <w:tcPr>
            <w:tcW w:w="971" w:type="dxa"/>
            <w:vAlign w:val="center"/>
          </w:tcPr>
          <w:p w14:paraId="1C98B9F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1 (3.7%), 0</w:t>
            </w:r>
          </w:p>
        </w:tc>
        <w:tc>
          <w:tcPr>
            <w:tcW w:w="970" w:type="dxa"/>
            <w:vAlign w:val="center"/>
          </w:tcPr>
          <w:p w14:paraId="2A24242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40 (15.2%)</w:t>
            </w:r>
          </w:p>
        </w:tc>
        <w:tc>
          <w:tcPr>
            <w:tcW w:w="971" w:type="dxa"/>
            <w:vAlign w:val="center"/>
          </w:tcPr>
          <w:p w14:paraId="478B048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 (8%)</w:t>
            </w:r>
          </w:p>
          <w:p w14:paraId="3B3A1A5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7 (10%)</w:t>
            </w:r>
          </w:p>
        </w:tc>
        <w:tc>
          <w:tcPr>
            <w:tcW w:w="970" w:type="dxa"/>
            <w:tcBorders>
              <w:right w:val="single" w:sz="12" w:space="0" w:color="000000"/>
            </w:tcBorders>
            <w:vAlign w:val="center"/>
          </w:tcPr>
          <w:p w14:paraId="3F107CC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 (2%)</w:t>
            </w:r>
          </w:p>
        </w:tc>
        <w:tc>
          <w:tcPr>
            <w:tcW w:w="970" w:type="dxa"/>
            <w:tcBorders>
              <w:left w:val="single" w:sz="12" w:space="0" w:color="000000"/>
            </w:tcBorders>
            <w:vAlign w:val="center"/>
          </w:tcPr>
          <w:p w14:paraId="768EBE18"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w:t>
            </w:r>
          </w:p>
        </w:tc>
        <w:tc>
          <w:tcPr>
            <w:tcW w:w="971" w:type="dxa"/>
            <w:vAlign w:val="center"/>
          </w:tcPr>
          <w:p w14:paraId="5D1F919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5 (5.8%)</w:t>
            </w:r>
          </w:p>
        </w:tc>
        <w:tc>
          <w:tcPr>
            <w:tcW w:w="970" w:type="dxa"/>
            <w:vAlign w:val="center"/>
          </w:tcPr>
          <w:p w14:paraId="1F20EC8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78 (21.3%)</w:t>
            </w:r>
          </w:p>
        </w:tc>
        <w:tc>
          <w:tcPr>
            <w:tcW w:w="971" w:type="dxa"/>
            <w:tcBorders>
              <w:right w:val="single" w:sz="12" w:space="0" w:color="000000"/>
            </w:tcBorders>
            <w:vAlign w:val="center"/>
          </w:tcPr>
          <w:p w14:paraId="4D1DCF8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0 (0%)</w:t>
            </w:r>
          </w:p>
        </w:tc>
      </w:tr>
      <w:tr w:rsidR="00DB55B4" w:rsidRPr="00DB55B4" w14:paraId="7C36A294" w14:textId="77777777" w:rsidTr="00591A66">
        <w:trPr>
          <w:trHeight w:val="227"/>
          <w:jc w:val="center"/>
        </w:trPr>
        <w:tc>
          <w:tcPr>
            <w:tcW w:w="1555" w:type="dxa"/>
            <w:tcBorders>
              <w:right w:val="single" w:sz="12" w:space="0" w:color="000000"/>
            </w:tcBorders>
            <w:vAlign w:val="center"/>
          </w:tcPr>
          <w:p w14:paraId="3B0C91E4" w14:textId="77777777" w:rsidR="00DB55B4" w:rsidRPr="00DB55B4" w:rsidRDefault="00DB55B4" w:rsidP="00591A66">
            <w:pPr>
              <w:spacing w:before="0" w:after="0" w:line="276" w:lineRule="auto"/>
              <w:jc w:val="center"/>
              <w:rPr>
                <w:rFonts w:eastAsia="Arial" w:cs="Times New Roman"/>
                <w:sz w:val="12"/>
                <w:szCs w:val="12"/>
              </w:rPr>
            </w:pPr>
            <w:r w:rsidRPr="00DB55B4">
              <w:rPr>
                <w:rFonts w:eastAsia="Arial" w:cs="Times New Roman"/>
                <w:sz w:val="12"/>
                <w:szCs w:val="12"/>
              </w:rPr>
              <w:t>Liver function tests</w:t>
            </w:r>
          </w:p>
        </w:tc>
        <w:tc>
          <w:tcPr>
            <w:tcW w:w="970" w:type="dxa"/>
            <w:tcBorders>
              <w:left w:val="single" w:sz="12" w:space="0" w:color="000000"/>
              <w:bottom w:val="single" w:sz="12" w:space="0" w:color="000000"/>
            </w:tcBorders>
            <w:vAlign w:val="center"/>
          </w:tcPr>
          <w:p w14:paraId="6C45B782"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11 (7%)</w:t>
            </w:r>
          </w:p>
        </w:tc>
        <w:tc>
          <w:tcPr>
            <w:tcW w:w="970" w:type="dxa"/>
            <w:tcBorders>
              <w:bottom w:val="single" w:sz="12" w:space="0" w:color="000000"/>
            </w:tcBorders>
            <w:vAlign w:val="center"/>
          </w:tcPr>
          <w:p w14:paraId="499DF4B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61 (10%)</w:t>
            </w:r>
          </w:p>
        </w:tc>
        <w:tc>
          <w:tcPr>
            <w:tcW w:w="971" w:type="dxa"/>
            <w:tcBorders>
              <w:bottom w:val="single" w:sz="12" w:space="0" w:color="000000"/>
            </w:tcBorders>
            <w:vAlign w:val="center"/>
          </w:tcPr>
          <w:p w14:paraId="4BC18E9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22 (15%)</w:t>
            </w:r>
          </w:p>
        </w:tc>
        <w:tc>
          <w:tcPr>
            <w:tcW w:w="970" w:type="dxa"/>
            <w:tcBorders>
              <w:bottom w:val="single" w:sz="12" w:space="0" w:color="000000"/>
              <w:right w:val="single" w:sz="12" w:space="0" w:color="000000"/>
            </w:tcBorders>
            <w:vAlign w:val="center"/>
          </w:tcPr>
          <w:p w14:paraId="5B88BBC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11 (9.6%)</w:t>
            </w:r>
          </w:p>
        </w:tc>
        <w:tc>
          <w:tcPr>
            <w:tcW w:w="970" w:type="dxa"/>
            <w:tcBorders>
              <w:left w:val="single" w:sz="12" w:space="0" w:color="000000"/>
              <w:bottom w:val="single" w:sz="12" w:space="0" w:color="000000"/>
            </w:tcBorders>
            <w:vAlign w:val="center"/>
          </w:tcPr>
          <w:p w14:paraId="2797C716"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12 (19.7%)</w:t>
            </w:r>
          </w:p>
        </w:tc>
        <w:tc>
          <w:tcPr>
            <w:tcW w:w="971" w:type="dxa"/>
            <w:tcBorders>
              <w:bottom w:val="single" w:sz="12" w:space="0" w:color="000000"/>
            </w:tcBorders>
            <w:vAlign w:val="center"/>
          </w:tcPr>
          <w:p w14:paraId="04BD6705"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1, 1, 4 (22.2%)</w:t>
            </w:r>
          </w:p>
        </w:tc>
        <w:tc>
          <w:tcPr>
            <w:tcW w:w="970" w:type="dxa"/>
            <w:tcBorders>
              <w:bottom w:val="single" w:sz="12" w:space="0" w:color="000000"/>
            </w:tcBorders>
            <w:vAlign w:val="center"/>
          </w:tcPr>
          <w:p w14:paraId="7125DDFD"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22/128 (17.2%)</w:t>
            </w:r>
          </w:p>
        </w:tc>
        <w:tc>
          <w:tcPr>
            <w:tcW w:w="971" w:type="dxa"/>
            <w:tcBorders>
              <w:bottom w:val="single" w:sz="12" w:space="0" w:color="000000"/>
            </w:tcBorders>
            <w:vAlign w:val="center"/>
          </w:tcPr>
          <w:p w14:paraId="54C2356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 (5%)</w:t>
            </w:r>
          </w:p>
          <w:p w14:paraId="3988CD59"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9 (13 %)</w:t>
            </w:r>
          </w:p>
        </w:tc>
        <w:tc>
          <w:tcPr>
            <w:tcW w:w="970" w:type="dxa"/>
            <w:tcBorders>
              <w:bottom w:val="single" w:sz="12" w:space="0" w:color="000000"/>
              <w:right w:val="single" w:sz="12" w:space="0" w:color="000000"/>
            </w:tcBorders>
            <w:vAlign w:val="center"/>
          </w:tcPr>
          <w:p w14:paraId="503AA9FF"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7 (14.6%)</w:t>
            </w:r>
          </w:p>
        </w:tc>
        <w:tc>
          <w:tcPr>
            <w:tcW w:w="970" w:type="dxa"/>
            <w:tcBorders>
              <w:left w:val="single" w:sz="12" w:space="0" w:color="000000"/>
              <w:bottom w:val="single" w:sz="12" w:space="0" w:color="000000"/>
            </w:tcBorders>
            <w:vAlign w:val="center"/>
          </w:tcPr>
          <w:p w14:paraId="75986D3B"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 11 (9.4%)</w:t>
            </w:r>
          </w:p>
        </w:tc>
        <w:tc>
          <w:tcPr>
            <w:tcW w:w="971" w:type="dxa"/>
            <w:tcBorders>
              <w:bottom w:val="single" w:sz="12" w:space="0" w:color="000000"/>
            </w:tcBorders>
            <w:vAlign w:val="center"/>
          </w:tcPr>
          <w:p w14:paraId="73A36937"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20 (23.2%)</w:t>
            </w:r>
          </w:p>
        </w:tc>
        <w:tc>
          <w:tcPr>
            <w:tcW w:w="970" w:type="dxa"/>
            <w:tcBorders>
              <w:bottom w:val="single" w:sz="12" w:space="0" w:color="000000"/>
            </w:tcBorders>
            <w:vAlign w:val="center"/>
          </w:tcPr>
          <w:p w14:paraId="5F085BB0"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37 (10%)</w:t>
            </w:r>
          </w:p>
        </w:tc>
        <w:tc>
          <w:tcPr>
            <w:tcW w:w="971" w:type="dxa"/>
            <w:tcBorders>
              <w:bottom w:val="single" w:sz="12" w:space="0" w:color="000000"/>
              <w:right w:val="single" w:sz="12" w:space="0" w:color="000000"/>
            </w:tcBorders>
            <w:vAlign w:val="center"/>
          </w:tcPr>
          <w:p w14:paraId="5EB260C1" w14:textId="77777777" w:rsidR="00DB55B4" w:rsidRPr="00DB55B4" w:rsidRDefault="00DB55B4" w:rsidP="00591A66">
            <w:pPr>
              <w:spacing w:before="0" w:after="0" w:line="276" w:lineRule="auto"/>
              <w:jc w:val="center"/>
              <w:rPr>
                <w:rFonts w:eastAsia="Arial" w:cs="Times New Roman"/>
                <w:color w:val="000000"/>
                <w:sz w:val="12"/>
                <w:szCs w:val="12"/>
              </w:rPr>
            </w:pPr>
            <w:r w:rsidRPr="00DB55B4">
              <w:rPr>
                <w:rFonts w:eastAsia="Arial" w:cs="Times New Roman"/>
                <w:color w:val="000000"/>
                <w:sz w:val="12"/>
                <w:szCs w:val="12"/>
              </w:rPr>
              <w:t>4 (6.5%)</w:t>
            </w:r>
          </w:p>
        </w:tc>
      </w:tr>
    </w:tbl>
    <w:p w14:paraId="5707F922" w14:textId="77777777" w:rsidR="00DB55B4" w:rsidRPr="00DB55B4" w:rsidRDefault="00DB55B4" w:rsidP="00523AE9">
      <w:pPr>
        <w:spacing w:before="0" w:after="160" w:line="259" w:lineRule="auto"/>
        <w:jc w:val="both"/>
        <w:rPr>
          <w:rFonts w:eastAsia="Calibri" w:cs="Times New Roman"/>
          <w:szCs w:val="24"/>
          <w:lang w:val="it-IT"/>
        </w:rPr>
      </w:pPr>
      <w:bookmarkStart w:id="2" w:name="_Hlk34155342"/>
      <w:r w:rsidRPr="00DB55B4">
        <w:rPr>
          <w:rFonts w:eastAsia="Calibri" w:cs="Times New Roman"/>
          <w:szCs w:val="24"/>
          <w:lang w:val="it-IT"/>
        </w:rPr>
        <w:t>Data are n (%), mean ± standard deviation or median (range), [</w:t>
      </w:r>
      <w:r w:rsidRPr="00DB55B4">
        <w:rPr>
          <w:rFonts w:eastAsia="Calibri" w:cs="Times New Roman"/>
          <w:szCs w:val="24"/>
          <w:vertAlign w:val="superscript"/>
          <w:lang w:val="it-IT"/>
        </w:rPr>
        <w:t>25th-75th</w:t>
      </w:r>
      <w:r w:rsidRPr="00DB55B4">
        <w:rPr>
          <w:rFonts w:eastAsia="Calibri" w:cs="Times New Roman"/>
          <w:szCs w:val="24"/>
          <w:lang w:val="it-IT"/>
        </w:rPr>
        <w:t xml:space="preserve"> percentile].</w:t>
      </w:r>
    </w:p>
    <w:bookmarkEnd w:id="2"/>
    <w:p w14:paraId="67ED6072" w14:textId="77777777" w:rsidR="00DB55B4" w:rsidRPr="00DB55B4" w:rsidRDefault="00DB55B4" w:rsidP="00523AE9">
      <w:pPr>
        <w:spacing w:before="0" w:after="0"/>
        <w:jc w:val="both"/>
        <w:rPr>
          <w:rFonts w:eastAsia="Calibri" w:cs="Times New Roman"/>
          <w:szCs w:val="24"/>
          <w:lang w:val="it-IT"/>
        </w:rPr>
      </w:pPr>
      <w:r w:rsidRPr="00DB55B4">
        <w:rPr>
          <w:rFonts w:eastAsia="Calibri" w:cs="Times New Roman"/>
          <w:szCs w:val="24"/>
          <w:lang w:val="it-IT"/>
        </w:rPr>
        <w:t xml:space="preserve">Legend: CBD Cannabidiol, OL Open label, EAP Expanded Access Program, RCT Randomized controlled trial, OLE Open label extension, w week, d day, y years, CBD max maximum dose, AE adverse events, Decr. appetit decreased appetit. </w:t>
      </w:r>
    </w:p>
    <w:p w14:paraId="1899E01D" w14:textId="77777777" w:rsidR="00DB55B4" w:rsidRPr="00DB55B4" w:rsidRDefault="00DB55B4" w:rsidP="00523AE9">
      <w:pPr>
        <w:spacing w:before="0" w:after="160" w:line="259" w:lineRule="auto"/>
        <w:jc w:val="both"/>
        <w:rPr>
          <w:rFonts w:eastAsia="Calibri" w:cs="Times New Roman"/>
          <w:sz w:val="16"/>
          <w:szCs w:val="16"/>
          <w:lang w:val="it-IT"/>
        </w:rPr>
      </w:pPr>
    </w:p>
    <w:p w14:paraId="6237852F" w14:textId="77777777" w:rsidR="00DB55B4" w:rsidRPr="00DB55B4" w:rsidRDefault="00DB55B4" w:rsidP="00523AE9">
      <w:pPr>
        <w:widowControl w:val="0"/>
        <w:autoSpaceDE w:val="0"/>
        <w:autoSpaceDN w:val="0"/>
        <w:adjustRightInd w:val="0"/>
        <w:spacing w:before="0" w:after="0"/>
        <w:jc w:val="both"/>
        <w:rPr>
          <w:rFonts w:eastAsia="Calibri" w:cs="Times New Roman"/>
          <w:sz w:val="16"/>
          <w:szCs w:val="16"/>
          <w:lang w:val="it-IT"/>
        </w:rPr>
      </w:pPr>
    </w:p>
    <w:p w14:paraId="06FD5550" w14:textId="77777777" w:rsidR="00DB55B4" w:rsidRPr="00DB55B4" w:rsidRDefault="00DB55B4" w:rsidP="00523AE9">
      <w:pPr>
        <w:spacing w:before="0" w:after="160" w:line="259" w:lineRule="auto"/>
        <w:jc w:val="both"/>
        <w:rPr>
          <w:rFonts w:eastAsia="Calibri" w:cs="Times New Roman"/>
          <w:sz w:val="16"/>
          <w:szCs w:val="16"/>
          <w:lang w:val="it-IT"/>
        </w:rPr>
      </w:pPr>
      <w:r w:rsidRPr="00DB55B4">
        <w:rPr>
          <w:rFonts w:eastAsia="Calibri" w:cs="Times New Roman"/>
          <w:sz w:val="16"/>
          <w:szCs w:val="16"/>
          <w:lang w:val="it-IT"/>
        </w:rPr>
        <w:br w:type="page"/>
      </w:r>
    </w:p>
    <w:p w14:paraId="0960485F" w14:textId="77777777" w:rsidR="00DB55B4" w:rsidRDefault="00DB55B4" w:rsidP="00523AE9">
      <w:pPr>
        <w:spacing w:before="0" w:after="0"/>
        <w:jc w:val="both"/>
        <w:rPr>
          <w:rFonts w:eastAsia="Arial" w:cs="Times New Roman"/>
          <w:b/>
          <w:bCs/>
          <w:sz w:val="22"/>
          <w:lang w:val="it-IT"/>
        </w:rPr>
      </w:pPr>
    </w:p>
    <w:p w14:paraId="3FBE8D7E" w14:textId="1C83DA74" w:rsidR="00DB55B4" w:rsidRPr="00DB55B4" w:rsidRDefault="00DB55B4" w:rsidP="00523AE9">
      <w:pPr>
        <w:spacing w:before="0" w:after="0"/>
        <w:jc w:val="both"/>
        <w:rPr>
          <w:rFonts w:ascii="Calibri" w:eastAsia="Calibri" w:hAnsi="Calibri" w:cs="Times New Roman"/>
          <w:szCs w:val="24"/>
          <w:lang w:val="it-IT"/>
        </w:rPr>
      </w:pPr>
      <w:r w:rsidRPr="00DB55B4">
        <w:rPr>
          <w:rFonts w:eastAsia="Arial" w:cs="Times New Roman"/>
          <w:b/>
          <w:bCs/>
          <w:szCs w:val="24"/>
          <w:lang w:val="it-IT"/>
        </w:rPr>
        <w:t xml:space="preserve">Supplementary Table 3. Comparison of Cannabidiol efficacy in previously published </w:t>
      </w:r>
      <w:r w:rsidRPr="00DB55B4">
        <w:rPr>
          <w:rFonts w:eastAsia="Calibri" w:cs="Times New Roman"/>
          <w:b/>
          <w:bCs/>
          <w:szCs w:val="24"/>
          <w:lang w:val="it-IT"/>
        </w:rPr>
        <w:t xml:space="preserve">open-label and </w:t>
      </w:r>
      <w:r w:rsidRPr="00DB55B4">
        <w:rPr>
          <w:rFonts w:eastAsia="Arial" w:cs="Times New Roman"/>
          <w:b/>
          <w:bCs/>
          <w:szCs w:val="24"/>
          <w:lang w:val="it-IT"/>
        </w:rPr>
        <w:t>randomized controlled trials.</w:t>
      </w:r>
      <w:r w:rsidRPr="00DB55B4">
        <w:rPr>
          <w:rFonts w:ascii="Calibri" w:eastAsia="Calibri" w:hAnsi="Calibri" w:cs="Times New Roman"/>
          <w:szCs w:val="24"/>
          <w:lang w:val="it-IT"/>
        </w:rPr>
        <w:t xml:space="preserve"> </w:t>
      </w:r>
    </w:p>
    <w:p w14:paraId="0C46F3CB" w14:textId="77777777" w:rsidR="00DB55B4" w:rsidRPr="00DB55B4" w:rsidRDefault="00DB55B4" w:rsidP="00523AE9">
      <w:pPr>
        <w:spacing w:before="0" w:after="0"/>
        <w:jc w:val="both"/>
        <w:rPr>
          <w:rFonts w:eastAsia="Arial" w:cs="Times New Roman"/>
          <w:b/>
          <w:bCs/>
          <w:szCs w:val="24"/>
          <w:lang w:val="it-IT"/>
        </w:rPr>
      </w:pPr>
      <w:r w:rsidRPr="00DB55B4">
        <w:rPr>
          <w:rFonts w:ascii="Calibri" w:eastAsia="Calibri" w:hAnsi="Calibri" w:cs="Times New Roman"/>
          <w:szCs w:val="24"/>
          <w:lang w:val="it-IT"/>
        </w:rPr>
        <w:t>One study was excluded because it lacks efficacy data</w:t>
      </w:r>
      <w:r w:rsidRPr="00DB55B4">
        <w:rPr>
          <w:rFonts w:ascii="Calibri" w:eastAsia="Calibri" w:hAnsi="Calibri" w:cs="Times New Roman"/>
          <w:szCs w:val="24"/>
          <w:vertAlign w:val="superscript"/>
          <w:lang w:val="it-IT"/>
        </w:rPr>
        <w:t>4</w:t>
      </w:r>
      <w:r w:rsidRPr="00DB55B4">
        <w:rPr>
          <w:rFonts w:ascii="Calibri" w:eastAsia="Calibri" w:hAnsi="Calibri" w:cs="Times New Roman"/>
          <w:szCs w:val="24"/>
          <w:lang w:val="it-IT"/>
        </w:rPr>
        <w:t>.</w:t>
      </w:r>
    </w:p>
    <w:p w14:paraId="19035E22" w14:textId="77777777" w:rsidR="00DB55B4" w:rsidRPr="00DB55B4" w:rsidRDefault="00DB55B4" w:rsidP="00523AE9">
      <w:pPr>
        <w:spacing w:before="0" w:after="160" w:line="259" w:lineRule="auto"/>
        <w:jc w:val="both"/>
        <w:rPr>
          <w:rFonts w:ascii="Calibri" w:eastAsia="Calibri" w:hAnsi="Calibri" w:cs="Times New Roman"/>
          <w:sz w:val="22"/>
          <w:lang w:val="it-IT"/>
        </w:rPr>
      </w:pPr>
    </w:p>
    <w:tbl>
      <w:tblPr>
        <w:tblStyle w:val="Grilledutableau1"/>
        <w:tblW w:w="13291" w:type="dxa"/>
        <w:jc w:val="center"/>
        <w:tblLook w:val="04A0" w:firstRow="1" w:lastRow="0" w:firstColumn="1" w:lastColumn="0" w:noHBand="0" w:noVBand="1"/>
      </w:tblPr>
      <w:tblGrid>
        <w:gridCol w:w="1387"/>
        <w:gridCol w:w="992"/>
        <w:gridCol w:w="992"/>
        <w:gridCol w:w="992"/>
        <w:gridCol w:w="992"/>
        <w:gridCol w:w="992"/>
        <w:gridCol w:w="992"/>
        <w:gridCol w:w="992"/>
        <w:gridCol w:w="992"/>
        <w:gridCol w:w="992"/>
        <w:gridCol w:w="992"/>
        <w:gridCol w:w="992"/>
        <w:gridCol w:w="992"/>
      </w:tblGrid>
      <w:tr w:rsidR="00DB55B4" w:rsidRPr="00DB55B4" w14:paraId="7B124321" w14:textId="77777777" w:rsidTr="00591A66">
        <w:trPr>
          <w:trHeight w:val="300"/>
          <w:jc w:val="center"/>
        </w:trPr>
        <w:tc>
          <w:tcPr>
            <w:tcW w:w="1387" w:type="dxa"/>
            <w:tcBorders>
              <w:right w:val="single" w:sz="12" w:space="0" w:color="000000"/>
            </w:tcBorders>
            <w:shd w:val="clear" w:color="auto" w:fill="E7E6E6"/>
            <w:noWrap/>
            <w:vAlign w:val="center"/>
            <w:hideMark/>
          </w:tcPr>
          <w:p w14:paraId="313EF859" w14:textId="77777777" w:rsidR="00DB55B4" w:rsidRPr="00DB55B4" w:rsidRDefault="00DB55B4" w:rsidP="00591A66">
            <w:pPr>
              <w:spacing w:before="0" w:after="0"/>
              <w:jc w:val="center"/>
              <w:rPr>
                <w:rFonts w:eastAsia="Calibri" w:cs="Times New Roman"/>
                <w:sz w:val="12"/>
                <w:szCs w:val="12"/>
              </w:rPr>
            </w:pPr>
          </w:p>
        </w:tc>
        <w:tc>
          <w:tcPr>
            <w:tcW w:w="3968" w:type="dxa"/>
            <w:gridSpan w:val="4"/>
            <w:tcBorders>
              <w:top w:val="single" w:sz="12" w:space="0" w:color="000000"/>
              <w:left w:val="single" w:sz="12" w:space="0" w:color="000000"/>
              <w:bottom w:val="single" w:sz="12" w:space="0" w:color="000000"/>
              <w:right w:val="single" w:sz="12" w:space="0" w:color="000000"/>
            </w:tcBorders>
            <w:shd w:val="clear" w:color="auto" w:fill="E7E6E6"/>
            <w:vAlign w:val="center"/>
          </w:tcPr>
          <w:p w14:paraId="57CA386F"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Drug-resistant epilepsy</w:t>
            </w:r>
          </w:p>
        </w:tc>
        <w:tc>
          <w:tcPr>
            <w:tcW w:w="3968" w:type="dxa"/>
            <w:gridSpan w:val="4"/>
            <w:tcBorders>
              <w:top w:val="single" w:sz="12" w:space="0" w:color="000000"/>
              <w:left w:val="single" w:sz="12" w:space="0" w:color="000000"/>
              <w:bottom w:val="single" w:sz="12" w:space="0" w:color="000000"/>
              <w:right w:val="single" w:sz="12" w:space="0" w:color="000000"/>
            </w:tcBorders>
            <w:shd w:val="clear" w:color="auto" w:fill="E7E6E6"/>
            <w:vAlign w:val="center"/>
          </w:tcPr>
          <w:p w14:paraId="03E3ECD2" w14:textId="77777777" w:rsidR="00DB55B4" w:rsidRPr="00DB55B4" w:rsidRDefault="00DB55B4"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Dravet syndrome</w:t>
            </w:r>
          </w:p>
          <w:p w14:paraId="5A00D661" w14:textId="77777777" w:rsidR="00DB55B4" w:rsidRPr="00DB55B4" w:rsidRDefault="00DB55B4" w:rsidP="00591A66">
            <w:pPr>
              <w:spacing w:before="0" w:after="0"/>
              <w:jc w:val="center"/>
              <w:rPr>
                <w:rFonts w:eastAsia="Arial" w:cs="Times New Roman"/>
                <w:b/>
                <w:bCs/>
                <w:i/>
                <w:iCs/>
                <w:color w:val="000000"/>
                <w:sz w:val="12"/>
                <w:szCs w:val="12"/>
              </w:rPr>
            </w:pPr>
          </w:p>
        </w:tc>
        <w:tc>
          <w:tcPr>
            <w:tcW w:w="3968" w:type="dxa"/>
            <w:gridSpan w:val="4"/>
            <w:tcBorders>
              <w:top w:val="single" w:sz="12" w:space="0" w:color="000000"/>
              <w:left w:val="single" w:sz="12" w:space="0" w:color="000000"/>
              <w:bottom w:val="single" w:sz="12" w:space="0" w:color="000000"/>
              <w:right w:val="single" w:sz="12" w:space="0" w:color="000000"/>
            </w:tcBorders>
            <w:shd w:val="clear" w:color="auto" w:fill="E7E6E6"/>
            <w:vAlign w:val="center"/>
          </w:tcPr>
          <w:p w14:paraId="6D2D39E0" w14:textId="77777777" w:rsidR="00DB55B4" w:rsidRPr="00DB55B4" w:rsidRDefault="00DB55B4" w:rsidP="00591A66">
            <w:pPr>
              <w:tabs>
                <w:tab w:val="left" w:pos="7149"/>
              </w:tabs>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Lennox-Gastaut syndrome</w:t>
            </w:r>
          </w:p>
        </w:tc>
      </w:tr>
      <w:tr w:rsidR="00591A66" w:rsidRPr="00DB55B4" w14:paraId="4F005DFD" w14:textId="77777777" w:rsidTr="00591A66">
        <w:trPr>
          <w:trHeight w:val="300"/>
          <w:jc w:val="center"/>
        </w:trPr>
        <w:tc>
          <w:tcPr>
            <w:tcW w:w="1387" w:type="dxa"/>
            <w:tcBorders>
              <w:right w:val="single" w:sz="12" w:space="0" w:color="000000"/>
            </w:tcBorders>
            <w:shd w:val="clear" w:color="auto" w:fill="E7E6E6"/>
            <w:noWrap/>
            <w:vAlign w:val="center"/>
          </w:tcPr>
          <w:p w14:paraId="06A63377" w14:textId="77777777" w:rsidR="00591A66" w:rsidRPr="00DB55B4" w:rsidRDefault="00591A66" w:rsidP="00591A66">
            <w:pPr>
              <w:spacing w:before="0" w:after="0"/>
              <w:jc w:val="center"/>
              <w:rPr>
                <w:rFonts w:eastAsia="Calibri" w:cs="Times New Roman"/>
                <w:sz w:val="12"/>
                <w:szCs w:val="12"/>
              </w:rPr>
            </w:pPr>
          </w:p>
        </w:tc>
        <w:tc>
          <w:tcPr>
            <w:tcW w:w="992" w:type="dxa"/>
            <w:tcBorders>
              <w:top w:val="single" w:sz="12" w:space="0" w:color="000000"/>
              <w:left w:val="single" w:sz="12" w:space="0" w:color="000000"/>
            </w:tcBorders>
            <w:shd w:val="clear" w:color="auto" w:fill="E7E6E6"/>
            <w:noWrap/>
            <w:tcMar>
              <w:left w:w="0" w:type="dxa"/>
              <w:right w:w="0" w:type="dxa"/>
            </w:tcMar>
            <w:vAlign w:val="center"/>
          </w:tcPr>
          <w:p w14:paraId="318FF267" w14:textId="77777777" w:rsidR="00591A66" w:rsidRPr="00DB55B4"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7A531C40" w14:textId="77777777" w:rsidR="00591A66"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2016</w:t>
            </w:r>
          </w:p>
          <w:p w14:paraId="3111140E" w14:textId="2CDEA687" w:rsidR="00591A66" w:rsidRPr="00DB55B4" w:rsidRDefault="00591A66"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{"citationItems":[{"id":"ITEM-1","itemData":{"DOI":"10.1016/S1474-4422(15)00379-8","ISSN":"14744465","PMID":"26724101","abstract":"Background Almost a third of patients with epilepsy have a treatment-resistant form, which is associated with severe morbidity and increased mortality. Cannabis-based treatments for epilepsy have generated much interest, but scientific data are scarce. We aimed to establish whether addition of cannabidiol to existing anti-epileptic regimens would be safe, tolerated, and efficacious in children and young adults with treatment-resistant epilepsy. Methods In this open-label trial, patients (aged 1–30 years) with severe, intractable, childhood-onset, treatment-resistant epilepsy, who were receiving stable doses of antiepileptic drugs before study entry, were enrolled in an expanded-access programme at 11 epilepsy centres across the USA. Patients were given oral cannabidiol at 2–5 mg/kg per day, up-titrated until intolerance or to a maximum dose of 25 mg/kg or 50 mg/kg per day (dependent on study site). The primary objective was to establish the safety and tolerability of cannabidiol and the primary efficacy endpoint was median percentage change in the mean monthly frequency of motor seizures at 12 weeks. The efficacy analysis was by modified intention to treat. Comparisons of the percentage change in frequency of motor seizures were done with a Mann-Whitney U test. Results Between Jan 15, 2014, and Jan 15, 2015, 214 patients were enrolled; 162 (76%) patients who had at least 12 weeks of follow-up after the first dose of cannabidiol were included in the safety and tolerability analysis, and 137 (64%) patients were included in the efficacy analysis. In the safety group, 33 (20%) patients had Dravet syndrome and 31 (19%) patients had Lennox-Gastaut syndrome. The remaining patients had intractable epilepsies of different causes and type. Adverse events were reported in 128 (79%) of the 162 patients within the safety group. Adverse events reported in more than 10% of patients were somnolence (n=41 [25%]), decreased appetite (n=31 [19%]), diarrhoea (n=31 [19%]), fatigue (n=21 [13%]), and convulsion (n=18 [11%]). Five (3%) patients discontinued treatment because of an adverse event. Serious adverse events were reported in 48 (30%) patients, including one death—a sudden unexpected death in epilepsy regarded as unrelated to study drug. 20 (12%) patients had severe adverse events possibly related to cannabidiol use, the most common of which was status epilepticus (n=9 [6%]). The median monthly frequency of motor seizures was 30·0 (IQR 11·0–96·0) at baseline and 15·8 …","author":[{"dropping-particle":"","family":"Devinsky","given":"Orrin","non-dropping-particle":"","parse-names":false,"suffix":""},{"dropping-particle":"","family":"Marsh","given":"Eric","non-dropping-particle":"","parse-names":false,"suffix":""},{"dropping-particle":"","family":"Friedman","given":"Daniel","non-dropping-particle":"","parse-names":false,"suffix":""},{"dropping-particle":"","family":"Thiele","given":"Elizabeth","non-dropping-particle":"","parse-names":false,"suffix":""},{"dropping-particle":"","family":"Laux","given":"Linda","non-dropping-particle":"","parse-names":false,"suffix":""},{"dropping-particle":"","family":"Sullivan","given":"Joseph","non-dropping-particle":"","parse-names":false,"suffix":""},{"dropping-particle":"","family":"Miller","given":"Ian","non-dropping-particle":"","parse-names":false,"suffix":""},{"dropping-particle":"","family":"Flamini","given":"Robert","non-dropping-particle":"","parse-names":false,"suffix":""},{"dropping-particle":"","family":"Wilfong","given":"Angus","non-dropping-particle":"","parse-names":false,"suffix":""},{"dropping-particle":"","family":"Filloux","given":"Francis","non-dropping-particle":"","parse-names":false,"suffix":""},{"dropping-particle":"","family":"Wong","given":"Matthew","non-dropping-particle":"","parse-names":false,"suffix":""},{"dropping-particle":"","family":"Tilton","given":"Nicole","non-dropping-particle":"","parse-names":false,"suffix":""},{"dropping-particle":"","family":"Bruno","given":"Patricia","non-dropping-particle":"","parse-names":false,"suffix":""},{"dropping-particle":"","family":"Bluvstein","given":"Judith","non-dropping-particle":"","parse-names":false,"suffix":""},{"dropping-particle":"","family":"Hedlund","given":"Julie","non-dropping-particle":"","parse-names":false,"suffix":""},{"dropping-particle":"","family":"Kamens","given":"Rebecca","non-dropping-particle":"","parse-names":false,"suffix":""},{"dropping-particle":"","family":"Maclean","given":"Jane","non-dropping-particle":"","parse-names":false,"suffix":""},{"dropping-particle":"","family":"Nangia","given":"Srishti","non-dropping-particle":"","parse-names":false,"suffix":""},{"dropping-particle":"","family":"Singhal","given":"Nilika Shah","non-dropping-particle":"","parse-names":false,"suffix":""},{"dropping-particle":"","family":"Wilson","given":"Carey A.","non-dropping-particle":"","parse-names":false,"suffix":""},{"dropping-particle":"","family":"Patel","given":"Anup","non-dropping-particle":"","parse-names":false,"suffix":""},{"dropping-particle":"","family":"Cilio","given":"Maria Roberta","non-dropping-particle":"","parse-names":false,"suffix":""}],"container-title":"The Lancet Neurology","id":"ITEM-1","issue":"3","issued":{"date-parts":[["2016"]]},"page":"270-278","publisher":"Elsevier Ltd","title":"Cannabidiol in patients with treatment-resistant epilepsy: an open-label interventional trial","type":"article-journal","volume":"15"},"uris":["http://www.mendeley.com/documents/?uuid=5d3b820f-11b5-4699-a55a-cf435d11ad54"]}],"mendeley":{"formattedCitation":"(1)","plainTextFormattedCitation":"(1)","previouslyFormattedCitation":"(1)"},"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(1)</w:t>
            </w:r>
            <w:r w:rsidRPr="00DB55B4">
              <w:rPr>
                <w:rFonts w:eastAsia="Arial" w:cs="Times New Roman"/>
                <w:b/>
                <w:bCs/>
                <w:i/>
                <w:iCs/>
                <w:color w:val="000000"/>
                <w:sz w:val="12"/>
                <w:szCs w:val="12"/>
              </w:rPr>
              <w:fldChar w:fldCharType="end"/>
            </w:r>
          </w:p>
        </w:tc>
        <w:tc>
          <w:tcPr>
            <w:tcW w:w="992" w:type="dxa"/>
            <w:tcBorders>
              <w:top w:val="single" w:sz="12" w:space="0" w:color="000000"/>
            </w:tcBorders>
            <w:shd w:val="clear" w:color="auto" w:fill="E7E6E6"/>
            <w:tcMar>
              <w:left w:w="0" w:type="dxa"/>
              <w:right w:w="0" w:type="dxa"/>
            </w:tcMar>
            <w:vAlign w:val="center"/>
          </w:tcPr>
          <w:p w14:paraId="1CBD7D83" w14:textId="77777777" w:rsidR="00591A66" w:rsidRPr="00DB55B4"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Szaflarski</w:t>
            </w:r>
          </w:p>
          <w:p w14:paraId="2C84D931" w14:textId="77777777" w:rsidR="00591A66"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2018</w:t>
            </w:r>
          </w:p>
          <w:p w14:paraId="773B1CEC" w14:textId="270B3E16" w:rsidR="00591A66" w:rsidRPr="00DB55B4" w:rsidRDefault="00591A66"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{"citationItems":[{"id":"ITEM-1","itemData":{"DOI":"10.1111/epi.14477","ISSN":"15281167","PMID":"29998598","abstract":"Objective: Since 2014, cannabidiol (CBD) has been administered to patients with treatment-resistant epilepsies (TREs) in an ongoing expanded-access program (EAP). We report interim results on the safety and efficacy of CBD in EAP patients treated through December 2016. Methods: Twenty-five US-based EAP sites enrolling patients with TRE taking stable doses of antiepileptic drugs (AEDs) at baseline were included. During the 4-week baseline period, parents/caregivers kept diaries of all countable seizure types. Patients received oral CBD starting at 2-10 mg/kg/d, titrated to a maximum dose of 25-50 mg/kg/d. Patient visits were every 2-4 weeks through 16 weeks and every 2-12 weeks thereafter. Efficacy endpoints included the percentage change from baseline in median monthly convulsive and total seizure frequency, and percentage of patients with ≥50%, ≥75%, and 100% reductions in seizures vs baseline. Data were analyzed descriptively for the efficacy analysis set and using the last-observation-carried-forward method to account for missing data. Adverse events (AEs) were documented at each visit. Results: Of 607 patients in the safety dataset, 146 (24%) withdrew; the most common reasons were lack of efficacy (89 [15%]) and AEs (32 [5%]). Mean age was 13 years (range, 0.4-62). Median number of concomitant AEDs was 3 (range, 0-10). Median CBD dose was 25 mg/kg/d; median treatment duration was 48 weeks. Add-on CBD reduced median monthly convulsive seizures by 51% and total seizures by 48% at 12 weeks; reductions were similar through 96 weeks. Proportion of patients with ≥50%, ≥75%, and 100% reductions in convulsive seizures were 52%, 31%, and 11%, respectively, at 12 weeks, with similar rates through 96 weeks. CBD was generally well tolerated; most common AEs were diarrhea (29%) and somnolence (22%). Significance: Results from this ongoing EAP support previous observational and clinical trial data showing that add-on CBD may be an efficacious long-term treatment option for TRE.","author":[{"dropping-particle":"","family":"Szaflarski","given":"Jerzy P.","non-dropping-particle":"","parse-names":false,"suffix":""},{"dropping-particle":"","family":"Bebin","given":"Elizabeth Martina","non-dropping-particle":"","parse-names":false,"suffix":""},{"dropping-particle":"","family":"Comi","given":"Anne M.","non-dropping-particle":"","parse-names":false,"suffix":""},{"dropping-particle":"","family":"Patel","given":"Anup D.","non-dropping-particle":"","parse-names":false,"suffix":""},{"dropping-particle":"","family":"Joshi","given":"Charuta","non-dropping-particle":"","parse-names":false,"suffix":""},{"dropping-particle":"","family":"Checketts","given":"Daniel","non-dropping-particle":"","parse-names":false,"suffix":""},{"dropping-particle":"","family":"Beal","given":"Jules C.","non-dropping-particle":"","parse-names":false,"suffix":""},{"dropping-particle":"","family":"Laux","given":"Linda C.","non-dropping-particle":"","parse-names":false,"suffix":""},{"dropping-particle":"","family":"Boer","given":"Lisa M.","non-dropping-particle":"De","parse-names":false,"suffix":""},{"dropping-particle":"","family":"Wong","given":"Matthew H.","non-dropping-particle":"","parse-names":false,"suffix":""},{"dropping-particle":"","family":"Lopez","given":"Merrick","non-dropping-particle":"","parse-names":false,"suffix":""},{"dropping-particle":"","family":"Devinsky","given":"Orrin","non-dropping-particle":"","parse-names":false,"suffix":""},{"dropping-particle":"","family":"Lyons","given":"Paul D.","non-dropping-particle":"","parse-names":false,"suffix":""},{"dropping-particle":"","family":"Zentil","given":"Pilar Pichon","non-dropping-particle":"","parse-names":false,"suffix":""},{"dropping-particle":"","family":"Wechsler","given":"Robert","non-dropping-particle":"","parse-names":false,"suffix":""},{"dropping-particle":"","family":"Chez","given":"Michael","non-dropping-particle":"","parse-names":false,"suffix":""},{"dropping-particle":"","family":"Flamini","given":"Robert","non-dropping-particle":"","parse-names":false,"suffix":""},{"dropping-particle":"","family":"Marsh","given":"Eric D.","non-dropping-particle":"","parse-names":false,"suffix":""},{"dropping-particle":"","family":"Miller","given":"Ian","non-dropping-particle":"","parse-names":false,"suffix":""},{"dropping-particle":"","family":"Park","given":"Yong","non-dropping-particle":"","parse-names":false,"suffix":""},{"dropping-particle":"","family":"Segal","given":"Eric","non-dropping-particle":"","parse-names":false,"suffix":""},{"dropping-particle":"","family":"Seltzer","given":"Laurie","non-dropping-particle":"","parse-names":false,"suffix":""},{"dropping-particle":"","family":"Thiele","given":"Elizabeth A.","non-dropping-particle":"","parse-names":false,"suffix":""},{"dropping-particle":"","family":"Weinstock","given":"Arie","non-dropping-particle":"","parse-names":false,"suffix":""}],"container-title":"Epilepsia","id":"ITEM-1","issue":"8","issued":{"date-parts":[["2018","8","1"]]},"page":"1540-1548","publisher":"Blackwell Publishing Inc.","title":"Long-term safety and treatment effects of cannabidiol in children and adults with treatment-resistant epilepsies: Expanded access program results","type":"article-journal","volume":"59"},"uris":["http://www.mendeley.com/documents/?uuid=cd87fa05-76b5-432e-a11d-aabb8ad12aad"]}],"mendeley":{"formattedCitation":"(2)","plainTextFormattedCitation":"(2)","previouslyFormattedCitation":"(2)"},"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(2)</w:t>
            </w:r>
            <w:r w:rsidRPr="00DB55B4">
              <w:rPr>
                <w:rFonts w:eastAsia="Arial" w:cs="Times New Roman"/>
                <w:b/>
                <w:bCs/>
                <w:i/>
                <w:iCs/>
                <w:color w:val="000000"/>
                <w:sz w:val="12"/>
                <w:szCs w:val="12"/>
              </w:rPr>
              <w:fldChar w:fldCharType="end"/>
            </w:r>
          </w:p>
        </w:tc>
        <w:tc>
          <w:tcPr>
            <w:tcW w:w="992" w:type="dxa"/>
            <w:tcBorders>
              <w:top w:val="single" w:sz="12" w:space="0" w:color="000000"/>
            </w:tcBorders>
            <w:shd w:val="clear" w:color="auto" w:fill="E7E6E6"/>
            <w:vAlign w:val="center"/>
          </w:tcPr>
          <w:p w14:paraId="072EA36A" w14:textId="77777777" w:rsidR="00591A66" w:rsidRPr="00DB55B4"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Laux</w:t>
            </w:r>
          </w:p>
          <w:p w14:paraId="233FBD07" w14:textId="77777777" w:rsidR="00591A66"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2019</w:t>
            </w:r>
          </w:p>
          <w:p w14:paraId="31D180A6" w14:textId="33CC2C00" w:rsidR="00591A66" w:rsidRPr="00DB55B4" w:rsidRDefault="00591A66"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{"citationItems":[{"id":"ITEM-1","itemData":{"DOI":"10.1016/j.eplepsyres.2019.03.015","ISSN":"18726844","abstract":"Background: Since 2014, patients with severe treatment-resistant epilepsies (TREs) have been receiving add-on cannabidiol (CBD) in an ongoing, expanded access program (EAP), which closely reflects clinical practice. We conducted an interim analysis of long-term efficacy and tolerability in patients with Lennox-Gastaut syndrome (LGS) or Dravet syndrome (DS) who received CBD treatment through December 2016. Methods: Children and adults with LGS/DS taking stable doses of antiepileptic drugs (AEDs) at baseline were included from 25 EAP sites across the United States. During the 4-week baseline period, parents/caregivers kept diaries of all countable seizure types. Patients received a pharmaceutical formulation of highly purified CBD (Epidiolex®; 100 mg/mL) in oral solution at 2–10 mg/kg/day, titrated until tolerability limit or a maximum dose of 25–50 mg/kg/day. Patient visits were every 2–4 weeks. The percentage change from baseline in median monthly convulsive (ie, major motor) and total seizures was evaluated at 12-week intervals through 96 weeks. The percentages of patients who had ≥50%, ≥75%, and 100% reduction in monthly seizures relative to the baseline period were also evaluated. Adverse events (AEs) were monitored and summarized for the safety analysis set (SAS) through 144 weeks. Results: Of the 607 patients in the SAS, 58 had DS and 94 had LGS (N = 152); 455 patients had other TREs. Twenty-eight percent of LGS/DS patients withdrew, primarily owing to lack of efficacy (20%). LGS/DS patients were taking a median of 3 (0–10) concomitant AEDs. Median treatment duration was 78.3 (range, 4.1–146.4) weeks. Between weeks 12 and 96, median CBD dose ranged from 21 to 25 mg/kg/day. At 12 weeks, add-on CBD reduced median monthly major motor seizures by 50% and total seizures by 44%, with consistent reductions in both seizure types through 96 weeks. At 12 weeks, the proportions of patients with ≥50%, ≥75%, and 100% reductions in major motor seizures were 53%, 23%, and 6%; the proportions with corresponding reductions in total seizures were 46%, 26%, and 5%. Responder rates for both seizure types were consistent through 96 weeks. CBD had an acceptable safety profile; the most common AEs were somnolence (30%) and diarrhea (24%). Conclusions: Results from this interim analysis support add-on CBD as an effective long-term treatment option in LGS or DS.","author":[{"dropping-particle":"","family":"Laux","given":"Linda C.","non-dropping-particle":"","parse-names":false,"suffix":""},{"dropping-particle":"","family":"Bebin","given":"E. Martina","non-dropping-particle":"","parse-names":false,"suffix":""},{"dropping-particle":"","family":"Checketts","given":"Daniel","non-dropping-particle":"","parse-names":false,"suffix":""},{"dropping-particle":"","family":"Chez","given":"Michael","non-dropping-particle":"","parse-names":false,"suffix":""},{"dropping-particle":"","family":"Flamini","given":"Robert","non-dropping-particle":"","parse-names":false,"suffix":""},{"dropping-particle":"","family":"Marsh","given":"Eric D.","non-dropping-particle":"","parse-names":false,"suffix":""},{"dropping-particle":"","family":"Miller","given":"Ian","non-dropping-particle":"","parse-names":false,"suffix":""},{"dropping-particle":"","family":"Nichol","given":"Kathryn","non-dropping-particle":"","parse-names":false,"suffix":""},{"dropping-particle":"","family":"Park","given":"Yong","non-dropping-particle":"","parse-names":false,"suffix":""},{"dropping-particle":"","family":"Segal","given":"Eric","non-dropping-particle":"","parse-names":false,"suffix":""},{"dropping-particle":"","family":"Seltzer","given":"Laurie","non-dropping-particle":"","parse-names":false,"suffix":""},{"dropping-particle":"","family":"Szaflarski","given":"Jerzy P.","non-dropping-particle":"","parse-names":false,"suffix":""},{"dropping-particle":"","family":"Thiele","given":"Elizabeth A.","non-dropping-particle":"","parse-names":false,"suffix":""},{"dropping-particle":"","family":"Weinstock","given":"Arie","non-dropping-particle":"","parse-names":false,"suffix":""}],"container-title":"Epilepsy Research","id":"ITEM-1","issue":"January","issued":{"date-parts":[["2019"]]},"page":"13-20","publisher":"Elsevier","title":"Long-term safety and efficacy of cannabidiol in children and adults with treatmentresistant Lennox-Gastaut syndrome or Dravet syndrome: Expanded access program results","type":"article-journal","volume":"154"},"uris":["http://www.mendeley.com/documents/?uuid=8fab2823-0eab-40de-b87b-dad918e475e4"]}],"mendeley":{"formattedCitation":"(3)","plainTextFormattedCitation":"(3)","previouslyFormattedCitation":"(3)"},"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(3)</w:t>
            </w:r>
            <w:r w:rsidRPr="00DB55B4">
              <w:rPr>
                <w:rFonts w:eastAsia="Arial" w:cs="Times New Roman"/>
                <w:b/>
                <w:bCs/>
                <w:i/>
                <w:iCs/>
                <w:color w:val="000000"/>
                <w:sz w:val="12"/>
                <w:szCs w:val="12"/>
              </w:rPr>
              <w:fldChar w:fldCharType="end"/>
            </w:r>
          </w:p>
        </w:tc>
        <w:tc>
          <w:tcPr>
            <w:tcW w:w="992" w:type="dxa"/>
            <w:tcBorders>
              <w:top w:val="single" w:sz="12" w:space="0" w:color="000000"/>
              <w:right w:val="single" w:sz="12" w:space="0" w:color="000000"/>
            </w:tcBorders>
            <w:shd w:val="clear" w:color="auto" w:fill="E7E6E6"/>
            <w:tcMar>
              <w:left w:w="0" w:type="dxa"/>
              <w:right w:w="0" w:type="dxa"/>
            </w:tcMar>
            <w:vAlign w:val="center"/>
          </w:tcPr>
          <w:p w14:paraId="4D411DF8" w14:textId="63C66155" w:rsidR="00591A66" w:rsidRPr="00DB55B4" w:rsidRDefault="00591A66"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t>Our study</w:t>
            </w:r>
          </w:p>
        </w:tc>
        <w:tc>
          <w:tcPr>
            <w:tcW w:w="992" w:type="dxa"/>
            <w:tcBorders>
              <w:top w:val="single" w:sz="12" w:space="0" w:color="000000"/>
              <w:left w:val="single" w:sz="12" w:space="0" w:color="000000"/>
            </w:tcBorders>
            <w:shd w:val="clear" w:color="auto" w:fill="E7E6E6"/>
            <w:noWrap/>
            <w:tcMar>
              <w:left w:w="0" w:type="dxa"/>
              <w:right w:w="0" w:type="dxa"/>
            </w:tcMar>
            <w:vAlign w:val="center"/>
          </w:tcPr>
          <w:p w14:paraId="6C281F3A" w14:textId="77777777" w:rsidR="00591A66" w:rsidRPr="00DB55B4"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5A42EBF4" w14:textId="77777777" w:rsidR="00591A66"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2017</w:t>
            </w:r>
          </w:p>
          <w:p w14:paraId="56279FBD" w14:textId="0701994A" w:rsidR="00591A66" w:rsidRPr="00DB55B4" w:rsidRDefault="00591A66"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{"citationItems":[{"id":"ITEM-1","itemData":{"DOI":"10.1056/NEJMoa1611618","ISSN":"15334406","PMID":"28538134","abstract":"BACKGROUND The Dravet syndrome is a complex childhood epilepsy disorder that is associated with drug-resistant seizures and a high mortality rate. We studied cannabidiol for the treatment of drug-resistant seizures in the Dravet syndrome. METHODS In this double-blind, placebo-controlled trial, we randomly assigned 120 children and young adults with the Dravet syndrome and drug-resistant seizures to receive either cannabidiol oral solution at a dose of 20 mg per kilogram of body weight per day or placebo, in addition to standard antiepileptic treatment. The primary end point was the change in convulsive-seizure frequency over a 14-week treatment period, as compared with a 4-week baseline period. RESULTS The median frequency of convulsive seizures per month decreased from 12.4 to 5.9 with cannabidiol, as compared with a decrease from 14.9 to 14.1 with placebo (adjusted median difference between the cannabidiol group and the placebo group in change in seizure frequency, -22.8 percentage points; 95% confidence interval [CI], -41.1 to -5.4; P = 0.01). The percentage of patients who had at least a 50% reduction in convulsiveseizure frequency was 43% with cannabidiol and 27% with placebo (odds ratio, 2.00; 95% CI, 0.93 to 4.30; P = 0.08). The patient's overall condition improved by at least one category on the seven-category Caregiver Global Impression of Change scale in 62% of the cannabidiol group as compared with 34% of the placebo group (P = 0.02). The frequency of total seizures of all types was significantly reduced with cannabidiol (P = 0.03), but there was no significant reduction in nonconvulsive seizures. The percentage of patients who became seizure-free was 5% with cannabidiol and 0% with placebo (P = 0.08). Adverse events that occurred more frequently in the cannabidiol group than in the placebo group included diarrhea, vomiting, fatigue, pyrexia, somnolence, and abnormal results on liver-function tests. There were more withdrawals from the trial in the cannabidiol group. CONCLUSIONS Among patients with the Dravet syndrome, cannabidiol resulted in a greater reduction in convulsive-seizure frequency than placebo and was associated with higher rates of adverse events. (Funded by GW Pharmaceuticals; ClinicalTrials.gov number, NCT02091375.).","author":[{"dropping-particle":"","family":"Devinsky","given":"Orrin","non-dropping-particle":"","parse-names":false,"suffix":""},{"dropping-particle":"","family":"Cross","given":"J. Helen","non-dropping-particle":"","parse-names":false,"suffix":""},{"dropping-particle":"","family":"Laux","given":"Linda","non-dropping-particle":"","parse-names":false,"suffix":""},{"dropping-particle":"","family":"Marsh","given":"Eric","non-dropping-particle":"","parse-names":false,"suffix":""},{"dropping-particle":"","family":"Miller","given":"Ian","non-dropping-particle":"","parse-names":false,"suffix":""},{"dropping-particle":"","family":"Nabbout","given":"Rima","non-dropping-particle":"","parse-names":false,"suffix":""},{"dropping-particle":"","family":"Scheffer","given":"Ingrid E.","non-dropping-particle":"","parse-names":false,"suffix":""},{"dropping-particle":"","family":"Thiele","given":"Elizabeth A.","non-dropping-particle":"","parse-names":false,"suffix":""},{"dropping-particle":"","family":"Wright","given":"Stephen","non-dropping-particle":"","parse-names":false,"suffix":""}],"container-title":"New England Journal of Medicine","id":"ITEM-1","issue":"21","issued":{"date-parts":[["2017"]]},"page":"2011-2020","title":"Trial of cannabidiol for drug-resistant seizures in the dravet syndrome","type":"article-journal","volume":"376"},"uris":["http://www.mendeley.com/documents/?uuid=cdefa4c4-ce24-4c90-bf00-2e56e318267e"]}],"mendeley":{"formattedCitation":"(4)","plainTextFormattedCitation":"(4)","previouslyFormattedCitation":"(4)"},"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(4)</w:t>
            </w:r>
            <w:r w:rsidRPr="00DB55B4">
              <w:rPr>
                <w:rFonts w:eastAsia="Arial" w:cs="Times New Roman"/>
                <w:b/>
                <w:bCs/>
                <w:i/>
                <w:iCs/>
                <w:color w:val="000000"/>
                <w:sz w:val="12"/>
                <w:szCs w:val="12"/>
              </w:rPr>
              <w:fldChar w:fldCharType="end"/>
            </w:r>
          </w:p>
        </w:tc>
        <w:tc>
          <w:tcPr>
            <w:tcW w:w="992" w:type="dxa"/>
            <w:tcBorders>
              <w:top w:val="single" w:sz="12" w:space="0" w:color="000000"/>
            </w:tcBorders>
            <w:shd w:val="clear" w:color="auto" w:fill="E7E6E6"/>
            <w:tcMar>
              <w:left w:w="0" w:type="dxa"/>
              <w:right w:w="0" w:type="dxa"/>
            </w:tcMar>
            <w:vAlign w:val="center"/>
          </w:tcPr>
          <w:p w14:paraId="7D714FEE" w14:textId="77777777" w:rsidR="00591A66" w:rsidRPr="00DB55B4"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7F14611B" w14:textId="77777777" w:rsidR="00591A66"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2019</w:t>
            </w:r>
          </w:p>
          <w:p w14:paraId="4927FE09" w14:textId="4BDE4E8E" w:rsidR="00591A66" w:rsidRPr="00DB55B4" w:rsidRDefault="00591A66"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{"citationItems":[{"id":"ITEM-1","itemData":{"DOI":"10.1111/epi.14628","ISSN":"15281167","abstract":"Objective: Add-on cannabidiol (CBD) significantly reduced seizures associated with Dravet syndrome (DS) in a randomized, double-blind, placebo-controlled trial: GWPCARE1 Part B (NCT02091375). Patients who completed GWPCARE1 Part A (NCT02091206) or Part B, or a second placebo-controlled trial, GWPCARE2 (NCT02224703), were invited to enroll in a long-term open-label extension trial, GWPCARE5 (NCT02224573). We present an interim analysis of the safety, efficacy, and patient-reported outcomes from GWPCARE5. Methods: Patients received a pharmaceutical formulation of highly purified CBD in oral solution (100 mg/mL), titrated from 2.5 to 20 mg/kg/d over a 2-week period, with their existing medications. Based on response and tolerance, CBD could be reduced or increased up to 30 mg/kg/d. Results: By November 2016, a total of 278 patients had completed the original randomized trials, and 264 (95%) enrolled in this open-label extension. Median treatment duration was 274 days (range 1-512) with a mean modal dose of 21 mg/kg/d, and patients received a median of 3 concomitant antiepileptic medications. Adverse events (AEs) occurred in 93.2% of patients and were mostly mild (36.7%) or moderate (39.0%). Commonly reported AEs were diarrhea (34.5%), pyrexia (27.3%), decreased appetite (25.4%), and somnolence (24.6%). Seventeen patients (6.4%) discontinued due to AEs. Twenty-two of the 128 patients from GWPCARE1 (17.2%), all taking valproic acid, had liver transaminase elevations ≥3 times the upper limit of normal. In patients from GWPCARE1 Part B, the median reduction from baseline in monthly seizure frequency assessed in 12-week periods up to week 48 ranged from 38% to 44% for convulsive seizures and 39% to 51% for total seizures. After 48 weeks of treatment, 85% of patients/caregivers reported improvement in the patient's overall condition on the Subject/Caregiver Global Impression of Change scale. Significance: This trial shows that long-term CBD treatment had an acceptable safety profile and led to sustained, clinically meaningful reductions in seizure frequency in patients with treatment-resistant DS.","author":[{"dropping-particle":"","family":"Devinsky","given":"Orrin","non-dropping-particle":"","parse-names":false,"suffix":""},{"dropping-particle":"","family":"Nabbout","given":"Rima","non-dropping-particle":"","parse-names":false,"suffix":""},{"dropping-particle":"","family":"Miller","given":"Ian","non-dropping-particle":"","parse-names":false,"suffix":""},{"dropping-particle":"","family":"Laux","given":"Linda","non-dropping-particle":"","parse-names":false,"suffix":""},{"dropping-particle":"","family":"Zolnowska","given":"Marta","non-dropping-particle":"","parse-names":false,"suffix":""},{"dropping-particle":"","family":"Wright","given":"Stephen","non-dropping-particle":"","parse-names":false,"suffix":""},{"dropping-particle":"","family":"Roberts","given":"Claire","non-dropping-particle":"","parse-names":false,"suffix":""}],"container-title":"Epilepsia","id":"ITEM-1","issue":"2","issued":{"date-parts":[["2019","2","1"]]},"page":"294-302","publisher":"Blackwell Publishing Inc.","title":"Long-term cannabidiol treatment in patients with Dravet syndrome: An open-label extension trial","type":"article-journal","volume":"60"},"uris":["http://www.mendeley.com/documents/?uuid=0e110290-1c34-4199-b9c5-226565acaa23"]}],"mendeley":{"formattedCitation":"(6)","plainTextFormattedCitation":"(6)","previouslyFormattedCitation":"(6)"},"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(6)</w:t>
            </w:r>
            <w:r w:rsidRPr="00DB55B4">
              <w:rPr>
                <w:rFonts w:eastAsia="Arial" w:cs="Times New Roman"/>
                <w:b/>
                <w:bCs/>
                <w:i/>
                <w:iCs/>
                <w:color w:val="000000"/>
                <w:sz w:val="12"/>
                <w:szCs w:val="12"/>
              </w:rPr>
              <w:fldChar w:fldCharType="end"/>
            </w:r>
          </w:p>
        </w:tc>
        <w:tc>
          <w:tcPr>
            <w:tcW w:w="992" w:type="dxa"/>
            <w:tcBorders>
              <w:top w:val="single" w:sz="12" w:space="0" w:color="000000"/>
              <w:right w:val="single" w:sz="2" w:space="0" w:color="000000"/>
            </w:tcBorders>
            <w:shd w:val="clear" w:color="auto" w:fill="E7E6E6"/>
            <w:tcMar>
              <w:left w:w="0" w:type="dxa"/>
              <w:right w:w="0" w:type="dxa"/>
            </w:tcMar>
            <w:vAlign w:val="center"/>
          </w:tcPr>
          <w:p w14:paraId="2A788045" w14:textId="77777777" w:rsidR="00591A66" w:rsidRPr="00DB55B4"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Miller</w:t>
            </w:r>
          </w:p>
          <w:p w14:paraId="6BDD9302" w14:textId="77777777" w:rsidR="00591A66"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2020</w:t>
            </w:r>
          </w:p>
          <w:p w14:paraId="1E497A16" w14:textId="2E5D998E" w:rsidR="00591A66" w:rsidRPr="00DB55B4" w:rsidRDefault="00591A66"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{"citationItems":[{"id":"ITEM-1","itemData":{"DOI":"10.1001/jamaneurol.2020.0073","ISSN":"21686157","abstract":"Importance: Clinical evidence supports effectiveness of cannabidiol for treatment-resistant seizures in Dravet syndrome, but this trial is the first to evaluate the 10-mg/kg/d dose. Objective: To evaluate the efficacy and safety of a pharmaceutical formulation of cannabidiol, 10 and 20 mg/kg/d, vs placebo for adjunctive treatment of convulsive seizures in patients with Dravet syndrome. Design, Setting, and Participants: This double-blind, placebo-controlled, randomized clinical trial (GWPCARE2) recruited patients from April 13, 2015, to November 10, 2017, with follow-up completed on April 9, 2018. Of 285 patients screened from 38 centers in the United States, Spain, Poland, the Netherlands, Australia, and Israel, 86 were excluded, and 199 were randomized. Patients were aged 2 to 18 years with a confirmed diagnosis of Dravet syndrome and at least 4 convulsive seizures during the 4-week baseline period while receiving at least 1 antiepileptic drug. Data were analyzed from November 16 (date of unblinding) to December 13 (date of final outputs), 2018, based on intention to treat and per protocol. Interventions: Patients received cannabidiol oral solution at a dose of 10 or 20 mg/kg per day (CBD10 and CBD20 groups, respectively) or matched placebo in 2 equally divided doses for 14 weeks. All patients, caregivers, investigators, and individuals assessing data were blinded to group assignment. Main Outcomes and Measures: The primary outcome was change from baseline in convulsive seizure frequency during the treatment period. Secondary outcomes included change in all seizure frequency, proportion with at least a 50% reduction in convulsive seizure activity, and change in Caregiver Global Impression of Change score. Results: Of 198 eligible patients (mean [SD] age, 9.3 [4.4] years; 104 female [52.5%]), 66 were randomized to the CBD10 group, 67 to the CBD20 group, and 65 to the placebo group, and 190 completed treatment. The percentage reduction from baseline in convulsive seizure frequency was 48.7% for CBD10 group and 45.7% for the CBD20 group vs 26.9% for the placebo group; the percentage reduction from placebo was 29.8% (95% CI, 8.4%-46.2%; P =.01) for CBD10 group and 25.7% (95% CI, 2.9%-43.2%; P =.03) for the CBD20 group. The most common adverse events were decreased appetite, diarrhea, somnolence, pyrexia, and fatigue. Five patients in the CBD20 group discontinued owing to adverse events. Elevated liver transaminase levels occurred more frequently in the CB…","author":[{"dropping-particle":"","family":"Miller","given":"Ian","non-dropping-particle":"","parse-names":false,"suffix":""},{"dropping-particle":"","family":"Scheffer","given":"Ingrid E.","non-dropping-particle":"","parse-names":false,"suffix":""},{"dropping-particle":"","family":"Gunning","given":"Boudewijn","non-dropping-particle":"","parse-names":false,"suffix":""},{"dropping-particle":"","family":"Sanchez-Carpintero","given":"Rocio","non-dropping-particle":"","parse-names":false,"suffix":""},{"dropping-particle":"","family":"Gil-Nagel","given":"Antonio","non-dropping-particle":"","parse-names":false,"suffix":""},{"dropping-particle":"","family":"Perry","given":"M. Scott","non-dropping-particle":"","parse-names":false,"suffix":""},{"dropping-particle":"","family":"Saneto","given":"Russell P.","non-dropping-particle":"","parse-names":false,"suffix":""},{"dropping-particle":"","family":"Checketts","given":"Daniel","non-dropping-particle":"","parse-names":false,"suffix":""},{"dropping-particle":"","family":"Dunayevich","given":"Eduardo","non-dropping-particle":"","parse-names":false,"suffix":""},{"dropping-particle":"","family":"Knappertz","given":"Volker","non-dropping-particle":"","parse-names":false,"suffix":""}],"container-title":"JAMA Neurology","id":"ITEM-1","issued":{"date-parts":[["2020","3","2"]]},"publisher":"American Medical Association","title":"Dose-Ranging Effect of Adjunctive Oral Cannabidiol vs Placebo on Convulsive Seizure Frequency in Dravet Syndrome: A Randomized Clinical Trial","type":"article-journal"},"uris":["http://www.mendeley.com/documents/?uuid=bca5f2a8-aaf5-3919-a5b3-5ab8db3230eb"]}],"mendeley":{"formattedCitation":"(7)","plainTextFormattedCitation":"(7)","previouslyFormattedCitation":"(7)"},"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(7)</w:t>
            </w:r>
            <w:r w:rsidRPr="00DB55B4">
              <w:rPr>
                <w:rFonts w:eastAsia="Arial" w:cs="Times New Roman"/>
                <w:b/>
                <w:bCs/>
                <w:i/>
                <w:iCs/>
                <w:color w:val="000000"/>
                <w:sz w:val="12"/>
                <w:szCs w:val="12"/>
              </w:rPr>
              <w:fldChar w:fldCharType="end"/>
            </w:r>
          </w:p>
        </w:tc>
        <w:tc>
          <w:tcPr>
            <w:tcW w:w="992" w:type="dxa"/>
            <w:tcBorders>
              <w:top w:val="single" w:sz="12" w:space="0" w:color="000000"/>
              <w:left w:val="single" w:sz="2" w:space="0" w:color="000000"/>
              <w:right w:val="single" w:sz="12" w:space="0" w:color="000000"/>
            </w:tcBorders>
            <w:shd w:val="clear" w:color="auto" w:fill="E7E6E6"/>
            <w:tcMar>
              <w:left w:w="0" w:type="dxa"/>
              <w:right w:w="0" w:type="dxa"/>
            </w:tcMar>
            <w:vAlign w:val="center"/>
          </w:tcPr>
          <w:p w14:paraId="03DD572B" w14:textId="57D8B0BB" w:rsidR="00591A66" w:rsidRPr="00591A66"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Our study</w:t>
            </w:r>
          </w:p>
        </w:tc>
        <w:tc>
          <w:tcPr>
            <w:tcW w:w="992" w:type="dxa"/>
            <w:tcBorders>
              <w:top w:val="single" w:sz="12" w:space="0" w:color="000000"/>
              <w:left w:val="single" w:sz="12" w:space="0" w:color="000000"/>
              <w:bottom w:val="single" w:sz="4" w:space="0" w:color="auto"/>
            </w:tcBorders>
            <w:shd w:val="clear" w:color="auto" w:fill="E7E6E6"/>
            <w:tcMar>
              <w:left w:w="0" w:type="dxa"/>
              <w:right w:w="0" w:type="dxa"/>
            </w:tcMar>
            <w:vAlign w:val="center"/>
          </w:tcPr>
          <w:p w14:paraId="680DC590" w14:textId="77777777" w:rsidR="00591A66" w:rsidRPr="00DB55B4"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Devinsky</w:t>
            </w:r>
          </w:p>
          <w:p w14:paraId="7361116E" w14:textId="77777777" w:rsidR="00591A66"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2018</w:t>
            </w:r>
          </w:p>
          <w:p w14:paraId="5D65B06F" w14:textId="6DE6AD48" w:rsidR="00591A66" w:rsidRPr="00DB55B4" w:rsidRDefault="00591A66"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{"citationItems":[{"id":"ITEM-1","itemData":{"DOI":"10.1056/NEJMoa1714631","ISSN":"15334406","abstract":"BACKGROUND Cannabidiol has been used for treatment-resistant seizures in patients with severe early-onset epilepsy. We investigated the efficacy and safety of cannabidiol added to a regimen of conventional antiepileptic medication to treat drop seizures in patients with the Lennox–Gastaut syndrome, a severe developmental epileptic encephalopathy. METHODS In this double-blind, placebo-controlled trial conducted at 30 clinical centers, we randomly assigned patients with the Lennox–Gastaut syndrome (age range, 2 to 55 years) who had had two or more drop seizures per week during a 28-day baseline period to receive cannabidiol oral solution at a dose of either 20 mg per kilogram of body weight (20-mg cannabidiol group) or 10 mg per kilogram (10-mg cannabidiol group) or matching placebo, administered in two equally divided doses daily for 14 weeks. The primary outcome was the percentage change from baseline in the frequency of drop seizures (average per 28 days) during the treatment period. RESULTS A total of 225 patients were enrolled; 76 patients were assigned to the 20-mg cannabidiol group, 73 to the 10-mg cannabidiol group, and 76 to the placebo group. During the 28-day baseline period, the median number of drop seizures was 85 in all trial groups combined. The median percent reduction from baseline in drop-seizure frequency during the treatment period was 41.9% in the 20-mg cannabidiol group, 37.2% in the 10-mg cannabidiol group, and 17.2% in the placebo group (P=0.005 for the 20-mg cannabidiol group vs. placebo group, and P=0.002 for the 10-mg cannabidiol group vs. placebo group). The most common adverse events among the patients in the cannabidiol groups were somnolence, decreased appetite, and diarrhea; these events occurred more frequently in the higher-dose group. Six patients in the 20-mg cannabidiol group and 1 patient in the 10-mg cannabidiol group discontinued the trial medication because of adverse events and were withdrawn from the trial. Fourteen patients who received cannabidiol (9%) had elevated liver aminotransferase concentrations. CONCLUSIONS Among children and adults with the Lennox–Gastaut syndrome, the addition of cannabidiol at a dose of 10 mg or 20 mg per kilogram per day to a conventional antiepileptic regimen resulted in greater reductions in the frequency of drop seizures than placebo. Adverse events with cannabidiol included elevated liver aminotransferase concentrations. (Funded by GW Pharmaceuticals; GWPCARE3 ClinicalTrials.go…","author":[{"dropping-particle":"","family":"Devinsky","given":"Orrin","non-dropping-particle":"","parse-names":false,"suffix":""},{"dropping-particle":"","family":"Patel","given":"Anup D.","non-dropping-particle":"","parse-names":false,"suffix":""},{"dropping-particle":"","family":"Cross","given":"J. Helen","non-dropping-particle":"","parse-names":false,"suffix":""},{"dropping-particle":"","family":"Villanueva","given":"Vicente","non-dropping-particle":"","parse-names":false,"suffix":""},{"dropping-particle":"","family":"Wirrell","given":"Elaine C.","non-dropping-particle":"","parse-names":false,"suffix":""},{"dropping-particle":"","family":"Privitera","given":"Michael","non-dropping-particle":"","parse-names":false,"suffix":""},{"dropping-particle":"","family":"Greenwood","given":"Sam M.","non-dropping-particle":"","parse-names":false,"suffix":""},{"dropping-particle":"","family":"Roberts","given":"Claire","non-dropping-particle":"","parse-names":false,"suffix":""},{"dropping-particle":"","family":"Checketts","given":"Daniel","non-dropping-particle":"","parse-names":false,"suffix":""},{"dropping-particle":"","family":"VanLandingham","given":"Kevan E.","non-dropping-particle":"","parse-names":false,"suffix":""},{"dropping-particle":"","family":"Zuberi","given":"Sameer M.","non-dropping-particle":"","parse-names":false,"suffix":""}],"container-title":"New England Journal of Medicine","id":"ITEM-1","issue":"20","issued":{"date-parts":[["2018"]]},"page":"1888-1897","title":"Effect of cannabidiol on drop seizures in the lennox–gastaut syndrome","type":"article-journal","volume":"378"},"uris":["http://www.mendeley.com/documents/?uuid=7834fb1c-6c93-45f7-b3b9-5c23fdf57365"]}],"mendeley":{"formattedCitation":"(8)","plainTextFormattedCitation":"(8)","previouslyFormattedCitation":"(8)"},"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(8)</w:t>
            </w:r>
            <w:r w:rsidRPr="00DB55B4">
              <w:rPr>
                <w:rFonts w:eastAsia="Arial" w:cs="Times New Roman"/>
                <w:b/>
                <w:bCs/>
                <w:i/>
                <w:iCs/>
                <w:color w:val="000000"/>
                <w:sz w:val="12"/>
                <w:szCs w:val="12"/>
              </w:rPr>
              <w:fldChar w:fldCharType="end"/>
            </w:r>
          </w:p>
        </w:tc>
        <w:tc>
          <w:tcPr>
            <w:tcW w:w="992" w:type="dxa"/>
            <w:tcBorders>
              <w:top w:val="single" w:sz="12" w:space="0" w:color="000000"/>
              <w:bottom w:val="single" w:sz="4" w:space="0" w:color="auto"/>
            </w:tcBorders>
            <w:shd w:val="clear" w:color="auto" w:fill="E7E6E6"/>
            <w:tcMar>
              <w:left w:w="0" w:type="dxa"/>
              <w:right w:w="0" w:type="dxa"/>
            </w:tcMar>
            <w:vAlign w:val="center"/>
          </w:tcPr>
          <w:p w14:paraId="244FE0A8" w14:textId="77777777" w:rsidR="00591A66" w:rsidRPr="00DB55B4"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Thiele</w:t>
            </w:r>
          </w:p>
          <w:p w14:paraId="276A483A" w14:textId="77777777" w:rsidR="00591A66"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2018</w:t>
            </w:r>
          </w:p>
          <w:p w14:paraId="212E8BC9" w14:textId="33619F94" w:rsidR="00591A66" w:rsidRPr="00DB55B4" w:rsidRDefault="00591A66"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fldChar w:fldCharType="begin" w:fldLock="1"/>
            </w:r>
            <w:r>
              <w:rPr>
                <w:rFonts w:eastAsia="Arial" w:cs="Times New Roman"/>
                <w:b/>
                <w:bCs/>
                <w:i/>
                <w:iCs/>
                <w:color w:val="000000"/>
                <w:sz w:val="12"/>
                <w:szCs w:val="12"/>
              </w:rPr>
              <w:instrText>ADDIN CSL_CITATION {"citationItems":[{"id":"ITEM-1","itemData":{"DOI":"10.1016/S0140-6736(18)30136-3","ISSN":"1474547X","PMID":"29395273","abstract":"Background: Patients with Lennox-Gastaut syndrome, a rare, severe form of epileptic encephalopathy, are frequently treatment resistant to available medications. No controlled studies have investigated the use of cannabidiol for patients with seizures associated with Lennox-Gastaut syndrome. We therefore assessed the efficacy and safety of cannabidiol as an add-on anticonvulsant therapy in this population of patients. Methods: In this randomised, double-blind, placebo-controlled trial done at 24 clinical sites in the USA, the Netherlands, and Poland, we investigated the efficacy of cannabidiol as add-on therapy for drop seizures in patients with treatment-resistant Lennox-Gastaut syndrome. Eligible patients (aged 2–55 years) had Lennox-Gastaut syndrome, including a history of slow (&lt;3 Hz) spike-and-wave patterns on electroencephalogram, evidence of more than one type of generalised seizure for at least 6 months, at least two drop seizures per week during the 4-week baseline period, and had not responded to treatment with at least two antiepileptic drugs. Patients were randomly assigned (1:1) using an interactive voice response system, stratified by age group, to receive 20 mg/kg oral cannabidiol daily or matched placebo for 14 weeks. All patients, caregivers, investigators, and individuals assessing data were masked to group assignment. The primary endpoint was percentage change from baseline in monthly frequency of drop seizures during the treatment period, analysed in all patients who received at least one dose of study drug and had post-baseline efficacy data. All randomly assigned patients were included in the safety analyses. This study is registered with ClinicalTrials.gov, number NCT02224690. Findings: Between April 28, 2015, and Oct 15, 2015, we randomly assigned 171 patients to receive cannabidiol (n=86) or placebo (n=85). 14 patients in the cannabidiol group and one in the placebo group discontinued study treatment; all randomly assigned patients received at least one dose of study treatment and had post-baseline efficacy data. The median percentage reduction in monthly drop seizure frequency from baseline was 43·9% (IQR −69·6 to −1·9) in the cannibidiol group and 21·8% (IQR −45·7 to 1·7) in the placebo group. The estimated median difference between the treatment groups was −17·21 (95% CI −30·32 to −4·09; p=0·0135) during the 14-week treatment period. Adverse events occurred in 74 (86%) of 86 patients in the cannabidiol group and 59 (69%) of 85…","author":[{"dropping-particle":"","family":"Thiele","given":"Elizabeth A.","non-dropping-particle":"","parse-names":false,"suffix":""},{"dropping-particle":"","family":"Marsh","given":"Eric D.","non-dropping-particle":"","parse-names":false,"suffix":""},{"dropping-particle":"","family":"French","given":"Jacqueline A.","non-dropping-particle":"","parse-names":false,"suffix":""},{"dropping-particle":"","family":"Mazurkiewicz","given":"Maria B.","non-dropping-particle":"","parse-names":false,"suffix":""},{"dropping-particle":"","family":"Benbadis","given":"Selim R.","non-dropping-particle":"","parse-names":false,"suffix":""},{"dropping-particle":"","family":"Joshi","given":"Charuta","non-dropping-particle":"","parse-names":false,"suffix":""},{"dropping-particle":"","family":"Lyons","given":"Paul D.","non-dropping-particle":"","parse-names":false,"suffix":""},{"dropping-particle":"","family":"Taylor","given":"Adam","non-dropping-particle":"","parse-names":false,"suffix":""},{"dropping-particle":"","family":"Roberts","given":"Claire","non-dropping-particle":"","parse-names":false,"suffix":""},{"dropping-particle":"","family":"Sommerville","given":"Kenneth","non-dropping-particle":"","parse-names":false,"suffix":""},{"dropping-particle":"","family":"Gunning","given":"Boudewjin","non-dropping-particle":"","parse-names":false,"suffix":""},{"dropping-particle":"","family":"Gawlowicz","given":"Jacek","non-dropping-particle":"","parse-names":false,"suffix":""},{"dropping-particle":"","family":"Lisewski","given":"Pawel","non-dropping-particle":"","parse-names":false,"suffix":""},{"dropping-particle":"","family":"Mitosek Szewczyk","given":"Krystyna","non-dropping-particle":"","parse-names":false,"suffix":""},{"dropping-particle":"","family":"Steinborn","given":"Barbara","non-dropping-particle":"","parse-names":false,"suffix":""},{"dropping-particle":"","family":"Zolnowska","given":"Marta","non-dropping-particle":"","parse-names":false,"suffix":""},{"dropping-particle":"","family":"Hughes","given":"Elaine","non-dropping-particle":"","parse-names":false,"suffix":""},{"dropping-particle":"","family":"McLellan","given":"Ailsa","non-dropping-particle":"","parse-names":false,"suffix":""},{"dropping-particle":"","family":"Benbadis","given":"Selim R.","non-dropping-particle":"","parse-names":false,"suffix":""},{"dropping-particle":"","family":"Ciliberto","given":"Michael","non-dropping-particle":"","parse-names":false,"suffix":""},{"dropping-particle":"","family":"Clark","given":"Gary","non-dropping-particle":"","parse-names":false,"suffix":""},{"dropping-particle":"","family":"Dlugos","given":"Dennis","non-dropping-particle":"","parse-names":false,"suffix":""},{"dropping-particle":"","family":"Filloux","given":"Francis","non-dropping-particle":"","parse-names":false,"suffix":""},{"dropping-particle":"","family":"Flamini","given":"Robert","non-dropping-particle":"","parse-names":false,"suffix":""},{"dropping-particle":"","family":"French","given":"Jacqueline A.","non-dropping-particle":"","parse-names":false,"suffix":""},{"dropping-particle":"","family":"Frost","given":"Michael","non-dropping-particle":"","parse-names":false,"suffix":""},{"dropping-particle":"","family":"Haut","given":"Sheryl","non-dropping-particle":"","parse-names":false,"suffix":""},{"dropping-particle":"","family":"Joshi","given":"Charuta","non-dropping-particle":"","parse-names":false,"suffix":""},{"dropping-particle":"","family":"Kapoor","given":"Siddarth","non-dropping-particle":"","parse-names":false,"suffix":""},{"dropping-particle":"","family":"Kessler","given":"Sudha","non-dropping-particle":"","parse-names":false,"suffix":""},{"dropping-particle":"","family":"Laux","given":"Linda","non-dropping-particle":"","parse-names":false,"suffix":""},{"dropping-particle":"","family":"Lyons","given":"Paul D.","non-dropping-particle":"","parse-names":false,"suffix":""},{"dropping-particle":"","family":"Marsh","given":"Eric D.","non-dropping-particle":"","parse-names":false,"suffix":""},{"dropping-particle":"","family":"Moore","given":"David","non-dropping-particle":"","parse-names":false,"suffix":""},{"dropping-particle":"","family":"Morse","given":"Richard","non-dropping-particle":"","parse-names":false,"suffix":""},{"dropping-particle":"","family":"Nagaraddi","given":"Venkatesh","non-dropping-particle":"","parse-names":false,"suffix":""},{"dropping-particle":"","family":"Rosenfeld","given":"William","non-dropping-particle":"","parse-names":false,"suffix":""},{"dropping-particle":"","family":"Seltzer","given":"Laurie","non-dropping-particle":"","parse-names":false,"suffix":""},{"dropping-particle":"","family":"Shellhaas","given":"Renée","non-dropping-particle":"","parse-names":false,"suffix":""},{"dropping-particle":"","family":"Thiele","given":"Elizabeth A.","non-dropping-particle":"","parse-names":false,"suffix":""},{"dropping-particle":"","family":"Thio","given":"Liu Lin","non-dropping-particle":"","parse-names":false,"suffix":""},{"dropping-particle":"","family":"Wang","given":"David","non-dropping-particle":"","parse-names":false,"suffix":""},{"dropping-particle":"","family":"Wilfong","given":"Angus","non-dropping-particle":"","parse-names":false,"suffix":""}],"container-title":"The Lancet","id":"ITEM-1","issue":"10125","issued":{"date-parts":[["2018","1","1"]]},"page":"1085-1096","publisher":"Lancet Publishing Group","title":"Cannabidiol in patients with seizures associated with Lennox-Gastaut syndrome (GWPCARE4): a randomised, double-blind, placebo-controlled phase 3 trial","type":"article-journal","volume":"391"},"uris":["http://www.mendeley.com/documents/?uuid=85d8734c-4855-4c97-9a6a-236c24a89cf5"]}],"mendeley":{"formattedCitation":"(9)","plainTextFormattedCitation":"(9)","previouslyFormattedCitation":"(9)"},"properties":{"noteIndex":0},"schema":"https://github.com/citation-style-language/schema/raw/master/csl-citation.json"}</w:instrText>
            </w:r>
            <w:r w:rsidRPr="00DB55B4">
              <w:rPr>
                <w:rFonts w:eastAsia="Arial" w:cs="Times New Roman"/>
                <w:b/>
                <w:bCs/>
                <w:i/>
                <w:iCs/>
                <w:color w:val="000000"/>
                <w:sz w:val="12"/>
                <w:szCs w:val="12"/>
              </w:rPr>
              <w:fldChar w:fldCharType="separate"/>
            </w:r>
            <w:r w:rsidRPr="006F499D">
              <w:rPr>
                <w:rFonts w:eastAsia="Arial" w:cs="Times New Roman"/>
                <w:bCs/>
                <w:iCs/>
                <w:noProof/>
                <w:color w:val="000000"/>
                <w:sz w:val="12"/>
                <w:szCs w:val="12"/>
              </w:rPr>
              <w:t>(9)</w:t>
            </w:r>
            <w:r w:rsidRPr="00DB55B4">
              <w:rPr>
                <w:rFonts w:eastAsia="Arial" w:cs="Times New Roman"/>
                <w:b/>
                <w:bCs/>
                <w:i/>
                <w:iCs/>
                <w:color w:val="000000"/>
                <w:sz w:val="12"/>
                <w:szCs w:val="12"/>
              </w:rPr>
              <w:fldChar w:fldCharType="end"/>
            </w:r>
          </w:p>
        </w:tc>
        <w:tc>
          <w:tcPr>
            <w:tcW w:w="992" w:type="dxa"/>
            <w:tcBorders>
              <w:top w:val="single" w:sz="12" w:space="0" w:color="000000"/>
              <w:bottom w:val="single" w:sz="4" w:space="0" w:color="auto"/>
              <w:right w:val="single" w:sz="4" w:space="0" w:color="auto"/>
            </w:tcBorders>
            <w:shd w:val="clear" w:color="auto" w:fill="E7E6E6"/>
            <w:noWrap/>
            <w:tcMar>
              <w:left w:w="0" w:type="dxa"/>
              <w:right w:w="0" w:type="dxa"/>
            </w:tcMar>
            <w:vAlign w:val="center"/>
          </w:tcPr>
          <w:p w14:paraId="34805306" w14:textId="77777777" w:rsidR="00591A66" w:rsidRPr="00DB55B4" w:rsidRDefault="00591A66" w:rsidP="00591A66">
            <w:pPr>
              <w:spacing w:before="0" w:after="0"/>
              <w:jc w:val="center"/>
              <w:rPr>
                <w:rFonts w:eastAsia="Arial" w:cs="Times New Roman"/>
                <w:b/>
                <w:bCs/>
                <w:i/>
                <w:iCs/>
                <w:color w:val="000000"/>
                <w:sz w:val="12"/>
                <w:szCs w:val="12"/>
              </w:rPr>
            </w:pPr>
            <w:r w:rsidRPr="00DB55B4">
              <w:rPr>
                <w:rFonts w:eastAsia="Arial" w:cs="Times New Roman"/>
                <w:b/>
                <w:bCs/>
                <w:i/>
                <w:iCs/>
                <w:color w:val="000000"/>
                <w:sz w:val="12"/>
                <w:szCs w:val="12"/>
              </w:rPr>
              <w:t>Thiele</w:t>
            </w:r>
          </w:p>
          <w:p w14:paraId="39FDEDD6" w14:textId="77777777" w:rsidR="00591A66" w:rsidRDefault="00591A66" w:rsidP="00591A66">
            <w:pPr>
              <w:spacing w:before="0" w:after="0"/>
              <w:jc w:val="center"/>
              <w:rPr>
                <w:rFonts w:eastAsia="Arial" w:cs="Times New Roman"/>
                <w:b/>
                <w:bCs/>
                <w:i/>
                <w:iCs/>
                <w:color w:val="000000"/>
                <w:sz w:val="12"/>
                <w:szCs w:val="12"/>
                <w:vertAlign w:val="superscript"/>
              </w:rPr>
            </w:pPr>
            <w:r w:rsidRPr="00DB55B4">
              <w:rPr>
                <w:rFonts w:eastAsia="Arial" w:cs="Times New Roman"/>
                <w:b/>
                <w:bCs/>
                <w:i/>
                <w:iCs/>
                <w:color w:val="000000"/>
                <w:sz w:val="12"/>
                <w:szCs w:val="12"/>
              </w:rPr>
              <w:t>2019</w:t>
            </w:r>
          </w:p>
          <w:p w14:paraId="11B5625B" w14:textId="5D9A10B8" w:rsidR="00591A66" w:rsidRPr="00DB55B4" w:rsidRDefault="00591A66"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vertAlign w:val="superscript"/>
              </w:rPr>
              <w:fldChar w:fldCharType="begin" w:fldLock="1"/>
            </w:r>
            <w:r>
              <w:rPr>
                <w:rFonts w:eastAsia="Arial" w:cs="Times New Roman"/>
                <w:b/>
                <w:bCs/>
                <w:i/>
                <w:iCs/>
                <w:color w:val="000000"/>
                <w:sz w:val="12"/>
                <w:szCs w:val="12"/>
                <w:vertAlign w:val="superscript"/>
              </w:rPr>
              <w:instrText>ADDIN CSL_CITATION {"citationItems":[{"id":"ITEM-1","itemData":{"DOI":"10.1111/epi.14670","ISSN":"15281167","abstract":"Objective: Patients with Lennox-Gastaut syndrome (LGS) who completed 1 of 2 randomized, double-blind, placebo-controlled trials of add-on cannabidiol (CBD) (GWPCARE3, NCT02224560 or GWPCARE4, NCT02224690) were invited to enroll in an open-label extension (OLE) study evaluating the long-term safety and efficacy of CBD (GWPCARE5, NCT02224573). Herein we present an interim analysis of the safety, efficacy, and patient-reported outcomes from this trial. Methods: Patients received a pharmaceutical formulation of highly purified CBD oral solution (Epidiolex; 100 mg/mL), titrated from 2.5 to 20 mg/kg/d over a 2-week titration period, in addition to their existing medications. Doses could be reduced if not tolerated or increased up to 30 mg/kg/d if thought to be of benefit. Results: This interim analysis was based on a November 2016 data cut. Of 368 patients who completed treatment in GWPCARE3 and GWPCARE4, 366 (99.5%) enrolled in the OLE study (GWPCARE5). Median treatment duration was 38 weeks at a mean modal dose of 23 mg/kg/d. Most patients (92.1%) experienced adverse events (AEs), primarily of mild (32.5%) or moderate (43.4%) severity. The most common AEs were diarrhea (26.8%), somnolence (23.5%), and convulsion (21.3%). Thirty-five patients (9.6%) discontinued treatment due to AEs. Liver transaminase elevations were reported in 37 patients (10.1%), of whom 29 were receiving concomitant valproic acid; 34 cases resolved spontaneously or with dose modification of CBD or concomitant medication. Median reduction from baseline in drop seizure frequency (quantified monthly over 12-week periods) ranged from 48% to 60% through week 48. Median reduction in monthly total seizure frequency ranged from 48% to 57% across all 12-week periods through week 48. Eighty-eight percent of patients/caregivers reported an improvement in the patient's overall condition per the Subject/Caregiver Global Impression of Change scale. Significance: In this study, long-term add-on CBD treatment had an acceptable safety profile in patients with LGS and led to sustained reductions in seizures.","author":[{"dropping-particle":"","family":"Thiele","given":"Elizabeth","non-dropping-particle":"","parse-names":false,"suffix":""},{"dropping-particle":"","family":"Marsh","given":"Eric","non-dropping-particle":"","parse-names":false,"suffix":""},{"dropping-particle":"","family":"Mazurkiewicz-Beldzinska","given":"Maria","non-dropping-particle":"","parse-names":false,"suffix":""},{"dropping-particle":"","family":"Halford","given":"Jonathan J.","non-dropping-particle":"","parse-names":false,"suffix":""},{"dropping-particle":"","family":"Gunning","given":"Boudewijn","non-dropping-particle":"","parse-names":false,"suffix":""},{"dropping-particle":"","family":"Devinsky","given":"Orrin","non-dropping-particle":"","parse-names":false,"suffix":""},{"dropping-particle":"","family":"Checketts","given":"Daniel","non-dropping-particle":"","parse-names":false,"suffix":""},{"dropping-particle":"","family":"Roberts","given":"Claire","non-dropping-particle":"","parse-names":false,"suffix":""}],"container-title":"Epilepsia","id":"ITEM-1","issue":"3","issued":{"date-parts":[["2019"]]},"page":"419-428","title":"Cannabidiol in patients with Lennox-Gastaut syndrome: Interim analysis of an open-label extension study","type":"article-journal","volume":"60"},"uris":["http://www.mendeley.com/documents/?uuid=08254421-45a9-4708-85aa-ab7ba53ba1d1"]}],"mendeley":{"formattedCitation":"(10)","plainTextFormattedCitation":"(10)","previouslyFormattedCitation":"(10)"},"properties":{"noteIndex":0},"schema":"https://github.com/citation-style-language/schema/raw/master/csl-citation.json"}</w:instrText>
            </w:r>
            <w:r w:rsidRPr="00DB55B4">
              <w:rPr>
                <w:rFonts w:eastAsia="Arial" w:cs="Times New Roman"/>
                <w:b/>
                <w:bCs/>
                <w:i/>
                <w:iCs/>
                <w:color w:val="000000"/>
                <w:sz w:val="12"/>
                <w:szCs w:val="12"/>
                <w:vertAlign w:val="superscript"/>
              </w:rPr>
              <w:fldChar w:fldCharType="separate"/>
            </w:r>
            <w:r w:rsidRPr="006F499D">
              <w:rPr>
                <w:rFonts w:eastAsia="Arial" w:cs="Times New Roman"/>
                <w:bCs/>
                <w:iCs/>
                <w:noProof/>
                <w:color w:val="000000"/>
                <w:sz w:val="12"/>
                <w:szCs w:val="12"/>
              </w:rPr>
              <w:t>(10)</w:t>
            </w:r>
            <w:r w:rsidRPr="00DB55B4">
              <w:rPr>
                <w:rFonts w:eastAsia="Arial" w:cs="Times New Roman"/>
                <w:b/>
                <w:bCs/>
                <w:i/>
                <w:iCs/>
                <w:color w:val="000000"/>
                <w:sz w:val="12"/>
                <w:szCs w:val="12"/>
                <w:vertAlign w:val="superscript"/>
              </w:rPr>
              <w:fldChar w:fldCharType="end"/>
            </w:r>
          </w:p>
        </w:tc>
        <w:tc>
          <w:tcPr>
            <w:tcW w:w="992" w:type="dxa"/>
            <w:tcBorders>
              <w:top w:val="single" w:sz="12" w:space="0" w:color="000000"/>
              <w:bottom w:val="single" w:sz="4" w:space="0" w:color="auto"/>
              <w:right w:val="single" w:sz="12" w:space="0" w:color="000000"/>
            </w:tcBorders>
            <w:shd w:val="clear" w:color="auto" w:fill="E7E6E6"/>
            <w:tcMar>
              <w:left w:w="0" w:type="dxa"/>
              <w:right w:w="0" w:type="dxa"/>
            </w:tcMar>
            <w:vAlign w:val="center"/>
          </w:tcPr>
          <w:p w14:paraId="768B09B5" w14:textId="7A8044D9" w:rsidR="00591A66" w:rsidRPr="00DB55B4" w:rsidRDefault="00591A66" w:rsidP="00591A66">
            <w:pPr>
              <w:spacing w:before="0" w:after="0"/>
              <w:jc w:val="center"/>
              <w:rPr>
                <w:rFonts w:eastAsia="Calibri" w:cs="Times New Roman"/>
                <w:b/>
                <w:bCs/>
                <w:i/>
                <w:iCs/>
                <w:sz w:val="12"/>
                <w:szCs w:val="12"/>
              </w:rPr>
            </w:pPr>
            <w:r w:rsidRPr="00DB55B4">
              <w:rPr>
                <w:rFonts w:eastAsia="Arial" w:cs="Times New Roman"/>
                <w:b/>
                <w:bCs/>
                <w:i/>
                <w:iCs/>
                <w:color w:val="000000"/>
                <w:sz w:val="12"/>
                <w:szCs w:val="12"/>
              </w:rPr>
              <w:t>Our study</w:t>
            </w:r>
          </w:p>
        </w:tc>
      </w:tr>
      <w:tr w:rsidR="00DB55B4" w:rsidRPr="00DB55B4" w14:paraId="7546A65A" w14:textId="77777777" w:rsidTr="00591A66">
        <w:trPr>
          <w:trHeight w:val="300"/>
          <w:jc w:val="center"/>
        </w:trPr>
        <w:tc>
          <w:tcPr>
            <w:tcW w:w="1387" w:type="dxa"/>
            <w:tcBorders>
              <w:right w:val="single" w:sz="12" w:space="0" w:color="000000"/>
            </w:tcBorders>
            <w:noWrap/>
            <w:vAlign w:val="center"/>
            <w:hideMark/>
          </w:tcPr>
          <w:p w14:paraId="5C2288D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Number of patients</w:t>
            </w:r>
          </w:p>
        </w:tc>
        <w:tc>
          <w:tcPr>
            <w:tcW w:w="992" w:type="dxa"/>
            <w:tcBorders>
              <w:left w:val="single" w:sz="12" w:space="0" w:color="000000"/>
            </w:tcBorders>
            <w:noWrap/>
            <w:tcMar>
              <w:left w:w="0" w:type="dxa"/>
              <w:right w:w="0" w:type="dxa"/>
            </w:tcMar>
            <w:vAlign w:val="center"/>
            <w:hideMark/>
          </w:tcPr>
          <w:p w14:paraId="33E8FA2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137</w:t>
            </w:r>
          </w:p>
        </w:tc>
        <w:tc>
          <w:tcPr>
            <w:tcW w:w="992" w:type="dxa"/>
            <w:tcMar>
              <w:left w:w="0" w:type="dxa"/>
              <w:right w:w="0" w:type="dxa"/>
            </w:tcMar>
            <w:vAlign w:val="center"/>
          </w:tcPr>
          <w:p w14:paraId="0BD14D5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580</w:t>
            </w:r>
          </w:p>
        </w:tc>
        <w:tc>
          <w:tcPr>
            <w:tcW w:w="992" w:type="dxa"/>
            <w:vAlign w:val="center"/>
          </w:tcPr>
          <w:p w14:paraId="778FB0C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147</w:t>
            </w:r>
          </w:p>
        </w:tc>
        <w:tc>
          <w:tcPr>
            <w:tcW w:w="992" w:type="dxa"/>
            <w:tcBorders>
              <w:right w:val="single" w:sz="12" w:space="0" w:color="000000"/>
            </w:tcBorders>
            <w:tcMar>
              <w:left w:w="0" w:type="dxa"/>
              <w:right w:w="0" w:type="dxa"/>
            </w:tcMar>
            <w:vAlign w:val="center"/>
          </w:tcPr>
          <w:p w14:paraId="5E7EB84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125</w:t>
            </w:r>
          </w:p>
        </w:tc>
        <w:tc>
          <w:tcPr>
            <w:tcW w:w="992" w:type="dxa"/>
            <w:tcBorders>
              <w:left w:val="single" w:sz="12" w:space="0" w:color="000000"/>
            </w:tcBorders>
            <w:noWrap/>
            <w:tcMar>
              <w:left w:w="0" w:type="dxa"/>
              <w:right w:w="0" w:type="dxa"/>
            </w:tcMar>
            <w:vAlign w:val="center"/>
            <w:hideMark/>
          </w:tcPr>
          <w:p w14:paraId="3E6FABB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61</w:t>
            </w:r>
          </w:p>
        </w:tc>
        <w:tc>
          <w:tcPr>
            <w:tcW w:w="992" w:type="dxa"/>
            <w:tcMar>
              <w:left w:w="0" w:type="dxa"/>
              <w:right w:w="0" w:type="dxa"/>
            </w:tcMar>
            <w:vAlign w:val="center"/>
          </w:tcPr>
          <w:p w14:paraId="5D1A9ED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104</w:t>
            </w:r>
          </w:p>
        </w:tc>
        <w:tc>
          <w:tcPr>
            <w:tcW w:w="992" w:type="dxa"/>
            <w:tcMar>
              <w:left w:w="0" w:type="dxa"/>
              <w:right w:w="0" w:type="dxa"/>
            </w:tcMar>
            <w:vAlign w:val="center"/>
          </w:tcPr>
          <w:p w14:paraId="614C430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67</w:t>
            </w:r>
          </w:p>
          <w:p w14:paraId="45B4EBE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67</w:t>
            </w:r>
          </w:p>
        </w:tc>
        <w:tc>
          <w:tcPr>
            <w:tcW w:w="992" w:type="dxa"/>
            <w:tcBorders>
              <w:right w:val="single" w:sz="12" w:space="0" w:color="000000"/>
            </w:tcBorders>
            <w:tcMar>
              <w:left w:w="0" w:type="dxa"/>
              <w:right w:w="0" w:type="dxa"/>
            </w:tcMar>
            <w:vAlign w:val="center"/>
          </w:tcPr>
          <w:p w14:paraId="48CA5D1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48</w:t>
            </w:r>
          </w:p>
        </w:tc>
        <w:tc>
          <w:tcPr>
            <w:tcW w:w="992" w:type="dxa"/>
            <w:tcBorders>
              <w:left w:val="single" w:sz="12" w:space="0" w:color="000000"/>
            </w:tcBorders>
            <w:tcMar>
              <w:left w:w="0" w:type="dxa"/>
              <w:right w:w="0" w:type="dxa"/>
            </w:tcMar>
            <w:vAlign w:val="center"/>
          </w:tcPr>
          <w:p w14:paraId="1661742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73</w:t>
            </w:r>
          </w:p>
          <w:p w14:paraId="33B2A6C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76</w:t>
            </w:r>
          </w:p>
        </w:tc>
        <w:tc>
          <w:tcPr>
            <w:tcW w:w="992" w:type="dxa"/>
            <w:tcMar>
              <w:left w:w="0" w:type="dxa"/>
              <w:right w:w="0" w:type="dxa"/>
            </w:tcMar>
            <w:vAlign w:val="center"/>
          </w:tcPr>
          <w:p w14:paraId="67B4341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86</w:t>
            </w:r>
          </w:p>
        </w:tc>
        <w:tc>
          <w:tcPr>
            <w:tcW w:w="992" w:type="dxa"/>
            <w:noWrap/>
            <w:tcMar>
              <w:left w:w="0" w:type="dxa"/>
              <w:right w:w="0" w:type="dxa"/>
            </w:tcMar>
            <w:vAlign w:val="center"/>
            <w:hideMark/>
          </w:tcPr>
          <w:p w14:paraId="073F71D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366</w:t>
            </w:r>
          </w:p>
        </w:tc>
        <w:tc>
          <w:tcPr>
            <w:tcW w:w="992" w:type="dxa"/>
            <w:tcBorders>
              <w:right w:val="single" w:sz="12" w:space="0" w:color="000000"/>
            </w:tcBorders>
            <w:tcMar>
              <w:left w:w="0" w:type="dxa"/>
              <w:right w:w="0" w:type="dxa"/>
            </w:tcMar>
            <w:vAlign w:val="center"/>
          </w:tcPr>
          <w:p w14:paraId="27FECE8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62</w:t>
            </w:r>
          </w:p>
        </w:tc>
      </w:tr>
      <w:tr w:rsidR="00DB55B4" w:rsidRPr="00DB55B4" w14:paraId="1B06ADBD" w14:textId="77777777" w:rsidTr="00591A66">
        <w:trPr>
          <w:trHeight w:val="300"/>
          <w:jc w:val="center"/>
        </w:trPr>
        <w:tc>
          <w:tcPr>
            <w:tcW w:w="1387" w:type="dxa"/>
            <w:tcBorders>
              <w:right w:val="single" w:sz="12" w:space="0" w:color="000000"/>
            </w:tcBorders>
            <w:noWrap/>
            <w:vAlign w:val="center"/>
            <w:hideMark/>
          </w:tcPr>
          <w:p w14:paraId="3268AE3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CBD dose</w:t>
            </w:r>
          </w:p>
          <w:p w14:paraId="74EFBCC1" w14:textId="77777777" w:rsidR="00DB55B4" w:rsidRPr="00DB55B4" w:rsidRDefault="00DB55B4" w:rsidP="00591A66">
            <w:pPr>
              <w:spacing w:before="0" w:after="0"/>
              <w:jc w:val="center"/>
              <w:rPr>
                <w:rFonts w:eastAsia="Calibri" w:cs="Times New Roman"/>
                <w:b/>
                <w:bCs/>
                <w:sz w:val="12"/>
                <w:szCs w:val="12"/>
              </w:rPr>
            </w:pPr>
            <w:r w:rsidRPr="00DB55B4">
              <w:rPr>
                <w:rFonts w:eastAsia="Calibri" w:cs="Times New Roman"/>
                <w:sz w:val="12"/>
                <w:szCs w:val="12"/>
              </w:rPr>
              <w:t>mean/median</w:t>
            </w:r>
          </w:p>
        </w:tc>
        <w:tc>
          <w:tcPr>
            <w:tcW w:w="992" w:type="dxa"/>
            <w:tcBorders>
              <w:left w:val="single" w:sz="12" w:space="0" w:color="000000"/>
            </w:tcBorders>
            <w:noWrap/>
            <w:tcMar>
              <w:left w:w="0" w:type="dxa"/>
              <w:right w:w="0" w:type="dxa"/>
            </w:tcMar>
            <w:vAlign w:val="center"/>
            <w:hideMark/>
          </w:tcPr>
          <w:p w14:paraId="2C293D5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22.7 mg/kg/d</w:t>
            </w:r>
          </w:p>
          <w:p w14:paraId="4522E49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 8.5)</w:t>
            </w:r>
          </w:p>
        </w:tc>
        <w:tc>
          <w:tcPr>
            <w:tcW w:w="992" w:type="dxa"/>
            <w:tcMar>
              <w:left w:w="0" w:type="dxa"/>
              <w:right w:w="0" w:type="dxa"/>
            </w:tcMar>
            <w:vAlign w:val="center"/>
          </w:tcPr>
          <w:p w14:paraId="66A807E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25 mg/kg/d</w:t>
            </w:r>
          </w:p>
        </w:tc>
        <w:tc>
          <w:tcPr>
            <w:tcW w:w="992" w:type="dxa"/>
            <w:vAlign w:val="center"/>
          </w:tcPr>
          <w:p w14:paraId="57436E8C" w14:textId="77777777" w:rsidR="00DB55B4" w:rsidRPr="00DB55B4" w:rsidRDefault="00DB55B4" w:rsidP="00591A66">
            <w:pPr>
              <w:spacing w:before="0" w:after="0"/>
              <w:jc w:val="center"/>
              <w:rPr>
                <w:rFonts w:eastAsia="Arial" w:cs="Times New Roman"/>
                <w:color w:val="000000"/>
                <w:sz w:val="12"/>
                <w:szCs w:val="12"/>
              </w:rPr>
            </w:pPr>
            <w:r w:rsidRPr="00DB55B4">
              <w:rPr>
                <w:rFonts w:eastAsia="Calibri" w:cs="Times New Roman"/>
                <w:sz w:val="12"/>
                <w:szCs w:val="12"/>
              </w:rPr>
              <w:t>25 mg/kg/d</w:t>
            </w:r>
          </w:p>
        </w:tc>
        <w:tc>
          <w:tcPr>
            <w:tcW w:w="992" w:type="dxa"/>
            <w:tcBorders>
              <w:right w:val="single" w:sz="12" w:space="0" w:color="000000"/>
            </w:tcBorders>
            <w:tcMar>
              <w:left w:w="0" w:type="dxa"/>
              <w:right w:w="0" w:type="dxa"/>
            </w:tcMar>
            <w:vAlign w:val="center"/>
          </w:tcPr>
          <w:p w14:paraId="50F4DDF4" w14:textId="77777777" w:rsidR="00DB55B4" w:rsidRPr="00DB55B4" w:rsidRDefault="00DB55B4" w:rsidP="00591A66">
            <w:pPr>
              <w:spacing w:before="0" w:after="0"/>
              <w:jc w:val="center"/>
              <w:rPr>
                <w:rFonts w:eastAsia="Calibri" w:cs="Times New Roman"/>
                <w:sz w:val="12"/>
                <w:szCs w:val="12"/>
              </w:rPr>
            </w:pPr>
            <w:r w:rsidRPr="00DB55B4">
              <w:rPr>
                <w:rFonts w:eastAsia="Arial" w:cs="Times New Roman"/>
                <w:color w:val="000000"/>
                <w:sz w:val="12"/>
                <w:szCs w:val="12"/>
              </w:rPr>
              <w:t>13.5 ± 4.2 mg/kg/d</w:t>
            </w:r>
          </w:p>
        </w:tc>
        <w:tc>
          <w:tcPr>
            <w:tcW w:w="992" w:type="dxa"/>
            <w:tcBorders>
              <w:left w:val="single" w:sz="12" w:space="0" w:color="000000"/>
            </w:tcBorders>
            <w:noWrap/>
            <w:tcMar>
              <w:left w:w="0" w:type="dxa"/>
              <w:right w:w="0" w:type="dxa"/>
            </w:tcMar>
            <w:vAlign w:val="center"/>
            <w:hideMark/>
          </w:tcPr>
          <w:p w14:paraId="5CF3C576"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20 mg/kg/d</w:t>
            </w:r>
          </w:p>
        </w:tc>
        <w:tc>
          <w:tcPr>
            <w:tcW w:w="992" w:type="dxa"/>
            <w:tcMar>
              <w:left w:w="0" w:type="dxa"/>
              <w:right w:w="0" w:type="dxa"/>
            </w:tcMar>
            <w:vAlign w:val="center"/>
          </w:tcPr>
          <w:p w14:paraId="0EEB285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21 mg/kg/d</w:t>
            </w:r>
          </w:p>
        </w:tc>
        <w:tc>
          <w:tcPr>
            <w:tcW w:w="992" w:type="dxa"/>
            <w:tcMar>
              <w:left w:w="0" w:type="dxa"/>
              <w:right w:w="0" w:type="dxa"/>
            </w:tcMar>
            <w:vAlign w:val="center"/>
          </w:tcPr>
          <w:p w14:paraId="6E768D3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10 mg/kg/d,</w:t>
            </w:r>
          </w:p>
          <w:p w14:paraId="551405AA" w14:textId="77777777" w:rsidR="00DB55B4" w:rsidRPr="00DB55B4" w:rsidRDefault="00DB55B4" w:rsidP="00591A66">
            <w:pPr>
              <w:spacing w:before="0" w:after="0"/>
              <w:jc w:val="center"/>
              <w:rPr>
                <w:rFonts w:eastAsia="Arial" w:cs="Times New Roman"/>
                <w:color w:val="000000"/>
                <w:sz w:val="12"/>
                <w:szCs w:val="12"/>
              </w:rPr>
            </w:pPr>
            <w:r w:rsidRPr="00DB55B4">
              <w:rPr>
                <w:rFonts w:eastAsia="Calibri" w:cs="Times New Roman"/>
                <w:sz w:val="12"/>
                <w:szCs w:val="12"/>
              </w:rPr>
              <w:t>20 mg/kg/d</w:t>
            </w:r>
          </w:p>
        </w:tc>
        <w:tc>
          <w:tcPr>
            <w:tcW w:w="992" w:type="dxa"/>
            <w:tcBorders>
              <w:right w:val="single" w:sz="12" w:space="0" w:color="000000"/>
            </w:tcBorders>
            <w:tcMar>
              <w:left w:w="0" w:type="dxa"/>
              <w:right w:w="0" w:type="dxa"/>
            </w:tcMar>
            <w:vAlign w:val="center"/>
          </w:tcPr>
          <w:p w14:paraId="7C2A3BAC" w14:textId="77777777" w:rsidR="00DB55B4" w:rsidRPr="00DB55B4" w:rsidRDefault="00DB55B4" w:rsidP="00591A66">
            <w:pPr>
              <w:spacing w:before="0" w:after="0"/>
              <w:jc w:val="center"/>
              <w:rPr>
                <w:rFonts w:eastAsia="Calibri" w:cs="Times New Roman"/>
                <w:sz w:val="12"/>
                <w:szCs w:val="12"/>
              </w:rPr>
            </w:pPr>
            <w:r w:rsidRPr="00DB55B4">
              <w:rPr>
                <w:rFonts w:eastAsia="Arial" w:cs="Times New Roman"/>
                <w:color w:val="000000"/>
                <w:sz w:val="12"/>
                <w:szCs w:val="12"/>
              </w:rPr>
              <w:t>14 ± 3.6 mg/kg/d</w:t>
            </w:r>
          </w:p>
        </w:tc>
        <w:tc>
          <w:tcPr>
            <w:tcW w:w="992" w:type="dxa"/>
            <w:tcBorders>
              <w:left w:val="single" w:sz="12" w:space="0" w:color="000000"/>
            </w:tcBorders>
            <w:tcMar>
              <w:left w:w="0" w:type="dxa"/>
              <w:right w:w="0" w:type="dxa"/>
            </w:tcMar>
            <w:vAlign w:val="center"/>
          </w:tcPr>
          <w:p w14:paraId="7B402B6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10 mg/kg/d,</w:t>
            </w:r>
          </w:p>
          <w:p w14:paraId="67CEA47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20 mg/kg/d</w:t>
            </w:r>
          </w:p>
        </w:tc>
        <w:tc>
          <w:tcPr>
            <w:tcW w:w="992" w:type="dxa"/>
            <w:tcMar>
              <w:left w:w="0" w:type="dxa"/>
              <w:right w:w="0" w:type="dxa"/>
            </w:tcMar>
            <w:vAlign w:val="center"/>
          </w:tcPr>
          <w:p w14:paraId="7D88B8D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20 mg/kg/d</w:t>
            </w:r>
          </w:p>
        </w:tc>
        <w:tc>
          <w:tcPr>
            <w:tcW w:w="992" w:type="dxa"/>
            <w:noWrap/>
            <w:tcMar>
              <w:left w:w="0" w:type="dxa"/>
              <w:right w:w="0" w:type="dxa"/>
            </w:tcMar>
            <w:vAlign w:val="center"/>
            <w:hideMark/>
          </w:tcPr>
          <w:p w14:paraId="01288FE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22.8 mg/kg/d</w:t>
            </w:r>
          </w:p>
          <w:p w14:paraId="0C25BC4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 8.5)</w:t>
            </w:r>
          </w:p>
        </w:tc>
        <w:tc>
          <w:tcPr>
            <w:tcW w:w="992" w:type="dxa"/>
            <w:tcBorders>
              <w:right w:val="single" w:sz="12" w:space="0" w:color="000000"/>
            </w:tcBorders>
            <w:tcMar>
              <w:left w:w="0" w:type="dxa"/>
              <w:right w:w="0" w:type="dxa"/>
            </w:tcMar>
            <w:vAlign w:val="center"/>
          </w:tcPr>
          <w:p w14:paraId="1EB4D972" w14:textId="77777777" w:rsidR="00DB55B4" w:rsidRPr="00DB55B4" w:rsidRDefault="00DB55B4" w:rsidP="00591A66">
            <w:pPr>
              <w:spacing w:before="0" w:after="0"/>
              <w:jc w:val="center"/>
              <w:rPr>
                <w:rFonts w:eastAsia="Calibri" w:cs="Times New Roman"/>
                <w:sz w:val="12"/>
                <w:szCs w:val="12"/>
              </w:rPr>
            </w:pPr>
            <w:r w:rsidRPr="00DB55B4">
              <w:rPr>
                <w:rFonts w:eastAsia="Arial" w:cs="Times New Roman"/>
                <w:color w:val="000000"/>
                <w:sz w:val="12"/>
                <w:szCs w:val="12"/>
              </w:rPr>
              <w:t>13.1 ± 4.5 mg/kg/d</w:t>
            </w:r>
          </w:p>
        </w:tc>
      </w:tr>
      <w:tr w:rsidR="00DB55B4" w:rsidRPr="00DB55B4" w14:paraId="1B5D7254" w14:textId="77777777" w:rsidTr="00591A66">
        <w:trPr>
          <w:trHeight w:val="300"/>
          <w:jc w:val="center"/>
        </w:trPr>
        <w:tc>
          <w:tcPr>
            <w:tcW w:w="1387" w:type="dxa"/>
            <w:tcBorders>
              <w:right w:val="single" w:sz="12" w:space="0" w:color="000000"/>
            </w:tcBorders>
            <w:noWrap/>
            <w:vAlign w:val="center"/>
            <w:hideMark/>
          </w:tcPr>
          <w:p w14:paraId="6A43FA2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CONVULSIVE</w:t>
            </w:r>
          </w:p>
          <w:p w14:paraId="4CE054C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seizures</w:t>
            </w:r>
          </w:p>
        </w:tc>
        <w:tc>
          <w:tcPr>
            <w:tcW w:w="992" w:type="dxa"/>
            <w:tcBorders>
              <w:left w:val="single" w:sz="12" w:space="0" w:color="000000"/>
            </w:tcBorders>
            <w:noWrap/>
            <w:tcMar>
              <w:left w:w="0" w:type="dxa"/>
              <w:right w:w="0" w:type="dxa"/>
            </w:tcMar>
            <w:vAlign w:val="center"/>
            <w:hideMark/>
          </w:tcPr>
          <w:p w14:paraId="5520B3F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62A5505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-51% (at 12 w)</w:t>
            </w:r>
          </w:p>
        </w:tc>
        <w:tc>
          <w:tcPr>
            <w:tcW w:w="992" w:type="dxa"/>
            <w:vAlign w:val="center"/>
          </w:tcPr>
          <w:p w14:paraId="7B070CB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Borders>
              <w:right w:val="single" w:sz="12" w:space="0" w:color="000000"/>
            </w:tcBorders>
            <w:tcMar>
              <w:left w:w="0" w:type="dxa"/>
              <w:right w:w="0" w:type="dxa"/>
            </w:tcMar>
            <w:vAlign w:val="center"/>
          </w:tcPr>
          <w:p w14:paraId="58809C47" w14:textId="77777777" w:rsidR="00DB55B4" w:rsidRPr="00DB55B4" w:rsidRDefault="00DB55B4" w:rsidP="00591A66">
            <w:pPr>
              <w:spacing w:before="0" w:after="0"/>
              <w:jc w:val="center"/>
              <w:rPr>
                <w:rFonts w:eastAsia="Calibri" w:cs="Times New Roman"/>
                <w:sz w:val="12"/>
                <w:szCs w:val="12"/>
              </w:rPr>
            </w:pPr>
          </w:p>
        </w:tc>
        <w:tc>
          <w:tcPr>
            <w:tcW w:w="992" w:type="dxa"/>
            <w:tcBorders>
              <w:left w:val="single" w:sz="12" w:space="0" w:color="000000"/>
            </w:tcBorders>
            <w:noWrap/>
            <w:tcMar>
              <w:left w:w="0" w:type="dxa"/>
              <w:right w:w="0" w:type="dxa"/>
            </w:tcMar>
            <w:vAlign w:val="center"/>
            <w:hideMark/>
          </w:tcPr>
          <w:p w14:paraId="58F8461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-38.9 %</w:t>
            </w:r>
          </w:p>
          <w:p w14:paraId="47A64C6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[-69.5 to -4.8]</w:t>
            </w:r>
          </w:p>
        </w:tc>
        <w:tc>
          <w:tcPr>
            <w:tcW w:w="992" w:type="dxa"/>
            <w:tcMar>
              <w:left w:w="0" w:type="dxa"/>
              <w:right w:w="0" w:type="dxa"/>
            </w:tcMar>
            <w:vAlign w:val="center"/>
          </w:tcPr>
          <w:p w14:paraId="51CD058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-44% (37-48w)</w:t>
            </w:r>
          </w:p>
          <w:p w14:paraId="4159A8D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[-83 to -5]</w:t>
            </w:r>
          </w:p>
        </w:tc>
        <w:tc>
          <w:tcPr>
            <w:tcW w:w="992" w:type="dxa"/>
            <w:tcMar>
              <w:left w:w="0" w:type="dxa"/>
              <w:right w:w="0" w:type="dxa"/>
            </w:tcMar>
            <w:vAlign w:val="center"/>
          </w:tcPr>
          <w:p w14:paraId="27AE2A2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-48.7% (14w)</w:t>
            </w:r>
          </w:p>
          <w:p w14:paraId="5F94C86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-45.7% (14w)</w:t>
            </w:r>
          </w:p>
        </w:tc>
        <w:tc>
          <w:tcPr>
            <w:tcW w:w="992" w:type="dxa"/>
            <w:tcBorders>
              <w:right w:val="single" w:sz="12" w:space="0" w:color="000000"/>
            </w:tcBorders>
            <w:tcMar>
              <w:left w:w="0" w:type="dxa"/>
              <w:right w:w="0" w:type="dxa"/>
            </w:tcMar>
            <w:vAlign w:val="center"/>
          </w:tcPr>
          <w:p w14:paraId="69D9F3C2" w14:textId="77777777" w:rsidR="00DB55B4" w:rsidRPr="00DB55B4" w:rsidRDefault="00DB55B4" w:rsidP="00591A66">
            <w:pPr>
              <w:spacing w:before="0" w:after="0"/>
              <w:jc w:val="center"/>
              <w:rPr>
                <w:rFonts w:eastAsia="Calibri" w:cs="Times New Roman"/>
                <w:sz w:val="12"/>
                <w:szCs w:val="12"/>
              </w:rPr>
            </w:pPr>
          </w:p>
        </w:tc>
        <w:tc>
          <w:tcPr>
            <w:tcW w:w="992" w:type="dxa"/>
            <w:tcBorders>
              <w:left w:val="single" w:sz="12" w:space="0" w:color="000000"/>
            </w:tcBorders>
            <w:tcMar>
              <w:left w:w="0" w:type="dxa"/>
              <w:right w:w="0" w:type="dxa"/>
            </w:tcMar>
            <w:vAlign w:val="center"/>
          </w:tcPr>
          <w:p w14:paraId="6969447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0674BE7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noWrap/>
            <w:tcMar>
              <w:left w:w="0" w:type="dxa"/>
              <w:right w:w="0" w:type="dxa"/>
            </w:tcMar>
            <w:vAlign w:val="center"/>
            <w:hideMark/>
          </w:tcPr>
          <w:p w14:paraId="47BC5D6F"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Borders>
              <w:right w:val="single" w:sz="12" w:space="0" w:color="000000"/>
            </w:tcBorders>
            <w:tcMar>
              <w:left w:w="0" w:type="dxa"/>
              <w:right w:w="0" w:type="dxa"/>
            </w:tcMar>
            <w:vAlign w:val="center"/>
          </w:tcPr>
          <w:p w14:paraId="2059429E" w14:textId="77777777" w:rsidR="00DB55B4" w:rsidRPr="00DB55B4" w:rsidRDefault="00DB55B4" w:rsidP="00591A66">
            <w:pPr>
              <w:spacing w:before="0" w:after="0"/>
              <w:jc w:val="center"/>
              <w:rPr>
                <w:rFonts w:eastAsia="Calibri" w:cs="Times New Roman"/>
                <w:sz w:val="12"/>
                <w:szCs w:val="12"/>
              </w:rPr>
            </w:pPr>
          </w:p>
        </w:tc>
      </w:tr>
      <w:tr w:rsidR="00DB55B4" w:rsidRPr="00DB55B4" w14:paraId="66809E58" w14:textId="77777777" w:rsidTr="00591A66">
        <w:trPr>
          <w:trHeight w:val="300"/>
          <w:jc w:val="center"/>
        </w:trPr>
        <w:tc>
          <w:tcPr>
            <w:tcW w:w="1387" w:type="dxa"/>
            <w:tcBorders>
              <w:right w:val="single" w:sz="12" w:space="0" w:color="000000"/>
            </w:tcBorders>
            <w:noWrap/>
            <w:vAlign w:val="center"/>
            <w:hideMark/>
          </w:tcPr>
          <w:p w14:paraId="6AF7CC9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DROP</w:t>
            </w:r>
          </w:p>
          <w:p w14:paraId="3F6FBE8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seizures</w:t>
            </w:r>
          </w:p>
        </w:tc>
        <w:tc>
          <w:tcPr>
            <w:tcW w:w="992" w:type="dxa"/>
            <w:tcBorders>
              <w:left w:val="single" w:sz="12" w:space="0" w:color="000000"/>
            </w:tcBorders>
            <w:noWrap/>
            <w:tcMar>
              <w:left w:w="0" w:type="dxa"/>
              <w:right w:w="0" w:type="dxa"/>
            </w:tcMar>
            <w:vAlign w:val="center"/>
            <w:hideMark/>
          </w:tcPr>
          <w:p w14:paraId="3CED119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6DC8B1CF"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vAlign w:val="center"/>
          </w:tcPr>
          <w:p w14:paraId="475A37E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Borders>
              <w:right w:val="single" w:sz="12" w:space="0" w:color="000000"/>
            </w:tcBorders>
            <w:tcMar>
              <w:left w:w="0" w:type="dxa"/>
              <w:right w:w="0" w:type="dxa"/>
            </w:tcMar>
            <w:vAlign w:val="center"/>
          </w:tcPr>
          <w:p w14:paraId="6B1E78F2" w14:textId="77777777" w:rsidR="00DB55B4" w:rsidRPr="00DB55B4" w:rsidRDefault="00DB55B4" w:rsidP="00591A66">
            <w:pPr>
              <w:spacing w:before="0" w:after="0"/>
              <w:jc w:val="center"/>
              <w:rPr>
                <w:rFonts w:eastAsia="Calibri" w:cs="Times New Roman"/>
                <w:sz w:val="12"/>
                <w:szCs w:val="12"/>
              </w:rPr>
            </w:pPr>
          </w:p>
        </w:tc>
        <w:tc>
          <w:tcPr>
            <w:tcW w:w="992" w:type="dxa"/>
            <w:tcBorders>
              <w:left w:val="single" w:sz="12" w:space="0" w:color="000000"/>
            </w:tcBorders>
            <w:noWrap/>
            <w:tcMar>
              <w:left w:w="0" w:type="dxa"/>
              <w:right w:w="0" w:type="dxa"/>
            </w:tcMar>
            <w:vAlign w:val="center"/>
            <w:hideMark/>
          </w:tcPr>
          <w:p w14:paraId="0B12BD5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68F5D1B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Mar>
              <w:left w:w="0" w:type="dxa"/>
              <w:right w:w="0" w:type="dxa"/>
            </w:tcMar>
            <w:vAlign w:val="center"/>
          </w:tcPr>
          <w:p w14:paraId="397B855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Borders>
              <w:right w:val="single" w:sz="12" w:space="0" w:color="000000"/>
            </w:tcBorders>
            <w:tcMar>
              <w:left w:w="0" w:type="dxa"/>
              <w:right w:w="0" w:type="dxa"/>
            </w:tcMar>
            <w:vAlign w:val="center"/>
          </w:tcPr>
          <w:p w14:paraId="52B834D9" w14:textId="77777777" w:rsidR="00DB55B4" w:rsidRPr="00DB55B4" w:rsidRDefault="00DB55B4" w:rsidP="00591A66">
            <w:pPr>
              <w:spacing w:before="0" w:after="0"/>
              <w:jc w:val="center"/>
              <w:rPr>
                <w:rFonts w:eastAsia="Calibri" w:cs="Times New Roman"/>
                <w:sz w:val="12"/>
                <w:szCs w:val="12"/>
              </w:rPr>
            </w:pPr>
          </w:p>
        </w:tc>
        <w:tc>
          <w:tcPr>
            <w:tcW w:w="992" w:type="dxa"/>
            <w:tcBorders>
              <w:left w:val="single" w:sz="12" w:space="0" w:color="000000"/>
            </w:tcBorders>
            <w:tcMar>
              <w:left w:w="0" w:type="dxa"/>
              <w:right w:w="0" w:type="dxa"/>
            </w:tcMar>
            <w:vAlign w:val="center"/>
          </w:tcPr>
          <w:p w14:paraId="7FD0508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-37.2%,</w:t>
            </w:r>
          </w:p>
          <w:p w14:paraId="75AE5A3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-41.9%</w:t>
            </w:r>
          </w:p>
        </w:tc>
        <w:tc>
          <w:tcPr>
            <w:tcW w:w="992" w:type="dxa"/>
            <w:tcMar>
              <w:left w:w="0" w:type="dxa"/>
              <w:right w:w="0" w:type="dxa"/>
            </w:tcMar>
            <w:vAlign w:val="center"/>
          </w:tcPr>
          <w:p w14:paraId="3CC867C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-43.9%</w:t>
            </w:r>
          </w:p>
          <w:p w14:paraId="6F41BE6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[-69.6 to -1.9]</w:t>
            </w:r>
          </w:p>
        </w:tc>
        <w:tc>
          <w:tcPr>
            <w:tcW w:w="992" w:type="dxa"/>
            <w:noWrap/>
            <w:tcMar>
              <w:left w:w="0" w:type="dxa"/>
              <w:right w:w="0" w:type="dxa"/>
            </w:tcMar>
            <w:vAlign w:val="center"/>
            <w:hideMark/>
          </w:tcPr>
          <w:p w14:paraId="4832DE2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-60% (37-48 w)</w:t>
            </w:r>
          </w:p>
          <w:p w14:paraId="6281122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[-88 to -23]</w:t>
            </w:r>
          </w:p>
        </w:tc>
        <w:tc>
          <w:tcPr>
            <w:tcW w:w="992" w:type="dxa"/>
            <w:tcBorders>
              <w:right w:val="single" w:sz="12" w:space="0" w:color="000000"/>
            </w:tcBorders>
            <w:tcMar>
              <w:left w:w="0" w:type="dxa"/>
              <w:right w:w="0" w:type="dxa"/>
            </w:tcMar>
            <w:vAlign w:val="center"/>
          </w:tcPr>
          <w:p w14:paraId="0CA30EEF" w14:textId="77777777" w:rsidR="00DB55B4" w:rsidRPr="00DB55B4" w:rsidRDefault="00DB55B4" w:rsidP="00591A66">
            <w:pPr>
              <w:spacing w:before="0" w:after="0"/>
              <w:jc w:val="center"/>
              <w:rPr>
                <w:rFonts w:eastAsia="Calibri" w:cs="Times New Roman"/>
                <w:sz w:val="12"/>
                <w:szCs w:val="12"/>
              </w:rPr>
            </w:pPr>
          </w:p>
        </w:tc>
      </w:tr>
      <w:tr w:rsidR="00DB55B4" w:rsidRPr="00DB55B4" w14:paraId="1F24E5A4" w14:textId="77777777" w:rsidTr="00591A66">
        <w:trPr>
          <w:trHeight w:val="300"/>
          <w:jc w:val="center"/>
        </w:trPr>
        <w:tc>
          <w:tcPr>
            <w:tcW w:w="1387" w:type="dxa"/>
            <w:tcBorders>
              <w:right w:val="single" w:sz="12" w:space="0" w:color="000000"/>
            </w:tcBorders>
            <w:noWrap/>
            <w:vAlign w:val="center"/>
            <w:hideMark/>
          </w:tcPr>
          <w:p w14:paraId="6F4786A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TOTAL seizures</w:t>
            </w:r>
          </w:p>
          <w:p w14:paraId="2605E26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(monthly frequency)</w:t>
            </w:r>
          </w:p>
        </w:tc>
        <w:tc>
          <w:tcPr>
            <w:tcW w:w="992" w:type="dxa"/>
            <w:tcBorders>
              <w:left w:val="single" w:sz="12" w:space="0" w:color="000000"/>
            </w:tcBorders>
            <w:noWrap/>
            <w:tcMar>
              <w:left w:w="0" w:type="dxa"/>
              <w:right w:w="0" w:type="dxa"/>
            </w:tcMar>
            <w:vAlign w:val="center"/>
            <w:hideMark/>
          </w:tcPr>
          <w:p w14:paraId="4ACC522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-34.6%</w:t>
            </w:r>
          </w:p>
          <w:p w14:paraId="1B77905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[-66.7 to -9.8]</w:t>
            </w:r>
          </w:p>
        </w:tc>
        <w:tc>
          <w:tcPr>
            <w:tcW w:w="992" w:type="dxa"/>
            <w:tcMar>
              <w:left w:w="0" w:type="dxa"/>
              <w:right w:w="0" w:type="dxa"/>
            </w:tcMar>
            <w:vAlign w:val="center"/>
          </w:tcPr>
          <w:p w14:paraId="54E9E12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-48% (at 12 w)</w:t>
            </w:r>
          </w:p>
        </w:tc>
        <w:tc>
          <w:tcPr>
            <w:tcW w:w="992" w:type="dxa"/>
            <w:tcMar>
              <w:left w:w="0" w:type="dxa"/>
              <w:right w:w="0" w:type="dxa"/>
            </w:tcMar>
            <w:vAlign w:val="center"/>
          </w:tcPr>
          <w:p w14:paraId="2B6E824F" w14:textId="7474BFA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-41  -46%</w:t>
            </w:r>
          </w:p>
          <w:p w14:paraId="4989E9F0"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(12w to 96 w)</w:t>
            </w:r>
          </w:p>
        </w:tc>
        <w:tc>
          <w:tcPr>
            <w:tcW w:w="992" w:type="dxa"/>
            <w:tcBorders>
              <w:right w:val="single" w:sz="12" w:space="0" w:color="000000"/>
            </w:tcBorders>
            <w:tcMar>
              <w:left w:w="0" w:type="dxa"/>
              <w:right w:w="0" w:type="dxa"/>
            </w:tcMar>
            <w:vAlign w:val="center"/>
          </w:tcPr>
          <w:p w14:paraId="4AE082D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-41</w:t>
            </w:r>
            <w:r w:rsidRPr="00DB55B4">
              <w:rPr>
                <w:rFonts w:eastAsia="Arial" w:cs="Times New Roman"/>
                <w:color w:val="000000"/>
                <w:sz w:val="12"/>
                <w:szCs w:val="12"/>
              </w:rPr>
              <w:t>± 37.5% at 27 w</w:t>
            </w:r>
          </w:p>
        </w:tc>
        <w:tc>
          <w:tcPr>
            <w:tcW w:w="992" w:type="dxa"/>
            <w:tcBorders>
              <w:left w:val="single" w:sz="12" w:space="0" w:color="000000"/>
            </w:tcBorders>
            <w:noWrap/>
            <w:tcMar>
              <w:left w:w="0" w:type="dxa"/>
              <w:right w:w="0" w:type="dxa"/>
            </w:tcMar>
            <w:vAlign w:val="center"/>
            <w:hideMark/>
          </w:tcPr>
          <w:p w14:paraId="2208461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-28.6%</w:t>
            </w:r>
          </w:p>
          <w:p w14:paraId="32761EA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[-70 to -4]</w:t>
            </w:r>
          </w:p>
        </w:tc>
        <w:tc>
          <w:tcPr>
            <w:tcW w:w="992" w:type="dxa"/>
            <w:tcMar>
              <w:left w:w="0" w:type="dxa"/>
              <w:right w:w="0" w:type="dxa"/>
            </w:tcMar>
            <w:vAlign w:val="center"/>
          </w:tcPr>
          <w:p w14:paraId="7883946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-39.5% (37-48w)</w:t>
            </w:r>
          </w:p>
          <w:p w14:paraId="6AE1578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[-86 to +7]</w:t>
            </w:r>
          </w:p>
        </w:tc>
        <w:tc>
          <w:tcPr>
            <w:tcW w:w="992" w:type="dxa"/>
            <w:tcMar>
              <w:left w:w="0" w:type="dxa"/>
              <w:right w:w="0" w:type="dxa"/>
            </w:tcMar>
            <w:vAlign w:val="center"/>
          </w:tcPr>
          <w:p w14:paraId="61E70EA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- 56.4% (14 w)</w:t>
            </w:r>
          </w:p>
          <w:p w14:paraId="7829592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- 47.3% (14 w)</w:t>
            </w:r>
          </w:p>
        </w:tc>
        <w:tc>
          <w:tcPr>
            <w:tcW w:w="992" w:type="dxa"/>
            <w:tcBorders>
              <w:right w:val="single" w:sz="12" w:space="0" w:color="000000"/>
            </w:tcBorders>
            <w:tcMar>
              <w:left w:w="0" w:type="dxa"/>
              <w:right w:w="0" w:type="dxa"/>
            </w:tcMar>
            <w:vAlign w:val="center"/>
          </w:tcPr>
          <w:p w14:paraId="654E3A7B"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-43.9 ± 37.2%. at 27 w</w:t>
            </w:r>
          </w:p>
        </w:tc>
        <w:tc>
          <w:tcPr>
            <w:tcW w:w="992" w:type="dxa"/>
            <w:tcBorders>
              <w:left w:val="single" w:sz="12" w:space="0" w:color="000000"/>
            </w:tcBorders>
            <w:tcMar>
              <w:left w:w="0" w:type="dxa"/>
              <w:right w:w="0" w:type="dxa"/>
            </w:tcMar>
            <w:vAlign w:val="center"/>
          </w:tcPr>
          <w:p w14:paraId="052670B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-36.4%,</w:t>
            </w:r>
          </w:p>
          <w:p w14:paraId="2EBE721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-38.4%</w:t>
            </w:r>
          </w:p>
        </w:tc>
        <w:tc>
          <w:tcPr>
            <w:tcW w:w="992" w:type="dxa"/>
            <w:tcMar>
              <w:left w:w="0" w:type="dxa"/>
              <w:right w:w="0" w:type="dxa"/>
            </w:tcMar>
            <w:vAlign w:val="center"/>
          </w:tcPr>
          <w:p w14:paraId="5B2AFDB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-41.2%</w:t>
            </w:r>
          </w:p>
          <w:p w14:paraId="1B546C3D"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[-62.9 to -13]</w:t>
            </w:r>
          </w:p>
        </w:tc>
        <w:tc>
          <w:tcPr>
            <w:tcW w:w="992" w:type="dxa"/>
            <w:noWrap/>
            <w:tcMar>
              <w:left w:w="0" w:type="dxa"/>
              <w:right w:w="0" w:type="dxa"/>
            </w:tcMar>
            <w:vAlign w:val="center"/>
            <w:hideMark/>
          </w:tcPr>
          <w:p w14:paraId="10C92552"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-57% (37-48 w)</w:t>
            </w:r>
          </w:p>
          <w:p w14:paraId="0FA9875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[-82 to -22]</w:t>
            </w:r>
          </w:p>
        </w:tc>
        <w:tc>
          <w:tcPr>
            <w:tcW w:w="992" w:type="dxa"/>
            <w:tcBorders>
              <w:right w:val="single" w:sz="12" w:space="0" w:color="000000"/>
            </w:tcBorders>
            <w:tcMar>
              <w:left w:w="0" w:type="dxa"/>
              <w:right w:w="0" w:type="dxa"/>
            </w:tcMar>
            <w:vAlign w:val="center"/>
          </w:tcPr>
          <w:p w14:paraId="75BAED0C" w14:textId="77777777" w:rsidR="00DB55B4" w:rsidRPr="00DB55B4" w:rsidRDefault="00DB55B4" w:rsidP="00591A66">
            <w:pPr>
              <w:spacing w:before="0" w:after="0"/>
              <w:jc w:val="center"/>
              <w:rPr>
                <w:rFonts w:eastAsia="Calibri" w:cs="Times New Roman"/>
                <w:sz w:val="12"/>
                <w:szCs w:val="12"/>
              </w:rPr>
            </w:pPr>
            <w:r w:rsidRPr="00DB55B4">
              <w:rPr>
                <w:rFonts w:eastAsia="Arial" w:cs="Times New Roman"/>
                <w:color w:val="000000"/>
                <w:sz w:val="12"/>
                <w:szCs w:val="12"/>
              </w:rPr>
              <w:t>-42.1± 38.7% at 27 w</w:t>
            </w:r>
          </w:p>
        </w:tc>
      </w:tr>
      <w:tr w:rsidR="00DB55B4" w:rsidRPr="00DB55B4" w14:paraId="68A6C21A" w14:textId="77777777" w:rsidTr="00591A66">
        <w:trPr>
          <w:trHeight w:val="300"/>
          <w:jc w:val="center"/>
        </w:trPr>
        <w:tc>
          <w:tcPr>
            <w:tcW w:w="1387" w:type="dxa"/>
            <w:tcBorders>
              <w:right w:val="single" w:sz="12" w:space="0" w:color="000000"/>
            </w:tcBorders>
            <w:noWrap/>
            <w:vAlign w:val="center"/>
          </w:tcPr>
          <w:p w14:paraId="658A76D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TOTAL seizures</w:t>
            </w:r>
          </w:p>
          <w:p w14:paraId="0BFE84D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(≥50% reduction)</w:t>
            </w:r>
          </w:p>
        </w:tc>
        <w:tc>
          <w:tcPr>
            <w:tcW w:w="992" w:type="dxa"/>
            <w:tcBorders>
              <w:left w:val="single" w:sz="12" w:space="0" w:color="000000"/>
              <w:bottom w:val="single" w:sz="12" w:space="0" w:color="000000"/>
            </w:tcBorders>
            <w:noWrap/>
            <w:tcMar>
              <w:left w:w="0" w:type="dxa"/>
              <w:right w:w="0" w:type="dxa"/>
            </w:tcMar>
            <w:vAlign w:val="center"/>
          </w:tcPr>
          <w:p w14:paraId="3E3A879E"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51 (37%)</w:t>
            </w:r>
          </w:p>
        </w:tc>
        <w:tc>
          <w:tcPr>
            <w:tcW w:w="992" w:type="dxa"/>
            <w:tcBorders>
              <w:bottom w:val="single" w:sz="12" w:space="0" w:color="000000"/>
            </w:tcBorders>
            <w:tcMar>
              <w:left w:w="0" w:type="dxa"/>
              <w:right w:w="0" w:type="dxa"/>
            </w:tcMar>
            <w:vAlign w:val="center"/>
          </w:tcPr>
          <w:p w14:paraId="667180A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211/431 (49%)</w:t>
            </w:r>
          </w:p>
          <w:p w14:paraId="2B607E3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(at 12 w)</w:t>
            </w:r>
          </w:p>
        </w:tc>
        <w:tc>
          <w:tcPr>
            <w:tcW w:w="992" w:type="dxa"/>
            <w:tcBorders>
              <w:bottom w:val="single" w:sz="12" w:space="0" w:color="000000"/>
            </w:tcBorders>
            <w:vAlign w:val="center"/>
          </w:tcPr>
          <w:p w14:paraId="2FD73377"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Between 43 and 50%</w:t>
            </w:r>
          </w:p>
        </w:tc>
        <w:tc>
          <w:tcPr>
            <w:tcW w:w="992" w:type="dxa"/>
            <w:tcBorders>
              <w:bottom w:val="single" w:sz="12" w:space="0" w:color="000000"/>
              <w:right w:val="single" w:sz="12" w:space="0" w:color="000000"/>
            </w:tcBorders>
            <w:tcMar>
              <w:left w:w="0" w:type="dxa"/>
              <w:right w:w="0" w:type="dxa"/>
            </w:tcMar>
            <w:vAlign w:val="center"/>
          </w:tcPr>
          <w:p w14:paraId="6DDE1F2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28 (37.8%) at 27 w</w:t>
            </w:r>
          </w:p>
        </w:tc>
        <w:tc>
          <w:tcPr>
            <w:tcW w:w="992" w:type="dxa"/>
            <w:tcBorders>
              <w:left w:val="single" w:sz="12" w:space="0" w:color="000000"/>
              <w:bottom w:val="single" w:sz="12" w:space="0" w:color="000000"/>
            </w:tcBorders>
            <w:noWrap/>
            <w:tcMar>
              <w:left w:w="0" w:type="dxa"/>
              <w:right w:w="0" w:type="dxa"/>
            </w:tcMar>
            <w:vAlign w:val="center"/>
          </w:tcPr>
          <w:p w14:paraId="7D5D89C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Borders>
              <w:bottom w:val="single" w:sz="12" w:space="0" w:color="000000"/>
            </w:tcBorders>
            <w:tcMar>
              <w:left w:w="0" w:type="dxa"/>
              <w:right w:w="0" w:type="dxa"/>
            </w:tcMar>
            <w:vAlign w:val="center"/>
          </w:tcPr>
          <w:p w14:paraId="087BB878"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42 (40%)</w:t>
            </w:r>
          </w:p>
          <w:p w14:paraId="0D607BFC"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(37-48w)</w:t>
            </w:r>
          </w:p>
        </w:tc>
        <w:tc>
          <w:tcPr>
            <w:tcW w:w="992" w:type="dxa"/>
            <w:tcBorders>
              <w:bottom w:val="single" w:sz="12" w:space="0" w:color="000000"/>
            </w:tcBorders>
            <w:tcMar>
              <w:left w:w="0" w:type="dxa"/>
              <w:right w:w="0" w:type="dxa"/>
            </w:tcMar>
            <w:vAlign w:val="center"/>
          </w:tcPr>
          <w:p w14:paraId="4981225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29 (43.9%)</w:t>
            </w:r>
          </w:p>
          <w:p w14:paraId="7A0FAC2F"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33 (49.3%)</w:t>
            </w:r>
          </w:p>
        </w:tc>
        <w:tc>
          <w:tcPr>
            <w:tcW w:w="992" w:type="dxa"/>
            <w:tcBorders>
              <w:bottom w:val="single" w:sz="12" w:space="0" w:color="000000"/>
              <w:right w:val="single" w:sz="12" w:space="0" w:color="000000"/>
            </w:tcBorders>
            <w:tcMar>
              <w:left w:w="0" w:type="dxa"/>
              <w:right w:w="0" w:type="dxa"/>
            </w:tcMar>
            <w:vAlign w:val="center"/>
          </w:tcPr>
          <w:p w14:paraId="464D90F1"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8 (34.8%) at 27 w</w:t>
            </w:r>
          </w:p>
        </w:tc>
        <w:tc>
          <w:tcPr>
            <w:tcW w:w="992" w:type="dxa"/>
            <w:tcBorders>
              <w:left w:val="single" w:sz="12" w:space="0" w:color="000000"/>
              <w:bottom w:val="single" w:sz="12" w:space="0" w:color="000000"/>
            </w:tcBorders>
            <w:tcMar>
              <w:left w:w="0" w:type="dxa"/>
              <w:right w:w="0" w:type="dxa"/>
            </w:tcMar>
            <w:vAlign w:val="center"/>
          </w:tcPr>
          <w:p w14:paraId="28BE4FC9"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Borders>
              <w:bottom w:val="single" w:sz="12" w:space="0" w:color="000000"/>
            </w:tcBorders>
            <w:tcMar>
              <w:left w:w="0" w:type="dxa"/>
              <w:right w:w="0" w:type="dxa"/>
            </w:tcMar>
            <w:vAlign w:val="center"/>
          </w:tcPr>
          <w:p w14:paraId="28078A84"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w:t>
            </w:r>
          </w:p>
        </w:tc>
        <w:tc>
          <w:tcPr>
            <w:tcW w:w="992" w:type="dxa"/>
            <w:tcBorders>
              <w:bottom w:val="single" w:sz="12" w:space="0" w:color="000000"/>
            </w:tcBorders>
            <w:noWrap/>
            <w:tcMar>
              <w:left w:w="0" w:type="dxa"/>
              <w:right w:w="0" w:type="dxa"/>
            </w:tcMar>
            <w:vAlign w:val="center"/>
          </w:tcPr>
          <w:p w14:paraId="4459C225"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123/209 (59%)</w:t>
            </w:r>
          </w:p>
          <w:p w14:paraId="4279D743"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(37-48 w)</w:t>
            </w:r>
          </w:p>
        </w:tc>
        <w:tc>
          <w:tcPr>
            <w:tcW w:w="992" w:type="dxa"/>
            <w:tcBorders>
              <w:bottom w:val="single" w:sz="12" w:space="0" w:color="000000"/>
              <w:right w:val="single" w:sz="12" w:space="0" w:color="000000"/>
            </w:tcBorders>
            <w:tcMar>
              <w:left w:w="0" w:type="dxa"/>
              <w:right w:w="0" w:type="dxa"/>
            </w:tcMar>
            <w:vAlign w:val="center"/>
          </w:tcPr>
          <w:p w14:paraId="57440CAA" w14:textId="77777777" w:rsidR="00DB55B4" w:rsidRPr="00DB55B4" w:rsidRDefault="00DB55B4" w:rsidP="00591A66">
            <w:pPr>
              <w:spacing w:before="0" w:after="0"/>
              <w:jc w:val="center"/>
              <w:rPr>
                <w:rFonts w:eastAsia="Calibri" w:cs="Times New Roman"/>
                <w:sz w:val="12"/>
                <w:szCs w:val="12"/>
              </w:rPr>
            </w:pPr>
            <w:r w:rsidRPr="00DB55B4">
              <w:rPr>
                <w:rFonts w:eastAsia="Calibri" w:cs="Times New Roman"/>
                <w:sz w:val="12"/>
                <w:szCs w:val="12"/>
              </w:rPr>
              <w:t>18 (43.9%) at 27 w</w:t>
            </w:r>
          </w:p>
        </w:tc>
      </w:tr>
    </w:tbl>
    <w:p w14:paraId="6071524F" w14:textId="77777777" w:rsidR="00DB55B4" w:rsidRPr="00DB55B4" w:rsidRDefault="00DB55B4" w:rsidP="00523AE9">
      <w:pPr>
        <w:spacing w:before="0" w:after="0"/>
        <w:jc w:val="both"/>
        <w:rPr>
          <w:rFonts w:eastAsia="Calibri" w:cs="Times New Roman"/>
          <w:szCs w:val="24"/>
          <w:lang w:val="it-IT"/>
        </w:rPr>
      </w:pPr>
    </w:p>
    <w:p w14:paraId="766F8BFE" w14:textId="77777777" w:rsidR="00DB55B4" w:rsidRPr="00DB55B4" w:rsidRDefault="00DB55B4" w:rsidP="00523AE9">
      <w:pPr>
        <w:spacing w:before="0" w:after="160" w:line="259" w:lineRule="auto"/>
        <w:jc w:val="both"/>
        <w:rPr>
          <w:rFonts w:eastAsia="Calibri" w:cs="Times New Roman"/>
          <w:szCs w:val="24"/>
          <w:lang w:val="it-IT"/>
        </w:rPr>
      </w:pPr>
      <w:r w:rsidRPr="00DB55B4">
        <w:rPr>
          <w:rFonts w:eastAsia="Calibri" w:cs="Times New Roman"/>
          <w:szCs w:val="24"/>
          <w:lang w:val="it-IT"/>
        </w:rPr>
        <w:t>Data are n (%), mean ± standard deviation or median [25th to 75th percentile].</w:t>
      </w:r>
    </w:p>
    <w:p w14:paraId="305A93AC" w14:textId="77777777" w:rsidR="00DB55B4" w:rsidRPr="00DB55B4" w:rsidRDefault="00DB55B4" w:rsidP="00523AE9">
      <w:pPr>
        <w:spacing w:before="0" w:after="0"/>
        <w:jc w:val="both"/>
        <w:rPr>
          <w:rFonts w:eastAsia="Calibri" w:cs="Times New Roman"/>
          <w:sz w:val="16"/>
          <w:szCs w:val="16"/>
          <w:lang w:val="it-IT"/>
        </w:rPr>
      </w:pPr>
      <w:r w:rsidRPr="00DB55B4">
        <w:rPr>
          <w:rFonts w:eastAsia="Calibri" w:cs="Times New Roman"/>
          <w:szCs w:val="24"/>
          <w:lang w:val="it-IT"/>
        </w:rPr>
        <w:t>Legend: CBD Cannabidiol, CGI-I Clinical Global Impression-Improvement</w:t>
      </w:r>
      <w:r w:rsidRPr="00DB55B4">
        <w:rPr>
          <w:rFonts w:eastAsia="Calibri" w:cs="Times New Roman"/>
          <w:sz w:val="16"/>
          <w:szCs w:val="16"/>
          <w:lang w:val="it-IT"/>
        </w:rPr>
        <w:t xml:space="preserve">. </w:t>
      </w:r>
    </w:p>
    <w:p w14:paraId="1DE005D4" w14:textId="77777777" w:rsidR="00DB55B4" w:rsidRPr="00DB55B4" w:rsidRDefault="00DB55B4" w:rsidP="00523AE9">
      <w:pPr>
        <w:spacing w:before="0" w:after="0"/>
        <w:jc w:val="both"/>
        <w:rPr>
          <w:rFonts w:eastAsia="Calibri" w:cs="Times New Roman"/>
          <w:sz w:val="16"/>
          <w:szCs w:val="16"/>
          <w:lang w:val="it-IT"/>
        </w:rPr>
      </w:pPr>
    </w:p>
    <w:p w14:paraId="1CB8F42B" w14:textId="77777777" w:rsidR="00DB55B4" w:rsidRPr="00DB55B4" w:rsidRDefault="00DB55B4" w:rsidP="00523AE9">
      <w:pPr>
        <w:spacing w:before="0" w:after="0"/>
        <w:jc w:val="both"/>
        <w:rPr>
          <w:rFonts w:eastAsia="Calibri" w:cs="Times New Roman"/>
          <w:b/>
          <w:szCs w:val="16"/>
          <w:lang w:val="it-IT"/>
        </w:rPr>
      </w:pPr>
      <w:r w:rsidRPr="00DB55B4">
        <w:rPr>
          <w:rFonts w:eastAsia="Calibri" w:cs="Times New Roman"/>
          <w:b/>
          <w:szCs w:val="16"/>
          <w:lang w:val="it-IT"/>
        </w:rPr>
        <w:t>Bibliography:</w:t>
      </w:r>
    </w:p>
    <w:p w14:paraId="0EB2A70B" w14:textId="5262D3FF" w:rsidR="006F499D" w:rsidRPr="006F499D" w:rsidRDefault="00DB55B4" w:rsidP="006F499D">
      <w:pPr>
        <w:widowControl w:val="0"/>
        <w:autoSpaceDE w:val="0"/>
        <w:autoSpaceDN w:val="0"/>
        <w:adjustRightInd w:val="0"/>
        <w:spacing w:before="0" w:after="0"/>
        <w:ind w:left="640" w:hanging="640"/>
        <w:rPr>
          <w:rFonts w:cs="Times New Roman"/>
          <w:noProof/>
          <w:sz w:val="20"/>
          <w:szCs w:val="24"/>
        </w:rPr>
      </w:pPr>
      <w:r w:rsidRPr="00DB55B4">
        <w:rPr>
          <w:rFonts w:eastAsia="Calibri" w:cs="Times New Roman"/>
          <w:b/>
          <w:sz w:val="20"/>
          <w:szCs w:val="12"/>
          <w:lang w:val="it-IT"/>
        </w:rPr>
        <w:fldChar w:fldCharType="begin" w:fldLock="1"/>
      </w:r>
      <w:r w:rsidRPr="00DB55B4">
        <w:rPr>
          <w:rFonts w:eastAsia="Calibri" w:cs="Times New Roman"/>
          <w:b/>
          <w:sz w:val="20"/>
          <w:szCs w:val="12"/>
          <w:lang w:val="it-IT"/>
        </w:rPr>
        <w:instrText xml:space="preserve">ADDIN Mendeley Bibliography CSL_BIBLIOGRAPHY </w:instrText>
      </w:r>
      <w:r w:rsidRPr="00DB55B4">
        <w:rPr>
          <w:rFonts w:eastAsia="Calibri" w:cs="Times New Roman"/>
          <w:b/>
          <w:sz w:val="20"/>
          <w:szCs w:val="12"/>
          <w:lang w:val="it-IT"/>
        </w:rPr>
        <w:fldChar w:fldCharType="separate"/>
      </w:r>
      <w:r w:rsidR="006F499D" w:rsidRPr="006F499D">
        <w:rPr>
          <w:rFonts w:cs="Times New Roman"/>
          <w:noProof/>
          <w:sz w:val="20"/>
          <w:szCs w:val="24"/>
        </w:rPr>
        <w:t xml:space="preserve">1. </w:t>
      </w:r>
      <w:r w:rsidR="006F499D" w:rsidRPr="006F499D">
        <w:rPr>
          <w:rFonts w:cs="Times New Roman"/>
          <w:noProof/>
          <w:sz w:val="20"/>
          <w:szCs w:val="24"/>
        </w:rPr>
        <w:tab/>
        <w:t xml:space="preserve">Devinsky O, Marsh E, Friedman D, Thiele E, Laux L, Sullivan J, Miller I, Flamini R, Wilfong A, Filloux F, et al. Cannabidiol in patients with treatment-resistant epilepsy: an open-label interventional trial. </w:t>
      </w:r>
      <w:r w:rsidR="006F499D" w:rsidRPr="006F499D">
        <w:rPr>
          <w:rFonts w:cs="Times New Roman"/>
          <w:i/>
          <w:iCs/>
          <w:noProof/>
          <w:sz w:val="20"/>
          <w:szCs w:val="24"/>
        </w:rPr>
        <w:t>Lancet Neurol</w:t>
      </w:r>
      <w:r w:rsidR="006F499D" w:rsidRPr="006F499D">
        <w:rPr>
          <w:rFonts w:cs="Times New Roman"/>
          <w:noProof/>
          <w:sz w:val="20"/>
          <w:szCs w:val="24"/>
        </w:rPr>
        <w:t xml:space="preserve"> (2016) </w:t>
      </w:r>
      <w:r w:rsidR="006F499D" w:rsidRPr="006F499D">
        <w:rPr>
          <w:rFonts w:cs="Times New Roman"/>
          <w:b/>
          <w:bCs/>
          <w:noProof/>
          <w:sz w:val="20"/>
          <w:szCs w:val="24"/>
        </w:rPr>
        <w:t>15</w:t>
      </w:r>
      <w:r w:rsidR="006F499D" w:rsidRPr="006F499D">
        <w:rPr>
          <w:rFonts w:cs="Times New Roman"/>
          <w:noProof/>
          <w:sz w:val="20"/>
          <w:szCs w:val="24"/>
        </w:rPr>
        <w:t>:270–278. doi:10.1016/S1474-4422(15)00379-8</w:t>
      </w:r>
    </w:p>
    <w:p w14:paraId="76BF0CDC" w14:textId="77777777" w:rsidR="006F499D" w:rsidRPr="006F499D" w:rsidRDefault="006F499D" w:rsidP="006F499D">
      <w:pPr>
        <w:widowControl w:val="0"/>
        <w:autoSpaceDE w:val="0"/>
        <w:autoSpaceDN w:val="0"/>
        <w:adjustRightInd w:val="0"/>
        <w:spacing w:before="0" w:after="0"/>
        <w:ind w:left="640" w:hanging="640"/>
        <w:rPr>
          <w:rFonts w:cs="Times New Roman"/>
          <w:noProof/>
          <w:sz w:val="20"/>
          <w:szCs w:val="24"/>
        </w:rPr>
      </w:pPr>
      <w:r w:rsidRPr="006F499D">
        <w:rPr>
          <w:rFonts w:cs="Times New Roman"/>
          <w:noProof/>
          <w:sz w:val="20"/>
          <w:szCs w:val="24"/>
        </w:rPr>
        <w:t xml:space="preserve">2. </w:t>
      </w:r>
      <w:r w:rsidRPr="006F499D">
        <w:rPr>
          <w:rFonts w:cs="Times New Roman"/>
          <w:noProof/>
          <w:sz w:val="20"/>
          <w:szCs w:val="24"/>
        </w:rPr>
        <w:tab/>
        <w:t xml:space="preserve">Szaflarski JP, Bebin EM, Comi AM, Patel AD, Joshi C, Checketts D, Beal JC, Laux LC, De Boer LM, Wong MH, et al. Long-term safety and treatment effects of cannabidiol in children and adults with treatment-resistant epilepsies: Expanded access program results. </w:t>
      </w:r>
      <w:r w:rsidRPr="006F499D">
        <w:rPr>
          <w:rFonts w:cs="Times New Roman"/>
          <w:i/>
          <w:iCs/>
          <w:noProof/>
          <w:sz w:val="20"/>
          <w:szCs w:val="24"/>
        </w:rPr>
        <w:t>Epilepsia</w:t>
      </w:r>
      <w:r w:rsidRPr="006F499D">
        <w:rPr>
          <w:rFonts w:cs="Times New Roman"/>
          <w:noProof/>
          <w:sz w:val="20"/>
          <w:szCs w:val="24"/>
        </w:rPr>
        <w:t xml:space="preserve"> (2018) </w:t>
      </w:r>
      <w:r w:rsidRPr="006F499D">
        <w:rPr>
          <w:rFonts w:cs="Times New Roman"/>
          <w:b/>
          <w:bCs/>
          <w:noProof/>
          <w:sz w:val="20"/>
          <w:szCs w:val="24"/>
        </w:rPr>
        <w:t>59</w:t>
      </w:r>
      <w:r w:rsidRPr="006F499D">
        <w:rPr>
          <w:rFonts w:cs="Times New Roman"/>
          <w:noProof/>
          <w:sz w:val="20"/>
          <w:szCs w:val="24"/>
        </w:rPr>
        <w:t>:1540–1548. doi:10.1111/epi.14477</w:t>
      </w:r>
    </w:p>
    <w:p w14:paraId="1A5D5926" w14:textId="77777777" w:rsidR="006F499D" w:rsidRPr="006F499D" w:rsidRDefault="006F499D" w:rsidP="006F499D">
      <w:pPr>
        <w:widowControl w:val="0"/>
        <w:autoSpaceDE w:val="0"/>
        <w:autoSpaceDN w:val="0"/>
        <w:adjustRightInd w:val="0"/>
        <w:spacing w:before="0" w:after="0"/>
        <w:ind w:left="640" w:hanging="640"/>
        <w:rPr>
          <w:rFonts w:cs="Times New Roman"/>
          <w:noProof/>
          <w:sz w:val="20"/>
          <w:szCs w:val="24"/>
        </w:rPr>
      </w:pPr>
      <w:r w:rsidRPr="006F499D">
        <w:rPr>
          <w:rFonts w:cs="Times New Roman"/>
          <w:noProof/>
          <w:sz w:val="20"/>
          <w:szCs w:val="24"/>
        </w:rPr>
        <w:t xml:space="preserve">3. </w:t>
      </w:r>
      <w:r w:rsidRPr="006F499D">
        <w:rPr>
          <w:rFonts w:cs="Times New Roman"/>
          <w:noProof/>
          <w:sz w:val="20"/>
          <w:szCs w:val="24"/>
        </w:rPr>
        <w:tab/>
        <w:t xml:space="preserve">Laux LC, Bebin EM, Checketts D, Chez M, Flamini R, Marsh ED, Miller I, Nichol K, Park Y, Segal E, et al. Long-term safety and efficacy of cannabidiol in children and adults with treatmentresistant Lennox-Gastaut syndrome or Dravet syndrome: Expanded access program results. </w:t>
      </w:r>
      <w:r w:rsidRPr="006F499D">
        <w:rPr>
          <w:rFonts w:cs="Times New Roman"/>
          <w:i/>
          <w:iCs/>
          <w:noProof/>
          <w:sz w:val="20"/>
          <w:szCs w:val="24"/>
        </w:rPr>
        <w:t>Epilepsy Res</w:t>
      </w:r>
      <w:r w:rsidRPr="006F499D">
        <w:rPr>
          <w:rFonts w:cs="Times New Roman"/>
          <w:noProof/>
          <w:sz w:val="20"/>
          <w:szCs w:val="24"/>
        </w:rPr>
        <w:t xml:space="preserve"> (2019) </w:t>
      </w:r>
      <w:r w:rsidRPr="006F499D">
        <w:rPr>
          <w:rFonts w:cs="Times New Roman"/>
          <w:b/>
          <w:bCs/>
          <w:noProof/>
          <w:sz w:val="20"/>
          <w:szCs w:val="24"/>
        </w:rPr>
        <w:t>154</w:t>
      </w:r>
      <w:r w:rsidRPr="006F499D">
        <w:rPr>
          <w:rFonts w:cs="Times New Roman"/>
          <w:noProof/>
          <w:sz w:val="20"/>
          <w:szCs w:val="24"/>
        </w:rPr>
        <w:t>:13–20. doi:10.1016/j.eplepsyres.2019.03.015</w:t>
      </w:r>
    </w:p>
    <w:p w14:paraId="0A31B8C9" w14:textId="77777777" w:rsidR="006F499D" w:rsidRPr="006F499D" w:rsidRDefault="006F499D" w:rsidP="006F499D">
      <w:pPr>
        <w:widowControl w:val="0"/>
        <w:autoSpaceDE w:val="0"/>
        <w:autoSpaceDN w:val="0"/>
        <w:adjustRightInd w:val="0"/>
        <w:spacing w:before="0" w:after="0"/>
        <w:ind w:left="640" w:hanging="640"/>
        <w:rPr>
          <w:rFonts w:cs="Times New Roman"/>
          <w:noProof/>
          <w:sz w:val="20"/>
          <w:szCs w:val="24"/>
        </w:rPr>
      </w:pPr>
      <w:r w:rsidRPr="006F499D">
        <w:rPr>
          <w:rFonts w:cs="Times New Roman"/>
          <w:noProof/>
          <w:sz w:val="20"/>
          <w:szCs w:val="24"/>
        </w:rPr>
        <w:t xml:space="preserve">4. </w:t>
      </w:r>
      <w:r w:rsidRPr="006F499D">
        <w:rPr>
          <w:rFonts w:cs="Times New Roman"/>
          <w:noProof/>
          <w:sz w:val="20"/>
          <w:szCs w:val="24"/>
        </w:rPr>
        <w:tab/>
        <w:t xml:space="preserve">Devinsky O, Cross JH, Laux L, Marsh E, Miller I, Nabbout R, Scheffer IE, Thiele EA, Wright S. Trial of cannabidiol for drug-resistant seizures in the dravet syndrome. </w:t>
      </w:r>
      <w:r w:rsidRPr="006F499D">
        <w:rPr>
          <w:rFonts w:cs="Times New Roman"/>
          <w:i/>
          <w:iCs/>
          <w:noProof/>
          <w:sz w:val="20"/>
          <w:szCs w:val="24"/>
        </w:rPr>
        <w:t>N Engl J Med</w:t>
      </w:r>
      <w:r w:rsidRPr="006F499D">
        <w:rPr>
          <w:rFonts w:cs="Times New Roman"/>
          <w:noProof/>
          <w:sz w:val="20"/>
          <w:szCs w:val="24"/>
        </w:rPr>
        <w:t xml:space="preserve"> (2017) </w:t>
      </w:r>
      <w:r w:rsidRPr="006F499D">
        <w:rPr>
          <w:rFonts w:cs="Times New Roman"/>
          <w:b/>
          <w:bCs/>
          <w:noProof/>
          <w:sz w:val="20"/>
          <w:szCs w:val="24"/>
        </w:rPr>
        <w:t>376</w:t>
      </w:r>
      <w:r w:rsidRPr="006F499D">
        <w:rPr>
          <w:rFonts w:cs="Times New Roman"/>
          <w:noProof/>
          <w:sz w:val="20"/>
          <w:szCs w:val="24"/>
        </w:rPr>
        <w:t>:2011–2020. doi:10.1056/NEJMoa1611618</w:t>
      </w:r>
    </w:p>
    <w:p w14:paraId="308AB06A" w14:textId="77777777" w:rsidR="006F499D" w:rsidRPr="006F499D" w:rsidRDefault="006F499D" w:rsidP="006F499D">
      <w:pPr>
        <w:widowControl w:val="0"/>
        <w:autoSpaceDE w:val="0"/>
        <w:autoSpaceDN w:val="0"/>
        <w:adjustRightInd w:val="0"/>
        <w:spacing w:before="0" w:after="0"/>
        <w:ind w:left="640" w:hanging="640"/>
        <w:rPr>
          <w:rFonts w:cs="Times New Roman"/>
          <w:noProof/>
          <w:sz w:val="20"/>
          <w:szCs w:val="24"/>
        </w:rPr>
      </w:pPr>
      <w:r w:rsidRPr="006F499D">
        <w:rPr>
          <w:rFonts w:cs="Times New Roman"/>
          <w:noProof/>
          <w:sz w:val="20"/>
          <w:szCs w:val="24"/>
        </w:rPr>
        <w:t xml:space="preserve">5. </w:t>
      </w:r>
      <w:r w:rsidRPr="006F499D">
        <w:rPr>
          <w:rFonts w:cs="Times New Roman"/>
          <w:noProof/>
          <w:sz w:val="20"/>
          <w:szCs w:val="24"/>
        </w:rPr>
        <w:tab/>
        <w:t xml:space="preserve">Devinsky O, Patel AD, Thiele EA, Wong MH, Appleton R, Harden CL, Greenwood S, Morrison G, Sommerville K. Randomized, dose-ranging safety trial of cannabidiol in Dravet syndrome. </w:t>
      </w:r>
      <w:r w:rsidRPr="006F499D">
        <w:rPr>
          <w:rFonts w:cs="Times New Roman"/>
          <w:i/>
          <w:iCs/>
          <w:noProof/>
          <w:sz w:val="20"/>
          <w:szCs w:val="24"/>
        </w:rPr>
        <w:t>Neurology</w:t>
      </w:r>
      <w:r w:rsidRPr="006F499D">
        <w:rPr>
          <w:rFonts w:cs="Times New Roman"/>
          <w:noProof/>
          <w:sz w:val="20"/>
          <w:szCs w:val="24"/>
        </w:rPr>
        <w:t xml:space="preserve"> (2018) </w:t>
      </w:r>
      <w:r w:rsidRPr="006F499D">
        <w:rPr>
          <w:rFonts w:cs="Times New Roman"/>
          <w:b/>
          <w:bCs/>
          <w:noProof/>
          <w:sz w:val="20"/>
          <w:szCs w:val="24"/>
        </w:rPr>
        <w:t>90</w:t>
      </w:r>
      <w:r w:rsidRPr="006F499D">
        <w:rPr>
          <w:rFonts w:cs="Times New Roman"/>
          <w:noProof/>
          <w:sz w:val="20"/>
          <w:szCs w:val="24"/>
        </w:rPr>
        <w:t>:e1204–e1211. doi:10.1212/WNL.0000000000005254</w:t>
      </w:r>
    </w:p>
    <w:p w14:paraId="539EB197" w14:textId="77777777" w:rsidR="006F499D" w:rsidRPr="006F499D" w:rsidRDefault="006F499D" w:rsidP="006F499D">
      <w:pPr>
        <w:widowControl w:val="0"/>
        <w:autoSpaceDE w:val="0"/>
        <w:autoSpaceDN w:val="0"/>
        <w:adjustRightInd w:val="0"/>
        <w:spacing w:before="0" w:after="0"/>
        <w:ind w:left="640" w:hanging="640"/>
        <w:rPr>
          <w:rFonts w:cs="Times New Roman"/>
          <w:noProof/>
          <w:sz w:val="20"/>
          <w:szCs w:val="24"/>
        </w:rPr>
      </w:pPr>
      <w:r w:rsidRPr="006F499D">
        <w:rPr>
          <w:rFonts w:cs="Times New Roman"/>
          <w:noProof/>
          <w:sz w:val="20"/>
          <w:szCs w:val="24"/>
        </w:rPr>
        <w:t xml:space="preserve">6. </w:t>
      </w:r>
      <w:r w:rsidRPr="006F499D">
        <w:rPr>
          <w:rFonts w:cs="Times New Roman"/>
          <w:noProof/>
          <w:sz w:val="20"/>
          <w:szCs w:val="24"/>
        </w:rPr>
        <w:tab/>
        <w:t xml:space="preserve">Devinsky O, Nabbout R, Miller I, Laux L, Zolnowska M, Wright S, Roberts C. Long-term cannabidiol treatment in patients with Dravet syndrome: An open-label extension trial. </w:t>
      </w:r>
      <w:r w:rsidRPr="006F499D">
        <w:rPr>
          <w:rFonts w:cs="Times New Roman"/>
          <w:i/>
          <w:iCs/>
          <w:noProof/>
          <w:sz w:val="20"/>
          <w:szCs w:val="24"/>
        </w:rPr>
        <w:t>Epilepsia</w:t>
      </w:r>
      <w:r w:rsidRPr="006F499D">
        <w:rPr>
          <w:rFonts w:cs="Times New Roman"/>
          <w:noProof/>
          <w:sz w:val="20"/>
          <w:szCs w:val="24"/>
        </w:rPr>
        <w:t xml:space="preserve"> (2019) </w:t>
      </w:r>
      <w:r w:rsidRPr="006F499D">
        <w:rPr>
          <w:rFonts w:cs="Times New Roman"/>
          <w:b/>
          <w:bCs/>
          <w:noProof/>
          <w:sz w:val="20"/>
          <w:szCs w:val="24"/>
        </w:rPr>
        <w:t>60</w:t>
      </w:r>
      <w:r w:rsidRPr="006F499D">
        <w:rPr>
          <w:rFonts w:cs="Times New Roman"/>
          <w:noProof/>
          <w:sz w:val="20"/>
          <w:szCs w:val="24"/>
        </w:rPr>
        <w:t>:294–302. doi:10.1111/epi.14628</w:t>
      </w:r>
    </w:p>
    <w:p w14:paraId="0A0FDAF4" w14:textId="77777777" w:rsidR="006F499D" w:rsidRPr="006F499D" w:rsidRDefault="006F499D" w:rsidP="006F499D">
      <w:pPr>
        <w:widowControl w:val="0"/>
        <w:autoSpaceDE w:val="0"/>
        <w:autoSpaceDN w:val="0"/>
        <w:adjustRightInd w:val="0"/>
        <w:spacing w:before="0" w:after="0"/>
        <w:ind w:left="640" w:hanging="640"/>
        <w:rPr>
          <w:rFonts w:cs="Times New Roman"/>
          <w:noProof/>
          <w:sz w:val="20"/>
          <w:szCs w:val="24"/>
        </w:rPr>
      </w:pPr>
      <w:r w:rsidRPr="006F499D">
        <w:rPr>
          <w:rFonts w:cs="Times New Roman"/>
          <w:noProof/>
          <w:sz w:val="20"/>
          <w:szCs w:val="24"/>
        </w:rPr>
        <w:t xml:space="preserve">7. </w:t>
      </w:r>
      <w:r w:rsidRPr="006F499D">
        <w:rPr>
          <w:rFonts w:cs="Times New Roman"/>
          <w:noProof/>
          <w:sz w:val="20"/>
          <w:szCs w:val="24"/>
        </w:rPr>
        <w:tab/>
        <w:t xml:space="preserve">Miller I, Scheffer IE, Gunning B, Sanchez-Carpintero R, Gil-Nagel A, Perry MS, Saneto RP, Checketts D, Dunayevich E, Knappertz V. Dose-Ranging Effect of Adjunctive Oral Cannabidiol vs Placebo on Convulsive Seizure Frequency in Dravet Syndrome: A Randomized Clinical Trial. </w:t>
      </w:r>
      <w:r w:rsidRPr="006F499D">
        <w:rPr>
          <w:rFonts w:cs="Times New Roman"/>
          <w:i/>
          <w:iCs/>
          <w:noProof/>
          <w:sz w:val="20"/>
          <w:szCs w:val="24"/>
        </w:rPr>
        <w:t>JAMA Neurol</w:t>
      </w:r>
      <w:r w:rsidRPr="006F499D">
        <w:rPr>
          <w:rFonts w:cs="Times New Roman"/>
          <w:noProof/>
          <w:sz w:val="20"/>
          <w:szCs w:val="24"/>
        </w:rPr>
        <w:t xml:space="preserve"> (2020) doi:10.1001/jamaneurol.2020.0073</w:t>
      </w:r>
    </w:p>
    <w:p w14:paraId="1D4F881A" w14:textId="77777777" w:rsidR="006F499D" w:rsidRPr="006F499D" w:rsidRDefault="006F499D" w:rsidP="006F499D">
      <w:pPr>
        <w:widowControl w:val="0"/>
        <w:autoSpaceDE w:val="0"/>
        <w:autoSpaceDN w:val="0"/>
        <w:adjustRightInd w:val="0"/>
        <w:spacing w:before="0" w:after="0"/>
        <w:ind w:left="640" w:hanging="640"/>
        <w:rPr>
          <w:rFonts w:cs="Times New Roman"/>
          <w:noProof/>
          <w:sz w:val="20"/>
          <w:szCs w:val="24"/>
        </w:rPr>
      </w:pPr>
      <w:r w:rsidRPr="006F499D">
        <w:rPr>
          <w:rFonts w:cs="Times New Roman"/>
          <w:noProof/>
          <w:sz w:val="20"/>
          <w:szCs w:val="24"/>
        </w:rPr>
        <w:t xml:space="preserve">8. </w:t>
      </w:r>
      <w:r w:rsidRPr="006F499D">
        <w:rPr>
          <w:rFonts w:cs="Times New Roman"/>
          <w:noProof/>
          <w:sz w:val="20"/>
          <w:szCs w:val="24"/>
        </w:rPr>
        <w:tab/>
        <w:t xml:space="preserve">Devinsky O, Patel AD, Cross JH, Villanueva V, Wirrell EC, Privitera M, Greenwood SM, Roberts C, Checketts D, VanLandingham KE, et al. Effect of </w:t>
      </w:r>
      <w:r w:rsidRPr="006F499D">
        <w:rPr>
          <w:rFonts w:cs="Times New Roman"/>
          <w:noProof/>
          <w:sz w:val="20"/>
          <w:szCs w:val="24"/>
        </w:rPr>
        <w:lastRenderedPageBreak/>
        <w:t xml:space="preserve">cannabidiol on drop seizures in the lennox–gastaut syndrome. </w:t>
      </w:r>
      <w:r w:rsidRPr="006F499D">
        <w:rPr>
          <w:rFonts w:cs="Times New Roman"/>
          <w:i/>
          <w:iCs/>
          <w:noProof/>
          <w:sz w:val="20"/>
          <w:szCs w:val="24"/>
        </w:rPr>
        <w:t>N Engl J Med</w:t>
      </w:r>
      <w:r w:rsidRPr="006F499D">
        <w:rPr>
          <w:rFonts w:cs="Times New Roman"/>
          <w:noProof/>
          <w:sz w:val="20"/>
          <w:szCs w:val="24"/>
        </w:rPr>
        <w:t xml:space="preserve"> (2018) </w:t>
      </w:r>
      <w:r w:rsidRPr="006F499D">
        <w:rPr>
          <w:rFonts w:cs="Times New Roman"/>
          <w:b/>
          <w:bCs/>
          <w:noProof/>
          <w:sz w:val="20"/>
          <w:szCs w:val="24"/>
        </w:rPr>
        <w:t>378</w:t>
      </w:r>
      <w:r w:rsidRPr="006F499D">
        <w:rPr>
          <w:rFonts w:cs="Times New Roman"/>
          <w:noProof/>
          <w:sz w:val="20"/>
          <w:szCs w:val="24"/>
        </w:rPr>
        <w:t>:1888–1897. doi:10.1056/NEJMoa1714631</w:t>
      </w:r>
    </w:p>
    <w:p w14:paraId="0F250F89" w14:textId="77777777" w:rsidR="006F499D" w:rsidRPr="006F499D" w:rsidRDefault="006F499D" w:rsidP="006F499D">
      <w:pPr>
        <w:widowControl w:val="0"/>
        <w:autoSpaceDE w:val="0"/>
        <w:autoSpaceDN w:val="0"/>
        <w:adjustRightInd w:val="0"/>
        <w:spacing w:before="0" w:after="0"/>
        <w:ind w:left="640" w:hanging="640"/>
        <w:rPr>
          <w:rFonts w:cs="Times New Roman"/>
          <w:noProof/>
          <w:sz w:val="20"/>
          <w:szCs w:val="24"/>
        </w:rPr>
      </w:pPr>
      <w:r w:rsidRPr="006F499D">
        <w:rPr>
          <w:rFonts w:cs="Times New Roman"/>
          <w:noProof/>
          <w:sz w:val="20"/>
          <w:szCs w:val="24"/>
        </w:rPr>
        <w:t xml:space="preserve">9. </w:t>
      </w:r>
      <w:r w:rsidRPr="006F499D">
        <w:rPr>
          <w:rFonts w:cs="Times New Roman"/>
          <w:noProof/>
          <w:sz w:val="20"/>
          <w:szCs w:val="24"/>
        </w:rPr>
        <w:tab/>
        <w:t xml:space="preserve">Thiele EA, Marsh ED, French JA, Mazurkiewicz MB, Benbadis SR, Joshi C, Lyons PD, Taylor A, Roberts C, Sommerville K, et al. Cannabidiol in patients with seizures associated with Lennox-Gastaut syndrome (GWPCARE4): a randomised, double-blind, placebo-controlled phase 3 trial. </w:t>
      </w:r>
      <w:r w:rsidRPr="006F499D">
        <w:rPr>
          <w:rFonts w:cs="Times New Roman"/>
          <w:i/>
          <w:iCs/>
          <w:noProof/>
          <w:sz w:val="20"/>
          <w:szCs w:val="24"/>
        </w:rPr>
        <w:t>Lancet</w:t>
      </w:r>
      <w:r w:rsidRPr="006F499D">
        <w:rPr>
          <w:rFonts w:cs="Times New Roman"/>
          <w:noProof/>
          <w:sz w:val="20"/>
          <w:szCs w:val="24"/>
        </w:rPr>
        <w:t xml:space="preserve"> (2018) </w:t>
      </w:r>
      <w:r w:rsidRPr="006F499D">
        <w:rPr>
          <w:rFonts w:cs="Times New Roman"/>
          <w:b/>
          <w:bCs/>
          <w:noProof/>
          <w:sz w:val="20"/>
          <w:szCs w:val="24"/>
        </w:rPr>
        <w:t>391</w:t>
      </w:r>
      <w:r w:rsidRPr="006F499D">
        <w:rPr>
          <w:rFonts w:cs="Times New Roman"/>
          <w:noProof/>
          <w:sz w:val="20"/>
          <w:szCs w:val="24"/>
        </w:rPr>
        <w:t>:1085–1096. doi:10.1016/S0140-6736(18)30136-3</w:t>
      </w:r>
    </w:p>
    <w:p w14:paraId="1BD1B631" w14:textId="77777777" w:rsidR="006F499D" w:rsidRPr="006F499D" w:rsidRDefault="006F499D" w:rsidP="006F499D">
      <w:pPr>
        <w:widowControl w:val="0"/>
        <w:autoSpaceDE w:val="0"/>
        <w:autoSpaceDN w:val="0"/>
        <w:adjustRightInd w:val="0"/>
        <w:spacing w:before="0" w:after="0"/>
        <w:ind w:left="640" w:hanging="640"/>
        <w:rPr>
          <w:rFonts w:cs="Times New Roman"/>
          <w:noProof/>
          <w:sz w:val="20"/>
        </w:rPr>
      </w:pPr>
      <w:r w:rsidRPr="006F499D">
        <w:rPr>
          <w:rFonts w:cs="Times New Roman"/>
          <w:noProof/>
          <w:sz w:val="20"/>
          <w:szCs w:val="24"/>
        </w:rPr>
        <w:t xml:space="preserve">10. </w:t>
      </w:r>
      <w:r w:rsidRPr="006F499D">
        <w:rPr>
          <w:rFonts w:cs="Times New Roman"/>
          <w:noProof/>
          <w:sz w:val="20"/>
          <w:szCs w:val="24"/>
        </w:rPr>
        <w:tab/>
        <w:t xml:space="preserve">Thiele E, Marsh E, Mazurkiewicz-Beldzinska M, Halford JJ, Gunning B, Devinsky O, Checketts D, Roberts C. Cannabidiol in patients with Lennox-Gastaut syndrome: Interim analysis of an open-label extension study. </w:t>
      </w:r>
      <w:r w:rsidRPr="006F499D">
        <w:rPr>
          <w:rFonts w:cs="Times New Roman"/>
          <w:i/>
          <w:iCs/>
          <w:noProof/>
          <w:sz w:val="20"/>
          <w:szCs w:val="24"/>
        </w:rPr>
        <w:t>Epilepsia</w:t>
      </w:r>
      <w:r w:rsidRPr="006F499D">
        <w:rPr>
          <w:rFonts w:cs="Times New Roman"/>
          <w:noProof/>
          <w:sz w:val="20"/>
          <w:szCs w:val="24"/>
        </w:rPr>
        <w:t xml:space="preserve"> (2019) </w:t>
      </w:r>
      <w:r w:rsidRPr="006F499D">
        <w:rPr>
          <w:rFonts w:cs="Times New Roman"/>
          <w:b/>
          <w:bCs/>
          <w:noProof/>
          <w:sz w:val="20"/>
          <w:szCs w:val="24"/>
        </w:rPr>
        <w:t>60</w:t>
      </w:r>
      <w:r w:rsidRPr="006F499D">
        <w:rPr>
          <w:rFonts w:cs="Times New Roman"/>
          <w:noProof/>
          <w:sz w:val="20"/>
          <w:szCs w:val="24"/>
        </w:rPr>
        <w:t>:419–428. doi:10.1111/epi.14670</w:t>
      </w:r>
    </w:p>
    <w:p w14:paraId="7B65BC41" w14:textId="23830F76" w:rsidR="00DE23E8" w:rsidRPr="00523AE9" w:rsidRDefault="00DB55B4" w:rsidP="006F499D">
      <w:pPr>
        <w:widowControl w:val="0"/>
        <w:autoSpaceDE w:val="0"/>
        <w:autoSpaceDN w:val="0"/>
        <w:adjustRightInd w:val="0"/>
        <w:spacing w:before="0" w:after="0"/>
        <w:ind w:left="426" w:hanging="426"/>
        <w:jc w:val="both"/>
        <w:rPr>
          <w:rFonts w:eastAsia="Calibri" w:cs="Times New Roman"/>
          <w:b/>
          <w:sz w:val="20"/>
          <w:szCs w:val="12"/>
          <w:lang w:val="it-IT"/>
        </w:rPr>
      </w:pPr>
      <w:r w:rsidRPr="00DB55B4">
        <w:rPr>
          <w:rFonts w:eastAsia="Calibri" w:cs="Times New Roman"/>
          <w:b/>
          <w:sz w:val="20"/>
          <w:szCs w:val="12"/>
          <w:lang w:val="it-IT"/>
        </w:rPr>
        <w:fldChar w:fldCharType="end"/>
      </w:r>
    </w:p>
    <w:sectPr w:rsidR="00DE23E8" w:rsidRPr="00523AE9" w:rsidSect="0099031D">
      <w:headerReference w:type="even" r:id="rId8"/>
      <w:footerReference w:type="even" r:id="rId9"/>
      <w:footerReference w:type="default" r:id="rId10"/>
      <w:headerReference w:type="first" r:id="rId11"/>
      <w:pgSz w:w="15840" w:h="12240" w:orient="landscape"/>
      <w:pgMar w:top="1282" w:right="1138" w:bottom="1181" w:left="113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CACAB" w14:textId="77777777" w:rsidR="0036264E" w:rsidRDefault="0036264E" w:rsidP="00117666">
      <w:pPr>
        <w:spacing w:after="0"/>
      </w:pPr>
      <w:r>
        <w:separator/>
      </w:r>
    </w:p>
  </w:endnote>
  <w:endnote w:type="continuationSeparator" w:id="0">
    <w:p w14:paraId="07ED8B9B" w14:textId="77777777" w:rsidR="0036264E" w:rsidRDefault="0036264E"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3025F" w14:textId="77777777" w:rsidR="00C77FAB" w:rsidRPr="00577C4C" w:rsidRDefault="00C77FAB">
    <w:pPr>
      <w:rPr>
        <w:color w:val="C00000"/>
        <w:szCs w:val="24"/>
      </w:rPr>
    </w:pPr>
    <w:r>
      <w:rPr>
        <w:noProof/>
        <w:lang w:val="fr-FR" w:eastAsia="fr-FR"/>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46DB702E" w:rsidR="00C77FAB" w:rsidRPr="00577C4C" w:rsidRDefault="00C77FA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591A66">
                            <w:rPr>
                              <w:noProof/>
                              <w:color w:val="000000" w:themeColor="text1"/>
                              <w:szCs w:val="40"/>
                            </w:rPr>
                            <w:t>4</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50BC4D33" w14:textId="46DB702E" w:rsidR="00C77FAB" w:rsidRPr="00577C4C" w:rsidRDefault="00C77FA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591A66">
                      <w:rPr>
                        <w:noProof/>
                        <w:color w:val="000000" w:themeColor="text1"/>
                        <w:szCs w:val="40"/>
                      </w:rPr>
                      <w:t>4</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D6A35" w14:textId="77777777" w:rsidR="00C77FAB" w:rsidRPr="00577C4C" w:rsidRDefault="00C77FAB">
    <w:pPr>
      <w:rPr>
        <w:b/>
        <w:sz w:val="20"/>
        <w:szCs w:val="24"/>
      </w:rPr>
    </w:pPr>
    <w:r>
      <w:rPr>
        <w:noProof/>
        <w:lang w:val="fr-FR" w:eastAsia="fr-FR"/>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1A3E2BFB" w:rsidR="00C77FAB" w:rsidRPr="00577C4C" w:rsidRDefault="00C77FA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591A66">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570F0D09" w14:textId="1A3E2BFB" w:rsidR="00C77FAB" w:rsidRPr="00577C4C" w:rsidRDefault="00C77FA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591A66">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10392" w14:textId="77777777" w:rsidR="0036264E" w:rsidRDefault="0036264E" w:rsidP="00117666">
      <w:pPr>
        <w:spacing w:after="0"/>
      </w:pPr>
      <w:r>
        <w:separator/>
      </w:r>
    </w:p>
  </w:footnote>
  <w:footnote w:type="continuationSeparator" w:id="0">
    <w:p w14:paraId="2A37968B" w14:textId="77777777" w:rsidR="0036264E" w:rsidRDefault="0036264E"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EF00C" w14:textId="77777777" w:rsidR="00C77FAB" w:rsidRPr="009151AA" w:rsidRDefault="00C77FA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D68C6" w14:textId="77777777" w:rsidR="00C77FAB" w:rsidRDefault="00C77FAB" w:rsidP="0093429D">
    <w:r w:rsidRPr="005A1D84">
      <w:rPr>
        <w:b/>
        <w:noProof/>
        <w:color w:val="A6A6A6" w:themeColor="background1" w:themeShade="A6"/>
        <w:lang w:val="fr-FR" w:eastAsia="fr-FR"/>
      </w:rPr>
      <w:drawing>
        <wp:inline distT="0" distB="0" distL="0" distR="0" wp14:anchorId="07D26A56" wp14:editId="2E460F0E">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482BE6"/>
    <w:multiLevelType w:val="hybridMultilevel"/>
    <w:tmpl w:val="C78604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4"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5"/>
  </w:num>
  <w:num w:numId="3">
    <w:abstractNumId w:val="2"/>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7"/>
  </w:num>
  <w:num w:numId="8">
    <w:abstractNumId w:val="7"/>
  </w:num>
  <w:num w:numId="9">
    <w:abstractNumId w:val="7"/>
  </w:num>
  <w:num w:numId="10">
    <w:abstractNumId w:val="7"/>
  </w:num>
  <w:num w:numId="11">
    <w:abstractNumId w:val="7"/>
  </w:num>
  <w:num w:numId="12">
    <w:abstractNumId w:val="7"/>
  </w:num>
  <w:num w:numId="13">
    <w:abstractNumId w:val="4"/>
  </w:num>
  <w:num w:numId="14">
    <w:abstractNumId w:val="3"/>
  </w:num>
  <w:num w:numId="15">
    <w:abstractNumId w:val="3"/>
  </w:num>
  <w:num w:numId="16">
    <w:abstractNumId w:val="3"/>
  </w:num>
  <w:num w:numId="17">
    <w:abstractNumId w:val="3"/>
  </w:num>
  <w:num w:numId="18">
    <w:abstractNumId w:val="3"/>
  </w:num>
  <w:num w:numId="19">
    <w:abstractNumId w:val="3"/>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0B5"/>
    <w:rsid w:val="0001436A"/>
    <w:rsid w:val="00034304"/>
    <w:rsid w:val="00035434"/>
    <w:rsid w:val="00052A14"/>
    <w:rsid w:val="00077D53"/>
    <w:rsid w:val="00105FD9"/>
    <w:rsid w:val="00117666"/>
    <w:rsid w:val="001549D3"/>
    <w:rsid w:val="00160065"/>
    <w:rsid w:val="00177D84"/>
    <w:rsid w:val="00267D18"/>
    <w:rsid w:val="00274347"/>
    <w:rsid w:val="002868E2"/>
    <w:rsid w:val="002869C3"/>
    <w:rsid w:val="002936E4"/>
    <w:rsid w:val="002B4A57"/>
    <w:rsid w:val="002C74CA"/>
    <w:rsid w:val="003123F4"/>
    <w:rsid w:val="003544FB"/>
    <w:rsid w:val="0036264E"/>
    <w:rsid w:val="003D2F2D"/>
    <w:rsid w:val="00401590"/>
    <w:rsid w:val="00447801"/>
    <w:rsid w:val="00452E9C"/>
    <w:rsid w:val="004735C8"/>
    <w:rsid w:val="004947A6"/>
    <w:rsid w:val="004961FF"/>
    <w:rsid w:val="00517A89"/>
    <w:rsid w:val="00523AE9"/>
    <w:rsid w:val="005250F2"/>
    <w:rsid w:val="00591A66"/>
    <w:rsid w:val="00593EEA"/>
    <w:rsid w:val="005A5EEE"/>
    <w:rsid w:val="006375C7"/>
    <w:rsid w:val="00654E8F"/>
    <w:rsid w:val="00660D05"/>
    <w:rsid w:val="006820B1"/>
    <w:rsid w:val="006B7D14"/>
    <w:rsid w:val="006F499D"/>
    <w:rsid w:val="00701727"/>
    <w:rsid w:val="0070566C"/>
    <w:rsid w:val="00714C50"/>
    <w:rsid w:val="00725A7D"/>
    <w:rsid w:val="007501BE"/>
    <w:rsid w:val="00790BB3"/>
    <w:rsid w:val="007C206C"/>
    <w:rsid w:val="00817DD6"/>
    <w:rsid w:val="0083759F"/>
    <w:rsid w:val="00885156"/>
    <w:rsid w:val="009151AA"/>
    <w:rsid w:val="0093429D"/>
    <w:rsid w:val="00943573"/>
    <w:rsid w:val="00964134"/>
    <w:rsid w:val="00970F7D"/>
    <w:rsid w:val="0099031D"/>
    <w:rsid w:val="00994A3D"/>
    <w:rsid w:val="009C2B12"/>
    <w:rsid w:val="00A174D9"/>
    <w:rsid w:val="00AA4D24"/>
    <w:rsid w:val="00AB6715"/>
    <w:rsid w:val="00B1671E"/>
    <w:rsid w:val="00B25EB8"/>
    <w:rsid w:val="00B37F4D"/>
    <w:rsid w:val="00C52A7B"/>
    <w:rsid w:val="00C56BAF"/>
    <w:rsid w:val="00C63E53"/>
    <w:rsid w:val="00C679AA"/>
    <w:rsid w:val="00C75972"/>
    <w:rsid w:val="00C77FAB"/>
    <w:rsid w:val="00CD066B"/>
    <w:rsid w:val="00CD3F96"/>
    <w:rsid w:val="00CE4FEE"/>
    <w:rsid w:val="00D060CF"/>
    <w:rsid w:val="00DB55B4"/>
    <w:rsid w:val="00DB59C3"/>
    <w:rsid w:val="00DC259A"/>
    <w:rsid w:val="00DE23E8"/>
    <w:rsid w:val="00E52377"/>
    <w:rsid w:val="00E537AD"/>
    <w:rsid w:val="00E55E23"/>
    <w:rsid w:val="00E64E17"/>
    <w:rsid w:val="00E866C9"/>
    <w:rsid w:val="00EA3D3C"/>
    <w:rsid w:val="00EC090A"/>
    <w:rsid w:val="00ED20B5"/>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4"/>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numbering" w:customStyle="1" w:styleId="Aucuneliste1">
    <w:name w:val="Aucune liste1"/>
    <w:next w:val="NoList"/>
    <w:uiPriority w:val="99"/>
    <w:semiHidden/>
    <w:unhideWhenUsed/>
    <w:rsid w:val="00DB55B4"/>
  </w:style>
  <w:style w:type="table" w:customStyle="1" w:styleId="Grilledutableau1">
    <w:name w:val="Grille du tableau1"/>
    <w:basedOn w:val="TableNormal"/>
    <w:next w:val="TableGrid"/>
    <w:uiPriority w:val="39"/>
    <w:rsid w:val="00DB55B4"/>
    <w:pPr>
      <w:spacing w:after="0" w:line="240" w:lineRule="auto"/>
    </w:pPr>
    <w:rPr>
      <w:lang w:val="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EC4F61F-08FA-47AF-9A73-B609DE25B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Supplementary_Material.dotx</Template>
  <TotalTime>22</TotalTime>
  <Pages>4</Pages>
  <Words>23864</Words>
  <Characters>131255</Characters>
  <Application>Microsoft Office Word</Application>
  <DocSecurity>0</DocSecurity>
  <Lines>1093</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mathieu KUCHENBUCH</cp:lastModifiedBy>
  <cp:revision>3</cp:revision>
  <cp:lastPrinted>2020-05-29T13:58:00Z</cp:lastPrinted>
  <dcterms:created xsi:type="dcterms:W3CDTF">2020-05-29T13:59:00Z</dcterms:created>
  <dcterms:modified xsi:type="dcterms:W3CDTF">2020-05-29T14:26:00Z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c42fd882-e863-3730-8284-992f50b17505</vt:lpwstr>
  </property>
  <property fmtid="{D5CDD505-2E9C-101B-9397-08002B2CF9AE}" pid="4" name="Mendeley Citation Style_1">
    <vt:lpwstr>http://www.zotero.org/styles/frontiers-in-neurology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http://www.zotero.org/styles/epilepsia</vt:lpwstr>
  </property>
  <property fmtid="{D5CDD505-2E9C-101B-9397-08002B2CF9AE}" pid="14" name="Mendeley Recent Style Name 4_1">
    <vt:lpwstr>Epilepsia</vt:lpwstr>
  </property>
  <property fmtid="{D5CDD505-2E9C-101B-9397-08002B2CF9AE}" pid="15" name="Mendeley Recent Style Id 5_1">
    <vt:lpwstr>http://www.zotero.org/styles/frontiers-in-neurology</vt:lpwstr>
  </property>
  <property fmtid="{D5CDD505-2E9C-101B-9397-08002B2CF9AE}" pid="16" name="Mendeley Recent Style Name 5_1">
    <vt:lpwstr>Frontiers in Neurology</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http://www.zotero.org/styles/nature-reviews-neurology</vt:lpwstr>
  </property>
  <property fmtid="{D5CDD505-2E9C-101B-9397-08002B2CF9AE}" pid="24" name="Mendeley Recent Style Name 9_1">
    <vt:lpwstr>Nature Reviews Neurology</vt:lpwstr>
  </property>
</Properties>
</file>