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C47761" w14:textId="10C3D2DF" w:rsidR="0028483D" w:rsidRDefault="0028483D" w:rsidP="0028483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8483D">
        <w:rPr>
          <w:rFonts w:ascii="Times New Roman" w:hAnsi="Times New Roman" w:cs="Times New Roman"/>
          <w:b/>
          <w:bCs/>
          <w:sz w:val="24"/>
          <w:szCs w:val="24"/>
        </w:rPr>
        <w:t>Figure legends for supplementary figures</w:t>
      </w:r>
    </w:p>
    <w:p w14:paraId="437D6AE3" w14:textId="77777777" w:rsidR="0028483D" w:rsidRPr="0028483D" w:rsidRDefault="0028483D" w:rsidP="0028483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57708BE" w14:textId="3085EB77" w:rsidR="0028483D" w:rsidRDefault="0028483D" w:rsidP="0028483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80F0D">
        <w:rPr>
          <w:rFonts w:ascii="Times New Roman" w:hAnsi="Times New Roman" w:cs="Times New Roman"/>
          <w:b/>
          <w:bCs/>
          <w:sz w:val="24"/>
          <w:szCs w:val="24"/>
        </w:rPr>
        <w:t>Figure S1. mRNA expression of cannabinoid receptors (CB/Cnr) in the nucleus accumbens (a and b), and midbrain (c).</w:t>
      </w:r>
      <w:r w:rsidRPr="0028483D">
        <w:rPr>
          <w:rFonts w:ascii="Times New Roman" w:hAnsi="Times New Roman" w:cs="Times New Roman"/>
          <w:sz w:val="24"/>
          <w:szCs w:val="24"/>
        </w:rPr>
        <w:t xml:space="preserve"> One-way ANOVA followed by post-hoc analyses of the data revealed no significant changes in CB1/Cnr1 expression between the two phenotypes (shock-resistant, SR and shock-sensitive, SS) in both nucleus accumbens (a) and mid-brain. (c). Similarly, no changes  and in CB2/Cnr2 expression was observed in the nucleus accumbens (b). CB2/Cnr2 mRNA expression was not detected in the midbrain.</w:t>
      </w:r>
    </w:p>
    <w:p w14:paraId="1CA70994" w14:textId="77777777" w:rsidR="0028483D" w:rsidRDefault="0028483D" w:rsidP="0028483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56B5968" w14:textId="29BC1BDE" w:rsidR="0028483D" w:rsidRDefault="0028483D" w:rsidP="0028483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80F0D">
        <w:rPr>
          <w:rFonts w:ascii="Times New Roman" w:hAnsi="Times New Roman" w:cs="Times New Roman"/>
          <w:b/>
          <w:bCs/>
          <w:sz w:val="24"/>
          <w:szCs w:val="24"/>
        </w:rPr>
        <w:t>Figure S2. Effect of METH SA and contingent footshock on mRNA expression of key cannabinoid enzymes within the ECS cascade in the nucleus accumbens (a – c; g – i) and midbrain (d – f; j – l).</w:t>
      </w:r>
      <w:r w:rsidRPr="0028483D">
        <w:rPr>
          <w:rFonts w:ascii="Times New Roman" w:hAnsi="Times New Roman" w:cs="Times New Roman"/>
          <w:sz w:val="24"/>
          <w:szCs w:val="24"/>
        </w:rPr>
        <w:t xml:space="preserve"> One-way ANOVA followed by post-hoc analyses of the data revealed no significant changes in the mRNA expression of ECS cascade enzymes between the two phenotypes (shock-resistant, SR and shock-sensitive, SS). Key to statistics: **P &lt; 0.01, </w:t>
      </w:r>
      <w:bookmarkStart w:id="0" w:name="_GoBack"/>
      <w:bookmarkEnd w:id="0"/>
      <w:r w:rsidRPr="0028483D">
        <w:rPr>
          <w:rFonts w:ascii="Times New Roman" w:hAnsi="Times New Roman" w:cs="Times New Roman"/>
          <w:sz w:val="24"/>
          <w:szCs w:val="24"/>
        </w:rPr>
        <w:t>compared with controls.</w:t>
      </w:r>
    </w:p>
    <w:p w14:paraId="18801C86" w14:textId="05D2F489" w:rsidR="0028483D" w:rsidRDefault="0028483D" w:rsidP="0028483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8FBD38F" w14:textId="3FEFD9BC" w:rsidR="0028483D" w:rsidRDefault="0028483D" w:rsidP="0028483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F80D165" w14:textId="3BEDF033" w:rsidR="0028483D" w:rsidRDefault="0028483D" w:rsidP="0028483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224AC92" w14:textId="1361C5CA" w:rsidR="0028483D" w:rsidRPr="0028483D" w:rsidRDefault="0028483D" w:rsidP="0028483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2157B4A" w14:textId="77777777" w:rsidR="0028483D" w:rsidRDefault="0028483D"/>
    <w:p w14:paraId="6366B68B" w14:textId="77777777" w:rsidR="0028483D" w:rsidRDefault="0028483D"/>
    <w:p w14:paraId="213DE4A1" w14:textId="77777777" w:rsidR="0028483D" w:rsidRDefault="0028483D"/>
    <w:p w14:paraId="5A540C69" w14:textId="77777777" w:rsidR="0028483D" w:rsidRDefault="0028483D"/>
    <w:p w14:paraId="3239A196" w14:textId="34F2D898" w:rsidR="00E97FAC" w:rsidRDefault="00E97FAC"/>
    <w:sectPr w:rsidR="00E97F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83D"/>
    <w:rsid w:val="0028483D"/>
    <w:rsid w:val="00380F0D"/>
    <w:rsid w:val="00E740CA"/>
    <w:rsid w:val="00E97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6F48EB"/>
  <w15:chartTrackingRefBased/>
  <w15:docId w15:val="{AE06F999-031C-479F-A94B-A9934E04E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Jayanthi, Subramaniam (NIH/NIDA/IRP) [E]</dc:creator>
  <cp:keywords/>
  <dc:description/>
  <cp:lastModifiedBy>Jayanthi, Subramaniam (NIH/NIDA/IRP) [E]</cp:lastModifiedBy>
  <cp:revision>4</cp:revision>
  <dcterms:created xsi:type="dcterms:W3CDTF">2021-10-15T04:28:00Z</dcterms:created>
  <dcterms:modified xsi:type="dcterms:W3CDTF">2021-10-15T04:34:00Z</dcterms:modified>
</cp:coreProperties>
</file>