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bookmarkStart w:name="Supplementary Material" w:id="1"/>
      <w:bookmarkEnd w:id="1"/>
      <w:r>
        <w:rPr>
          <w:b w:val="0"/>
        </w:rPr>
      </w:r>
      <w:r>
        <w:rPr/>
        <w:t>Supplementary</w:t>
      </w:r>
      <w:r>
        <w:rPr>
          <w:spacing w:val="-10"/>
        </w:rPr>
        <w:t> </w:t>
      </w:r>
      <w:r>
        <w:rPr/>
        <w:t>Material</w:t>
      </w:r>
    </w:p>
    <w:p>
      <w:pPr>
        <w:pStyle w:val="BodyText"/>
        <w:rPr>
          <w:rFonts w:ascii="Arial"/>
          <w:b/>
          <w:sz w:val="30"/>
        </w:rPr>
      </w:pPr>
    </w:p>
    <w:p>
      <w:pPr>
        <w:spacing w:before="217"/>
        <w:ind w:left="120" w:right="0" w:firstLine="0"/>
        <w:jc w:val="left"/>
        <w:rPr>
          <w:rFonts w:ascii="Arial"/>
          <w:b/>
          <w:sz w:val="24"/>
        </w:rPr>
      </w:pPr>
      <w:bookmarkStart w:name="Literature Review" w:id="2"/>
      <w:bookmarkEnd w:id="2"/>
      <w:r>
        <w:rPr/>
      </w:r>
      <w:r>
        <w:rPr>
          <w:rFonts w:ascii="Arial"/>
          <w:b/>
          <w:sz w:val="24"/>
        </w:rPr>
        <w:t>Literature</w:t>
      </w:r>
      <w:r>
        <w:rPr>
          <w:rFonts w:ascii="Arial"/>
          <w:b/>
          <w:spacing w:val="-6"/>
          <w:sz w:val="24"/>
        </w:rPr>
        <w:t> </w:t>
      </w:r>
      <w:r>
        <w:rPr>
          <w:rFonts w:ascii="Arial"/>
          <w:b/>
          <w:sz w:val="24"/>
        </w:rPr>
        <w:t>Review</w:t>
      </w:r>
    </w:p>
    <w:p>
      <w:pPr>
        <w:pStyle w:val="BodyText"/>
        <w:rPr>
          <w:rFonts w:ascii="Arial"/>
          <w:b/>
          <w:sz w:val="26"/>
        </w:rPr>
      </w:pPr>
    </w:p>
    <w:p>
      <w:pPr>
        <w:pStyle w:val="Heading1"/>
        <w:spacing w:before="219"/>
      </w:pPr>
      <w:bookmarkStart w:name="Methods" w:id="3"/>
      <w:bookmarkEnd w:id="3"/>
      <w:r>
        <w:rPr>
          <w:b w:val="0"/>
        </w:rPr>
      </w:r>
      <w:r>
        <w:rPr/>
        <w:t>Methods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11"/>
        <w:rPr>
          <w:rFonts w:ascii="Arial"/>
          <w:b/>
          <w:sz w:val="18"/>
        </w:rPr>
      </w:pPr>
    </w:p>
    <w:p>
      <w:pPr>
        <w:pStyle w:val="Heading2"/>
        <w:jc w:val="left"/>
      </w:pPr>
      <w:bookmarkStart w:name="Search Strategy" w:id="4"/>
      <w:bookmarkEnd w:id="4"/>
      <w:r>
        <w:rPr>
          <w:i w:val="0"/>
        </w:rPr>
      </w:r>
      <w:r>
        <w:rPr/>
        <w:t>Search</w:t>
      </w:r>
      <w:r>
        <w:rPr>
          <w:spacing w:val="-4"/>
        </w:rPr>
        <w:t> </w:t>
      </w:r>
      <w:r>
        <w:rPr/>
        <w:t>Strategy</w:t>
      </w:r>
    </w:p>
    <w:p>
      <w:pPr>
        <w:pStyle w:val="BodyText"/>
        <w:rPr>
          <w:rFonts w:ascii="Arial"/>
          <w:i/>
          <w:sz w:val="24"/>
        </w:rPr>
      </w:pPr>
    </w:p>
    <w:p>
      <w:pPr>
        <w:pStyle w:val="BodyText"/>
        <w:spacing w:line="480" w:lineRule="auto" w:before="215"/>
        <w:ind w:left="119" w:right="230"/>
      </w:pPr>
      <w:r>
        <w:rPr/>
        <w:t>A targeted literature review was conducted to identify papers detailing the symptoms, burden, and</w:t>
      </w:r>
      <w:r>
        <w:rPr>
          <w:spacing w:val="1"/>
        </w:rPr>
        <w:t> </w:t>
      </w:r>
      <w:r>
        <w:rPr/>
        <w:t>impacts of Dravet syndrome (DS) and Lennox-Gastaut syndrome (LGS) – both those directly and not</w:t>
      </w:r>
      <w:r>
        <w:rPr>
          <w:spacing w:val="1"/>
        </w:rPr>
        <w:t> </w:t>
      </w:r>
      <w:r>
        <w:rPr/>
        <w:t>directly related to seizures. In addition, studies were included on the adverse events and side effects</w:t>
      </w:r>
      <w:r>
        <w:rPr>
          <w:spacing w:val="1"/>
        </w:rPr>
        <w:t> </w:t>
      </w:r>
      <w:r>
        <w:rPr/>
        <w:t>associated with antiseizure medications (ASMs) used to treat these two conditions (including highly</w:t>
      </w:r>
      <w:r>
        <w:rPr>
          <w:spacing w:val="1"/>
        </w:rPr>
        <w:t> </w:t>
      </w:r>
      <w:r>
        <w:rPr/>
        <w:t>purified cannabidiol [CBD]; Epidiolex</w:t>
      </w:r>
      <w:r>
        <w:rPr>
          <w:position w:val="6"/>
          <w:sz w:val="13"/>
        </w:rPr>
        <w:t>®</w:t>
      </w:r>
      <w:r>
        <w:rPr>
          <w:spacing w:val="1"/>
          <w:position w:val="6"/>
          <w:sz w:val="13"/>
        </w:rPr>
        <w:t> </w:t>
      </w:r>
      <w:r>
        <w:rPr/>
        <w:t>in the USA [Greenwich Biosciences, Inc.] and Epidyolex</w:t>
      </w:r>
      <w:r>
        <w:rPr>
          <w:position w:val="6"/>
          <w:sz w:val="13"/>
        </w:rPr>
        <w:t>®</w:t>
      </w:r>
      <w:r>
        <w:rPr>
          <w:spacing w:val="1"/>
          <w:position w:val="6"/>
          <w:sz w:val="13"/>
        </w:rPr>
        <w:t> </w:t>
      </w:r>
      <w:r>
        <w:rPr/>
        <w:t>in the</w:t>
      </w:r>
      <w:r>
        <w:rPr>
          <w:spacing w:val="-53"/>
        </w:rPr>
        <w:t> </w:t>
      </w:r>
      <w:r>
        <w:rPr/>
        <w:t>UK, EU, and Australia [GW Pharma (International) B.V.]). Papers providing evidence on the beneficial</w:t>
      </w:r>
      <w:r>
        <w:rPr>
          <w:spacing w:val="1"/>
        </w:rPr>
        <w:t> </w:t>
      </w:r>
      <w:r>
        <w:rPr/>
        <w:t>effects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CBD beyond</w:t>
      </w:r>
      <w:r>
        <w:rPr>
          <w:spacing w:val="-4"/>
        </w:rPr>
        <w:t> </w:t>
      </w:r>
      <w:r>
        <w:rPr/>
        <w:t>seizure</w:t>
      </w:r>
      <w:r>
        <w:rPr>
          <w:spacing w:val="-3"/>
        </w:rPr>
        <w:t> </w:t>
      </w:r>
      <w:r>
        <w:rPr/>
        <w:t>control</w:t>
      </w:r>
      <w:r>
        <w:rPr>
          <w:spacing w:val="-4"/>
        </w:rPr>
        <w:t> </w:t>
      </w:r>
      <w:r>
        <w:rPr/>
        <w:t>were</w:t>
      </w:r>
      <w:r>
        <w:rPr>
          <w:spacing w:val="-3"/>
        </w:rPr>
        <w:t> </w:t>
      </w:r>
      <w:r>
        <w:rPr/>
        <w:t>also</w:t>
      </w:r>
      <w:r>
        <w:rPr>
          <w:spacing w:val="-3"/>
        </w:rPr>
        <w:t> </w:t>
      </w:r>
      <w:r>
        <w:rPr/>
        <w:t>sought.</w:t>
      </w:r>
      <w:r>
        <w:rPr>
          <w:spacing w:val="-4"/>
        </w:rPr>
        <w:t> </w:t>
      </w:r>
      <w:r>
        <w:rPr/>
        <w:t>Findings</w:t>
      </w:r>
      <w:r>
        <w:rPr>
          <w:spacing w:val="-2"/>
        </w:rPr>
        <w:t> </w:t>
      </w:r>
      <w:r>
        <w:rPr/>
        <w:t>from</w:t>
      </w:r>
      <w:r>
        <w:rPr>
          <w:spacing w:val="-3"/>
        </w:rPr>
        <w:t> </w:t>
      </w:r>
      <w:r>
        <w:rPr/>
        <w:t>this</w:t>
      </w:r>
      <w:r>
        <w:rPr>
          <w:spacing w:val="-2"/>
        </w:rPr>
        <w:t> </w:t>
      </w:r>
      <w:r>
        <w:rPr/>
        <w:t>review</w:t>
      </w:r>
      <w:r>
        <w:rPr>
          <w:spacing w:val="-4"/>
        </w:rPr>
        <w:t> </w:t>
      </w:r>
      <w:r>
        <w:rPr/>
        <w:t>were</w:t>
      </w:r>
      <w:r>
        <w:rPr>
          <w:spacing w:val="-3"/>
        </w:rPr>
        <w:t> </w:t>
      </w:r>
      <w:r>
        <w:rPr/>
        <w:t>used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inform</w:t>
      </w:r>
      <w:r>
        <w:rPr>
          <w:spacing w:val="-53"/>
        </w:rPr>
        <w:t> </w:t>
      </w:r>
      <w:r>
        <w:rPr/>
        <w:t>the</w:t>
      </w:r>
      <w:r>
        <w:rPr>
          <w:spacing w:val="-2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semi-structured</w:t>
      </w:r>
      <w:r>
        <w:rPr>
          <w:spacing w:val="1"/>
        </w:rPr>
        <w:t> </w:t>
      </w:r>
      <w:r>
        <w:rPr/>
        <w:t>interview</w:t>
      </w:r>
      <w:r>
        <w:rPr>
          <w:spacing w:val="1"/>
        </w:rPr>
        <w:t> </w:t>
      </w:r>
      <w:r>
        <w:rPr/>
        <w:t>guide.</w:t>
      </w:r>
    </w:p>
    <w:p>
      <w:pPr>
        <w:pStyle w:val="BodyText"/>
        <w:spacing w:before="9"/>
      </w:pPr>
    </w:p>
    <w:p>
      <w:pPr>
        <w:pStyle w:val="BodyText"/>
        <w:spacing w:line="480" w:lineRule="auto"/>
        <w:ind w:left="119" w:right="107" w:firstLine="720"/>
      </w:pPr>
      <w:r>
        <w:rPr/>
        <w:t>Two search strategies were developed, which are shown in Supplementary Table 1. These two</w:t>
      </w:r>
      <w:r>
        <w:rPr>
          <w:spacing w:val="1"/>
        </w:rPr>
        <w:t> </w:t>
      </w:r>
      <w:r>
        <w:rPr/>
        <w:t>literature searches were conducted in Medline and Embase. The first search strategy (Search </w:t>
      </w:r>
      <w:r>
        <w:rPr>
          <w:rFonts w:ascii="Arial" w:hAnsi="Arial"/>
          <w:i/>
        </w:rPr>
        <w:t>I</w:t>
      </w:r>
      <w:r>
        <w:rPr/>
        <w:t>) was</w:t>
      </w:r>
      <w:r>
        <w:rPr>
          <w:spacing w:val="1"/>
        </w:rPr>
        <w:t> </w:t>
      </w:r>
      <w:r>
        <w:rPr/>
        <w:t>designed to expand on the results of two previous targeted literature reviews of DS and LGS symptoms</w:t>
      </w:r>
      <w:r>
        <w:rPr>
          <w:spacing w:val="1"/>
        </w:rPr>
        <w:t> </w:t>
      </w:r>
      <w:r>
        <w:rPr/>
        <w:t>and health-related quality of life (HRQL), which were conducted by Acaster Lloyd Consulting Ltd (ALC).</w:t>
      </w:r>
      <w:r>
        <w:rPr>
          <w:spacing w:val="1"/>
        </w:rPr>
        <w:t> </w:t>
      </w:r>
      <w:r>
        <w:rPr/>
        <w:t>This search strategy was limited to only papers published between January and October 2020 to identify</w:t>
      </w:r>
      <w:r>
        <w:rPr>
          <w:spacing w:val="1"/>
        </w:rPr>
        <w:t> </w:t>
      </w:r>
      <w:r>
        <w:rPr/>
        <w:t>publications produced subsequent to the original searches. It included the same search terms as the two</w:t>
      </w:r>
      <w:r>
        <w:rPr>
          <w:spacing w:val="1"/>
        </w:rPr>
        <w:t> </w:t>
      </w:r>
      <w:r>
        <w:rPr/>
        <w:t>previous reviews conducted by ALC, apart from the omission of ‘caregiver’ (eg, ‘carer’ and ‘parent’) and</w:t>
      </w:r>
      <w:r>
        <w:rPr>
          <w:spacing w:val="1"/>
        </w:rPr>
        <w:t> </w:t>
      </w:r>
      <w:r>
        <w:rPr/>
        <w:t>‘methodology’ search terms (eg, ‘focus group’ and ‘survey’) as these were deemed not relevant to the</w:t>
      </w:r>
      <w:r>
        <w:rPr>
          <w:spacing w:val="1"/>
        </w:rPr>
        <w:t> </w:t>
      </w:r>
      <w:r>
        <w:rPr/>
        <w:t>interview</w:t>
      </w:r>
      <w:r>
        <w:rPr>
          <w:spacing w:val="-5"/>
        </w:rPr>
        <w:t> </w:t>
      </w:r>
      <w:r>
        <w:rPr/>
        <w:t>guide</w:t>
      </w:r>
      <w:r>
        <w:rPr>
          <w:spacing w:val="-4"/>
        </w:rPr>
        <w:t> </w:t>
      </w:r>
      <w:r>
        <w:rPr/>
        <w:t>development.</w:t>
      </w:r>
      <w:r>
        <w:rPr>
          <w:spacing w:val="-4"/>
        </w:rPr>
        <w:t> </w:t>
      </w:r>
      <w:r>
        <w:rPr/>
        <w:t>Papers</w:t>
      </w:r>
      <w:r>
        <w:rPr>
          <w:spacing w:val="-1"/>
        </w:rPr>
        <w:t> </w:t>
      </w:r>
      <w:r>
        <w:rPr/>
        <w:t>identified</w:t>
      </w:r>
      <w:r>
        <w:rPr>
          <w:spacing w:val="-4"/>
        </w:rPr>
        <w:t> </w:t>
      </w:r>
      <w:r>
        <w:rPr/>
        <w:t>from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two</w:t>
      </w:r>
      <w:r>
        <w:rPr>
          <w:spacing w:val="-2"/>
        </w:rPr>
        <w:t> </w:t>
      </w:r>
      <w:r>
        <w:rPr/>
        <w:t>previous</w:t>
      </w:r>
      <w:r>
        <w:rPr>
          <w:spacing w:val="-3"/>
        </w:rPr>
        <w:t> </w:t>
      </w:r>
      <w:r>
        <w:rPr/>
        <w:t>reviews</w:t>
      </w:r>
      <w:r>
        <w:rPr>
          <w:spacing w:val="-3"/>
        </w:rPr>
        <w:t> </w:t>
      </w:r>
      <w:r>
        <w:rPr/>
        <w:t>(ie,</w:t>
      </w:r>
      <w:r>
        <w:rPr>
          <w:spacing w:val="-3"/>
        </w:rPr>
        <w:t> </w:t>
      </w:r>
      <w:r>
        <w:rPr/>
        <w:t>those</w:t>
      </w:r>
      <w:r>
        <w:rPr>
          <w:spacing w:val="-4"/>
        </w:rPr>
        <w:t> </w:t>
      </w:r>
      <w:r>
        <w:rPr/>
        <w:t>published</w:t>
      </w:r>
      <w:r>
        <w:rPr>
          <w:spacing w:val="-4"/>
        </w:rPr>
        <w:t> </w:t>
      </w:r>
      <w:r>
        <w:rPr/>
        <w:t>prior</w:t>
      </w:r>
      <w:r>
        <w:rPr>
          <w:spacing w:val="-4"/>
        </w:rPr>
        <w:t> </w:t>
      </w:r>
      <w:r>
        <w:rPr/>
        <w:t>to</w:t>
      </w:r>
      <w:r>
        <w:rPr>
          <w:spacing w:val="-52"/>
        </w:rPr>
        <w:t> </w:t>
      </w:r>
      <w:r>
        <w:rPr/>
        <w:t>2020)</w:t>
      </w:r>
      <w:r>
        <w:rPr>
          <w:spacing w:val="-1"/>
        </w:rPr>
        <w:t> </w:t>
      </w:r>
      <w:r>
        <w:rPr/>
        <w:t>were</w:t>
      </w:r>
      <w:r>
        <w:rPr>
          <w:spacing w:val="-1"/>
        </w:rPr>
        <w:t> </w:t>
      </w:r>
      <w:r>
        <w:rPr/>
        <w:t>also included</w:t>
      </w:r>
      <w:r>
        <w:rPr>
          <w:spacing w:val="-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current</w:t>
      </w:r>
      <w:r>
        <w:rPr>
          <w:spacing w:val="-1"/>
        </w:rPr>
        <w:t> </w:t>
      </w:r>
      <w:r>
        <w:rPr/>
        <w:t>targeted</w:t>
      </w:r>
      <w:r>
        <w:rPr>
          <w:spacing w:val="-2"/>
        </w:rPr>
        <w:t> </w:t>
      </w:r>
      <w:r>
        <w:rPr/>
        <w:t>literature</w:t>
      </w:r>
      <w:r>
        <w:rPr>
          <w:spacing w:val="-1"/>
        </w:rPr>
        <w:t> </w:t>
      </w:r>
      <w:r>
        <w:rPr/>
        <w:t>review.</w:t>
      </w:r>
    </w:p>
    <w:p>
      <w:pPr>
        <w:pStyle w:val="BodyText"/>
        <w:spacing w:before="10"/>
      </w:pPr>
    </w:p>
    <w:p>
      <w:pPr>
        <w:pStyle w:val="BodyText"/>
        <w:spacing w:line="477" w:lineRule="auto" w:before="1"/>
        <w:ind w:left="120" w:right="203" w:firstLine="719"/>
      </w:pPr>
      <w:r>
        <w:rPr/>
        <w:t>The second search strategy (Search </w:t>
      </w:r>
      <w:r>
        <w:rPr>
          <w:rFonts w:ascii="Arial"/>
          <w:i/>
        </w:rPr>
        <w:t>II</w:t>
      </w:r>
      <w:r>
        <w:rPr/>
        <w:t>) was designed to identify review papers on the safety and</w:t>
      </w:r>
      <w:r>
        <w:rPr>
          <w:spacing w:val="-53"/>
        </w:rPr>
        <w:t> </w:t>
      </w:r>
      <w:r>
        <w:rPr/>
        <w:t>tolerability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ASMs</w:t>
      </w:r>
      <w:r>
        <w:rPr>
          <w:spacing w:val="-1"/>
        </w:rPr>
        <w:t> </w:t>
      </w:r>
      <w:r>
        <w:rPr/>
        <w:t>used</w:t>
      </w:r>
      <w:r>
        <w:rPr>
          <w:spacing w:val="-3"/>
        </w:rPr>
        <w:t> </w:t>
      </w:r>
      <w:r>
        <w:rPr/>
        <w:t>to treat</w:t>
      </w:r>
      <w:r>
        <w:rPr>
          <w:spacing w:val="-3"/>
        </w:rPr>
        <w:t> </w:t>
      </w:r>
      <w:r>
        <w:rPr/>
        <w:t>DS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LGS.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addition,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GW</w:t>
      </w:r>
      <w:r>
        <w:rPr>
          <w:spacing w:val="-4"/>
        </w:rPr>
        <w:t> </w:t>
      </w:r>
      <w:r>
        <w:rPr/>
        <w:t>Pharmaceuticals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Greenwich</w:t>
      </w:r>
    </w:p>
    <w:p>
      <w:pPr>
        <w:spacing w:after="0" w:line="477" w:lineRule="auto"/>
        <w:sectPr>
          <w:footerReference w:type="default" r:id="rId5"/>
          <w:type w:val="continuous"/>
          <w:pgSz w:w="12240" w:h="15840"/>
          <w:pgMar w:footer="1020" w:top="1360" w:bottom="1200" w:left="1320" w:right="1320"/>
          <w:pgNumType w:start="1"/>
        </w:sectPr>
      </w:pPr>
    </w:p>
    <w:p>
      <w:pPr>
        <w:pStyle w:val="BodyText"/>
        <w:spacing w:line="480" w:lineRule="auto" w:before="79"/>
        <w:ind w:left="119"/>
      </w:pPr>
      <w:r>
        <w:rPr/>
        <w:t>Biosciences (both now part of Jazz Pharmaceuticals, Inc.) highlighted two further ASMs (ie, cenobamate</w:t>
      </w:r>
      <w:r>
        <w:rPr>
          <w:spacing w:val="-53"/>
        </w:rPr>
        <w:t> </w:t>
      </w:r>
      <w:r>
        <w:rPr/>
        <w:t>and perampanel) not originally included as search terms in Search //, review papers on these specific</w:t>
      </w:r>
      <w:r>
        <w:rPr>
          <w:spacing w:val="1"/>
        </w:rPr>
        <w:t> </w:t>
      </w:r>
      <w:r>
        <w:rPr/>
        <w:t>medications were also identified at a later point. GW Pharmaceuticals and Greenwich Biosciences (both</w:t>
      </w:r>
      <w:r>
        <w:rPr>
          <w:spacing w:val="1"/>
        </w:rPr>
        <w:t> </w:t>
      </w:r>
      <w:r>
        <w:rPr/>
        <w:t>now</w:t>
      </w:r>
      <w:r>
        <w:rPr>
          <w:spacing w:val="-4"/>
        </w:rPr>
        <w:t> </w:t>
      </w:r>
      <w:r>
        <w:rPr/>
        <w:t>part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Jazz Pharmaceuticals,</w:t>
      </w:r>
      <w:r>
        <w:rPr>
          <w:spacing w:val="-3"/>
        </w:rPr>
        <w:t> </w:t>
      </w:r>
      <w:r>
        <w:rPr/>
        <w:t>Inc.)</w:t>
      </w:r>
      <w:r>
        <w:rPr>
          <w:spacing w:val="-3"/>
        </w:rPr>
        <w:t> </w:t>
      </w:r>
      <w:r>
        <w:rPr/>
        <w:t>provided</w:t>
      </w:r>
      <w:r>
        <w:rPr>
          <w:spacing w:val="-1"/>
        </w:rPr>
        <w:t> </w:t>
      </w:r>
      <w:r>
        <w:rPr/>
        <w:t>papers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beneficial</w:t>
      </w:r>
      <w:r>
        <w:rPr>
          <w:spacing w:val="-4"/>
        </w:rPr>
        <w:t> </w:t>
      </w:r>
      <w:r>
        <w:rPr/>
        <w:t>effects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CBD</w:t>
      </w:r>
      <w:r>
        <w:rPr>
          <w:spacing w:val="-4"/>
        </w:rPr>
        <w:t> </w:t>
      </w:r>
      <w:r>
        <w:rPr/>
        <w:t>beyond</w:t>
      </w:r>
      <w:r>
        <w:rPr>
          <w:spacing w:val="-3"/>
        </w:rPr>
        <w:t> </w:t>
      </w:r>
      <w:r>
        <w:rPr/>
        <w:t>seizure</w:t>
      </w:r>
      <w:r>
        <w:rPr>
          <w:spacing w:val="-53"/>
        </w:rPr>
        <w:t> </w:t>
      </w:r>
      <w:r>
        <w:rPr/>
        <w:t>control</w:t>
      </w:r>
      <w:r>
        <w:rPr>
          <w:spacing w:val="-3"/>
        </w:rPr>
        <w:t> </w:t>
      </w:r>
      <w:r>
        <w:rPr/>
        <w:t>for inclusion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review.</w:t>
      </w:r>
    </w:p>
    <w:p>
      <w:pPr>
        <w:pStyle w:val="BodyText"/>
        <w:spacing w:before="9"/>
      </w:pPr>
    </w:p>
    <w:p>
      <w:pPr>
        <w:spacing w:before="1"/>
        <w:ind w:left="119" w:right="0" w:firstLine="0"/>
        <w:jc w:val="left"/>
        <w:rPr>
          <w:sz w:val="20"/>
        </w:rPr>
      </w:pPr>
      <w:r>
        <w:rPr>
          <w:rFonts w:ascii="Arial"/>
          <w:b/>
          <w:sz w:val="20"/>
        </w:rPr>
        <w:t>Supplementary</w:t>
      </w:r>
      <w:r>
        <w:rPr>
          <w:rFonts w:ascii="Arial"/>
          <w:b/>
          <w:spacing w:val="-5"/>
          <w:sz w:val="20"/>
        </w:rPr>
        <w:t> </w:t>
      </w:r>
      <w:r>
        <w:rPr>
          <w:rFonts w:ascii="Arial"/>
          <w:b/>
          <w:sz w:val="20"/>
        </w:rPr>
        <w:t>Table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1.</w:t>
      </w:r>
      <w:r>
        <w:rPr>
          <w:rFonts w:ascii="Arial"/>
          <w:b/>
          <w:spacing w:val="-4"/>
          <w:sz w:val="20"/>
        </w:rPr>
        <w:t> </w:t>
      </w:r>
      <w:r>
        <w:rPr>
          <w:sz w:val="20"/>
        </w:rPr>
        <w:t>Search</w:t>
      </w:r>
      <w:r>
        <w:rPr>
          <w:spacing w:val="-5"/>
          <w:sz w:val="20"/>
        </w:rPr>
        <w:t> </w:t>
      </w:r>
      <w:r>
        <w:rPr>
          <w:sz w:val="20"/>
        </w:rPr>
        <w:t>strategy.</w:t>
      </w:r>
    </w:p>
    <w:p>
      <w:pPr>
        <w:pStyle w:val="BodyText"/>
        <w:spacing w:before="1"/>
      </w:pPr>
    </w:p>
    <w:tbl>
      <w:tblPr>
        <w:tblW w:w="0" w:type="auto"/>
        <w:jc w:val="left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3"/>
        <w:gridCol w:w="3909"/>
        <w:gridCol w:w="4544"/>
      </w:tblGrid>
      <w:tr>
        <w:trPr>
          <w:trHeight w:val="210" w:hRule="atLeast"/>
        </w:trPr>
        <w:tc>
          <w:tcPr>
            <w:tcW w:w="583" w:type="dxa"/>
            <w:tcBorders>
              <w:top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453" w:type="dxa"/>
            <w:gridSpan w:val="2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189" w:lineRule="exact" w:before="1"/>
              <w:ind w:left="2961" w:right="431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Search</w:t>
            </w:r>
            <w:r>
              <w:rPr>
                <w:rFonts w:ascii="Arial"/>
                <w:b/>
                <w:spacing w:val="-3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terms</w:t>
            </w:r>
          </w:p>
        </w:tc>
      </w:tr>
      <w:tr>
        <w:trPr>
          <w:trHeight w:val="208" w:hRule="atLeast"/>
        </w:trPr>
        <w:tc>
          <w:tcPr>
            <w:tcW w:w="58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87" w:lineRule="exact" w:before="1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No.</w:t>
            </w:r>
          </w:p>
        </w:tc>
        <w:tc>
          <w:tcPr>
            <w:tcW w:w="3909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line="188" w:lineRule="exact"/>
              <w:ind w:left="108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sz w:val="18"/>
              </w:rPr>
              <w:t>Search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i/>
                <w:sz w:val="18"/>
              </w:rPr>
              <w:t>I</w:t>
            </w:r>
          </w:p>
        </w:tc>
        <w:tc>
          <w:tcPr>
            <w:tcW w:w="4544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line="188" w:lineRule="exact"/>
              <w:ind w:left="166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sz w:val="18"/>
              </w:rPr>
              <w:t>Search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i/>
                <w:sz w:val="18"/>
              </w:rPr>
              <w:t>II</w:t>
            </w:r>
          </w:p>
        </w:tc>
      </w:tr>
      <w:tr>
        <w:trPr>
          <w:trHeight w:val="2509" w:hRule="atLeast"/>
        </w:trPr>
        <w:tc>
          <w:tcPr>
            <w:tcW w:w="583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</w:t>
            </w:r>
          </w:p>
        </w:tc>
        <w:tc>
          <w:tcPr>
            <w:tcW w:w="3909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ind w:left="108" w:right="150"/>
              <w:rPr>
                <w:sz w:val="18"/>
              </w:rPr>
            </w:pPr>
            <w:r>
              <w:rPr>
                <w:sz w:val="18"/>
              </w:rPr>
              <w:t>“Lennox gastaut” [Title; abstract] OR LGS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[Title; abstract] OR Dravet [Title; abstract] OR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“Severe myoclonic epilepsy of infancy” [Title;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abstract]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 SMEI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[Title; abstract]</w:t>
            </w:r>
          </w:p>
        </w:tc>
        <w:tc>
          <w:tcPr>
            <w:tcW w:w="4544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"/>
              <w:ind w:left="166" w:right="727"/>
              <w:rPr>
                <w:sz w:val="18"/>
              </w:rPr>
            </w:pPr>
            <w:r>
              <w:rPr>
                <w:sz w:val="18"/>
              </w:rPr>
              <w:t>“Lennox gastaut” [Title; abstract] OR LGS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[Title; abstract] OR Dravet [Title; abstract] OR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“Severe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myoclonic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epilepsy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infancy”</w:t>
            </w:r>
          </w:p>
          <w:p>
            <w:pPr>
              <w:pStyle w:val="TableParagraph"/>
              <w:ind w:left="166" w:right="110"/>
              <w:rPr>
                <w:sz w:val="18"/>
              </w:rPr>
            </w:pPr>
            <w:r>
              <w:rPr>
                <w:sz w:val="18"/>
              </w:rPr>
              <w:t>[Title; abstract] OR SMEI [Title; abstract] OR Chronic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epilepsy [Title; abstract] OR “Epileptic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encephalopathy” [Title; abstract] OR “Refractory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epilep*” [Title; abstract] OR “Drug-resistant epilep*”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[Title; abstract] OR “Treatment-resistant epilep*”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[Title; abstract] OR “Pharmacoresistant epilep*” [Title;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abstract] OR “Uncontrolled epilep*” [Title; abstract]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“Intractable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epilep*”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[Title;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abstract]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“Epilepsy,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drug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resistant”</w:t>
            </w:r>
          </w:p>
        </w:tc>
      </w:tr>
      <w:tr>
        <w:trPr>
          <w:trHeight w:val="1694" w:hRule="atLeast"/>
        </w:trPr>
        <w:tc>
          <w:tcPr>
            <w:tcW w:w="5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6" w:lineRule="exact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</w:t>
            </w:r>
          </w:p>
        </w:tc>
        <w:tc>
          <w:tcPr>
            <w:tcW w:w="39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8" w:right="1082"/>
              <w:rPr>
                <w:sz w:val="18"/>
              </w:rPr>
            </w:pPr>
            <w:r>
              <w:rPr>
                <w:sz w:val="18"/>
              </w:rPr>
              <w:t>“Health-related quality of life”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[Title;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abstract]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“Quality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life”</w:t>
            </w:r>
          </w:p>
          <w:p>
            <w:pPr>
              <w:pStyle w:val="TableParagraph"/>
              <w:ind w:left="108" w:right="250"/>
              <w:rPr>
                <w:sz w:val="18"/>
              </w:rPr>
            </w:pPr>
            <w:r>
              <w:rPr>
                <w:sz w:val="18"/>
              </w:rPr>
              <w:t>[Title; abstract] OR QoL [Title; abstract] 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HRQL [Title; abstract] OR HRQoL [Title;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abstract] OR Burden [Title; abstract] 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Impact* [Title; abstract] OR Symptom* [Title;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abstract] OR Function* [Title; abstract] 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Experience [Title; abstract]</w:t>
            </w:r>
          </w:p>
        </w:tc>
        <w:tc>
          <w:tcPr>
            <w:tcW w:w="454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66" w:right="376"/>
              <w:rPr>
                <w:sz w:val="18"/>
              </w:rPr>
            </w:pPr>
            <w:r>
              <w:rPr>
                <w:sz w:val="18"/>
              </w:rPr>
              <w:t>“Side effect*” [Title; abstract] OR “Adverse event*”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[Title; abstract] OR Safety [Title] OR Tolerability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[Title]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 Tolerable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[Title]</w:t>
            </w:r>
          </w:p>
        </w:tc>
      </w:tr>
      <w:tr>
        <w:trPr>
          <w:trHeight w:val="2277" w:hRule="atLeast"/>
        </w:trPr>
        <w:tc>
          <w:tcPr>
            <w:tcW w:w="5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6" w:lineRule="exact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</w:t>
            </w:r>
          </w:p>
        </w:tc>
        <w:tc>
          <w:tcPr>
            <w:tcW w:w="39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1 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</w:t>
            </w:r>
          </w:p>
        </w:tc>
        <w:tc>
          <w:tcPr>
            <w:tcW w:w="454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6" w:lineRule="exact"/>
              <w:ind w:left="166"/>
              <w:rPr>
                <w:sz w:val="18"/>
              </w:rPr>
            </w:pPr>
            <w:r>
              <w:rPr>
                <w:sz w:val="18"/>
              </w:rPr>
              <w:t>Epidyolex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[Title;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abstract]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Epidiolex</w:t>
            </w:r>
          </w:p>
          <w:p>
            <w:pPr>
              <w:pStyle w:val="TableParagraph"/>
              <w:ind w:left="166" w:right="176"/>
              <w:rPr>
                <w:sz w:val="18"/>
              </w:rPr>
            </w:pPr>
            <w:r>
              <w:rPr>
                <w:sz w:val="18"/>
              </w:rPr>
              <w:t>[Title; abstract] OR Cannabidiol [Title; abstract] 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Tetrahydrocannabidiol [Title; abstract] OR Stiripentol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[Title;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abstract] OR Clobazam</w:t>
            </w:r>
          </w:p>
          <w:p>
            <w:pPr>
              <w:pStyle w:val="TableParagraph"/>
              <w:ind w:left="166" w:right="206"/>
              <w:rPr>
                <w:sz w:val="18"/>
              </w:rPr>
            </w:pPr>
            <w:r>
              <w:rPr>
                <w:sz w:val="18"/>
              </w:rPr>
              <w:t>[Title; abstract] OR Valproate [Title; abstract] 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Fenfluramine [Title; abstract] OR Clonazepam [Title;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abstract] OR Lamotrigine [Title; abstract] 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Felbamate [Title; abstract] OR Rufinamide [Title;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abstract]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Levetiracetam [Title;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abstract]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</w:t>
            </w:r>
          </w:p>
          <w:p>
            <w:pPr>
              <w:pStyle w:val="TableParagraph"/>
              <w:spacing w:line="206" w:lineRule="exact"/>
              <w:ind w:left="166" w:right="426"/>
              <w:rPr>
                <w:sz w:val="18"/>
              </w:rPr>
            </w:pPr>
            <w:r>
              <w:rPr>
                <w:sz w:val="18"/>
              </w:rPr>
              <w:t>Zonisamide [Title; abstract] OR Topiramate [Title;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abstract]</w:t>
            </w:r>
          </w:p>
        </w:tc>
      </w:tr>
      <w:tr>
        <w:trPr>
          <w:trHeight w:val="311" w:hRule="atLeast"/>
        </w:trPr>
        <w:tc>
          <w:tcPr>
            <w:tcW w:w="5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6" w:lineRule="exact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4</w:t>
            </w:r>
          </w:p>
        </w:tc>
        <w:tc>
          <w:tcPr>
            <w:tcW w:w="39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Limit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2020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 Current</w:t>
            </w:r>
          </w:p>
        </w:tc>
        <w:tc>
          <w:tcPr>
            <w:tcW w:w="454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6" w:lineRule="exact"/>
              <w:ind w:left="166"/>
              <w:rPr>
                <w:sz w:val="18"/>
              </w:rPr>
            </w:pPr>
            <w:r>
              <w:rPr>
                <w:sz w:val="18"/>
              </w:rPr>
              <w:t>1 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 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</w:t>
            </w:r>
          </w:p>
        </w:tc>
      </w:tr>
      <w:tr>
        <w:trPr>
          <w:trHeight w:val="311" w:hRule="atLeast"/>
        </w:trPr>
        <w:tc>
          <w:tcPr>
            <w:tcW w:w="583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5</w:t>
            </w:r>
          </w:p>
        </w:tc>
        <w:tc>
          <w:tcPr>
            <w:tcW w:w="3909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4544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/>
              <w:ind w:left="166"/>
              <w:rPr>
                <w:sz w:val="18"/>
              </w:rPr>
            </w:pPr>
            <w:r>
              <w:rPr>
                <w:sz w:val="18"/>
              </w:rPr>
              <w:t>Limit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2015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 Current</w:t>
            </w:r>
          </w:p>
        </w:tc>
      </w:tr>
    </w:tbl>
    <w:p>
      <w:pPr>
        <w:pStyle w:val="BodyText"/>
        <w:ind w:left="119" w:right="17"/>
      </w:pPr>
      <w:r>
        <w:rPr/>
        <w:t>Abbreviations:</w:t>
      </w:r>
      <w:r>
        <w:rPr>
          <w:spacing w:val="-6"/>
        </w:rPr>
        <w:t> </w:t>
      </w:r>
      <w:r>
        <w:rPr/>
        <w:t>HRQoL,</w:t>
      </w:r>
      <w:r>
        <w:rPr>
          <w:spacing w:val="-3"/>
        </w:rPr>
        <w:t> </w:t>
      </w:r>
      <w:r>
        <w:rPr/>
        <w:t>health-related</w:t>
      </w:r>
      <w:r>
        <w:rPr>
          <w:spacing w:val="-5"/>
        </w:rPr>
        <w:t> </w:t>
      </w:r>
      <w:r>
        <w:rPr/>
        <w:t>quality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life;</w:t>
      </w:r>
      <w:r>
        <w:rPr>
          <w:spacing w:val="-4"/>
        </w:rPr>
        <w:t> </w:t>
      </w:r>
      <w:r>
        <w:rPr/>
        <w:t>LGS,</w:t>
      </w:r>
      <w:r>
        <w:rPr>
          <w:spacing w:val="-5"/>
        </w:rPr>
        <w:t> </w:t>
      </w:r>
      <w:r>
        <w:rPr/>
        <w:t>Lennox-Gastaut</w:t>
      </w:r>
      <w:r>
        <w:rPr>
          <w:spacing w:val="-5"/>
        </w:rPr>
        <w:t> </w:t>
      </w:r>
      <w:r>
        <w:rPr/>
        <w:t>syndrome;</w:t>
      </w:r>
      <w:r>
        <w:rPr>
          <w:spacing w:val="-5"/>
        </w:rPr>
        <w:t> </w:t>
      </w:r>
      <w:r>
        <w:rPr/>
        <w:t>NA,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applicable;</w:t>
      </w:r>
      <w:r>
        <w:rPr>
          <w:spacing w:val="-53"/>
        </w:rPr>
        <w:t> </w:t>
      </w:r>
      <w:r>
        <w:rPr/>
        <w:t>QoL,</w:t>
      </w:r>
      <w:r>
        <w:rPr>
          <w:spacing w:val="-2"/>
        </w:rPr>
        <w:t> </w:t>
      </w:r>
      <w:r>
        <w:rPr/>
        <w:t>quality of life;</w:t>
      </w:r>
      <w:r>
        <w:rPr>
          <w:spacing w:val="1"/>
        </w:rPr>
        <w:t> </w:t>
      </w:r>
      <w:r>
        <w:rPr/>
        <w:t>SMEI,</w:t>
      </w:r>
      <w:r>
        <w:rPr>
          <w:spacing w:val="-1"/>
        </w:rPr>
        <w:t> </w:t>
      </w:r>
      <w:r>
        <w:rPr/>
        <w:t>severe</w:t>
      </w:r>
      <w:r>
        <w:rPr>
          <w:spacing w:val="-2"/>
        </w:rPr>
        <w:t> </w:t>
      </w:r>
      <w:r>
        <w:rPr/>
        <w:t>myoclonic</w:t>
      </w:r>
      <w:r>
        <w:rPr>
          <w:spacing w:val="3"/>
        </w:rPr>
        <w:t> </w:t>
      </w:r>
      <w:r>
        <w:rPr/>
        <w:t>epilepsy of</w:t>
      </w:r>
      <w:r>
        <w:rPr>
          <w:spacing w:val="-2"/>
        </w:rPr>
        <w:t> </w:t>
      </w:r>
      <w:r>
        <w:rPr/>
        <w:t>infancy.</w:t>
      </w:r>
    </w:p>
    <w:p>
      <w:pPr>
        <w:spacing w:after="0"/>
        <w:sectPr>
          <w:pgSz w:w="12240" w:h="15840"/>
          <w:pgMar w:header="0" w:footer="1020" w:top="1360" w:bottom="1200" w:left="1320" w:right="1320"/>
        </w:sectPr>
      </w:pPr>
    </w:p>
    <w:p>
      <w:pPr>
        <w:pStyle w:val="Heading2"/>
        <w:spacing w:before="82"/>
        <w:jc w:val="left"/>
      </w:pPr>
      <w:bookmarkStart w:name="Data Extraction" w:id="5"/>
      <w:bookmarkEnd w:id="5"/>
      <w:r>
        <w:rPr>
          <w:i w:val="0"/>
        </w:rPr>
      </w:r>
      <w:r>
        <w:rPr/>
        <w:t>Data</w:t>
      </w:r>
      <w:r>
        <w:rPr>
          <w:spacing w:val="-8"/>
        </w:rPr>
        <w:t> </w:t>
      </w:r>
      <w:r>
        <w:rPr/>
        <w:t>Extraction</w:t>
      </w:r>
    </w:p>
    <w:p>
      <w:pPr>
        <w:pStyle w:val="BodyText"/>
        <w:rPr>
          <w:rFonts w:ascii="Arial"/>
          <w:i/>
          <w:sz w:val="24"/>
        </w:rPr>
      </w:pPr>
    </w:p>
    <w:p>
      <w:pPr>
        <w:pStyle w:val="BodyText"/>
        <w:spacing w:line="480" w:lineRule="auto" w:before="215"/>
        <w:ind w:left="119"/>
      </w:pPr>
      <w:r>
        <w:rPr/>
        <w:t>Data were extracted on the symptoms, burden, and impacts of DS and LGS on patients and their</w:t>
      </w:r>
      <w:r>
        <w:rPr>
          <w:spacing w:val="1"/>
        </w:rPr>
        <w:t> </w:t>
      </w:r>
      <w:r>
        <w:rPr/>
        <w:t>caregivers, including both those that are seizure and non-seizure related. Data were also extracted on</w:t>
      </w:r>
      <w:r>
        <w:rPr>
          <w:spacing w:val="1"/>
        </w:rPr>
        <w:t> </w:t>
      </w:r>
      <w:r>
        <w:rPr/>
        <w:t>adverse</w:t>
      </w:r>
      <w:r>
        <w:rPr>
          <w:spacing w:val="-4"/>
        </w:rPr>
        <w:t> </w:t>
      </w:r>
      <w:r>
        <w:rPr/>
        <w:t>events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side</w:t>
      </w:r>
      <w:r>
        <w:rPr>
          <w:spacing w:val="-2"/>
        </w:rPr>
        <w:t> </w:t>
      </w:r>
      <w:r>
        <w:rPr/>
        <w:t>effects</w:t>
      </w:r>
      <w:r>
        <w:rPr>
          <w:spacing w:val="-3"/>
        </w:rPr>
        <w:t> </w:t>
      </w:r>
      <w:r>
        <w:rPr/>
        <w:t>found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associated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ASMs,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beneficial</w:t>
      </w:r>
      <w:r>
        <w:rPr>
          <w:spacing w:val="-3"/>
        </w:rPr>
        <w:t> </w:t>
      </w:r>
      <w:r>
        <w:rPr/>
        <w:t>impacts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CBD</w:t>
      </w:r>
      <w:r>
        <w:rPr>
          <w:spacing w:val="-52"/>
        </w:rPr>
        <w:t> </w:t>
      </w:r>
      <w:r>
        <w:rPr/>
        <w:t>beyond seizure</w:t>
      </w:r>
      <w:r>
        <w:rPr>
          <w:spacing w:val="-1"/>
        </w:rPr>
        <w:t> </w:t>
      </w:r>
      <w:r>
        <w:rPr/>
        <w:t>control,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patients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treatment-resistant</w:t>
      </w:r>
      <w:r>
        <w:rPr>
          <w:spacing w:val="-1"/>
        </w:rPr>
        <w:t> </w:t>
      </w:r>
      <w:r>
        <w:rPr/>
        <w:t>epilepsy.</w:t>
      </w:r>
    </w:p>
    <w:p>
      <w:pPr>
        <w:pStyle w:val="BodyText"/>
        <w:spacing w:before="11"/>
      </w:pPr>
    </w:p>
    <w:p>
      <w:pPr>
        <w:pStyle w:val="Heading1"/>
      </w:pPr>
      <w:bookmarkStart w:name="Results" w:id="6"/>
      <w:bookmarkEnd w:id="6"/>
      <w:r>
        <w:rPr>
          <w:b w:val="0"/>
        </w:rPr>
      </w:r>
      <w:r>
        <w:rPr/>
        <w:t>Results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line="480" w:lineRule="auto" w:before="215"/>
        <w:ind w:left="119" w:right="107"/>
      </w:pPr>
      <w:r>
        <w:rPr/>
        <w:t>The first search strategy yielded a total of 114 hits, and the second search strategy identified 371 hits. A</w:t>
      </w:r>
      <w:r>
        <w:rPr>
          <w:spacing w:val="1"/>
        </w:rPr>
        <w:t> </w:t>
      </w:r>
      <w:r>
        <w:rPr/>
        <w:t>total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44</w:t>
      </w:r>
      <w:r>
        <w:rPr>
          <w:spacing w:val="-4"/>
        </w:rPr>
        <w:t> </w:t>
      </w:r>
      <w:r>
        <w:rPr/>
        <w:t>studies</w:t>
      </w:r>
      <w:r>
        <w:rPr>
          <w:spacing w:val="-3"/>
        </w:rPr>
        <w:t> </w:t>
      </w:r>
      <w:r>
        <w:rPr/>
        <w:t>were</w:t>
      </w:r>
      <w:r>
        <w:rPr>
          <w:spacing w:val="-3"/>
        </w:rPr>
        <w:t> </w:t>
      </w:r>
      <w:r>
        <w:rPr/>
        <w:t>selected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data</w:t>
      </w:r>
      <w:r>
        <w:rPr>
          <w:spacing w:val="-4"/>
        </w:rPr>
        <w:t> </w:t>
      </w:r>
      <w:r>
        <w:rPr/>
        <w:t>extraction,</w:t>
      </w:r>
      <w:r>
        <w:rPr>
          <w:spacing w:val="-2"/>
        </w:rPr>
        <w:t> </w:t>
      </w:r>
      <w:r>
        <w:rPr/>
        <w:t>including 9</w:t>
      </w:r>
      <w:r>
        <w:rPr>
          <w:spacing w:val="-3"/>
        </w:rPr>
        <w:t> </w:t>
      </w:r>
      <w:r>
        <w:rPr/>
        <w:t>identified</w:t>
      </w:r>
      <w:r>
        <w:rPr>
          <w:spacing w:val="-2"/>
        </w:rPr>
        <w:t> </w:t>
      </w:r>
      <w:r>
        <w:rPr/>
        <w:t>from</w:t>
      </w:r>
      <w:r>
        <w:rPr>
          <w:spacing w:val="-2"/>
        </w:rPr>
        <w:t> </w:t>
      </w:r>
      <w:r>
        <w:rPr/>
        <w:t>Search</w:t>
      </w:r>
      <w:r>
        <w:rPr>
          <w:spacing w:val="-4"/>
        </w:rPr>
        <w:t> </w:t>
      </w:r>
      <w:r>
        <w:rPr>
          <w:rFonts w:ascii="Arial" w:hAnsi="Arial"/>
          <w:i/>
        </w:rPr>
        <w:t>I</w:t>
      </w:r>
      <w:r>
        <w:rPr/>
        <w:t>,</w:t>
      </w:r>
      <w:r>
        <w:rPr>
          <w:spacing w:val="-4"/>
        </w:rPr>
        <w:t> </w:t>
      </w:r>
      <w:r>
        <w:rPr/>
        <w:t>12</w:t>
      </w:r>
      <w:r>
        <w:rPr>
          <w:spacing w:val="-2"/>
        </w:rPr>
        <w:t> </w:t>
      </w:r>
      <w:r>
        <w:rPr/>
        <w:t>identified</w:t>
      </w:r>
      <w:r>
        <w:rPr>
          <w:spacing w:val="-1"/>
        </w:rPr>
        <w:t> </w:t>
      </w:r>
      <w:r>
        <w:rPr/>
        <w:t>from</w:t>
      </w:r>
      <w:r>
        <w:rPr>
          <w:spacing w:val="-53"/>
        </w:rPr>
        <w:t> </w:t>
      </w:r>
      <w:r>
        <w:rPr/>
        <w:t>Search </w:t>
      </w:r>
      <w:r>
        <w:rPr>
          <w:rFonts w:ascii="Arial" w:hAnsi="Arial"/>
          <w:i/>
        </w:rPr>
        <w:t>II</w:t>
      </w:r>
      <w:r>
        <w:rPr/>
        <w:t>, 8 provided by GW Pharmaceuticals and Greenwich Biosciences (both now part of Jazz</w:t>
      </w:r>
      <w:r>
        <w:rPr>
          <w:spacing w:val="1"/>
        </w:rPr>
        <w:t> </w:t>
      </w:r>
      <w:r>
        <w:rPr/>
        <w:t>Pharmaceuticals, Inc.), 11 already identified by the two reviews previously conducted by ALC, and 4 that</w:t>
      </w:r>
      <w:r>
        <w:rPr>
          <w:spacing w:val="1"/>
        </w:rPr>
        <w:t> </w:t>
      </w:r>
      <w:r>
        <w:rPr/>
        <w:t>were later identified following the supplementary search for specific review papers on cenobamate and</w:t>
      </w:r>
      <w:r>
        <w:rPr>
          <w:spacing w:val="1"/>
        </w:rPr>
        <w:t> </w:t>
      </w:r>
      <w:r>
        <w:rPr/>
        <w:t>perampanel. The remainder of the 105 search results from Search </w:t>
      </w:r>
      <w:r>
        <w:rPr>
          <w:rFonts w:ascii="Arial" w:hAnsi="Arial"/>
          <w:i/>
        </w:rPr>
        <w:t>I</w:t>
      </w:r>
      <w:r>
        <w:rPr/>
        <w:t>, and the 358 search results from</w:t>
      </w:r>
      <w:r>
        <w:rPr>
          <w:spacing w:val="1"/>
        </w:rPr>
        <w:t> </w:t>
      </w:r>
      <w:r>
        <w:rPr/>
        <w:t>Search </w:t>
      </w:r>
      <w:r>
        <w:rPr>
          <w:rFonts w:ascii="Arial" w:hAnsi="Arial"/>
          <w:i/>
        </w:rPr>
        <w:t>II</w:t>
      </w:r>
      <w:r>
        <w:rPr/>
        <w:t>, did not meet the inclusion criteria. A summary of the 44 studies included in the targeted</w:t>
      </w:r>
      <w:r>
        <w:rPr>
          <w:spacing w:val="1"/>
        </w:rPr>
        <w:t> </w:t>
      </w:r>
      <w:r>
        <w:rPr/>
        <w:t>literature review is presented in Supplementary Tables 2–4. Studies on the symptoms, burden, and</w:t>
      </w:r>
      <w:r>
        <w:rPr>
          <w:spacing w:val="1"/>
        </w:rPr>
        <w:t> </w:t>
      </w:r>
      <w:r>
        <w:rPr/>
        <w:t>impacts of DS and LGS on patients and their caregivers are summarized in Supplementary Table 2. In</w:t>
      </w:r>
      <w:r>
        <w:rPr>
          <w:spacing w:val="1"/>
        </w:rPr>
        <w:t> </w:t>
      </w:r>
      <w:r>
        <w:rPr/>
        <w:t>addition, papers reporting adverse events and side effects associated with ASMs, and on the beneficial</w:t>
      </w:r>
      <w:r>
        <w:rPr>
          <w:spacing w:val="1"/>
        </w:rPr>
        <w:t> </w:t>
      </w:r>
      <w:r>
        <w:rPr/>
        <w:t>impacts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CBD</w:t>
      </w:r>
      <w:r>
        <w:rPr>
          <w:spacing w:val="-4"/>
        </w:rPr>
        <w:t> </w:t>
      </w:r>
      <w:r>
        <w:rPr/>
        <w:t>beyond</w:t>
      </w:r>
      <w:r>
        <w:rPr>
          <w:spacing w:val="-1"/>
        </w:rPr>
        <w:t> </w:t>
      </w:r>
      <w:r>
        <w:rPr/>
        <w:t>seizure</w:t>
      </w:r>
      <w:r>
        <w:rPr>
          <w:spacing w:val="-4"/>
        </w:rPr>
        <w:t> </w:t>
      </w:r>
      <w:r>
        <w:rPr/>
        <w:t>control,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presented</w:t>
      </w:r>
      <w:r>
        <w:rPr>
          <w:spacing w:val="-1"/>
        </w:rPr>
        <w:t> </w:t>
      </w:r>
      <w:r>
        <w:rPr/>
        <w:t>in Supplementary</w:t>
      </w:r>
      <w:r>
        <w:rPr>
          <w:spacing w:val="-1"/>
        </w:rPr>
        <w:t> </w:t>
      </w:r>
      <w:r>
        <w:rPr/>
        <w:t>Tables</w:t>
      </w:r>
      <w:r>
        <w:rPr>
          <w:spacing w:val="-3"/>
        </w:rPr>
        <w:t> </w:t>
      </w:r>
      <w:r>
        <w:rPr/>
        <w:t>3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4,</w:t>
      </w:r>
      <w:r>
        <w:rPr>
          <w:spacing w:val="-3"/>
        </w:rPr>
        <w:t> </w:t>
      </w:r>
      <w:r>
        <w:rPr/>
        <w:t>respectively.</w:t>
      </w:r>
    </w:p>
    <w:p>
      <w:pPr>
        <w:spacing w:after="0" w:line="480" w:lineRule="auto"/>
        <w:sectPr>
          <w:pgSz w:w="12240" w:h="15840"/>
          <w:pgMar w:header="0" w:footer="1020" w:top="1360" w:bottom="1200" w:left="1320" w:right="1320"/>
        </w:sectPr>
      </w:pPr>
    </w:p>
    <w:p>
      <w:pPr>
        <w:spacing w:before="79"/>
        <w:ind w:left="120" w:right="0" w:firstLine="0"/>
        <w:jc w:val="left"/>
        <w:rPr>
          <w:sz w:val="20"/>
        </w:rPr>
      </w:pPr>
      <w:r>
        <w:rPr>
          <w:rFonts w:ascii="Arial"/>
          <w:b/>
          <w:sz w:val="20"/>
        </w:rPr>
        <w:t>Supplementary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Table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2.</w:t>
      </w:r>
      <w:r>
        <w:rPr>
          <w:rFonts w:ascii="Arial"/>
          <w:b/>
          <w:spacing w:val="-3"/>
          <w:sz w:val="20"/>
        </w:rPr>
        <w:t> </w:t>
      </w:r>
      <w:r>
        <w:rPr>
          <w:sz w:val="20"/>
        </w:rPr>
        <w:t>Included</w:t>
      </w:r>
      <w:r>
        <w:rPr>
          <w:spacing w:val="-3"/>
          <w:sz w:val="20"/>
        </w:rPr>
        <w:t> </w:t>
      </w:r>
      <w:r>
        <w:rPr>
          <w:sz w:val="20"/>
        </w:rPr>
        <w:t>studies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symptoms,</w:t>
      </w:r>
      <w:r>
        <w:rPr>
          <w:spacing w:val="-2"/>
          <w:sz w:val="20"/>
        </w:rPr>
        <w:t> </w:t>
      </w:r>
      <w:r>
        <w:rPr>
          <w:sz w:val="20"/>
        </w:rPr>
        <w:t>burden,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impacts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DS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LGS.</w:t>
      </w:r>
    </w:p>
    <w:p>
      <w:pPr>
        <w:pStyle w:val="BodyText"/>
        <w:spacing w:before="1" w:after="1"/>
      </w:pPr>
    </w:p>
    <w:tbl>
      <w:tblPr>
        <w:tblW w:w="0" w:type="auto"/>
        <w:jc w:val="left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3"/>
        <w:gridCol w:w="2782"/>
        <w:gridCol w:w="4187"/>
      </w:tblGrid>
      <w:tr>
        <w:trPr>
          <w:trHeight w:val="337" w:hRule="atLeast"/>
        </w:trPr>
        <w:tc>
          <w:tcPr>
            <w:tcW w:w="230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87" w:lineRule="exact" w:before="13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Study</w:t>
            </w:r>
          </w:p>
        </w:tc>
        <w:tc>
          <w:tcPr>
            <w:tcW w:w="278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87" w:lineRule="exact" w:before="130"/>
              <w:ind w:left="22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Sample</w:t>
            </w:r>
          </w:p>
        </w:tc>
        <w:tc>
          <w:tcPr>
            <w:tcW w:w="418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87" w:lineRule="exact" w:before="130"/>
              <w:ind w:left="13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Description</w:t>
            </w:r>
            <w:r>
              <w:rPr>
                <w:rFonts w:ascii="Arial"/>
                <w:b/>
                <w:spacing w:val="-4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study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scope</w:t>
            </w:r>
          </w:p>
        </w:tc>
      </w:tr>
      <w:tr>
        <w:trPr>
          <w:trHeight w:val="464" w:hRule="atLeast"/>
        </w:trPr>
        <w:tc>
          <w:tcPr>
            <w:tcW w:w="2303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/>
              <w:rPr>
                <w:sz w:val="12"/>
              </w:rPr>
            </w:pPr>
            <w:r>
              <w:rPr>
                <w:sz w:val="18"/>
              </w:rPr>
              <w:t>Berg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1</w:t>
            </w:r>
          </w:p>
        </w:tc>
        <w:tc>
          <w:tcPr>
            <w:tcW w:w="2782" w:type="dxa"/>
            <w:tcBorders>
              <w:top w:val="single" w:sz="8" w:space="0" w:color="000000"/>
            </w:tcBorders>
          </w:tcPr>
          <w:p>
            <w:pPr>
              <w:pStyle w:val="TableParagraph"/>
              <w:ind w:left="224" w:right="417"/>
              <w:rPr>
                <w:sz w:val="18"/>
              </w:rPr>
            </w:pPr>
            <w:r>
              <w:rPr>
                <w:sz w:val="18"/>
              </w:rPr>
              <w:t>Caregivers of children with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severe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early-life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  <w:tc>
          <w:tcPr>
            <w:tcW w:w="4187" w:type="dxa"/>
            <w:tcBorders>
              <w:top w:val="single" w:sz="8" w:space="0" w:color="000000"/>
            </w:tcBorders>
          </w:tcPr>
          <w:p>
            <w:pPr>
              <w:pStyle w:val="TableParagraph"/>
              <w:ind w:left="132" w:right="333"/>
              <w:rPr>
                <w:sz w:val="18"/>
              </w:rPr>
            </w:pPr>
            <w:r>
              <w:rPr>
                <w:sz w:val="18"/>
              </w:rPr>
              <w:t>Seizure burden in severe early-life epilepsy for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caregivers</w:t>
            </w:r>
          </w:p>
        </w:tc>
      </w:tr>
      <w:tr>
        <w:trPr>
          <w:trHeight w:val="518" w:hRule="atLeast"/>
        </w:trPr>
        <w:tc>
          <w:tcPr>
            <w:tcW w:w="2303" w:type="dxa"/>
          </w:tcPr>
          <w:p>
            <w:pPr>
              <w:pStyle w:val="TableParagraph"/>
              <w:spacing w:before="48"/>
              <w:rPr>
                <w:sz w:val="12"/>
              </w:rPr>
            </w:pPr>
            <w:r>
              <w:rPr>
                <w:sz w:val="18"/>
              </w:rPr>
              <w:t>Berg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(2020)</w:t>
            </w:r>
            <w:r>
              <w:rPr>
                <w:position w:val="6"/>
                <w:sz w:val="12"/>
              </w:rPr>
              <w:t>2</w:t>
            </w:r>
          </w:p>
        </w:tc>
        <w:tc>
          <w:tcPr>
            <w:tcW w:w="2782" w:type="dxa"/>
          </w:tcPr>
          <w:p>
            <w:pPr>
              <w:pStyle w:val="TableParagraph"/>
              <w:spacing w:before="52"/>
              <w:ind w:left="224" w:right="417"/>
              <w:rPr>
                <w:sz w:val="18"/>
              </w:rPr>
            </w:pPr>
            <w:r>
              <w:rPr>
                <w:sz w:val="18"/>
              </w:rPr>
              <w:t>Caregivers of children with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developmental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epilepsies</w:t>
            </w:r>
          </w:p>
        </w:tc>
        <w:tc>
          <w:tcPr>
            <w:tcW w:w="4187" w:type="dxa"/>
          </w:tcPr>
          <w:p>
            <w:pPr>
              <w:pStyle w:val="TableParagraph"/>
              <w:spacing w:before="52"/>
              <w:ind w:left="132" w:right="263"/>
              <w:rPr>
                <w:sz w:val="18"/>
              </w:rPr>
            </w:pPr>
            <w:r>
              <w:rPr>
                <w:sz w:val="18"/>
              </w:rPr>
              <w:t>Impact of severe developmental impairments in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developmental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epilepsies</w:t>
            </w:r>
          </w:p>
        </w:tc>
      </w:tr>
      <w:tr>
        <w:trPr>
          <w:trHeight w:val="518" w:hRule="atLeast"/>
        </w:trPr>
        <w:tc>
          <w:tcPr>
            <w:tcW w:w="2303" w:type="dxa"/>
          </w:tcPr>
          <w:p>
            <w:pPr>
              <w:pStyle w:val="TableParagraph"/>
              <w:spacing w:before="48"/>
              <w:rPr>
                <w:sz w:val="12"/>
              </w:rPr>
            </w:pPr>
            <w:r>
              <w:rPr>
                <w:sz w:val="18"/>
              </w:rPr>
              <w:t>Brown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(2020)</w:t>
            </w:r>
            <w:r>
              <w:rPr>
                <w:position w:val="6"/>
                <w:sz w:val="12"/>
              </w:rPr>
              <w:t>3</w:t>
            </w:r>
          </w:p>
        </w:tc>
        <w:tc>
          <w:tcPr>
            <w:tcW w:w="2782" w:type="dxa"/>
          </w:tcPr>
          <w:p>
            <w:pPr>
              <w:pStyle w:val="TableParagraph"/>
              <w:spacing w:before="52"/>
              <w:ind w:left="224"/>
              <w:rPr>
                <w:sz w:val="18"/>
              </w:rPr>
            </w:pPr>
            <w:r>
              <w:rPr>
                <w:sz w:val="18"/>
              </w:rPr>
              <w:t>Children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  <w:tc>
          <w:tcPr>
            <w:tcW w:w="4187" w:type="dxa"/>
          </w:tcPr>
          <w:p>
            <w:pPr>
              <w:pStyle w:val="TableParagraph"/>
              <w:spacing w:before="52"/>
              <w:ind w:left="132" w:right="452"/>
              <w:rPr>
                <w:sz w:val="18"/>
              </w:rPr>
            </w:pPr>
            <w:r>
              <w:rPr>
                <w:sz w:val="18"/>
              </w:rPr>
              <w:t>The cognitive, behavioral, psychological, and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social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functioning of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individuals with DS</w:t>
            </w:r>
          </w:p>
        </w:tc>
      </w:tr>
      <w:tr>
        <w:trPr>
          <w:trHeight w:val="414" w:hRule="atLeast"/>
        </w:trPr>
        <w:tc>
          <w:tcPr>
            <w:tcW w:w="2303" w:type="dxa"/>
          </w:tcPr>
          <w:p>
            <w:pPr>
              <w:pStyle w:val="TableParagraph"/>
              <w:spacing w:before="48"/>
              <w:rPr>
                <w:sz w:val="12"/>
              </w:rPr>
            </w:pPr>
            <w:r>
              <w:rPr>
                <w:sz w:val="18"/>
              </w:rPr>
              <w:t>Campbell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(2018)</w:t>
            </w:r>
            <w:r>
              <w:rPr>
                <w:position w:val="6"/>
                <w:sz w:val="12"/>
              </w:rPr>
              <w:t>4</w:t>
            </w:r>
          </w:p>
        </w:tc>
        <w:tc>
          <w:tcPr>
            <w:tcW w:w="2782" w:type="dxa"/>
          </w:tcPr>
          <w:p>
            <w:pPr>
              <w:pStyle w:val="TableParagraph"/>
              <w:spacing w:before="52"/>
              <w:ind w:left="224"/>
              <w:rPr>
                <w:sz w:val="18"/>
              </w:rPr>
            </w:pPr>
            <w:r>
              <w:rPr>
                <w:sz w:val="18"/>
              </w:rPr>
              <w:t>Caregivers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  <w:tc>
          <w:tcPr>
            <w:tcW w:w="4187" w:type="dxa"/>
          </w:tcPr>
          <w:p>
            <w:pPr>
              <w:pStyle w:val="TableParagraph"/>
              <w:spacing w:before="52"/>
              <w:ind w:left="132"/>
              <w:rPr>
                <w:sz w:val="18"/>
              </w:rPr>
            </w:pPr>
            <w:r>
              <w:rPr>
                <w:sz w:val="18"/>
              </w:rPr>
              <w:t>Impact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caring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child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with DS</w:t>
            </w:r>
          </w:p>
        </w:tc>
      </w:tr>
      <w:tr>
        <w:trPr>
          <w:trHeight w:val="517" w:hRule="atLeast"/>
        </w:trPr>
        <w:tc>
          <w:tcPr>
            <w:tcW w:w="2303" w:type="dxa"/>
          </w:tcPr>
          <w:p>
            <w:pPr>
              <w:pStyle w:val="TableParagraph"/>
              <w:spacing w:before="150"/>
              <w:rPr>
                <w:sz w:val="12"/>
              </w:rPr>
            </w:pPr>
            <w:r>
              <w:rPr>
                <w:sz w:val="18"/>
              </w:rPr>
              <w:t>Gallop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(2009)</w:t>
            </w:r>
            <w:r>
              <w:rPr>
                <w:position w:val="6"/>
                <w:sz w:val="12"/>
              </w:rPr>
              <w:t>5</w:t>
            </w:r>
          </w:p>
        </w:tc>
        <w:tc>
          <w:tcPr>
            <w:tcW w:w="2782" w:type="dxa"/>
          </w:tcPr>
          <w:p>
            <w:pPr>
              <w:pStyle w:val="TableParagraph"/>
              <w:spacing w:before="154"/>
              <w:ind w:left="224"/>
              <w:rPr>
                <w:sz w:val="18"/>
              </w:rPr>
            </w:pPr>
            <w:r>
              <w:rPr>
                <w:sz w:val="18"/>
              </w:rPr>
              <w:t>Literature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review</w:t>
            </w:r>
          </w:p>
        </w:tc>
        <w:tc>
          <w:tcPr>
            <w:tcW w:w="4187" w:type="dxa"/>
          </w:tcPr>
          <w:p>
            <w:pPr>
              <w:pStyle w:val="TableParagraph"/>
              <w:spacing w:before="154"/>
              <w:ind w:left="132"/>
              <w:rPr>
                <w:sz w:val="18"/>
              </w:rPr>
            </w:pPr>
            <w:r>
              <w:rPr>
                <w:sz w:val="18"/>
              </w:rPr>
              <w:t>Impact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LGS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patient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caregiver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HRQL</w:t>
            </w:r>
          </w:p>
        </w:tc>
      </w:tr>
      <w:tr>
        <w:trPr>
          <w:trHeight w:val="622" w:hRule="atLeast"/>
        </w:trPr>
        <w:tc>
          <w:tcPr>
            <w:tcW w:w="2303" w:type="dxa"/>
          </w:tcPr>
          <w:p>
            <w:pPr>
              <w:pStyle w:val="TableParagraph"/>
              <w:spacing w:before="152"/>
              <w:rPr>
                <w:sz w:val="12"/>
              </w:rPr>
            </w:pPr>
            <w:r>
              <w:rPr>
                <w:sz w:val="18"/>
              </w:rPr>
              <w:t>Gallop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(2010)</w:t>
            </w:r>
            <w:r>
              <w:rPr>
                <w:position w:val="6"/>
                <w:sz w:val="12"/>
              </w:rPr>
              <w:t>6</w:t>
            </w:r>
          </w:p>
        </w:tc>
        <w:tc>
          <w:tcPr>
            <w:tcW w:w="2782" w:type="dxa"/>
          </w:tcPr>
          <w:p>
            <w:pPr>
              <w:pStyle w:val="TableParagraph"/>
              <w:spacing w:before="155"/>
              <w:ind w:left="224" w:right="417"/>
              <w:rPr>
                <w:sz w:val="18"/>
              </w:rPr>
            </w:pPr>
            <w:r>
              <w:rPr>
                <w:sz w:val="18"/>
              </w:rPr>
              <w:t>Caregivers of patients with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LGS</w:t>
            </w:r>
          </w:p>
        </w:tc>
        <w:tc>
          <w:tcPr>
            <w:tcW w:w="4187" w:type="dxa"/>
          </w:tcPr>
          <w:p>
            <w:pPr>
              <w:pStyle w:val="TableParagraph"/>
              <w:spacing w:before="155"/>
              <w:ind w:left="132" w:right="372"/>
              <w:rPr>
                <w:sz w:val="18"/>
              </w:rPr>
            </w:pPr>
            <w:r>
              <w:rPr>
                <w:sz w:val="18"/>
              </w:rPr>
              <w:t>Development of a conceptual model of patient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caregiver HRQL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LGS</w:t>
            </w:r>
          </w:p>
        </w:tc>
      </w:tr>
      <w:tr>
        <w:trPr>
          <w:trHeight w:val="517" w:hRule="atLeast"/>
        </w:trPr>
        <w:tc>
          <w:tcPr>
            <w:tcW w:w="2303" w:type="dxa"/>
          </w:tcPr>
          <w:p>
            <w:pPr>
              <w:pStyle w:val="TableParagraph"/>
              <w:spacing w:before="47"/>
              <w:rPr>
                <w:sz w:val="12"/>
              </w:rPr>
            </w:pPr>
            <w:r>
              <w:rPr>
                <w:sz w:val="18"/>
              </w:rPr>
              <w:t>Gibson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(2014)</w:t>
            </w:r>
            <w:r>
              <w:rPr>
                <w:position w:val="6"/>
                <w:sz w:val="12"/>
              </w:rPr>
              <w:t>7</w:t>
            </w:r>
          </w:p>
        </w:tc>
        <w:tc>
          <w:tcPr>
            <w:tcW w:w="2782" w:type="dxa"/>
          </w:tcPr>
          <w:p>
            <w:pPr>
              <w:pStyle w:val="TableParagraph"/>
              <w:spacing w:before="51"/>
              <w:ind w:left="224" w:right="417"/>
              <w:rPr>
                <w:sz w:val="18"/>
              </w:rPr>
            </w:pPr>
            <w:r>
              <w:rPr>
                <w:sz w:val="18"/>
              </w:rPr>
              <w:t>Caregivers of patients with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LGS</w:t>
            </w:r>
          </w:p>
        </w:tc>
        <w:tc>
          <w:tcPr>
            <w:tcW w:w="4187" w:type="dxa"/>
          </w:tcPr>
          <w:p>
            <w:pPr>
              <w:pStyle w:val="TableParagraph"/>
              <w:spacing w:before="51"/>
              <w:ind w:left="132"/>
              <w:rPr>
                <w:sz w:val="18"/>
              </w:rPr>
            </w:pPr>
            <w:r>
              <w:rPr>
                <w:sz w:val="18"/>
              </w:rPr>
              <w:t>Impact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LGS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caregiver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HRQL</w:t>
            </w:r>
          </w:p>
        </w:tc>
      </w:tr>
      <w:tr>
        <w:trPr>
          <w:trHeight w:val="518" w:hRule="atLeast"/>
        </w:trPr>
        <w:tc>
          <w:tcPr>
            <w:tcW w:w="2303" w:type="dxa"/>
          </w:tcPr>
          <w:p>
            <w:pPr>
              <w:pStyle w:val="TableParagraph"/>
              <w:spacing w:before="48"/>
              <w:rPr>
                <w:sz w:val="12"/>
              </w:rPr>
            </w:pPr>
            <w:r>
              <w:rPr>
                <w:sz w:val="18"/>
              </w:rPr>
              <w:t>Jansson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(2020)</w:t>
            </w:r>
            <w:r>
              <w:rPr>
                <w:position w:val="6"/>
                <w:sz w:val="12"/>
              </w:rPr>
              <w:t>8</w:t>
            </w:r>
          </w:p>
        </w:tc>
        <w:tc>
          <w:tcPr>
            <w:tcW w:w="2782" w:type="dxa"/>
          </w:tcPr>
          <w:p>
            <w:pPr>
              <w:pStyle w:val="TableParagraph"/>
              <w:spacing w:before="52"/>
              <w:ind w:left="224"/>
              <w:rPr>
                <w:sz w:val="18"/>
              </w:rPr>
            </w:pPr>
            <w:r>
              <w:rPr>
                <w:sz w:val="18"/>
              </w:rPr>
              <w:t>Systematic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review</w:t>
            </w:r>
          </w:p>
        </w:tc>
        <w:tc>
          <w:tcPr>
            <w:tcW w:w="4187" w:type="dxa"/>
          </w:tcPr>
          <w:p>
            <w:pPr>
              <w:pStyle w:val="TableParagraph"/>
              <w:spacing w:before="52"/>
              <w:ind w:left="132" w:right="602"/>
              <w:rPr>
                <w:sz w:val="18"/>
              </w:rPr>
            </w:pPr>
            <w:r>
              <w:rPr>
                <w:sz w:val="18"/>
              </w:rPr>
              <w:t>The prevalence of intellectual disability and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behavioral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difficulties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individuals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</w:tr>
      <w:tr>
        <w:trPr>
          <w:trHeight w:val="415" w:hRule="atLeast"/>
        </w:trPr>
        <w:tc>
          <w:tcPr>
            <w:tcW w:w="2303" w:type="dxa"/>
          </w:tcPr>
          <w:p>
            <w:pPr>
              <w:pStyle w:val="TableParagraph"/>
              <w:spacing w:before="48"/>
              <w:rPr>
                <w:sz w:val="12"/>
              </w:rPr>
            </w:pPr>
            <w:r>
              <w:rPr>
                <w:sz w:val="18"/>
              </w:rPr>
              <w:t>Knupp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(2017)</w:t>
            </w:r>
            <w:r>
              <w:rPr>
                <w:position w:val="6"/>
                <w:sz w:val="12"/>
              </w:rPr>
              <w:t>9</w:t>
            </w:r>
          </w:p>
        </w:tc>
        <w:tc>
          <w:tcPr>
            <w:tcW w:w="2782" w:type="dxa"/>
          </w:tcPr>
          <w:p>
            <w:pPr>
              <w:pStyle w:val="TableParagraph"/>
              <w:spacing w:before="52"/>
              <w:ind w:left="224"/>
              <w:rPr>
                <w:sz w:val="18"/>
              </w:rPr>
            </w:pPr>
            <w:r>
              <w:rPr>
                <w:sz w:val="18"/>
              </w:rPr>
              <w:t>Caregivers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  <w:tc>
          <w:tcPr>
            <w:tcW w:w="4187" w:type="dxa"/>
          </w:tcPr>
          <w:p>
            <w:pPr>
              <w:pStyle w:val="TableParagraph"/>
              <w:spacing w:before="52"/>
              <w:ind w:left="132"/>
              <w:rPr>
                <w:sz w:val="18"/>
              </w:rPr>
            </w:pPr>
            <w:r>
              <w:rPr>
                <w:sz w:val="18"/>
              </w:rPr>
              <w:t>Comorbidities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</w:tr>
      <w:tr>
        <w:trPr>
          <w:trHeight w:val="620" w:hRule="atLeast"/>
        </w:trPr>
        <w:tc>
          <w:tcPr>
            <w:tcW w:w="2303" w:type="dxa"/>
          </w:tcPr>
          <w:p>
            <w:pPr>
              <w:pStyle w:val="TableParagraph"/>
              <w:spacing w:before="152"/>
              <w:rPr>
                <w:sz w:val="12"/>
              </w:rPr>
            </w:pPr>
            <w:r>
              <w:rPr>
                <w:sz w:val="18"/>
              </w:rPr>
              <w:t>Lagae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(2018)</w:t>
            </w:r>
            <w:r>
              <w:rPr>
                <w:position w:val="6"/>
                <w:sz w:val="12"/>
              </w:rPr>
              <w:t>10</w:t>
            </w:r>
          </w:p>
        </w:tc>
        <w:tc>
          <w:tcPr>
            <w:tcW w:w="2782" w:type="dxa"/>
          </w:tcPr>
          <w:p>
            <w:pPr>
              <w:pStyle w:val="TableParagraph"/>
              <w:spacing w:before="155"/>
              <w:ind w:left="224"/>
              <w:rPr>
                <w:sz w:val="18"/>
              </w:rPr>
            </w:pPr>
            <w:r>
              <w:rPr>
                <w:sz w:val="18"/>
              </w:rPr>
              <w:t>Caregivers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  <w:tc>
          <w:tcPr>
            <w:tcW w:w="4187" w:type="dxa"/>
          </w:tcPr>
          <w:p>
            <w:pPr>
              <w:pStyle w:val="TableParagraph"/>
              <w:spacing w:before="155"/>
              <w:ind w:left="132" w:right="963"/>
              <w:rPr>
                <w:sz w:val="18"/>
              </w:rPr>
            </w:pPr>
            <w:r>
              <w:rPr>
                <w:sz w:val="18"/>
              </w:rPr>
              <w:t>QoL and comorbidities in caregivers of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patients with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</w:tr>
      <w:tr>
        <w:trPr>
          <w:trHeight w:val="726" w:hRule="atLeast"/>
        </w:trPr>
        <w:tc>
          <w:tcPr>
            <w:tcW w:w="2303" w:type="dxa"/>
          </w:tcPr>
          <w:p>
            <w:pPr>
              <w:pStyle w:val="TableParagraph"/>
              <w:spacing w:before="47"/>
              <w:rPr>
                <w:sz w:val="12"/>
              </w:rPr>
            </w:pPr>
            <w:r>
              <w:rPr>
                <w:sz w:val="18"/>
              </w:rPr>
              <w:t>Nabbout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(2018)</w:t>
            </w:r>
            <w:r>
              <w:rPr>
                <w:position w:val="6"/>
                <w:sz w:val="12"/>
              </w:rPr>
              <w:t>11</w:t>
            </w:r>
          </w:p>
        </w:tc>
        <w:tc>
          <w:tcPr>
            <w:tcW w:w="2782" w:type="dxa"/>
          </w:tcPr>
          <w:p>
            <w:pPr>
              <w:pStyle w:val="TableParagraph"/>
              <w:spacing w:before="51"/>
              <w:ind w:left="224" w:right="426"/>
              <w:rPr>
                <w:sz w:val="18"/>
              </w:rPr>
            </w:pPr>
            <w:r>
              <w:rPr>
                <w:sz w:val="18"/>
              </w:rPr>
              <w:t>Caregivers and healthcare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professionals of patients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with DS</w:t>
            </w:r>
          </w:p>
        </w:tc>
        <w:tc>
          <w:tcPr>
            <w:tcW w:w="4187" w:type="dxa"/>
          </w:tcPr>
          <w:p>
            <w:pPr>
              <w:pStyle w:val="TableParagraph"/>
              <w:spacing w:before="51"/>
              <w:ind w:left="132" w:right="133"/>
              <w:rPr>
                <w:sz w:val="18"/>
              </w:rPr>
            </w:pPr>
            <w:r>
              <w:rPr>
                <w:sz w:val="18"/>
              </w:rPr>
              <w:t>Development and content validation of patient-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and caregiver-relevant outcomes in DS for use in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future DS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clinical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trials</w:t>
            </w:r>
          </w:p>
        </w:tc>
      </w:tr>
      <w:tr>
        <w:trPr>
          <w:trHeight w:val="415" w:hRule="atLeast"/>
        </w:trPr>
        <w:tc>
          <w:tcPr>
            <w:tcW w:w="2303" w:type="dxa"/>
          </w:tcPr>
          <w:p>
            <w:pPr>
              <w:pStyle w:val="TableParagraph"/>
              <w:spacing w:before="48"/>
              <w:rPr>
                <w:sz w:val="12"/>
              </w:rPr>
            </w:pPr>
            <w:r>
              <w:rPr>
                <w:sz w:val="18"/>
              </w:rPr>
              <w:t>Nabbout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12</w:t>
            </w:r>
          </w:p>
        </w:tc>
        <w:tc>
          <w:tcPr>
            <w:tcW w:w="2782" w:type="dxa"/>
          </w:tcPr>
          <w:p>
            <w:pPr>
              <w:pStyle w:val="TableParagraph"/>
              <w:spacing w:before="52"/>
              <w:ind w:left="224"/>
              <w:rPr>
                <w:sz w:val="18"/>
              </w:rPr>
            </w:pPr>
            <w:r>
              <w:rPr>
                <w:sz w:val="18"/>
              </w:rPr>
              <w:t>Caregivers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  <w:tc>
          <w:tcPr>
            <w:tcW w:w="4187" w:type="dxa"/>
          </w:tcPr>
          <w:p>
            <w:pPr>
              <w:pStyle w:val="TableParagraph"/>
              <w:spacing w:before="52"/>
              <w:ind w:left="132"/>
              <w:rPr>
                <w:sz w:val="18"/>
              </w:rPr>
            </w:pPr>
            <w:r>
              <w:rPr>
                <w:sz w:val="18"/>
              </w:rPr>
              <w:t>Impact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families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beyond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seizures</w:t>
            </w:r>
          </w:p>
        </w:tc>
      </w:tr>
      <w:tr>
        <w:trPr>
          <w:trHeight w:val="518" w:hRule="atLeast"/>
        </w:trPr>
        <w:tc>
          <w:tcPr>
            <w:tcW w:w="2303" w:type="dxa"/>
          </w:tcPr>
          <w:p>
            <w:pPr>
              <w:pStyle w:val="TableParagraph"/>
              <w:spacing w:before="152"/>
              <w:rPr>
                <w:sz w:val="12"/>
              </w:rPr>
            </w:pPr>
            <w:r>
              <w:rPr>
                <w:sz w:val="18"/>
              </w:rPr>
              <w:t>Nabbout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(2020)</w:t>
            </w:r>
            <w:r>
              <w:rPr>
                <w:position w:val="6"/>
                <w:sz w:val="12"/>
              </w:rPr>
              <w:t>13</w:t>
            </w:r>
          </w:p>
        </w:tc>
        <w:tc>
          <w:tcPr>
            <w:tcW w:w="2782" w:type="dxa"/>
          </w:tcPr>
          <w:p>
            <w:pPr>
              <w:pStyle w:val="TableParagraph"/>
              <w:spacing w:before="155"/>
              <w:ind w:left="224"/>
              <w:rPr>
                <w:sz w:val="18"/>
              </w:rPr>
            </w:pPr>
            <w:r>
              <w:rPr>
                <w:sz w:val="18"/>
              </w:rPr>
              <w:t>Caregivers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  <w:tc>
          <w:tcPr>
            <w:tcW w:w="4187" w:type="dxa"/>
          </w:tcPr>
          <w:p>
            <w:pPr>
              <w:pStyle w:val="TableParagraph"/>
              <w:spacing w:before="155"/>
              <w:ind w:left="132"/>
              <w:rPr>
                <w:sz w:val="18"/>
              </w:rPr>
            </w:pPr>
            <w:r>
              <w:rPr>
                <w:sz w:val="18"/>
              </w:rPr>
              <w:t>Impact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childhood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caregivers</w:t>
            </w:r>
          </w:p>
        </w:tc>
      </w:tr>
      <w:tr>
        <w:trPr>
          <w:trHeight w:val="621" w:hRule="atLeast"/>
        </w:trPr>
        <w:tc>
          <w:tcPr>
            <w:tcW w:w="2303" w:type="dxa"/>
          </w:tcPr>
          <w:p>
            <w:pPr>
              <w:pStyle w:val="TableParagraph"/>
              <w:spacing w:before="152"/>
              <w:rPr>
                <w:sz w:val="12"/>
              </w:rPr>
            </w:pPr>
            <w:r>
              <w:rPr>
                <w:sz w:val="18"/>
              </w:rPr>
              <w:t>Sinoo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14</w:t>
            </w:r>
          </w:p>
        </w:tc>
        <w:tc>
          <w:tcPr>
            <w:tcW w:w="2782" w:type="dxa"/>
          </w:tcPr>
          <w:p>
            <w:pPr>
              <w:pStyle w:val="TableParagraph"/>
              <w:spacing w:before="155"/>
              <w:ind w:left="224"/>
              <w:rPr>
                <w:sz w:val="18"/>
              </w:rPr>
            </w:pPr>
            <w:r>
              <w:rPr>
                <w:sz w:val="18"/>
              </w:rPr>
              <w:t>DS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caregivers</w:t>
            </w:r>
          </w:p>
        </w:tc>
        <w:tc>
          <w:tcPr>
            <w:tcW w:w="4187" w:type="dxa"/>
          </w:tcPr>
          <w:p>
            <w:pPr>
              <w:pStyle w:val="TableParagraph"/>
              <w:spacing w:before="155"/>
              <w:ind w:left="132" w:right="372"/>
              <w:rPr>
                <w:sz w:val="18"/>
              </w:rPr>
            </w:pPr>
            <w:r>
              <w:rPr>
                <w:sz w:val="18"/>
              </w:rPr>
              <w:t>Quantifies prevalence of behavioral difficulties</w:t>
            </w:r>
            <w:r>
              <w:rPr>
                <w:spacing w:val="-48"/>
                <w:sz w:val="18"/>
              </w:rPr>
              <w:t> </w:t>
            </w:r>
            <w:r>
              <w:rPr>
                <w:sz w:val="18"/>
              </w:rPr>
              <w:t>and HRQL issues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 patients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with DS</w:t>
            </w:r>
          </w:p>
        </w:tc>
      </w:tr>
      <w:tr>
        <w:trPr>
          <w:trHeight w:val="518" w:hRule="atLeast"/>
        </w:trPr>
        <w:tc>
          <w:tcPr>
            <w:tcW w:w="2303" w:type="dxa"/>
          </w:tcPr>
          <w:p>
            <w:pPr>
              <w:pStyle w:val="TableParagraph"/>
              <w:spacing w:before="48"/>
              <w:rPr>
                <w:sz w:val="12"/>
              </w:rPr>
            </w:pPr>
            <w:r>
              <w:rPr>
                <w:sz w:val="18"/>
              </w:rPr>
              <w:t>Strzelczyk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15</w:t>
            </w:r>
          </w:p>
        </w:tc>
        <w:tc>
          <w:tcPr>
            <w:tcW w:w="2782" w:type="dxa"/>
          </w:tcPr>
          <w:p>
            <w:pPr>
              <w:pStyle w:val="TableParagraph"/>
              <w:spacing w:before="52"/>
              <w:ind w:left="224"/>
              <w:rPr>
                <w:sz w:val="18"/>
              </w:rPr>
            </w:pPr>
            <w:r>
              <w:rPr>
                <w:sz w:val="18"/>
              </w:rPr>
              <w:t>Caregivers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  <w:tc>
          <w:tcPr>
            <w:tcW w:w="4187" w:type="dxa"/>
          </w:tcPr>
          <w:p>
            <w:pPr>
              <w:pStyle w:val="TableParagraph"/>
              <w:spacing w:before="52"/>
              <w:ind w:left="132" w:right="413"/>
              <w:rPr>
                <w:sz w:val="18"/>
              </w:rPr>
            </w:pPr>
            <w:r>
              <w:rPr>
                <w:sz w:val="18"/>
              </w:rPr>
              <w:t>Cost and cost-driving factors and QoL among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caregivers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</w:tr>
      <w:tr>
        <w:trPr>
          <w:trHeight w:val="571" w:hRule="atLeast"/>
        </w:trPr>
        <w:tc>
          <w:tcPr>
            <w:tcW w:w="230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48"/>
              <w:rPr>
                <w:sz w:val="12"/>
              </w:rPr>
            </w:pPr>
            <w:r>
              <w:rPr>
                <w:sz w:val="18"/>
              </w:rPr>
              <w:t>Villas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(2017)</w:t>
            </w:r>
            <w:r>
              <w:rPr>
                <w:position w:val="6"/>
                <w:sz w:val="12"/>
              </w:rPr>
              <w:t>16</w:t>
            </w:r>
          </w:p>
        </w:tc>
        <w:tc>
          <w:tcPr>
            <w:tcW w:w="278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2"/>
              <w:ind w:left="224"/>
              <w:rPr>
                <w:sz w:val="18"/>
              </w:rPr>
            </w:pPr>
            <w:r>
              <w:rPr>
                <w:sz w:val="18"/>
              </w:rPr>
              <w:t>Caregivers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  <w:tc>
          <w:tcPr>
            <w:tcW w:w="418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2"/>
              <w:ind w:left="132" w:right="683"/>
              <w:rPr>
                <w:sz w:val="18"/>
              </w:rPr>
            </w:pPr>
            <w:r>
              <w:rPr>
                <w:sz w:val="18"/>
              </w:rPr>
              <w:t>Prevalence of comorbidities and caregiver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concerns</w:t>
            </w:r>
          </w:p>
        </w:tc>
      </w:tr>
    </w:tbl>
    <w:p>
      <w:pPr>
        <w:pStyle w:val="BodyText"/>
        <w:ind w:left="119" w:right="921" w:firstLine="36"/>
      </w:pPr>
      <w:r>
        <w:rPr/>
        <w:t>Methods included validated survey instruments, medical records, clinical assessment, and semi-</w:t>
      </w:r>
      <w:r>
        <w:rPr>
          <w:spacing w:val="-53"/>
        </w:rPr>
        <w:t> </w:t>
      </w:r>
      <w:r>
        <w:rPr/>
        <w:t>structured</w:t>
      </w:r>
      <w:r>
        <w:rPr>
          <w:spacing w:val="-2"/>
        </w:rPr>
        <w:t> </w:t>
      </w:r>
      <w:r>
        <w:rPr/>
        <w:t>interviews.</w:t>
      </w:r>
    </w:p>
    <w:p>
      <w:pPr>
        <w:pStyle w:val="BodyText"/>
        <w:ind w:left="119" w:right="203"/>
      </w:pPr>
      <w:r>
        <w:rPr/>
        <w:t>Abbreviations:</w:t>
      </w:r>
      <w:r>
        <w:rPr>
          <w:spacing w:val="-6"/>
        </w:rPr>
        <w:t> </w:t>
      </w:r>
      <w:r>
        <w:rPr/>
        <w:t>DS,</w:t>
      </w:r>
      <w:r>
        <w:rPr>
          <w:spacing w:val="-4"/>
        </w:rPr>
        <w:t> </w:t>
      </w:r>
      <w:r>
        <w:rPr/>
        <w:t>Dravet</w:t>
      </w:r>
      <w:r>
        <w:rPr>
          <w:spacing w:val="-3"/>
        </w:rPr>
        <w:t> </w:t>
      </w:r>
      <w:r>
        <w:rPr/>
        <w:t>syndrome;</w:t>
      </w:r>
      <w:r>
        <w:rPr>
          <w:spacing w:val="-6"/>
        </w:rPr>
        <w:t> </w:t>
      </w:r>
      <w:r>
        <w:rPr/>
        <w:t>HRQL,</w:t>
      </w:r>
      <w:r>
        <w:rPr>
          <w:spacing w:val="-5"/>
        </w:rPr>
        <w:t> </w:t>
      </w:r>
      <w:r>
        <w:rPr/>
        <w:t>health-related</w:t>
      </w:r>
      <w:r>
        <w:rPr>
          <w:spacing w:val="-6"/>
        </w:rPr>
        <w:t> </w:t>
      </w:r>
      <w:r>
        <w:rPr/>
        <w:t>quality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life;</w:t>
      </w:r>
      <w:r>
        <w:rPr>
          <w:spacing w:val="-3"/>
        </w:rPr>
        <w:t> </w:t>
      </w:r>
      <w:r>
        <w:rPr/>
        <w:t>LGS,</w:t>
      </w:r>
      <w:r>
        <w:rPr>
          <w:spacing w:val="-3"/>
        </w:rPr>
        <w:t> </w:t>
      </w:r>
      <w:r>
        <w:rPr/>
        <w:t>Lennox-Gastaut</w:t>
      </w:r>
      <w:r>
        <w:rPr>
          <w:spacing w:val="-53"/>
        </w:rPr>
        <w:t> </w:t>
      </w:r>
      <w:r>
        <w:rPr/>
        <w:t>syndrome;</w:t>
      </w:r>
      <w:r>
        <w:rPr>
          <w:spacing w:val="-2"/>
        </w:rPr>
        <w:t> </w:t>
      </w:r>
      <w:r>
        <w:rPr/>
        <w:t>QoL,</w:t>
      </w:r>
      <w:r>
        <w:rPr>
          <w:spacing w:val="-1"/>
        </w:rPr>
        <w:t> </w:t>
      </w:r>
      <w:r>
        <w:rPr/>
        <w:t>quality of</w:t>
      </w:r>
      <w:r>
        <w:rPr>
          <w:spacing w:val="-1"/>
        </w:rPr>
        <w:t> </w:t>
      </w:r>
      <w:r>
        <w:rPr/>
        <w:t>life.</w:t>
      </w:r>
    </w:p>
    <w:p>
      <w:pPr>
        <w:spacing w:after="0"/>
        <w:sectPr>
          <w:pgSz w:w="12240" w:h="15840"/>
          <w:pgMar w:header="0" w:footer="1020" w:top="1360" w:bottom="1200" w:left="1320" w:right="1320"/>
        </w:sectPr>
      </w:pPr>
    </w:p>
    <w:p>
      <w:pPr>
        <w:spacing w:line="480" w:lineRule="auto" w:before="79"/>
        <w:ind w:left="119" w:right="107" w:firstLine="0"/>
        <w:jc w:val="left"/>
        <w:rPr>
          <w:sz w:val="20"/>
        </w:rPr>
      </w:pPr>
      <w:r>
        <w:rPr>
          <w:rFonts w:ascii="Arial"/>
          <w:b/>
          <w:sz w:val="20"/>
        </w:rPr>
        <w:t>Supplementary</w:t>
      </w:r>
      <w:r>
        <w:rPr>
          <w:rFonts w:ascii="Arial"/>
          <w:b/>
          <w:spacing w:val="-5"/>
          <w:sz w:val="20"/>
        </w:rPr>
        <w:t> </w:t>
      </w:r>
      <w:r>
        <w:rPr>
          <w:rFonts w:ascii="Arial"/>
          <w:b/>
          <w:sz w:val="20"/>
        </w:rPr>
        <w:t>Table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3.</w:t>
      </w:r>
      <w:r>
        <w:rPr>
          <w:rFonts w:ascii="Arial"/>
          <w:b/>
          <w:spacing w:val="-4"/>
          <w:sz w:val="20"/>
        </w:rPr>
        <w:t> </w:t>
      </w:r>
      <w:r>
        <w:rPr>
          <w:sz w:val="20"/>
        </w:rPr>
        <w:t>Included</w:t>
      </w:r>
      <w:r>
        <w:rPr>
          <w:spacing w:val="-4"/>
          <w:sz w:val="20"/>
        </w:rPr>
        <w:t> </w:t>
      </w:r>
      <w:r>
        <w:rPr>
          <w:sz w:val="20"/>
        </w:rPr>
        <w:t>reviews</w:t>
      </w:r>
      <w:r>
        <w:rPr>
          <w:spacing w:val="-3"/>
          <w:sz w:val="20"/>
        </w:rPr>
        <w:t> </w:t>
      </w:r>
      <w:r>
        <w:rPr>
          <w:sz w:val="20"/>
        </w:rPr>
        <w:t>reporting</w:t>
      </w:r>
      <w:r>
        <w:rPr>
          <w:spacing w:val="-4"/>
          <w:sz w:val="20"/>
        </w:rPr>
        <w:t> </w:t>
      </w:r>
      <w:r>
        <w:rPr>
          <w:sz w:val="20"/>
        </w:rPr>
        <w:t>adverse</w:t>
      </w:r>
      <w:r>
        <w:rPr>
          <w:spacing w:val="-4"/>
          <w:sz w:val="20"/>
        </w:rPr>
        <w:t> </w:t>
      </w:r>
      <w:r>
        <w:rPr>
          <w:sz w:val="20"/>
        </w:rPr>
        <w:t>events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side</w:t>
      </w:r>
      <w:r>
        <w:rPr>
          <w:spacing w:val="-2"/>
          <w:sz w:val="20"/>
        </w:rPr>
        <w:t> </w:t>
      </w:r>
      <w:r>
        <w:rPr>
          <w:sz w:val="20"/>
        </w:rPr>
        <w:t>effects</w:t>
      </w:r>
      <w:r>
        <w:rPr>
          <w:spacing w:val="-3"/>
          <w:sz w:val="20"/>
        </w:rPr>
        <w:t> </w:t>
      </w:r>
      <w:r>
        <w:rPr>
          <w:sz w:val="20"/>
        </w:rPr>
        <w:t>associated</w:t>
      </w:r>
      <w:r>
        <w:rPr>
          <w:spacing w:val="-4"/>
          <w:sz w:val="20"/>
        </w:rPr>
        <w:t> </w:t>
      </w:r>
      <w:r>
        <w:rPr>
          <w:sz w:val="20"/>
        </w:rPr>
        <w:t>with</w:t>
      </w:r>
      <w:r>
        <w:rPr>
          <w:spacing w:val="-53"/>
          <w:sz w:val="20"/>
        </w:rPr>
        <w:t> </w:t>
      </w:r>
      <w:r>
        <w:rPr>
          <w:sz w:val="20"/>
        </w:rPr>
        <w:t>ASMs.</w:t>
      </w:r>
    </w:p>
    <w:tbl>
      <w:tblPr>
        <w:tblW w:w="0" w:type="auto"/>
        <w:jc w:val="left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40"/>
        <w:gridCol w:w="1550"/>
        <w:gridCol w:w="4881"/>
      </w:tblGrid>
      <w:tr>
        <w:trPr>
          <w:trHeight w:val="337" w:hRule="atLeast"/>
        </w:trPr>
        <w:tc>
          <w:tcPr>
            <w:tcW w:w="284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Study</w:t>
            </w:r>
          </w:p>
        </w:tc>
        <w:tc>
          <w:tcPr>
            <w:tcW w:w="155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0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Drug</w:t>
            </w:r>
          </w:p>
        </w:tc>
        <w:tc>
          <w:tcPr>
            <w:tcW w:w="488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70"/>
              <w:ind w:left="11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Description</w:t>
            </w:r>
            <w:r>
              <w:rPr>
                <w:rFonts w:ascii="Arial"/>
                <w:b/>
                <w:spacing w:val="-4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study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scope</w:t>
            </w:r>
          </w:p>
        </w:tc>
      </w:tr>
      <w:tr>
        <w:trPr>
          <w:trHeight w:val="462" w:hRule="atLeast"/>
        </w:trPr>
        <w:tc>
          <w:tcPr>
            <w:tcW w:w="284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8" w:lineRule="exact"/>
              <w:rPr>
                <w:sz w:val="12"/>
              </w:rPr>
            </w:pPr>
            <w:r>
              <w:rPr>
                <w:sz w:val="18"/>
              </w:rPr>
              <w:t>Balagura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(2020)</w:t>
            </w:r>
            <w:r>
              <w:rPr>
                <w:position w:val="6"/>
                <w:sz w:val="12"/>
              </w:rPr>
              <w:t>17</w:t>
            </w:r>
          </w:p>
        </w:tc>
        <w:tc>
          <w:tcPr>
            <w:tcW w:w="1550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Rufinamide</w:t>
            </w:r>
          </w:p>
        </w:tc>
        <w:tc>
          <w:tcPr>
            <w:tcW w:w="488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"/>
              <w:ind w:left="119" w:right="229"/>
              <w:rPr>
                <w:sz w:val="18"/>
              </w:rPr>
            </w:pPr>
            <w:r>
              <w:rPr>
                <w:sz w:val="18"/>
              </w:rPr>
              <w:t>Efficacy and safety of rufinamide as adjunctive treatment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in patients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LGS</w:t>
            </w:r>
          </w:p>
        </w:tc>
      </w:tr>
      <w:tr>
        <w:trPr>
          <w:trHeight w:val="746" w:hRule="atLeast"/>
        </w:trPr>
        <w:tc>
          <w:tcPr>
            <w:tcW w:w="2840" w:type="dxa"/>
          </w:tcPr>
          <w:p>
            <w:pPr>
              <w:pStyle w:val="TableParagraph"/>
              <w:spacing w:before="44"/>
              <w:rPr>
                <w:sz w:val="12"/>
              </w:rPr>
            </w:pPr>
            <w:r>
              <w:rPr>
                <w:sz w:val="18"/>
              </w:rPr>
              <w:t>Bresnahan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18</w:t>
            </w:r>
          </w:p>
        </w:tc>
        <w:tc>
          <w:tcPr>
            <w:tcW w:w="1550" w:type="dxa"/>
          </w:tcPr>
          <w:p>
            <w:pPr>
              <w:pStyle w:val="TableParagraph"/>
              <w:spacing w:before="47"/>
              <w:ind w:left="109"/>
              <w:rPr>
                <w:sz w:val="18"/>
              </w:rPr>
            </w:pPr>
            <w:r>
              <w:rPr>
                <w:sz w:val="18"/>
              </w:rPr>
              <w:t>Clobazam</w:t>
            </w:r>
          </w:p>
        </w:tc>
        <w:tc>
          <w:tcPr>
            <w:tcW w:w="4881" w:type="dxa"/>
          </w:tcPr>
          <w:p>
            <w:pPr>
              <w:pStyle w:val="TableParagraph"/>
              <w:spacing w:line="242" w:lineRule="auto" w:before="47"/>
              <w:ind w:left="119" w:right="189"/>
              <w:rPr>
                <w:sz w:val="18"/>
              </w:rPr>
            </w:pPr>
            <w:r>
              <w:rPr>
                <w:sz w:val="18"/>
              </w:rPr>
              <w:t>Efficacy, effectiveness, and tolerability of clobazam as an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add</w:t>
            </w:r>
            <w:r>
              <w:rPr>
                <w:rFonts w:ascii="SimSun" w:hAnsi="SimSun"/>
                <w:sz w:val="18"/>
              </w:rPr>
              <w:t>‐</w:t>
            </w:r>
            <w:r>
              <w:rPr>
                <w:sz w:val="18"/>
              </w:rPr>
              <w:t>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therapy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individuals with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</w:t>
            </w:r>
            <w:r>
              <w:rPr>
                <w:rFonts w:ascii="SimSun" w:hAnsi="SimSun"/>
                <w:sz w:val="18"/>
              </w:rPr>
              <w:t>‐</w:t>
            </w:r>
            <w:r>
              <w:rPr>
                <w:sz w:val="18"/>
              </w:rPr>
              <w:t>resistant</w:t>
            </w:r>
          </w:p>
          <w:p>
            <w:pPr>
              <w:pStyle w:val="TableParagraph"/>
              <w:spacing w:before="3"/>
              <w:ind w:left="119"/>
              <w:rPr>
                <w:sz w:val="18"/>
              </w:rPr>
            </w:pPr>
            <w:r>
              <w:rPr>
                <w:sz w:val="18"/>
              </w:rPr>
              <w:t>generalized-onset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focal</w:t>
            </w:r>
            <w:r>
              <w:rPr>
                <w:rFonts w:ascii="SimSun" w:hAnsi="SimSun"/>
                <w:sz w:val="18"/>
              </w:rPr>
              <w:t>‐</w:t>
            </w:r>
            <w:r>
              <w:rPr>
                <w:sz w:val="18"/>
              </w:rPr>
              <w:t>onset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seizures</w:t>
            </w:r>
          </w:p>
        </w:tc>
      </w:tr>
      <w:tr>
        <w:trPr>
          <w:trHeight w:val="687" w:hRule="atLeast"/>
        </w:trPr>
        <w:tc>
          <w:tcPr>
            <w:tcW w:w="2840" w:type="dxa"/>
          </w:tcPr>
          <w:p>
            <w:pPr>
              <w:pStyle w:val="TableParagraph"/>
              <w:spacing w:before="32"/>
              <w:rPr>
                <w:sz w:val="12"/>
              </w:rPr>
            </w:pPr>
            <w:r>
              <w:rPr>
                <w:sz w:val="18"/>
              </w:rPr>
              <w:t>Bresnahan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19</w:t>
            </w:r>
          </w:p>
        </w:tc>
        <w:tc>
          <w:tcPr>
            <w:tcW w:w="1550" w:type="dxa"/>
          </w:tcPr>
          <w:p>
            <w:pPr>
              <w:pStyle w:val="TableParagraph"/>
              <w:spacing w:before="35"/>
              <w:ind w:left="109"/>
              <w:rPr>
                <w:sz w:val="18"/>
              </w:rPr>
            </w:pPr>
            <w:r>
              <w:rPr>
                <w:sz w:val="18"/>
              </w:rPr>
              <w:t>Topiramate</w:t>
            </w:r>
          </w:p>
        </w:tc>
        <w:tc>
          <w:tcPr>
            <w:tcW w:w="4881" w:type="dxa"/>
          </w:tcPr>
          <w:p>
            <w:pPr>
              <w:pStyle w:val="TableParagraph"/>
              <w:spacing w:before="35"/>
              <w:ind w:left="119" w:right="199"/>
              <w:rPr>
                <w:sz w:val="18"/>
              </w:rPr>
            </w:pPr>
            <w:r>
              <w:rPr>
                <w:sz w:val="18"/>
              </w:rPr>
              <w:t>Effectiveness and tolerability of topiramate when used as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an add-on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treatment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people with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drug-resistant</w:t>
            </w:r>
          </w:p>
          <w:p>
            <w:pPr>
              <w:pStyle w:val="TableParagraph"/>
              <w:spacing w:before="2"/>
              <w:ind w:left="119"/>
              <w:rPr>
                <w:sz w:val="18"/>
              </w:rPr>
            </w:pPr>
            <w:r>
              <w:rPr>
                <w:sz w:val="18"/>
              </w:rPr>
              <w:t>focal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490" w:hRule="atLeast"/>
        </w:trPr>
        <w:tc>
          <w:tcPr>
            <w:tcW w:w="2840" w:type="dxa"/>
          </w:tcPr>
          <w:p>
            <w:pPr>
              <w:pStyle w:val="TableParagraph"/>
              <w:spacing w:before="26"/>
              <w:rPr>
                <w:sz w:val="12"/>
              </w:rPr>
            </w:pPr>
            <w:r>
              <w:rPr>
                <w:sz w:val="18"/>
              </w:rPr>
              <w:t>Chen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20</w:t>
            </w:r>
          </w:p>
        </w:tc>
        <w:tc>
          <w:tcPr>
            <w:tcW w:w="1550" w:type="dxa"/>
          </w:tcPr>
          <w:p>
            <w:pPr>
              <w:pStyle w:val="TableParagraph"/>
              <w:spacing w:before="29"/>
              <w:ind w:left="109"/>
              <w:rPr>
                <w:sz w:val="18"/>
              </w:rPr>
            </w:pPr>
            <w:r>
              <w:rPr>
                <w:sz w:val="18"/>
              </w:rPr>
              <w:t>Levetiracetam</w:t>
            </w:r>
          </w:p>
        </w:tc>
        <w:tc>
          <w:tcPr>
            <w:tcW w:w="4881" w:type="dxa"/>
          </w:tcPr>
          <w:p>
            <w:pPr>
              <w:pStyle w:val="TableParagraph"/>
              <w:spacing w:before="29"/>
              <w:ind w:left="119" w:right="519"/>
              <w:rPr>
                <w:sz w:val="18"/>
              </w:rPr>
            </w:pPr>
            <w:r>
              <w:rPr>
                <w:sz w:val="18"/>
              </w:rPr>
              <w:t>Efficacy and safety profile of levetiracetam as add-on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therapy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 patients with refractory epilepsy</w:t>
            </w:r>
          </w:p>
        </w:tc>
      </w:tr>
      <w:tr>
        <w:trPr>
          <w:trHeight w:val="511" w:hRule="atLeast"/>
        </w:trPr>
        <w:tc>
          <w:tcPr>
            <w:tcW w:w="2840" w:type="dxa"/>
          </w:tcPr>
          <w:p>
            <w:pPr>
              <w:pStyle w:val="TableParagraph"/>
              <w:spacing w:before="44"/>
              <w:rPr>
                <w:sz w:val="12"/>
              </w:rPr>
            </w:pPr>
            <w:r>
              <w:rPr>
                <w:sz w:val="18"/>
              </w:rPr>
              <w:t>Dozières-Puyravel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21</w:t>
            </w:r>
          </w:p>
        </w:tc>
        <w:tc>
          <w:tcPr>
            <w:tcW w:w="1550" w:type="dxa"/>
          </w:tcPr>
          <w:p>
            <w:pPr>
              <w:pStyle w:val="TableParagraph"/>
              <w:spacing w:before="47"/>
              <w:ind w:left="109"/>
              <w:rPr>
                <w:sz w:val="18"/>
              </w:rPr>
            </w:pPr>
            <w:r>
              <w:rPr>
                <w:sz w:val="18"/>
              </w:rPr>
              <w:t>Perampanel</w:t>
            </w:r>
          </w:p>
        </w:tc>
        <w:tc>
          <w:tcPr>
            <w:tcW w:w="4881" w:type="dxa"/>
          </w:tcPr>
          <w:p>
            <w:pPr>
              <w:pStyle w:val="TableParagraph"/>
              <w:spacing w:before="47"/>
              <w:ind w:left="119" w:right="229"/>
              <w:rPr>
                <w:sz w:val="18"/>
              </w:rPr>
            </w:pPr>
            <w:r>
              <w:rPr>
                <w:sz w:val="18"/>
              </w:rPr>
              <w:t>Evidence-based review on the use of perampanel for the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treatment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focal-onset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seizures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pediatric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patients</w:t>
            </w:r>
          </w:p>
        </w:tc>
      </w:tr>
      <w:tr>
        <w:trPr>
          <w:trHeight w:val="508" w:hRule="atLeast"/>
        </w:trPr>
        <w:tc>
          <w:tcPr>
            <w:tcW w:w="2840" w:type="dxa"/>
          </w:tcPr>
          <w:p>
            <w:pPr>
              <w:pStyle w:val="TableParagraph"/>
              <w:spacing w:before="44"/>
              <w:rPr>
                <w:sz w:val="12"/>
              </w:rPr>
            </w:pPr>
            <w:r>
              <w:rPr>
                <w:sz w:val="18"/>
              </w:rPr>
              <w:t>Elliot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22</w:t>
            </w:r>
          </w:p>
        </w:tc>
        <w:tc>
          <w:tcPr>
            <w:tcW w:w="1550" w:type="dxa"/>
          </w:tcPr>
          <w:p>
            <w:pPr>
              <w:pStyle w:val="TableParagraph"/>
              <w:spacing w:before="47"/>
              <w:ind w:left="109"/>
              <w:rPr>
                <w:sz w:val="18"/>
              </w:rPr>
            </w:pPr>
            <w:r>
              <w:rPr>
                <w:sz w:val="18"/>
              </w:rPr>
              <w:t>Primarily CBD</w:t>
            </w:r>
          </w:p>
        </w:tc>
        <w:tc>
          <w:tcPr>
            <w:tcW w:w="4881" w:type="dxa"/>
          </w:tcPr>
          <w:p>
            <w:pPr>
              <w:pStyle w:val="TableParagraph"/>
              <w:spacing w:before="47"/>
              <w:ind w:left="119" w:right="669"/>
              <w:rPr>
                <w:sz w:val="18"/>
              </w:rPr>
            </w:pPr>
            <w:r>
              <w:rPr>
                <w:sz w:val="18"/>
              </w:rPr>
              <w:t>Benefits and harms of cannabis-based products for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pediatric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with epilepsy</w:t>
            </w:r>
          </w:p>
        </w:tc>
      </w:tr>
      <w:tr>
        <w:trPr>
          <w:trHeight w:val="699" w:hRule="atLeast"/>
        </w:trPr>
        <w:tc>
          <w:tcPr>
            <w:tcW w:w="2840" w:type="dxa"/>
          </w:tcPr>
          <w:p>
            <w:pPr>
              <w:pStyle w:val="TableParagraph"/>
              <w:spacing w:before="44"/>
              <w:rPr>
                <w:sz w:val="12"/>
              </w:rPr>
            </w:pPr>
            <w:r>
              <w:rPr>
                <w:sz w:val="18"/>
              </w:rPr>
              <w:t>Frampton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23</w:t>
            </w:r>
          </w:p>
        </w:tc>
        <w:tc>
          <w:tcPr>
            <w:tcW w:w="1550" w:type="dxa"/>
          </w:tcPr>
          <w:p>
            <w:pPr>
              <w:pStyle w:val="TableParagraph"/>
              <w:spacing w:before="47"/>
              <w:ind w:left="109"/>
              <w:rPr>
                <w:sz w:val="18"/>
              </w:rPr>
            </w:pPr>
            <w:r>
              <w:rPr>
                <w:sz w:val="18"/>
              </w:rPr>
              <w:t>Stiripentol</w:t>
            </w:r>
          </w:p>
        </w:tc>
        <w:tc>
          <w:tcPr>
            <w:tcW w:w="4881" w:type="dxa"/>
          </w:tcPr>
          <w:p>
            <w:pPr>
              <w:pStyle w:val="TableParagraph"/>
              <w:spacing w:before="47"/>
              <w:ind w:left="119" w:right="265"/>
              <w:jc w:val="both"/>
              <w:rPr>
                <w:sz w:val="18"/>
              </w:rPr>
            </w:pPr>
            <w:r>
              <w:rPr>
                <w:sz w:val="18"/>
              </w:rPr>
              <w:t>Efficacy and safety of stiripentol as adjunctive therapy of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refractory generalized tonic-clonic seizures in individuals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with DS</w:t>
            </w:r>
          </w:p>
        </w:tc>
      </w:tr>
      <w:tr>
        <w:trPr>
          <w:trHeight w:val="681" w:hRule="atLeast"/>
        </w:trPr>
        <w:tc>
          <w:tcPr>
            <w:tcW w:w="2840" w:type="dxa"/>
          </w:tcPr>
          <w:p>
            <w:pPr>
              <w:pStyle w:val="TableParagraph"/>
              <w:spacing w:before="26"/>
              <w:rPr>
                <w:sz w:val="12"/>
              </w:rPr>
            </w:pPr>
            <w:r>
              <w:rPr>
                <w:sz w:val="18"/>
              </w:rPr>
              <w:t>Hoy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(2016)</w:t>
            </w:r>
            <w:r>
              <w:rPr>
                <w:position w:val="6"/>
                <w:sz w:val="12"/>
              </w:rPr>
              <w:t>24</w:t>
            </w:r>
          </w:p>
        </w:tc>
        <w:tc>
          <w:tcPr>
            <w:tcW w:w="1550" w:type="dxa"/>
          </w:tcPr>
          <w:p>
            <w:pPr>
              <w:pStyle w:val="TableParagraph"/>
              <w:spacing w:before="29"/>
              <w:ind w:left="109"/>
              <w:rPr>
                <w:sz w:val="18"/>
              </w:rPr>
            </w:pPr>
            <w:r>
              <w:rPr>
                <w:sz w:val="18"/>
              </w:rPr>
              <w:t>Topiramate</w:t>
            </w:r>
          </w:p>
        </w:tc>
        <w:tc>
          <w:tcPr>
            <w:tcW w:w="4881" w:type="dxa"/>
          </w:tcPr>
          <w:p>
            <w:pPr>
              <w:pStyle w:val="TableParagraph"/>
              <w:spacing w:before="29"/>
              <w:ind w:left="119" w:right="279"/>
              <w:rPr>
                <w:sz w:val="18"/>
              </w:rPr>
            </w:pPr>
            <w:r>
              <w:rPr>
                <w:sz w:val="18"/>
              </w:rPr>
              <w:t>Efficacy and safety of topiramate extended release as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adjunctive therapy in patients with partial-onset seizures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primary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generalized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tonic-clonic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seizures</w:t>
            </w:r>
          </w:p>
        </w:tc>
      </w:tr>
      <w:tr>
        <w:trPr>
          <w:trHeight w:val="490" w:hRule="atLeast"/>
        </w:trPr>
        <w:tc>
          <w:tcPr>
            <w:tcW w:w="2840" w:type="dxa"/>
          </w:tcPr>
          <w:p>
            <w:pPr>
              <w:pStyle w:val="TableParagraph"/>
              <w:spacing w:before="26"/>
              <w:rPr>
                <w:sz w:val="12"/>
              </w:rPr>
            </w:pPr>
            <w:r>
              <w:rPr>
                <w:sz w:val="18"/>
              </w:rPr>
              <w:t>Hsu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(2013)</w:t>
            </w:r>
            <w:r>
              <w:rPr>
                <w:position w:val="6"/>
                <w:sz w:val="12"/>
              </w:rPr>
              <w:t>25</w:t>
            </w:r>
          </w:p>
        </w:tc>
        <w:tc>
          <w:tcPr>
            <w:tcW w:w="1550" w:type="dxa"/>
          </w:tcPr>
          <w:p>
            <w:pPr>
              <w:pStyle w:val="TableParagraph"/>
              <w:spacing w:before="29"/>
              <w:ind w:left="109"/>
              <w:rPr>
                <w:sz w:val="18"/>
              </w:rPr>
            </w:pPr>
            <w:r>
              <w:rPr>
                <w:sz w:val="18"/>
              </w:rPr>
              <w:t>Perampanel</w:t>
            </w:r>
          </w:p>
        </w:tc>
        <w:tc>
          <w:tcPr>
            <w:tcW w:w="4881" w:type="dxa"/>
          </w:tcPr>
          <w:p>
            <w:pPr>
              <w:pStyle w:val="TableParagraph"/>
              <w:spacing w:before="29"/>
              <w:ind w:left="119" w:right="544"/>
              <w:rPr>
                <w:sz w:val="18"/>
              </w:rPr>
            </w:pPr>
            <w:r>
              <w:rPr>
                <w:sz w:val="18"/>
              </w:rPr>
              <w:t>Efficacy and safety of perampanel in the treatment of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partial-onset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511" w:hRule="atLeast"/>
        </w:trPr>
        <w:tc>
          <w:tcPr>
            <w:tcW w:w="2840" w:type="dxa"/>
          </w:tcPr>
          <w:p>
            <w:pPr>
              <w:pStyle w:val="TableParagraph"/>
              <w:spacing w:before="44"/>
              <w:rPr>
                <w:sz w:val="12"/>
              </w:rPr>
            </w:pPr>
            <w:r>
              <w:rPr>
                <w:sz w:val="18"/>
              </w:rPr>
              <w:t>Lattanzi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(2016)</w:t>
            </w:r>
            <w:r>
              <w:rPr>
                <w:position w:val="6"/>
                <w:sz w:val="12"/>
              </w:rPr>
              <w:t>26</w:t>
            </w:r>
          </w:p>
        </w:tc>
        <w:tc>
          <w:tcPr>
            <w:tcW w:w="1550" w:type="dxa"/>
          </w:tcPr>
          <w:p>
            <w:pPr>
              <w:pStyle w:val="TableParagraph"/>
              <w:spacing w:before="47"/>
              <w:ind w:left="109"/>
              <w:rPr>
                <w:sz w:val="18"/>
              </w:rPr>
            </w:pPr>
            <w:r>
              <w:rPr>
                <w:sz w:val="18"/>
              </w:rPr>
              <w:t>Brivaracetam</w:t>
            </w:r>
          </w:p>
        </w:tc>
        <w:tc>
          <w:tcPr>
            <w:tcW w:w="4881" w:type="dxa"/>
          </w:tcPr>
          <w:p>
            <w:pPr>
              <w:pStyle w:val="TableParagraph"/>
              <w:spacing w:before="47"/>
              <w:ind w:left="119" w:right="279"/>
              <w:rPr>
                <w:sz w:val="18"/>
              </w:rPr>
            </w:pPr>
            <w:r>
              <w:rPr>
                <w:sz w:val="18"/>
              </w:rPr>
              <w:t>Efficacy and safety of brivaracetam as add-on treatment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drug-resistant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partial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508" w:hRule="atLeast"/>
        </w:trPr>
        <w:tc>
          <w:tcPr>
            <w:tcW w:w="2840" w:type="dxa"/>
          </w:tcPr>
          <w:p>
            <w:pPr>
              <w:pStyle w:val="TableParagraph"/>
              <w:spacing w:before="44"/>
              <w:rPr>
                <w:sz w:val="12"/>
              </w:rPr>
            </w:pPr>
            <w:r>
              <w:rPr>
                <w:sz w:val="18"/>
              </w:rPr>
              <w:t>Lattanzi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(2018)</w:t>
            </w:r>
            <w:r>
              <w:rPr>
                <w:position w:val="6"/>
                <w:sz w:val="12"/>
              </w:rPr>
              <w:t>27</w:t>
            </w:r>
          </w:p>
        </w:tc>
        <w:tc>
          <w:tcPr>
            <w:tcW w:w="1550" w:type="dxa"/>
          </w:tcPr>
          <w:p>
            <w:pPr>
              <w:pStyle w:val="TableParagraph"/>
              <w:spacing w:before="47"/>
              <w:ind w:left="109"/>
              <w:rPr>
                <w:sz w:val="18"/>
              </w:rPr>
            </w:pPr>
            <w:r>
              <w:rPr>
                <w:sz w:val="18"/>
              </w:rPr>
              <w:t>CBD</w:t>
            </w:r>
          </w:p>
        </w:tc>
        <w:tc>
          <w:tcPr>
            <w:tcW w:w="4881" w:type="dxa"/>
          </w:tcPr>
          <w:p>
            <w:pPr>
              <w:pStyle w:val="TableParagraph"/>
              <w:spacing w:before="47"/>
              <w:ind w:left="119" w:right="499"/>
              <w:rPr>
                <w:sz w:val="18"/>
              </w:rPr>
            </w:pPr>
            <w:r>
              <w:rPr>
                <w:sz w:val="18"/>
              </w:rPr>
              <w:t>Efficacy and safety of CBD as adjunctive treatment in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patients with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699" w:hRule="atLeast"/>
        </w:trPr>
        <w:tc>
          <w:tcPr>
            <w:tcW w:w="2840" w:type="dxa"/>
          </w:tcPr>
          <w:p>
            <w:pPr>
              <w:pStyle w:val="TableParagraph"/>
              <w:spacing w:before="44"/>
              <w:rPr>
                <w:sz w:val="12"/>
              </w:rPr>
            </w:pPr>
            <w:r>
              <w:rPr>
                <w:sz w:val="18"/>
              </w:rPr>
              <w:t>Lattanzi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(2020)</w:t>
            </w:r>
            <w:r>
              <w:rPr>
                <w:position w:val="6"/>
                <w:sz w:val="12"/>
              </w:rPr>
              <w:t>28</w:t>
            </w:r>
          </w:p>
        </w:tc>
        <w:tc>
          <w:tcPr>
            <w:tcW w:w="1550" w:type="dxa"/>
          </w:tcPr>
          <w:p>
            <w:pPr>
              <w:pStyle w:val="TableParagraph"/>
              <w:spacing w:before="47"/>
              <w:ind w:left="109"/>
              <w:rPr>
                <w:sz w:val="18"/>
              </w:rPr>
            </w:pPr>
            <w:r>
              <w:rPr>
                <w:sz w:val="18"/>
              </w:rPr>
              <w:t>Cenobamate</w:t>
            </w:r>
          </w:p>
        </w:tc>
        <w:tc>
          <w:tcPr>
            <w:tcW w:w="4881" w:type="dxa"/>
          </w:tcPr>
          <w:p>
            <w:pPr>
              <w:pStyle w:val="TableParagraph"/>
              <w:spacing w:before="47"/>
              <w:ind w:left="119" w:right="449"/>
              <w:rPr>
                <w:sz w:val="18"/>
              </w:rPr>
            </w:pPr>
            <w:r>
              <w:rPr>
                <w:sz w:val="18"/>
              </w:rPr>
              <w:t>Efficacy and safety of adjunctive cenobamate for the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treatment of focal-onset seizures in adult patients with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497" w:hRule="atLeast"/>
        </w:trPr>
        <w:tc>
          <w:tcPr>
            <w:tcW w:w="2840" w:type="dxa"/>
          </w:tcPr>
          <w:p>
            <w:pPr>
              <w:pStyle w:val="TableParagraph"/>
              <w:spacing w:before="26"/>
              <w:rPr>
                <w:sz w:val="12"/>
              </w:rPr>
            </w:pPr>
            <w:r>
              <w:rPr>
                <w:sz w:val="18"/>
              </w:rPr>
              <w:t>Panebianco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(2018)</w:t>
            </w:r>
            <w:r>
              <w:rPr>
                <w:position w:val="6"/>
                <w:sz w:val="12"/>
              </w:rPr>
              <w:t>29</w:t>
            </w:r>
          </w:p>
        </w:tc>
        <w:tc>
          <w:tcPr>
            <w:tcW w:w="1550" w:type="dxa"/>
          </w:tcPr>
          <w:p>
            <w:pPr>
              <w:pStyle w:val="TableParagraph"/>
              <w:spacing w:before="29"/>
              <w:ind w:left="109"/>
              <w:rPr>
                <w:sz w:val="18"/>
              </w:rPr>
            </w:pPr>
            <w:r>
              <w:rPr>
                <w:sz w:val="18"/>
              </w:rPr>
              <w:t>Rufinamide</w:t>
            </w:r>
          </w:p>
        </w:tc>
        <w:tc>
          <w:tcPr>
            <w:tcW w:w="4881" w:type="dxa"/>
          </w:tcPr>
          <w:p>
            <w:pPr>
              <w:pStyle w:val="TableParagraph"/>
              <w:spacing w:line="242" w:lineRule="auto" w:before="29"/>
              <w:ind w:left="119" w:right="399"/>
              <w:rPr>
                <w:sz w:val="18"/>
              </w:rPr>
            </w:pPr>
            <w:r>
              <w:rPr>
                <w:sz w:val="18"/>
              </w:rPr>
              <w:t>Efficacy and tolerability of rufinamide when used as an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add</w:t>
            </w:r>
            <w:r>
              <w:rPr>
                <w:rFonts w:ascii="SimSun" w:hAnsi="SimSun"/>
                <w:sz w:val="18"/>
              </w:rPr>
              <w:t>‐</w:t>
            </w:r>
            <w:r>
              <w:rPr>
                <w:sz w:val="18"/>
              </w:rPr>
              <w:t>on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treatment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 people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with refractory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532" w:hRule="atLeast"/>
        </w:trPr>
        <w:tc>
          <w:tcPr>
            <w:tcW w:w="2840" w:type="dxa"/>
          </w:tcPr>
          <w:p>
            <w:pPr>
              <w:pStyle w:val="TableParagraph"/>
              <w:spacing w:before="36"/>
              <w:rPr>
                <w:sz w:val="12"/>
              </w:rPr>
            </w:pPr>
            <w:r>
              <w:rPr>
                <w:sz w:val="18"/>
              </w:rPr>
              <w:t>Panebianco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(2020)</w:t>
            </w:r>
            <w:r>
              <w:rPr>
                <w:position w:val="6"/>
                <w:sz w:val="12"/>
              </w:rPr>
              <w:t>30</w:t>
            </w:r>
          </w:p>
        </w:tc>
        <w:tc>
          <w:tcPr>
            <w:tcW w:w="1550" w:type="dxa"/>
          </w:tcPr>
          <w:p>
            <w:pPr>
              <w:pStyle w:val="TableParagraph"/>
              <w:spacing w:before="40"/>
              <w:ind w:left="109"/>
              <w:rPr>
                <w:sz w:val="18"/>
              </w:rPr>
            </w:pPr>
            <w:r>
              <w:rPr>
                <w:sz w:val="18"/>
              </w:rPr>
              <w:t>Lamotrigine</w:t>
            </w:r>
          </w:p>
        </w:tc>
        <w:tc>
          <w:tcPr>
            <w:tcW w:w="4881" w:type="dxa"/>
          </w:tcPr>
          <w:p>
            <w:pPr>
              <w:pStyle w:val="TableParagraph"/>
              <w:spacing w:line="230" w:lineRule="atLeast" w:before="41"/>
              <w:ind w:left="119"/>
              <w:rPr>
                <w:sz w:val="18"/>
              </w:rPr>
            </w:pPr>
            <w:r>
              <w:rPr>
                <w:sz w:val="18"/>
              </w:rPr>
              <w:t>Efficacy and tolerability of lamotrigine as an add</w:t>
            </w:r>
            <w:r>
              <w:rPr>
                <w:rFonts w:ascii="SimSun" w:hAnsi="SimSun"/>
                <w:sz w:val="18"/>
              </w:rPr>
              <w:t>‐</w:t>
            </w:r>
            <w:r>
              <w:rPr>
                <w:sz w:val="18"/>
              </w:rPr>
              <w:t>on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treatment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people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drug</w:t>
            </w:r>
            <w:r>
              <w:rPr>
                <w:rFonts w:ascii="SimSun" w:hAnsi="SimSun"/>
                <w:sz w:val="18"/>
              </w:rPr>
              <w:t>‐</w:t>
            </w:r>
            <w:r>
              <w:rPr>
                <w:sz w:val="18"/>
              </w:rPr>
              <w:t>resistant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focal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498" w:hRule="atLeast"/>
        </w:trPr>
        <w:tc>
          <w:tcPr>
            <w:tcW w:w="2840" w:type="dxa"/>
          </w:tcPr>
          <w:p>
            <w:pPr>
              <w:pStyle w:val="TableParagraph"/>
              <w:spacing w:before="32"/>
              <w:rPr>
                <w:sz w:val="12"/>
              </w:rPr>
            </w:pPr>
            <w:r>
              <w:rPr>
                <w:sz w:val="18"/>
              </w:rPr>
              <w:t>Striano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(2018)</w:t>
            </w:r>
            <w:r>
              <w:rPr>
                <w:position w:val="6"/>
                <w:sz w:val="12"/>
              </w:rPr>
              <w:t>31</w:t>
            </w:r>
          </w:p>
        </w:tc>
        <w:tc>
          <w:tcPr>
            <w:tcW w:w="1550" w:type="dxa"/>
          </w:tcPr>
          <w:p>
            <w:pPr>
              <w:pStyle w:val="TableParagraph"/>
              <w:spacing w:before="35"/>
              <w:ind w:left="109"/>
              <w:rPr>
                <w:sz w:val="18"/>
              </w:rPr>
            </w:pPr>
            <w:r>
              <w:rPr>
                <w:sz w:val="18"/>
              </w:rPr>
              <w:t>Rufinamide</w:t>
            </w:r>
          </w:p>
        </w:tc>
        <w:tc>
          <w:tcPr>
            <w:tcW w:w="4881" w:type="dxa"/>
          </w:tcPr>
          <w:p>
            <w:pPr>
              <w:pStyle w:val="TableParagraph"/>
              <w:spacing w:before="35"/>
              <w:ind w:left="119" w:right="309"/>
              <w:rPr>
                <w:sz w:val="18"/>
              </w:rPr>
            </w:pPr>
            <w:r>
              <w:rPr>
                <w:sz w:val="18"/>
              </w:rPr>
              <w:t>Efficacy and tolerability of rufinamide in the treatment of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individuals with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LGS</w:t>
            </w:r>
          </w:p>
        </w:tc>
      </w:tr>
      <w:tr>
        <w:trPr>
          <w:trHeight w:val="510" w:hRule="atLeast"/>
        </w:trPr>
        <w:tc>
          <w:tcPr>
            <w:tcW w:w="2840" w:type="dxa"/>
          </w:tcPr>
          <w:p>
            <w:pPr>
              <w:pStyle w:val="TableParagraph"/>
              <w:spacing w:before="45"/>
              <w:rPr>
                <w:sz w:val="12"/>
              </w:rPr>
            </w:pPr>
            <w:r>
              <w:rPr>
                <w:sz w:val="18"/>
              </w:rPr>
              <w:t>Stockings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(2018)</w:t>
            </w:r>
            <w:r>
              <w:rPr>
                <w:position w:val="6"/>
                <w:sz w:val="12"/>
              </w:rPr>
              <w:t>32</w:t>
            </w:r>
          </w:p>
        </w:tc>
        <w:tc>
          <w:tcPr>
            <w:tcW w:w="1550" w:type="dxa"/>
          </w:tcPr>
          <w:p>
            <w:pPr>
              <w:pStyle w:val="TableParagraph"/>
              <w:spacing w:before="49"/>
              <w:ind w:left="109"/>
              <w:rPr>
                <w:sz w:val="18"/>
              </w:rPr>
            </w:pPr>
            <w:r>
              <w:rPr>
                <w:sz w:val="18"/>
              </w:rPr>
              <w:t>Primarily CBD</w:t>
            </w:r>
          </w:p>
        </w:tc>
        <w:tc>
          <w:tcPr>
            <w:tcW w:w="4881" w:type="dxa"/>
          </w:tcPr>
          <w:p>
            <w:pPr>
              <w:pStyle w:val="TableParagraph"/>
              <w:spacing w:before="49"/>
              <w:ind w:left="119"/>
              <w:rPr>
                <w:sz w:val="18"/>
              </w:rPr>
            </w:pPr>
            <w:r>
              <w:rPr>
                <w:sz w:val="18"/>
              </w:rPr>
              <w:t>Efficacy and tolerability of cannabinoids as adjunctive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treatments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individuals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treatment-resistant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699" w:hRule="atLeast"/>
        </w:trPr>
        <w:tc>
          <w:tcPr>
            <w:tcW w:w="2840" w:type="dxa"/>
          </w:tcPr>
          <w:p>
            <w:pPr>
              <w:pStyle w:val="TableParagraph"/>
              <w:spacing w:before="44"/>
              <w:rPr>
                <w:sz w:val="12"/>
              </w:rPr>
            </w:pPr>
            <w:r>
              <w:rPr>
                <w:sz w:val="18"/>
              </w:rPr>
              <w:t>Trinka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(2020)</w:t>
            </w:r>
            <w:r>
              <w:rPr>
                <w:position w:val="6"/>
                <w:sz w:val="12"/>
              </w:rPr>
              <w:t>33</w:t>
            </w:r>
          </w:p>
        </w:tc>
        <w:tc>
          <w:tcPr>
            <w:tcW w:w="1550" w:type="dxa"/>
          </w:tcPr>
          <w:p>
            <w:pPr>
              <w:pStyle w:val="TableParagraph"/>
              <w:spacing w:before="47"/>
              <w:ind w:left="109" w:right="100"/>
              <w:rPr>
                <w:sz w:val="18"/>
              </w:rPr>
            </w:pPr>
            <w:r>
              <w:rPr>
                <w:sz w:val="18"/>
              </w:rPr>
              <w:t>Perampanel and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Brivaracetam</w:t>
            </w:r>
          </w:p>
        </w:tc>
        <w:tc>
          <w:tcPr>
            <w:tcW w:w="4881" w:type="dxa"/>
          </w:tcPr>
          <w:p>
            <w:pPr>
              <w:pStyle w:val="TableParagraph"/>
              <w:spacing w:before="47"/>
              <w:ind w:left="119" w:right="249"/>
              <w:rPr>
                <w:sz w:val="18"/>
              </w:rPr>
            </w:pPr>
            <w:r>
              <w:rPr>
                <w:sz w:val="18"/>
              </w:rPr>
              <w:t>Efficacy and safety of perampanel to brivaracetam in the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adjunctive treatment of individuals with focal-onset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seizures</w:t>
            </w:r>
          </w:p>
        </w:tc>
      </w:tr>
      <w:tr>
        <w:trPr>
          <w:trHeight w:val="541" w:hRule="atLeast"/>
        </w:trPr>
        <w:tc>
          <w:tcPr>
            <w:tcW w:w="284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6"/>
              <w:rPr>
                <w:sz w:val="12"/>
              </w:rPr>
            </w:pPr>
            <w:r>
              <w:rPr>
                <w:sz w:val="18"/>
              </w:rPr>
              <w:t>Yi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34</w:t>
            </w:r>
          </w:p>
        </w:tc>
        <w:tc>
          <w:tcPr>
            <w:tcW w:w="155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9"/>
              <w:ind w:left="109"/>
              <w:rPr>
                <w:sz w:val="18"/>
              </w:rPr>
            </w:pPr>
            <w:r>
              <w:rPr>
                <w:sz w:val="18"/>
              </w:rPr>
              <w:t>Levetiracetam</w:t>
            </w:r>
          </w:p>
        </w:tc>
        <w:tc>
          <w:tcPr>
            <w:tcW w:w="488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9"/>
              <w:ind w:left="119" w:right="640"/>
              <w:rPr>
                <w:sz w:val="18"/>
              </w:rPr>
            </w:pPr>
            <w:r>
              <w:rPr>
                <w:sz w:val="18"/>
              </w:rPr>
              <w:t>Efficacy, safety, and economics of levetiracetam for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</w:tbl>
    <w:p>
      <w:pPr>
        <w:pStyle w:val="BodyText"/>
        <w:ind w:left="119"/>
      </w:pPr>
      <w:r>
        <w:rPr/>
        <w:t>Abbreviations:</w:t>
      </w:r>
      <w:r>
        <w:rPr>
          <w:spacing w:val="45"/>
        </w:rPr>
        <w:t> </w:t>
      </w:r>
      <w:r>
        <w:rPr/>
        <w:t>ASM,</w:t>
      </w:r>
      <w:r>
        <w:rPr>
          <w:spacing w:val="43"/>
        </w:rPr>
        <w:t> </w:t>
      </w:r>
      <w:r>
        <w:rPr/>
        <w:t>antiseizure</w:t>
      </w:r>
      <w:r>
        <w:rPr>
          <w:spacing w:val="43"/>
        </w:rPr>
        <w:t> </w:t>
      </w:r>
      <w:r>
        <w:rPr/>
        <w:t>medication;</w:t>
      </w:r>
      <w:r>
        <w:rPr>
          <w:spacing w:val="46"/>
        </w:rPr>
        <w:t> </w:t>
      </w:r>
      <w:r>
        <w:rPr/>
        <w:t>CBD,</w:t>
      </w:r>
      <w:r>
        <w:rPr>
          <w:spacing w:val="45"/>
        </w:rPr>
        <w:t> </w:t>
      </w:r>
      <w:r>
        <w:rPr/>
        <w:t>cannabidiol;</w:t>
      </w:r>
      <w:r>
        <w:rPr>
          <w:spacing w:val="43"/>
        </w:rPr>
        <w:t> </w:t>
      </w:r>
      <w:r>
        <w:rPr/>
        <w:t>DS,</w:t>
      </w:r>
      <w:r>
        <w:rPr>
          <w:spacing w:val="43"/>
        </w:rPr>
        <w:t> </w:t>
      </w:r>
      <w:r>
        <w:rPr/>
        <w:t>Dravet</w:t>
      </w:r>
      <w:r>
        <w:rPr>
          <w:spacing w:val="43"/>
        </w:rPr>
        <w:t> </w:t>
      </w:r>
      <w:r>
        <w:rPr/>
        <w:t>syndrome;</w:t>
      </w:r>
      <w:r>
        <w:rPr>
          <w:spacing w:val="43"/>
        </w:rPr>
        <w:t> </w:t>
      </w:r>
      <w:r>
        <w:rPr/>
        <w:t>LGS,</w:t>
      </w:r>
      <w:r>
        <w:rPr>
          <w:spacing w:val="43"/>
        </w:rPr>
        <w:t> </w:t>
      </w:r>
      <w:r>
        <w:rPr/>
        <w:t>Lennox-</w:t>
      </w:r>
      <w:r>
        <w:rPr>
          <w:spacing w:val="-53"/>
        </w:rPr>
        <w:t> </w:t>
      </w:r>
      <w:r>
        <w:rPr/>
        <w:t>Gastaut</w:t>
      </w:r>
      <w:r>
        <w:rPr>
          <w:spacing w:val="-2"/>
        </w:rPr>
        <w:t> </w:t>
      </w:r>
      <w:r>
        <w:rPr/>
        <w:t>syndrome.</w:t>
      </w:r>
    </w:p>
    <w:p>
      <w:pPr>
        <w:spacing w:after="0"/>
        <w:sectPr>
          <w:pgSz w:w="12240" w:h="15840"/>
          <w:pgMar w:header="0" w:footer="1020" w:top="1360" w:bottom="1200" w:left="1320" w:right="1320"/>
        </w:sectPr>
      </w:pPr>
    </w:p>
    <w:p>
      <w:pPr>
        <w:spacing w:before="79"/>
        <w:ind w:left="120" w:right="0" w:firstLine="0"/>
        <w:jc w:val="left"/>
        <w:rPr>
          <w:sz w:val="20"/>
        </w:rPr>
      </w:pPr>
      <w:r>
        <w:rPr>
          <w:rFonts w:ascii="Arial"/>
          <w:b/>
          <w:sz w:val="20"/>
        </w:rPr>
        <w:t>Supplementary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Table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4.</w:t>
      </w:r>
      <w:r>
        <w:rPr>
          <w:rFonts w:ascii="Arial"/>
          <w:b/>
          <w:spacing w:val="-3"/>
          <w:sz w:val="20"/>
        </w:rPr>
        <w:t> </w:t>
      </w:r>
      <w:r>
        <w:rPr>
          <w:sz w:val="20"/>
        </w:rPr>
        <w:t>Included</w:t>
      </w:r>
      <w:r>
        <w:rPr>
          <w:spacing w:val="-3"/>
          <w:sz w:val="20"/>
        </w:rPr>
        <w:t> </w:t>
      </w:r>
      <w:r>
        <w:rPr>
          <w:sz w:val="20"/>
        </w:rPr>
        <w:t>papers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beneficial</w:t>
      </w:r>
      <w:r>
        <w:rPr>
          <w:spacing w:val="-2"/>
          <w:sz w:val="20"/>
        </w:rPr>
        <w:t> </w:t>
      </w:r>
      <w:r>
        <w:rPr>
          <w:sz w:val="20"/>
        </w:rPr>
        <w:t>impacts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CBD</w:t>
      </w:r>
      <w:r>
        <w:rPr>
          <w:spacing w:val="-1"/>
          <w:sz w:val="20"/>
        </w:rPr>
        <w:t> </w:t>
      </w:r>
      <w:r>
        <w:rPr>
          <w:sz w:val="20"/>
        </w:rPr>
        <w:t>beyond</w:t>
      </w:r>
      <w:r>
        <w:rPr>
          <w:spacing w:val="-3"/>
          <w:sz w:val="20"/>
        </w:rPr>
        <w:t> </w:t>
      </w:r>
      <w:r>
        <w:rPr>
          <w:sz w:val="20"/>
        </w:rPr>
        <w:t>seizure</w:t>
      </w:r>
      <w:r>
        <w:rPr>
          <w:spacing w:val="-3"/>
          <w:sz w:val="20"/>
        </w:rPr>
        <w:t> </w:t>
      </w:r>
      <w:r>
        <w:rPr>
          <w:sz w:val="20"/>
        </w:rPr>
        <w:t>control.</w:t>
      </w:r>
    </w:p>
    <w:p>
      <w:pPr>
        <w:pStyle w:val="BodyText"/>
        <w:spacing w:before="1" w:after="1"/>
      </w:pPr>
    </w:p>
    <w:tbl>
      <w:tblPr>
        <w:tblW w:w="0" w:type="auto"/>
        <w:jc w:val="left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4"/>
        <w:gridCol w:w="2547"/>
        <w:gridCol w:w="4081"/>
      </w:tblGrid>
      <w:tr>
        <w:trPr>
          <w:trHeight w:val="337" w:hRule="atLeast"/>
        </w:trPr>
        <w:tc>
          <w:tcPr>
            <w:tcW w:w="264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87" w:lineRule="exact" w:before="13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Study</w:t>
            </w:r>
          </w:p>
        </w:tc>
        <w:tc>
          <w:tcPr>
            <w:tcW w:w="254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87" w:lineRule="exact" w:before="130"/>
              <w:ind w:left="16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Sample</w:t>
            </w:r>
          </w:p>
        </w:tc>
        <w:tc>
          <w:tcPr>
            <w:tcW w:w="408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87" w:lineRule="exact" w:before="130"/>
              <w:ind w:left="17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Description</w:t>
            </w:r>
            <w:r>
              <w:rPr>
                <w:rFonts w:ascii="Arial"/>
                <w:b/>
                <w:spacing w:val="-4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of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study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scope</w:t>
            </w:r>
          </w:p>
        </w:tc>
      </w:tr>
      <w:tr>
        <w:trPr>
          <w:trHeight w:val="473" w:hRule="atLeast"/>
        </w:trPr>
        <w:tc>
          <w:tcPr>
            <w:tcW w:w="264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/>
              <w:rPr>
                <w:sz w:val="12"/>
              </w:rPr>
            </w:pPr>
            <w:r>
              <w:rPr>
                <w:sz w:val="18"/>
              </w:rPr>
              <w:t>Gaston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35</w:t>
            </w:r>
          </w:p>
        </w:tc>
        <w:tc>
          <w:tcPr>
            <w:tcW w:w="2547" w:type="dxa"/>
            <w:tcBorders>
              <w:top w:val="single" w:sz="8" w:space="0" w:color="000000"/>
            </w:tcBorders>
          </w:tcPr>
          <w:p>
            <w:pPr>
              <w:pStyle w:val="TableParagraph"/>
              <w:ind w:left="164" w:right="169"/>
              <w:rPr>
                <w:sz w:val="18"/>
              </w:rPr>
            </w:pPr>
            <w:r>
              <w:rPr>
                <w:sz w:val="18"/>
              </w:rPr>
              <w:t>Adult patients with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treatment-resistant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  <w:tc>
          <w:tcPr>
            <w:tcW w:w="4081" w:type="dxa"/>
            <w:tcBorders>
              <w:top w:val="single" w:sz="8" w:space="0" w:color="000000"/>
            </w:tcBorders>
          </w:tcPr>
          <w:p>
            <w:pPr>
              <w:pStyle w:val="TableParagraph"/>
              <w:ind w:left="170"/>
              <w:rPr>
                <w:sz w:val="18"/>
              </w:rPr>
            </w:pPr>
            <w:r>
              <w:rPr>
                <w:sz w:val="18"/>
              </w:rPr>
              <w:t>QoL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adults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enrolled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open-label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study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CBD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treatment-resistant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534" w:hRule="atLeast"/>
        </w:trPr>
        <w:tc>
          <w:tcPr>
            <w:tcW w:w="2644" w:type="dxa"/>
          </w:tcPr>
          <w:p>
            <w:pPr>
              <w:pStyle w:val="TableParagraph"/>
              <w:spacing w:before="57"/>
              <w:rPr>
                <w:sz w:val="12"/>
              </w:rPr>
            </w:pPr>
            <w:r>
              <w:rPr>
                <w:sz w:val="18"/>
              </w:rPr>
              <w:t>Martin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(2019)</w:t>
            </w:r>
            <w:r>
              <w:rPr>
                <w:position w:val="6"/>
                <w:sz w:val="12"/>
              </w:rPr>
              <w:t>36</w:t>
            </w:r>
          </w:p>
        </w:tc>
        <w:tc>
          <w:tcPr>
            <w:tcW w:w="2547" w:type="dxa"/>
          </w:tcPr>
          <w:p>
            <w:pPr>
              <w:pStyle w:val="TableParagraph"/>
              <w:spacing w:before="61"/>
              <w:ind w:left="164" w:right="169"/>
              <w:rPr>
                <w:sz w:val="18"/>
              </w:rPr>
            </w:pPr>
            <w:r>
              <w:rPr>
                <w:sz w:val="18"/>
              </w:rPr>
              <w:t>Adult patients with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treatment-resistant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  <w:tc>
          <w:tcPr>
            <w:tcW w:w="4081" w:type="dxa"/>
          </w:tcPr>
          <w:p>
            <w:pPr>
              <w:pStyle w:val="TableParagraph"/>
              <w:spacing w:before="61"/>
              <w:ind w:left="170"/>
              <w:rPr>
                <w:sz w:val="18"/>
              </w:rPr>
            </w:pPr>
            <w:r>
              <w:rPr>
                <w:sz w:val="18"/>
              </w:rPr>
              <w:t>Long-term cognitive effects of an open-label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study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CBD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treatment-resistant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786" w:hRule="atLeast"/>
        </w:trPr>
        <w:tc>
          <w:tcPr>
            <w:tcW w:w="2644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z w:val="18"/>
              </w:rPr>
              <w:t>Morgan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(2015)</w:t>
            </w:r>
            <w:r>
              <w:rPr>
                <w:position w:val="6"/>
                <w:sz w:val="12"/>
              </w:rPr>
              <w:t>37</w:t>
            </w:r>
          </w:p>
        </w:tc>
        <w:tc>
          <w:tcPr>
            <w:tcW w:w="2547" w:type="dxa"/>
          </w:tcPr>
          <w:p>
            <w:pPr>
              <w:pStyle w:val="TableParagraph"/>
              <w:spacing w:line="207" w:lineRule="exact" w:before="59"/>
              <w:ind w:left="164"/>
              <w:rPr>
                <w:sz w:val="18"/>
              </w:rPr>
            </w:pPr>
            <w:r>
              <w:rPr>
                <w:sz w:val="18"/>
              </w:rPr>
              <w:t>Children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with</w:t>
            </w:r>
          </w:p>
          <w:p>
            <w:pPr>
              <w:pStyle w:val="TableParagraph"/>
              <w:spacing w:line="207" w:lineRule="exact"/>
              <w:ind w:left="164"/>
              <w:rPr>
                <w:sz w:val="18"/>
              </w:rPr>
            </w:pPr>
            <w:r>
              <w:rPr>
                <w:sz w:val="18"/>
              </w:rPr>
              <w:t>treatment-resistant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  <w:tc>
          <w:tcPr>
            <w:tcW w:w="4081" w:type="dxa"/>
          </w:tcPr>
          <w:p>
            <w:pPr>
              <w:pStyle w:val="TableParagraph"/>
              <w:spacing w:before="59"/>
              <w:ind w:left="170" w:right="282"/>
              <w:rPr>
                <w:sz w:val="18"/>
              </w:rPr>
            </w:pPr>
            <w:r>
              <w:rPr>
                <w:sz w:val="18"/>
              </w:rPr>
              <w:t>Neurocognitive or neurobehavioral impacts of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CBD-enriched cannabis in children with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treatment-resistant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579" w:hRule="atLeast"/>
        </w:trPr>
        <w:tc>
          <w:tcPr>
            <w:tcW w:w="2644" w:type="dxa"/>
          </w:tcPr>
          <w:p>
            <w:pPr>
              <w:pStyle w:val="TableParagraph"/>
              <w:spacing w:before="100"/>
              <w:rPr>
                <w:sz w:val="12"/>
              </w:rPr>
            </w:pPr>
            <w:r>
              <w:rPr>
                <w:sz w:val="18"/>
              </w:rPr>
              <w:t>Porter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Jacobson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(2013)</w:t>
            </w:r>
            <w:r>
              <w:rPr>
                <w:position w:val="6"/>
                <w:sz w:val="12"/>
              </w:rPr>
              <w:t>38</w:t>
            </w:r>
          </w:p>
        </w:tc>
        <w:tc>
          <w:tcPr>
            <w:tcW w:w="2547" w:type="dxa"/>
          </w:tcPr>
          <w:p>
            <w:pPr>
              <w:pStyle w:val="TableParagraph"/>
              <w:spacing w:before="104"/>
              <w:ind w:left="164" w:right="169"/>
              <w:rPr>
                <w:sz w:val="18"/>
              </w:rPr>
            </w:pPr>
            <w:r>
              <w:rPr>
                <w:sz w:val="18"/>
              </w:rPr>
              <w:t>Parents of children with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treatment-resistant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  <w:tc>
          <w:tcPr>
            <w:tcW w:w="4081" w:type="dxa"/>
          </w:tcPr>
          <w:p>
            <w:pPr>
              <w:pStyle w:val="TableParagraph"/>
              <w:spacing w:before="104"/>
              <w:ind w:left="170" w:right="229"/>
              <w:rPr>
                <w:sz w:val="18"/>
              </w:rPr>
            </w:pPr>
            <w:r>
              <w:rPr>
                <w:sz w:val="18"/>
              </w:rPr>
              <w:t>Efficacy and safety of CBD-enriched cannabis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children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treatment-resistant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532" w:hRule="atLeast"/>
        </w:trPr>
        <w:tc>
          <w:tcPr>
            <w:tcW w:w="2644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z w:val="18"/>
              </w:rPr>
              <w:t>Press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(2015)</w:t>
            </w:r>
            <w:r>
              <w:rPr>
                <w:position w:val="6"/>
                <w:sz w:val="12"/>
              </w:rPr>
              <w:t>39</w:t>
            </w:r>
          </w:p>
        </w:tc>
        <w:tc>
          <w:tcPr>
            <w:tcW w:w="2547" w:type="dxa"/>
          </w:tcPr>
          <w:p>
            <w:pPr>
              <w:pStyle w:val="TableParagraph"/>
              <w:spacing w:before="59"/>
              <w:ind w:left="164" w:right="331"/>
              <w:rPr>
                <w:sz w:val="18"/>
              </w:rPr>
            </w:pPr>
            <w:r>
              <w:rPr>
                <w:sz w:val="18"/>
              </w:rPr>
              <w:t>Children and adolescents</w:t>
            </w:r>
            <w:r>
              <w:rPr>
                <w:spacing w:val="-48"/>
                <w:sz w:val="18"/>
              </w:rPr>
              <w:t> </w:t>
            </w:r>
            <w:r>
              <w:rPr>
                <w:sz w:val="18"/>
              </w:rPr>
              <w:t>with epilepsy</w:t>
            </w:r>
          </w:p>
        </w:tc>
        <w:tc>
          <w:tcPr>
            <w:tcW w:w="4081" w:type="dxa"/>
          </w:tcPr>
          <w:p>
            <w:pPr>
              <w:pStyle w:val="TableParagraph"/>
              <w:spacing w:before="59"/>
              <w:ind w:left="170" w:right="539"/>
              <w:rPr>
                <w:sz w:val="18"/>
              </w:rPr>
            </w:pPr>
            <w:r>
              <w:rPr>
                <w:sz w:val="18"/>
              </w:rPr>
              <w:t>Efficacy and safety of cannabis extracts in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children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adolescents with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801" w:hRule="atLeast"/>
        </w:trPr>
        <w:tc>
          <w:tcPr>
            <w:tcW w:w="2644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z w:val="18"/>
              </w:rPr>
              <w:t>Rosenberg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(2017)</w:t>
            </w:r>
            <w:r>
              <w:rPr>
                <w:position w:val="6"/>
                <w:sz w:val="12"/>
              </w:rPr>
              <w:t>40</w:t>
            </w:r>
          </w:p>
        </w:tc>
        <w:tc>
          <w:tcPr>
            <w:tcW w:w="2547" w:type="dxa"/>
          </w:tcPr>
          <w:p>
            <w:pPr>
              <w:pStyle w:val="TableParagraph"/>
              <w:spacing w:before="59"/>
              <w:ind w:left="164" w:right="452"/>
              <w:rPr>
                <w:sz w:val="18"/>
              </w:rPr>
            </w:pPr>
            <w:r>
              <w:rPr>
                <w:sz w:val="18"/>
              </w:rPr>
              <w:t>Children with treatment-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resistant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  <w:tc>
          <w:tcPr>
            <w:tcW w:w="4081" w:type="dxa"/>
          </w:tcPr>
          <w:p>
            <w:pPr>
              <w:pStyle w:val="TableParagraph"/>
              <w:spacing w:before="59"/>
              <w:ind w:left="170" w:right="239"/>
              <w:rPr>
                <w:sz w:val="18"/>
              </w:rPr>
            </w:pPr>
            <w:r>
              <w:rPr>
                <w:sz w:val="18"/>
              </w:rPr>
              <w:t>Caregiver-reported QoL in children enrolled in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an open-label study of CBD for treatment-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resistant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801" w:hRule="atLeast"/>
        </w:trPr>
        <w:tc>
          <w:tcPr>
            <w:tcW w:w="2644" w:type="dxa"/>
          </w:tcPr>
          <w:p>
            <w:pPr>
              <w:pStyle w:val="TableParagraph"/>
              <w:spacing w:before="116"/>
              <w:rPr>
                <w:sz w:val="12"/>
              </w:rPr>
            </w:pPr>
            <w:r>
              <w:rPr>
                <w:sz w:val="18"/>
              </w:rPr>
              <w:t>Silvennoinen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(2021)</w:t>
            </w:r>
            <w:r>
              <w:rPr>
                <w:position w:val="6"/>
                <w:sz w:val="12"/>
              </w:rPr>
              <w:t>41</w:t>
            </w:r>
          </w:p>
        </w:tc>
        <w:tc>
          <w:tcPr>
            <w:tcW w:w="2547" w:type="dxa"/>
          </w:tcPr>
          <w:p>
            <w:pPr>
              <w:pStyle w:val="TableParagraph"/>
              <w:spacing w:before="119"/>
              <w:ind w:left="164"/>
              <w:rPr>
                <w:sz w:val="18"/>
              </w:rPr>
            </w:pPr>
            <w:r>
              <w:rPr>
                <w:sz w:val="18"/>
              </w:rPr>
              <w:t>Adults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DS</w:t>
            </w:r>
          </w:p>
        </w:tc>
        <w:tc>
          <w:tcPr>
            <w:tcW w:w="4081" w:type="dxa"/>
          </w:tcPr>
          <w:p>
            <w:pPr>
              <w:pStyle w:val="TableParagraph"/>
              <w:spacing w:before="119"/>
              <w:ind w:left="170" w:right="209"/>
              <w:rPr>
                <w:sz w:val="18"/>
              </w:rPr>
            </w:pPr>
            <w:r>
              <w:rPr>
                <w:sz w:val="18"/>
              </w:rPr>
              <w:t>Impacts of CBD on seizures, cognition, and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HRQL among individuals with DS participating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in the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early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access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program</w:t>
            </w:r>
          </w:p>
        </w:tc>
      </w:tr>
      <w:tr>
        <w:trPr>
          <w:trHeight w:val="1011" w:hRule="atLeast"/>
        </w:trPr>
        <w:tc>
          <w:tcPr>
            <w:tcW w:w="2644" w:type="dxa"/>
          </w:tcPr>
          <w:p>
            <w:pPr>
              <w:pStyle w:val="TableParagraph"/>
              <w:spacing w:before="56"/>
              <w:rPr>
                <w:sz w:val="12"/>
              </w:rPr>
            </w:pPr>
            <w:r>
              <w:rPr>
                <w:sz w:val="18"/>
              </w:rPr>
              <w:t>Thompson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(2020)</w:t>
            </w:r>
            <w:r>
              <w:rPr>
                <w:position w:val="6"/>
                <w:sz w:val="12"/>
              </w:rPr>
              <w:t>42</w:t>
            </w:r>
          </w:p>
        </w:tc>
        <w:tc>
          <w:tcPr>
            <w:tcW w:w="2547" w:type="dxa"/>
          </w:tcPr>
          <w:p>
            <w:pPr>
              <w:pStyle w:val="TableParagraph"/>
              <w:spacing w:before="59"/>
              <w:ind w:left="163" w:right="232"/>
              <w:rPr>
                <w:sz w:val="18"/>
              </w:rPr>
            </w:pPr>
            <w:r>
              <w:rPr>
                <w:sz w:val="18"/>
              </w:rPr>
              <w:t>Children, adolescents, and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teenagers with treatment-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resistant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  <w:tc>
          <w:tcPr>
            <w:tcW w:w="4081" w:type="dxa"/>
          </w:tcPr>
          <w:p>
            <w:pPr>
              <w:pStyle w:val="TableParagraph"/>
              <w:spacing w:before="59"/>
              <w:ind w:left="170" w:right="419"/>
              <w:rPr>
                <w:sz w:val="18"/>
              </w:rPr>
            </w:pPr>
            <w:r>
              <w:rPr>
                <w:sz w:val="18"/>
              </w:rPr>
              <w:t>Adverse or beneficial cognitive or functional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adaptive effects associated with CBD in the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treatment of children, adolescents, and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teenagers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treatment-resistant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657" w:hRule="atLeast"/>
        </w:trPr>
        <w:tc>
          <w:tcPr>
            <w:tcW w:w="2644" w:type="dxa"/>
          </w:tcPr>
          <w:p>
            <w:pPr>
              <w:pStyle w:val="TableParagraph"/>
              <w:spacing w:before="119"/>
              <w:rPr>
                <w:sz w:val="12"/>
              </w:rPr>
            </w:pPr>
            <w:r>
              <w:rPr>
                <w:sz w:val="18"/>
              </w:rPr>
              <w:t>Tzadok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(2016)</w:t>
            </w:r>
            <w:r>
              <w:rPr>
                <w:position w:val="6"/>
                <w:sz w:val="12"/>
              </w:rPr>
              <w:t>43</w:t>
            </w:r>
          </w:p>
        </w:tc>
        <w:tc>
          <w:tcPr>
            <w:tcW w:w="2547" w:type="dxa"/>
          </w:tcPr>
          <w:p>
            <w:pPr>
              <w:pStyle w:val="TableParagraph"/>
              <w:spacing w:before="123"/>
              <w:ind w:left="164"/>
              <w:rPr>
                <w:sz w:val="18"/>
              </w:rPr>
            </w:pPr>
            <w:r>
              <w:rPr>
                <w:sz w:val="18"/>
              </w:rPr>
              <w:t>Children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  <w:tc>
          <w:tcPr>
            <w:tcW w:w="4081" w:type="dxa"/>
          </w:tcPr>
          <w:p>
            <w:pPr>
              <w:pStyle w:val="TableParagraph"/>
              <w:spacing w:before="123"/>
              <w:ind w:left="170" w:right="229"/>
              <w:rPr>
                <w:sz w:val="18"/>
              </w:rPr>
            </w:pPr>
            <w:r>
              <w:rPr>
                <w:sz w:val="18"/>
              </w:rPr>
              <w:t>Efficacy and safety of CBD-enriched cannabis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children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with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treatment-resistant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  <w:tr>
        <w:trPr>
          <w:trHeight w:val="862" w:hRule="atLeast"/>
        </w:trPr>
        <w:tc>
          <w:tcPr>
            <w:tcW w:w="264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17"/>
              <w:rPr>
                <w:sz w:val="12"/>
              </w:rPr>
            </w:pPr>
            <w:r>
              <w:rPr>
                <w:sz w:val="18"/>
              </w:rPr>
              <w:t>Wilson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(2015)</w:t>
            </w:r>
            <w:r>
              <w:rPr>
                <w:position w:val="6"/>
                <w:sz w:val="12"/>
              </w:rPr>
              <w:t>44</w:t>
            </w:r>
          </w:p>
        </w:tc>
        <w:tc>
          <w:tcPr>
            <w:tcW w:w="2547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21"/>
              <w:ind w:left="164" w:right="169"/>
              <w:rPr>
                <w:sz w:val="18"/>
              </w:rPr>
            </w:pPr>
            <w:r>
              <w:rPr>
                <w:sz w:val="18"/>
              </w:rPr>
              <w:t>Young adults with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treatment-resistant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  <w:tc>
          <w:tcPr>
            <w:tcW w:w="408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21"/>
              <w:ind w:left="170" w:right="243"/>
              <w:jc w:val="both"/>
              <w:rPr>
                <w:sz w:val="18"/>
              </w:rPr>
            </w:pPr>
            <w:r>
              <w:rPr>
                <w:sz w:val="18"/>
              </w:rPr>
              <w:t>Efficacy, adverse effects, and other beneficial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effects of CBD in young adults with treatment-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resistant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epilepsy</w:t>
            </w:r>
          </w:p>
        </w:tc>
      </w:tr>
    </w:tbl>
    <w:p>
      <w:pPr>
        <w:pStyle w:val="BodyText"/>
        <w:ind w:left="120" w:right="17"/>
      </w:pPr>
      <w:r>
        <w:rPr/>
        <w:t>Abbreviations:</w:t>
      </w:r>
      <w:r>
        <w:rPr>
          <w:spacing w:val="7"/>
        </w:rPr>
        <w:t> </w:t>
      </w:r>
      <w:r>
        <w:rPr/>
        <w:t>CBD,</w:t>
      </w:r>
      <w:r>
        <w:rPr>
          <w:spacing w:val="6"/>
        </w:rPr>
        <w:t> </w:t>
      </w:r>
      <w:r>
        <w:rPr/>
        <w:t>cannabidiol;</w:t>
      </w:r>
      <w:r>
        <w:rPr>
          <w:spacing w:val="6"/>
        </w:rPr>
        <w:t> </w:t>
      </w:r>
      <w:r>
        <w:rPr/>
        <w:t>DS,</w:t>
      </w:r>
      <w:r>
        <w:rPr>
          <w:spacing w:val="7"/>
        </w:rPr>
        <w:t> </w:t>
      </w:r>
      <w:r>
        <w:rPr/>
        <w:t>Dravet</w:t>
      </w:r>
      <w:r>
        <w:rPr>
          <w:spacing w:val="6"/>
        </w:rPr>
        <w:t> </w:t>
      </w:r>
      <w:r>
        <w:rPr/>
        <w:t>syndrome;</w:t>
      </w:r>
      <w:r>
        <w:rPr>
          <w:spacing w:val="6"/>
        </w:rPr>
        <w:t> </w:t>
      </w:r>
      <w:r>
        <w:rPr/>
        <w:t>HRQL,</w:t>
      </w:r>
      <w:r>
        <w:rPr>
          <w:spacing w:val="5"/>
        </w:rPr>
        <w:t> </w:t>
      </w:r>
      <w:r>
        <w:rPr/>
        <w:t>health-related</w:t>
      </w:r>
      <w:r>
        <w:rPr>
          <w:spacing w:val="5"/>
        </w:rPr>
        <w:t> </w:t>
      </w:r>
      <w:r>
        <w:rPr/>
        <w:t>quality</w:t>
      </w:r>
      <w:r>
        <w:rPr>
          <w:spacing w:val="7"/>
        </w:rPr>
        <w:t> </w:t>
      </w:r>
      <w:r>
        <w:rPr/>
        <w:t>of</w:t>
      </w:r>
      <w:r>
        <w:rPr>
          <w:spacing w:val="7"/>
        </w:rPr>
        <w:t> </w:t>
      </w:r>
      <w:r>
        <w:rPr/>
        <w:t>life;</w:t>
      </w:r>
      <w:r>
        <w:rPr>
          <w:spacing w:val="8"/>
        </w:rPr>
        <w:t> </w:t>
      </w:r>
      <w:r>
        <w:rPr/>
        <w:t>QoL,</w:t>
      </w:r>
      <w:r>
        <w:rPr>
          <w:spacing w:val="8"/>
        </w:rPr>
        <w:t> </w:t>
      </w:r>
      <w:r>
        <w:rPr/>
        <w:t>quality</w:t>
      </w:r>
      <w:r>
        <w:rPr>
          <w:spacing w:val="-53"/>
        </w:rPr>
        <w:t> </w:t>
      </w:r>
      <w:r>
        <w:rPr/>
        <w:t>of</w:t>
      </w:r>
      <w:r>
        <w:rPr>
          <w:spacing w:val="-2"/>
        </w:rPr>
        <w:t> </w:t>
      </w:r>
      <w:r>
        <w:rPr/>
        <w:t>life.</w:t>
      </w:r>
    </w:p>
    <w:p>
      <w:pPr>
        <w:spacing w:after="0"/>
        <w:sectPr>
          <w:pgSz w:w="12240" w:h="15840"/>
          <w:pgMar w:header="0" w:footer="1020" w:top="1360" w:bottom="1200" w:left="1320" w:right="1320"/>
        </w:sectPr>
      </w:pPr>
    </w:p>
    <w:p>
      <w:pPr>
        <w:pStyle w:val="Heading2"/>
        <w:spacing w:before="82"/>
      </w:pPr>
      <w:bookmarkStart w:name="Patient HRQL" w:id="7"/>
      <w:bookmarkEnd w:id="7"/>
      <w:r>
        <w:rPr>
          <w:i w:val="0"/>
        </w:rPr>
      </w:r>
      <w:r>
        <w:rPr/>
        <w:t>Patient</w:t>
      </w:r>
      <w:r>
        <w:rPr>
          <w:spacing w:val="-2"/>
        </w:rPr>
        <w:t> </w:t>
      </w:r>
      <w:r>
        <w:rPr/>
        <w:t>HRQL</w:t>
      </w:r>
    </w:p>
    <w:p>
      <w:pPr>
        <w:pStyle w:val="BodyText"/>
        <w:rPr>
          <w:rFonts w:ascii="Arial"/>
          <w:i/>
          <w:sz w:val="24"/>
        </w:rPr>
      </w:pPr>
    </w:p>
    <w:p>
      <w:pPr>
        <w:pStyle w:val="BodyText"/>
        <w:spacing w:line="477" w:lineRule="auto" w:before="215"/>
        <w:ind w:left="120" w:right="121" w:hanging="1"/>
        <w:jc w:val="both"/>
      </w:pPr>
      <w:r>
        <w:rPr/>
        <w:t>Overall, HRQL is substantially impacted in patients with both DS and LGS.</w:t>
      </w:r>
      <w:r>
        <w:rPr>
          <w:position w:val="6"/>
          <w:sz w:val="13"/>
        </w:rPr>
        <w:t>5,15 </w:t>
      </w:r>
      <w:r>
        <w:rPr/>
        <w:t>Factors contributing to low</w:t>
      </w:r>
      <w:r>
        <w:rPr>
          <w:spacing w:val="1"/>
        </w:rPr>
        <w:t> </w:t>
      </w:r>
      <w:r>
        <w:rPr/>
        <w:t>patient HRQL</w:t>
      </w:r>
      <w:r>
        <w:rPr>
          <w:spacing w:val="-1"/>
        </w:rPr>
        <w:t> </w:t>
      </w:r>
      <w:r>
        <w:rPr/>
        <w:t>and increased</w:t>
      </w:r>
      <w:r>
        <w:rPr>
          <w:spacing w:val="-1"/>
        </w:rPr>
        <w:t> </w:t>
      </w:r>
      <w:r>
        <w:rPr/>
        <w:t>burden of</w:t>
      </w:r>
      <w:r>
        <w:rPr>
          <w:spacing w:val="-1"/>
        </w:rPr>
        <w:t> </w:t>
      </w:r>
      <w:r>
        <w:rPr/>
        <w:t>disease</w:t>
      </w:r>
      <w:r>
        <w:rPr>
          <w:spacing w:val="1"/>
        </w:rPr>
        <w:t> </w:t>
      </w:r>
      <w:r>
        <w:rPr/>
        <w:t>are</w:t>
      </w:r>
      <w:r>
        <w:rPr>
          <w:spacing w:val="-1"/>
        </w:rPr>
        <w:t> </w:t>
      </w:r>
      <w:r>
        <w:rPr/>
        <w:t>summarized</w:t>
      </w:r>
      <w:r>
        <w:rPr>
          <w:spacing w:val="-1"/>
        </w:rPr>
        <w:t> </w:t>
      </w:r>
      <w:r>
        <w:rPr/>
        <w:t>below.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20"/>
      </w:pPr>
      <w:r>
        <w:rPr/>
        <w:t>Mobility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480" w:lineRule="auto"/>
        <w:ind w:left="119" w:right="118"/>
        <w:jc w:val="both"/>
        <w:rPr>
          <w:sz w:val="13"/>
        </w:rPr>
      </w:pPr>
      <w:r>
        <w:rPr/>
        <w:t>General mobility issues (eg, impaired motor skills and coordination) independent of seizures have been</w:t>
      </w:r>
      <w:r>
        <w:rPr>
          <w:spacing w:val="1"/>
        </w:rPr>
        <w:t> </w:t>
      </w:r>
      <w:r>
        <w:rPr/>
        <w:t>reported in both DS and LGS.</w:t>
      </w:r>
      <w:r>
        <w:rPr>
          <w:position w:val="6"/>
          <w:sz w:val="13"/>
        </w:rPr>
        <w:t>2,6,7,12,15,16 </w:t>
      </w:r>
      <w:r>
        <w:rPr/>
        <w:t>Many patients with DS or LGS use a wheelchair or an adaptive</w:t>
      </w:r>
      <w:r>
        <w:rPr>
          <w:spacing w:val="1"/>
        </w:rPr>
        <w:t> </w:t>
      </w:r>
      <w:r>
        <w:rPr/>
        <w:t>stroller as their primary means of mobility.</w:t>
      </w:r>
      <w:r>
        <w:rPr>
          <w:position w:val="6"/>
          <w:sz w:val="13"/>
        </w:rPr>
        <w:t>7,16</w:t>
      </w:r>
      <w:r>
        <w:rPr>
          <w:spacing w:val="1"/>
          <w:position w:val="6"/>
          <w:sz w:val="13"/>
        </w:rPr>
        <w:t> </w:t>
      </w:r>
      <w:r>
        <w:rPr/>
        <w:t>Gait issues have uniquely been reported in patients with</w:t>
      </w:r>
      <w:r>
        <w:rPr>
          <w:spacing w:val="1"/>
        </w:rPr>
        <w:t> </w:t>
      </w:r>
      <w:r>
        <w:rPr>
          <w:position w:val="-5"/>
        </w:rPr>
        <w:t>DS.</w:t>
      </w:r>
      <w:r>
        <w:rPr>
          <w:sz w:val="13"/>
        </w:rPr>
        <w:t>9,16</w:t>
      </w:r>
    </w:p>
    <w:p>
      <w:pPr>
        <w:pStyle w:val="BodyText"/>
        <w:spacing w:before="8"/>
      </w:pPr>
    </w:p>
    <w:p>
      <w:pPr>
        <w:pStyle w:val="BodyText"/>
        <w:spacing w:before="1"/>
        <w:ind w:left="119"/>
      </w:pPr>
      <w:r>
        <w:rPr/>
        <w:t>Cognition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line="480" w:lineRule="auto"/>
        <w:ind w:left="119" w:right="120"/>
        <w:jc w:val="both"/>
        <w:rPr>
          <w:sz w:val="13"/>
        </w:rPr>
      </w:pPr>
      <w:r>
        <w:rPr/>
        <w:t>Most people with DS or LGS have cognitive impairments, which usually become more apparent with</w:t>
      </w:r>
      <w:r>
        <w:rPr>
          <w:spacing w:val="1"/>
        </w:rPr>
        <w:t> </w:t>
      </w:r>
      <w:r>
        <w:rPr/>
        <w:t>age.</w:t>
      </w:r>
      <w:r>
        <w:rPr>
          <w:position w:val="6"/>
          <w:sz w:val="13"/>
        </w:rPr>
        <w:t>3,8,11</w:t>
      </w:r>
      <w:r>
        <w:rPr>
          <w:spacing w:val="1"/>
          <w:position w:val="6"/>
          <w:sz w:val="13"/>
        </w:rPr>
        <w:t> </w:t>
      </w:r>
      <w:r>
        <w:rPr/>
        <w:t>Cognitive</w:t>
      </w:r>
      <w:r>
        <w:rPr>
          <w:spacing w:val="1"/>
        </w:rPr>
        <w:t> </w:t>
      </w:r>
      <w:r>
        <w:rPr/>
        <w:t>functioning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vary</w:t>
      </w:r>
      <w:r>
        <w:rPr>
          <w:spacing w:val="1"/>
        </w:rPr>
        <w:t> </w:t>
      </w:r>
      <w:r>
        <w:rPr/>
        <w:t>markedly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individuals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DS,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some</w:t>
      </w:r>
      <w:r>
        <w:rPr>
          <w:spacing w:val="1"/>
        </w:rPr>
        <w:t> </w:t>
      </w:r>
      <w:r>
        <w:rPr/>
        <w:t>individuals</w:t>
      </w:r>
      <w:r>
        <w:rPr>
          <w:spacing w:val="1"/>
        </w:rPr>
        <w:t> </w:t>
      </w:r>
      <w:r>
        <w:rPr/>
        <w:t>demonstrating</w:t>
      </w:r>
      <w:r>
        <w:rPr>
          <w:spacing w:val="-2"/>
        </w:rPr>
        <w:t> </w:t>
      </w:r>
      <w:r>
        <w:rPr/>
        <w:t>global</w:t>
      </w:r>
      <w:r>
        <w:rPr>
          <w:spacing w:val="-4"/>
        </w:rPr>
        <w:t> </w:t>
      </w:r>
      <w:r>
        <w:rPr/>
        <w:t>impairment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others demonstrating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discordant</w:t>
      </w:r>
      <w:r>
        <w:rPr>
          <w:spacing w:val="-4"/>
        </w:rPr>
        <w:t> </w:t>
      </w:r>
      <w:r>
        <w:rPr/>
        <w:t>neuropsychological</w:t>
      </w:r>
      <w:r>
        <w:rPr>
          <w:spacing w:val="-2"/>
        </w:rPr>
        <w:t> </w:t>
      </w:r>
      <w:r>
        <w:rPr/>
        <w:t>profile.</w:t>
      </w:r>
      <w:r>
        <w:rPr>
          <w:position w:val="6"/>
          <w:sz w:val="13"/>
        </w:rPr>
        <w:t>3</w:t>
      </w:r>
    </w:p>
    <w:p>
      <w:pPr>
        <w:pStyle w:val="BodyText"/>
        <w:spacing w:before="10"/>
      </w:pPr>
    </w:p>
    <w:p>
      <w:pPr>
        <w:pStyle w:val="BodyText"/>
        <w:spacing w:line="480" w:lineRule="auto" w:before="1"/>
        <w:ind w:left="119" w:right="117" w:firstLine="720"/>
        <w:jc w:val="both"/>
        <w:rPr>
          <w:sz w:val="13"/>
        </w:rPr>
      </w:pPr>
      <w:r>
        <w:rPr/>
        <w:t>In both conditions, cognitive impairment can impact the child’s ability to speak and communicate,</w:t>
      </w:r>
      <w:r>
        <w:rPr>
          <w:spacing w:val="1"/>
        </w:rPr>
        <w:t> </w:t>
      </w:r>
      <w:r>
        <w:rPr/>
        <w:t>which may result in frustration.</w:t>
      </w:r>
      <w:r>
        <w:rPr>
          <w:position w:val="6"/>
          <w:sz w:val="13"/>
        </w:rPr>
        <w:t>2,6,11 </w:t>
      </w:r>
      <w:r>
        <w:rPr/>
        <w:t>Cognitive impairment may also impact on the child’s ability to take part</w:t>
      </w:r>
      <w:r>
        <w:rPr>
          <w:spacing w:val="-53"/>
        </w:rPr>
        <w:t> </w:t>
      </w:r>
      <w:r>
        <w:rPr/>
        <w:t>in social and</w:t>
      </w:r>
      <w:r>
        <w:rPr>
          <w:spacing w:val="1"/>
        </w:rPr>
        <w:t> </w:t>
      </w:r>
      <w:r>
        <w:rPr/>
        <w:t>leisure</w:t>
      </w:r>
      <w:r>
        <w:rPr>
          <w:spacing w:val="1"/>
        </w:rPr>
        <w:t> </w:t>
      </w:r>
      <w:r>
        <w:rPr/>
        <w:t>activities</w:t>
      </w:r>
      <w:r>
        <w:rPr>
          <w:spacing w:val="1"/>
        </w:rPr>
        <w:t> </w:t>
      </w:r>
      <w:r>
        <w:rPr/>
        <w:t>and care for</w:t>
      </w:r>
      <w:r>
        <w:rPr>
          <w:spacing w:val="1"/>
        </w:rPr>
        <w:t> </w:t>
      </w:r>
      <w:r>
        <w:rPr/>
        <w:t>themselves,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determine</w:t>
      </w:r>
      <w:r>
        <w:rPr>
          <w:spacing w:val="1"/>
        </w:rPr>
        <w:t> </w:t>
      </w:r>
      <w:r>
        <w:rPr/>
        <w:t>whether</w:t>
      </w:r>
      <w:r>
        <w:rPr>
          <w:spacing w:val="1"/>
        </w:rPr>
        <w:t> </w:t>
      </w:r>
      <w:r>
        <w:rPr/>
        <w:t>they</w:t>
      </w:r>
      <w:r>
        <w:rPr>
          <w:spacing w:val="1"/>
        </w:rPr>
        <w:t> </w:t>
      </w:r>
      <w:r>
        <w:rPr/>
        <w:t>attend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mainstream or specialist needs school.</w:t>
      </w:r>
      <w:r>
        <w:rPr>
          <w:position w:val="6"/>
          <w:sz w:val="13"/>
        </w:rPr>
        <w:t>6 </w:t>
      </w:r>
      <w:r>
        <w:rPr/>
        <w:t>Patients with DS or LGS commonly have learning and behavioral</w:t>
      </w:r>
      <w:r>
        <w:rPr>
          <w:spacing w:val="1"/>
        </w:rPr>
        <w:t> </w:t>
      </w:r>
      <w:r>
        <w:rPr/>
        <w:t>difficulties and impaired social functioning, such as attentional difficulties, aggression, and deficits in</w:t>
      </w:r>
      <w:r>
        <w:rPr>
          <w:spacing w:val="1"/>
        </w:rPr>
        <w:t> </w:t>
      </w:r>
      <w:r>
        <w:rPr/>
        <w:t>emotional expression and social skills.</w:t>
      </w:r>
      <w:r>
        <w:rPr>
          <w:position w:val="6"/>
          <w:sz w:val="13"/>
        </w:rPr>
        <w:t>3,5,11,12,14</w:t>
      </w:r>
      <w:r>
        <w:rPr>
          <w:spacing w:val="1"/>
          <w:position w:val="6"/>
          <w:sz w:val="13"/>
        </w:rPr>
        <w:t> </w:t>
      </w:r>
      <w:r>
        <w:rPr/>
        <w:t>Cognitive impairment and behavioral problems are both</w:t>
      </w:r>
      <w:r>
        <w:rPr>
          <w:spacing w:val="1"/>
        </w:rPr>
        <w:t> </w:t>
      </w:r>
      <w:r>
        <w:rPr/>
        <w:t>independent predictors of poorer HRQL in patients with DS, with behavioral problems found to be the</w:t>
      </w:r>
      <w:r>
        <w:rPr>
          <w:spacing w:val="1"/>
        </w:rPr>
        <w:t> </w:t>
      </w:r>
      <w:r>
        <w:rPr/>
        <w:t>strongest</w:t>
      </w:r>
      <w:r>
        <w:rPr>
          <w:spacing w:val="-2"/>
        </w:rPr>
        <w:t> </w:t>
      </w:r>
      <w:r>
        <w:rPr/>
        <w:t>predictor.</w:t>
      </w:r>
      <w:r>
        <w:rPr>
          <w:position w:val="6"/>
          <w:sz w:val="13"/>
        </w:rPr>
        <w:t>8,14</w:t>
      </w:r>
    </w:p>
    <w:p>
      <w:pPr>
        <w:pStyle w:val="BodyText"/>
        <w:spacing w:before="9"/>
      </w:pPr>
    </w:p>
    <w:p>
      <w:pPr>
        <w:pStyle w:val="BodyText"/>
        <w:ind w:left="120"/>
      </w:pPr>
      <w:r>
        <w:rPr/>
        <w:t>Miscellaneous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477" w:lineRule="auto"/>
        <w:ind w:left="120" w:right="121"/>
        <w:jc w:val="both"/>
        <w:rPr>
          <w:sz w:val="13"/>
        </w:rPr>
      </w:pPr>
      <w:r>
        <w:rPr/>
        <w:t>Reduced appetite and eating difficulties (eg, eating a decreased variety of food, needing assistance</w:t>
      </w:r>
      <w:r>
        <w:rPr>
          <w:spacing w:val="1"/>
        </w:rPr>
        <w:t> </w:t>
      </w:r>
      <w:r>
        <w:rPr/>
        <w:t>feeding)</w:t>
      </w:r>
      <w:r>
        <w:rPr>
          <w:spacing w:val="1"/>
        </w:rPr>
        <w:t> </w:t>
      </w:r>
      <w:r>
        <w:rPr/>
        <w:t>independent of</w:t>
      </w:r>
      <w:r>
        <w:rPr>
          <w:spacing w:val="-2"/>
        </w:rPr>
        <w:t> </w:t>
      </w:r>
      <w:r>
        <w:rPr/>
        <w:t>seizures</w:t>
      </w:r>
      <w:r>
        <w:rPr>
          <w:spacing w:val="-1"/>
        </w:rPr>
        <w:t> </w:t>
      </w:r>
      <w:r>
        <w:rPr/>
        <w:t>have</w:t>
      </w:r>
      <w:r>
        <w:rPr>
          <w:spacing w:val="-1"/>
        </w:rPr>
        <w:t> </w:t>
      </w:r>
      <w:r>
        <w:rPr/>
        <w:t>additionally</w:t>
      </w:r>
      <w:r>
        <w:rPr>
          <w:spacing w:val="-1"/>
        </w:rPr>
        <w:t> </w:t>
      </w:r>
      <w:r>
        <w:rPr/>
        <w:t>been</w:t>
      </w:r>
      <w:r>
        <w:rPr>
          <w:spacing w:val="-2"/>
        </w:rPr>
        <w:t> </w:t>
      </w:r>
      <w:r>
        <w:rPr/>
        <w:t>reported in</w:t>
      </w:r>
      <w:r>
        <w:rPr>
          <w:spacing w:val="-1"/>
        </w:rPr>
        <w:t> </w:t>
      </w:r>
      <w:r>
        <w:rPr/>
        <w:t>DS.</w:t>
      </w:r>
      <w:r>
        <w:rPr>
          <w:position w:val="6"/>
          <w:sz w:val="13"/>
        </w:rPr>
        <w:t>2,9,11–13</w:t>
      </w:r>
    </w:p>
    <w:p>
      <w:pPr>
        <w:spacing w:after="0" w:line="477" w:lineRule="auto"/>
        <w:jc w:val="both"/>
        <w:rPr>
          <w:sz w:val="13"/>
        </w:rPr>
        <w:sectPr>
          <w:pgSz w:w="12240" w:h="15840"/>
          <w:pgMar w:header="0" w:footer="1020" w:top="1360" w:bottom="1200" w:left="1320" w:right="1320"/>
        </w:sectPr>
      </w:pPr>
    </w:p>
    <w:p>
      <w:pPr>
        <w:pStyle w:val="BodyText"/>
        <w:spacing w:before="79"/>
        <w:ind w:left="120"/>
        <w:jc w:val="both"/>
      </w:pPr>
      <w:r>
        <w:rPr/>
        <w:t>Epileptic</w:t>
      </w:r>
      <w:r>
        <w:rPr>
          <w:spacing w:val="-4"/>
        </w:rPr>
        <w:t> </w:t>
      </w:r>
      <w:r>
        <w:rPr/>
        <w:t>Seizures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480" w:lineRule="auto"/>
        <w:ind w:left="119" w:right="117"/>
        <w:jc w:val="both"/>
        <w:rPr>
          <w:sz w:val="13"/>
        </w:rPr>
      </w:pPr>
      <w:r>
        <w:rPr/>
        <w:t>Seizures in DS and LGS have a substantial negative impact on patient HRQL.</w:t>
      </w:r>
      <w:r>
        <w:rPr>
          <w:position w:val="6"/>
          <w:sz w:val="13"/>
        </w:rPr>
        <w:t>1,6,7 </w:t>
      </w:r>
      <w:r>
        <w:rPr/>
        <w:t>High seizure frequency</w:t>
      </w:r>
      <w:r>
        <w:rPr>
          <w:spacing w:val="1"/>
        </w:rPr>
        <w:t> </w:t>
      </w:r>
      <w:r>
        <w:rPr/>
        <w:t>and severity are associated with a higher number of comorbidities and emergency treatment events in</w:t>
      </w:r>
      <w:r>
        <w:rPr>
          <w:spacing w:val="1"/>
        </w:rPr>
        <w:t> </w:t>
      </w:r>
      <w:r>
        <w:rPr/>
        <w:t>DS.</w:t>
      </w:r>
      <w:r>
        <w:rPr>
          <w:position w:val="6"/>
          <w:sz w:val="13"/>
        </w:rPr>
        <w:t>10,15 </w:t>
      </w:r>
      <w:r>
        <w:rPr/>
        <w:t>In both conditions, seizures can cause injuries.</w:t>
      </w:r>
      <w:r>
        <w:rPr>
          <w:position w:val="6"/>
          <w:sz w:val="13"/>
        </w:rPr>
        <w:t>6,15 </w:t>
      </w:r>
      <w:r>
        <w:rPr/>
        <w:t>Individuals with LGS have been reported to use</w:t>
      </w:r>
      <w:r>
        <w:rPr>
          <w:spacing w:val="-53"/>
        </w:rPr>
        <w:t> </w:t>
      </w:r>
      <w:r>
        <w:rPr/>
        <w:t>wheelchairs and wear protective helmets to protect themselves from injury when having a seizure.</w:t>
      </w:r>
      <w:r>
        <w:rPr>
          <w:position w:val="6"/>
          <w:sz w:val="13"/>
        </w:rPr>
        <w:t>6 </w:t>
      </w:r>
      <w:r>
        <w:rPr/>
        <w:t>Some</w:t>
      </w:r>
      <w:r>
        <w:rPr>
          <w:spacing w:val="1"/>
        </w:rPr>
        <w:t> </w:t>
      </w:r>
      <w:r>
        <w:rPr/>
        <w:t>patients with DS or LGS have also been reported to avoid social and leisure activities due to the</w:t>
      </w:r>
      <w:r>
        <w:rPr>
          <w:spacing w:val="1"/>
        </w:rPr>
        <w:t> </w:t>
      </w:r>
      <w:r>
        <w:rPr/>
        <w:t>unpredictability of seizures, fear of injury, and seizure triggers (eg, excitement, temperature changes).</w:t>
      </w:r>
      <w:r>
        <w:rPr>
          <w:position w:val="6"/>
          <w:sz w:val="13"/>
        </w:rPr>
        <w:t>1,6,11</w:t>
      </w:r>
      <w:r>
        <w:rPr>
          <w:spacing w:val="-34"/>
          <w:position w:val="6"/>
          <w:sz w:val="13"/>
        </w:rPr>
        <w:t> </w:t>
      </w:r>
      <w:r>
        <w:rPr/>
        <w:t>Seizures can additionally impact on the ability of children with LGS to care for themselves (eg, due to</w:t>
      </w:r>
      <w:r>
        <w:rPr>
          <w:spacing w:val="1"/>
        </w:rPr>
        <w:t> </w:t>
      </w:r>
      <w:r>
        <w:rPr/>
        <w:t>incontinence).</w:t>
      </w:r>
      <w:r>
        <w:rPr>
          <w:position w:val="6"/>
          <w:sz w:val="13"/>
        </w:rPr>
        <w:t>6</w:t>
      </w:r>
      <w:r>
        <w:rPr>
          <w:spacing w:val="16"/>
          <w:position w:val="6"/>
          <w:sz w:val="13"/>
        </w:rPr>
        <w:t> </w:t>
      </w:r>
      <w:r>
        <w:rPr/>
        <w:t>In</w:t>
      </w:r>
      <w:r>
        <w:rPr>
          <w:spacing w:val="-3"/>
        </w:rPr>
        <w:t> </w:t>
      </w:r>
      <w:r>
        <w:rPr/>
        <w:t>both</w:t>
      </w:r>
      <w:r>
        <w:rPr>
          <w:spacing w:val="-3"/>
        </w:rPr>
        <w:t> </w:t>
      </w:r>
      <w:r>
        <w:rPr/>
        <w:t>DS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LGS,</w:t>
      </w:r>
      <w:r>
        <w:rPr>
          <w:spacing w:val="-3"/>
        </w:rPr>
        <w:t> </w:t>
      </w:r>
      <w:r>
        <w:rPr/>
        <w:t>sleep</w:t>
      </w:r>
      <w:r>
        <w:rPr>
          <w:spacing w:val="-3"/>
        </w:rPr>
        <w:t> </w:t>
      </w:r>
      <w:r>
        <w:rPr/>
        <w:t>disturbance</w:t>
      </w:r>
      <w:r>
        <w:rPr>
          <w:spacing w:val="-3"/>
        </w:rPr>
        <w:t> </w:t>
      </w:r>
      <w:r>
        <w:rPr/>
        <w:t>due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nocturnal</w:t>
      </w:r>
      <w:r>
        <w:rPr>
          <w:spacing w:val="-4"/>
        </w:rPr>
        <w:t> </w:t>
      </w:r>
      <w:r>
        <w:rPr/>
        <w:t>seizures</w:t>
      </w:r>
      <w:r>
        <w:rPr>
          <w:spacing w:val="1"/>
        </w:rPr>
        <w:t> </w:t>
      </w:r>
      <w:r>
        <w:rPr/>
        <w:t>has</w:t>
      </w:r>
      <w:r>
        <w:rPr>
          <w:spacing w:val="-2"/>
        </w:rPr>
        <w:t> </w:t>
      </w:r>
      <w:r>
        <w:rPr/>
        <w:t>been</w:t>
      </w:r>
      <w:r>
        <w:rPr>
          <w:spacing w:val="-3"/>
        </w:rPr>
        <w:t> </w:t>
      </w:r>
      <w:r>
        <w:rPr/>
        <w:t>reported.</w:t>
      </w:r>
      <w:r>
        <w:rPr>
          <w:position w:val="6"/>
          <w:sz w:val="13"/>
        </w:rPr>
        <w:t>6,16</w:t>
      </w:r>
    </w:p>
    <w:p>
      <w:pPr>
        <w:pStyle w:val="BodyText"/>
        <w:spacing w:before="1"/>
        <w:rPr>
          <w:sz w:val="21"/>
        </w:rPr>
      </w:pPr>
    </w:p>
    <w:p>
      <w:pPr>
        <w:pStyle w:val="Heading2"/>
      </w:pPr>
      <w:bookmarkStart w:name="Caregiver HRQL and Family Burden" w:id="8"/>
      <w:bookmarkEnd w:id="8"/>
      <w:r>
        <w:rPr>
          <w:i w:val="0"/>
        </w:rPr>
      </w:r>
      <w:r>
        <w:rPr/>
        <w:t>Caregiver</w:t>
      </w:r>
      <w:r>
        <w:rPr>
          <w:spacing w:val="-2"/>
        </w:rPr>
        <w:t> </w:t>
      </w:r>
      <w:r>
        <w:rPr/>
        <w:t>HRQL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Family</w:t>
      </w:r>
      <w:r>
        <w:rPr>
          <w:spacing w:val="-3"/>
        </w:rPr>
        <w:t> </w:t>
      </w:r>
      <w:r>
        <w:rPr/>
        <w:t>Burden</w:t>
      </w:r>
    </w:p>
    <w:p>
      <w:pPr>
        <w:pStyle w:val="BodyText"/>
        <w:rPr>
          <w:rFonts w:ascii="Arial"/>
          <w:i/>
          <w:sz w:val="24"/>
        </w:rPr>
      </w:pPr>
    </w:p>
    <w:p>
      <w:pPr>
        <w:pStyle w:val="BodyText"/>
        <w:spacing w:line="480" w:lineRule="auto" w:before="215"/>
        <w:ind w:left="120" w:right="118" w:hanging="1"/>
        <w:jc w:val="both"/>
        <w:rPr>
          <w:sz w:val="13"/>
        </w:rPr>
      </w:pPr>
      <w:r>
        <w:rPr/>
        <w:t>The burden of both DS and LGS has a considerable impact on the overall HRQL of caregivers.</w:t>
      </w:r>
      <w:r>
        <w:rPr>
          <w:position w:val="6"/>
          <w:sz w:val="13"/>
        </w:rPr>
        <w:t>4–7</w:t>
      </w:r>
      <w:r>
        <w:rPr>
          <w:spacing w:val="1"/>
          <w:position w:val="6"/>
          <w:sz w:val="13"/>
        </w:rPr>
        <w:t> </w:t>
      </w:r>
      <w:r>
        <w:rPr/>
        <w:t>The</w:t>
      </w:r>
      <w:r>
        <w:rPr>
          <w:spacing w:val="1"/>
        </w:rPr>
        <w:t> </w:t>
      </w:r>
      <w:r>
        <w:rPr/>
        <w:t>demands of caregiving can result in caregivers having limited or no time for themselves, or for social and</w:t>
      </w:r>
      <w:r>
        <w:rPr>
          <w:spacing w:val="1"/>
        </w:rPr>
        <w:t> </w:t>
      </w:r>
      <w:r>
        <w:rPr/>
        <w:t>leisure activities.</w:t>
      </w:r>
      <w:r>
        <w:rPr>
          <w:position w:val="6"/>
          <w:sz w:val="13"/>
        </w:rPr>
        <w:t>1,6,7,11</w:t>
      </w:r>
      <w:r>
        <w:rPr>
          <w:spacing w:val="1"/>
          <w:position w:val="6"/>
          <w:sz w:val="13"/>
        </w:rPr>
        <w:t> </w:t>
      </w:r>
      <w:r>
        <w:rPr/>
        <w:t>Caregiving for patients with DS or LGS may also negatively impact careers (eg,</w:t>
      </w:r>
      <w:r>
        <w:rPr>
          <w:spacing w:val="1"/>
        </w:rPr>
        <w:t> </w:t>
      </w:r>
      <w:r>
        <w:rPr/>
        <w:t>quitting a job), which can lead to reduced family income and caregiver stress and anxiety because of</w:t>
      </w:r>
      <w:r>
        <w:rPr>
          <w:spacing w:val="1"/>
        </w:rPr>
        <w:t> </w:t>
      </w:r>
      <w:r>
        <w:rPr/>
        <w:t>financial</w:t>
      </w:r>
      <w:r>
        <w:rPr>
          <w:spacing w:val="-3"/>
        </w:rPr>
        <w:t> </w:t>
      </w:r>
      <w:r>
        <w:rPr/>
        <w:t>concerns.</w:t>
      </w:r>
      <w:r>
        <w:rPr>
          <w:position w:val="6"/>
          <w:sz w:val="13"/>
        </w:rPr>
        <w:t>1,5,6,12,13,15</w:t>
      </w:r>
    </w:p>
    <w:p>
      <w:pPr>
        <w:pStyle w:val="BodyText"/>
        <w:spacing w:before="9"/>
      </w:pPr>
    </w:p>
    <w:p>
      <w:pPr>
        <w:pStyle w:val="BodyText"/>
        <w:spacing w:line="480" w:lineRule="auto"/>
        <w:ind w:left="119" w:right="118" w:firstLine="720"/>
        <w:jc w:val="both"/>
        <w:rPr>
          <w:sz w:val="13"/>
        </w:rPr>
      </w:pPr>
      <w:r>
        <w:rPr/>
        <w:t>Mobility issues, cognitive impairments, and behavioral difficulties are key contributors to the DS</w:t>
      </w:r>
      <w:r>
        <w:rPr>
          <w:spacing w:val="1"/>
        </w:rPr>
        <w:t> </w:t>
      </w:r>
      <w:r>
        <w:rPr>
          <w:spacing w:val="-1"/>
        </w:rPr>
        <w:t>and</w:t>
      </w:r>
      <w:r>
        <w:rPr>
          <w:spacing w:val="-12"/>
        </w:rPr>
        <w:t> </w:t>
      </w:r>
      <w:r>
        <w:rPr>
          <w:spacing w:val="-1"/>
        </w:rPr>
        <w:t>LGS</w:t>
      </w:r>
      <w:r>
        <w:rPr>
          <w:spacing w:val="-12"/>
        </w:rPr>
        <w:t> </w:t>
      </w:r>
      <w:r>
        <w:rPr>
          <w:spacing w:val="-1"/>
        </w:rPr>
        <w:t>caregiver</w:t>
      </w:r>
      <w:r>
        <w:rPr>
          <w:spacing w:val="-13"/>
        </w:rPr>
        <w:t> </w:t>
      </w:r>
      <w:r>
        <w:rPr>
          <w:spacing w:val="-1"/>
        </w:rPr>
        <w:t>burden.</w:t>
      </w:r>
      <w:r>
        <w:rPr>
          <w:spacing w:val="-1"/>
          <w:position w:val="6"/>
          <w:sz w:val="13"/>
        </w:rPr>
        <w:t>1,6</w:t>
      </w:r>
      <w:r>
        <w:rPr>
          <w:spacing w:val="6"/>
          <w:position w:val="6"/>
          <w:sz w:val="13"/>
        </w:rPr>
        <w:t> </w:t>
      </w:r>
      <w:r>
        <w:rPr>
          <w:spacing w:val="-1"/>
        </w:rPr>
        <w:t>Use</w:t>
      </w:r>
      <w:r>
        <w:rPr>
          <w:spacing w:val="-12"/>
        </w:rPr>
        <w:t> </w:t>
      </w:r>
      <w:r>
        <w:rPr/>
        <w:t>of</w:t>
      </w:r>
      <w:r>
        <w:rPr>
          <w:spacing w:val="-14"/>
        </w:rPr>
        <w:t> </w:t>
      </w:r>
      <w:r>
        <w:rPr/>
        <w:t>wheelchairs</w:t>
      </w:r>
      <w:r>
        <w:rPr>
          <w:spacing w:val="-12"/>
        </w:rPr>
        <w:t> </w:t>
      </w:r>
      <w:r>
        <w:rPr/>
        <w:t>or</w:t>
      </w:r>
      <w:r>
        <w:rPr>
          <w:spacing w:val="-11"/>
        </w:rPr>
        <w:t> </w:t>
      </w:r>
      <w:r>
        <w:rPr/>
        <w:t>adaptive</w:t>
      </w:r>
      <w:r>
        <w:rPr>
          <w:spacing w:val="-14"/>
        </w:rPr>
        <w:t> </w:t>
      </w:r>
      <w:r>
        <w:rPr/>
        <w:t>strollers,</w:t>
      </w:r>
      <w:r>
        <w:rPr>
          <w:spacing w:val="-14"/>
        </w:rPr>
        <w:t> </w:t>
      </w:r>
      <w:r>
        <w:rPr/>
        <w:t>and</w:t>
      </w:r>
      <w:r>
        <w:rPr>
          <w:spacing w:val="-14"/>
        </w:rPr>
        <w:t> </w:t>
      </w:r>
      <w:r>
        <w:rPr/>
        <w:t>the</w:t>
      </w:r>
      <w:r>
        <w:rPr>
          <w:spacing w:val="-12"/>
        </w:rPr>
        <w:t> </w:t>
      </w:r>
      <w:r>
        <w:rPr/>
        <w:t>need</w:t>
      </w:r>
      <w:r>
        <w:rPr>
          <w:spacing w:val="-11"/>
        </w:rPr>
        <w:t> </w:t>
      </w:r>
      <w:r>
        <w:rPr/>
        <w:t>for</w:t>
      </w:r>
      <w:r>
        <w:rPr>
          <w:spacing w:val="-13"/>
        </w:rPr>
        <w:t> </w:t>
      </w:r>
      <w:r>
        <w:rPr/>
        <w:t>home</w:t>
      </w:r>
      <w:r>
        <w:rPr>
          <w:spacing w:val="-12"/>
        </w:rPr>
        <w:t> </w:t>
      </w:r>
      <w:r>
        <w:rPr/>
        <w:t>modifications,</w:t>
      </w:r>
      <w:r>
        <w:rPr>
          <w:spacing w:val="-53"/>
        </w:rPr>
        <w:t> </w:t>
      </w:r>
      <w:r>
        <w:rPr/>
        <w:t>contribute to a considerable physical and financial impact on caregivers.</w:t>
      </w:r>
      <w:r>
        <w:rPr>
          <w:position w:val="6"/>
          <w:sz w:val="13"/>
        </w:rPr>
        <w:t>7,13,16 </w:t>
      </w:r>
      <w:r>
        <w:rPr/>
        <w:t>Cognitive impairments and</w:t>
      </w:r>
      <w:r>
        <w:rPr>
          <w:spacing w:val="1"/>
        </w:rPr>
        <w:t> </w:t>
      </w:r>
      <w:r>
        <w:rPr/>
        <w:t>behavioral difficulties can also impact on many daily activities and contribute to the stigma associated with</w:t>
      </w:r>
      <w:r>
        <w:rPr>
          <w:spacing w:val="-54"/>
        </w:rPr>
        <w:t> </w:t>
      </w:r>
      <w:r>
        <w:rPr/>
        <w:t>DS and LGS experienced by caregivers.</w:t>
      </w:r>
      <w:r>
        <w:rPr>
          <w:position w:val="6"/>
          <w:sz w:val="13"/>
        </w:rPr>
        <w:t>7,16</w:t>
      </w:r>
      <w:r>
        <w:rPr>
          <w:spacing w:val="1"/>
          <w:position w:val="6"/>
          <w:sz w:val="13"/>
        </w:rPr>
        <w:t> </w:t>
      </w:r>
      <w:r>
        <w:rPr/>
        <w:t>Appetite and feeding-related issues are commonly reported</w:t>
      </w:r>
      <w:r>
        <w:rPr>
          <w:spacing w:val="1"/>
        </w:rPr>
        <w:t> </w:t>
      </w:r>
      <w:r>
        <w:rPr/>
        <w:t>concerns</w:t>
      </w:r>
      <w:r>
        <w:rPr>
          <w:spacing w:val="-1"/>
        </w:rPr>
        <w:t> </w:t>
      </w:r>
      <w:r>
        <w:rPr/>
        <w:t>for caregivers of</w:t>
      </w:r>
      <w:r>
        <w:rPr>
          <w:spacing w:val="-1"/>
        </w:rPr>
        <w:t> </w:t>
      </w:r>
      <w:r>
        <w:rPr/>
        <w:t>individuals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DS.</w:t>
      </w:r>
      <w:r>
        <w:rPr>
          <w:position w:val="6"/>
          <w:sz w:val="13"/>
        </w:rPr>
        <w:t>9</w:t>
      </w:r>
    </w:p>
    <w:p>
      <w:pPr>
        <w:pStyle w:val="BodyText"/>
        <w:spacing w:before="10"/>
      </w:pPr>
    </w:p>
    <w:p>
      <w:pPr>
        <w:pStyle w:val="BodyText"/>
        <w:spacing w:line="480" w:lineRule="auto"/>
        <w:ind w:left="119" w:right="117" w:firstLine="720"/>
        <w:jc w:val="both"/>
      </w:pPr>
      <w:r>
        <w:rPr/>
        <w:t>Seizures in individuals with DS or LGS have a substantial negative impact on the caregiver</w:t>
      </w:r>
      <w:r>
        <w:rPr>
          <w:spacing w:val="1"/>
        </w:rPr>
        <w:t> </w:t>
      </w:r>
      <w:r>
        <w:rPr/>
        <w:t>burden.</w:t>
      </w:r>
      <w:r>
        <w:rPr>
          <w:position w:val="6"/>
          <w:sz w:val="13"/>
        </w:rPr>
        <w:t>1,4,6,7 </w:t>
      </w:r>
      <w:r>
        <w:rPr/>
        <w:t>As an immediate response to seizures, caregivers must be alert and able to step in promptly</w:t>
      </w:r>
      <w:r>
        <w:rPr>
          <w:spacing w:val="1"/>
        </w:rPr>
        <w:t> </w:t>
      </w:r>
      <w:r>
        <w:rPr/>
        <w:t>to avoid their child injuring themselves, administer rescue medication, or take their child to emergency</w:t>
      </w:r>
      <w:r>
        <w:rPr>
          <w:spacing w:val="1"/>
        </w:rPr>
        <w:t> </w:t>
      </w:r>
      <w:r>
        <w:rPr/>
        <w:t>hospital</w:t>
      </w:r>
      <w:r>
        <w:rPr>
          <w:spacing w:val="-7"/>
        </w:rPr>
        <w:t> </w:t>
      </w:r>
      <w:r>
        <w:rPr/>
        <w:t>visits.</w:t>
      </w:r>
      <w:r>
        <w:rPr>
          <w:position w:val="6"/>
          <w:sz w:val="13"/>
        </w:rPr>
        <w:t>1,6,7</w:t>
      </w:r>
      <w:r>
        <w:rPr>
          <w:spacing w:val="14"/>
          <w:position w:val="6"/>
          <w:sz w:val="13"/>
        </w:rPr>
        <w:t> </w:t>
      </w:r>
      <w:r>
        <w:rPr/>
        <w:t>Caregivers’</w:t>
      </w:r>
      <w:r>
        <w:rPr>
          <w:spacing w:val="-9"/>
        </w:rPr>
        <w:t> </w:t>
      </w:r>
      <w:r>
        <w:rPr/>
        <w:t>sleep</w:t>
      </w:r>
      <w:r>
        <w:rPr>
          <w:spacing w:val="-9"/>
        </w:rPr>
        <w:t> </w:t>
      </w:r>
      <w:r>
        <w:rPr/>
        <w:t>may</w:t>
      </w:r>
      <w:r>
        <w:rPr>
          <w:spacing w:val="-6"/>
        </w:rPr>
        <w:t> </w:t>
      </w:r>
      <w:r>
        <w:rPr/>
        <w:t>also</w:t>
      </w:r>
      <w:r>
        <w:rPr>
          <w:spacing w:val="-8"/>
        </w:rPr>
        <w:t> </w:t>
      </w:r>
      <w:r>
        <w:rPr/>
        <w:t>be</w:t>
      </w:r>
      <w:r>
        <w:rPr>
          <w:spacing w:val="-9"/>
        </w:rPr>
        <w:t> </w:t>
      </w:r>
      <w:r>
        <w:rPr/>
        <w:t>affected</w:t>
      </w:r>
      <w:r>
        <w:rPr>
          <w:spacing w:val="-8"/>
        </w:rPr>
        <w:t> </w:t>
      </w:r>
      <w:r>
        <w:rPr/>
        <w:t>by</w:t>
      </w:r>
      <w:r>
        <w:rPr>
          <w:spacing w:val="-6"/>
        </w:rPr>
        <w:t> </w:t>
      </w:r>
      <w:r>
        <w:rPr/>
        <w:t>nocturnal</w:t>
      </w:r>
      <w:r>
        <w:rPr>
          <w:spacing w:val="-10"/>
        </w:rPr>
        <w:t> </w:t>
      </w:r>
      <w:r>
        <w:rPr/>
        <w:t>seizures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general</w:t>
      </w:r>
      <w:r>
        <w:rPr>
          <w:spacing w:val="-7"/>
        </w:rPr>
        <w:t> </w:t>
      </w:r>
      <w:r>
        <w:rPr/>
        <w:t>fear</w:t>
      </w:r>
      <w:r>
        <w:rPr>
          <w:spacing w:val="-4"/>
        </w:rPr>
        <w:t> </w:t>
      </w:r>
      <w:r>
        <w:rPr/>
        <w:t>of</w:t>
      </w:r>
      <w:r>
        <w:rPr>
          <w:spacing w:val="-8"/>
        </w:rPr>
        <w:t> </w:t>
      </w:r>
      <w:r>
        <w:rPr/>
        <w:t>sudden</w:t>
      </w:r>
    </w:p>
    <w:p>
      <w:pPr>
        <w:spacing w:after="0" w:line="480" w:lineRule="auto"/>
        <w:jc w:val="both"/>
        <w:sectPr>
          <w:pgSz w:w="12240" w:h="15840"/>
          <w:pgMar w:header="0" w:footer="1020" w:top="1360" w:bottom="1200" w:left="1320" w:right="1320"/>
        </w:sectPr>
      </w:pPr>
    </w:p>
    <w:p>
      <w:pPr>
        <w:pStyle w:val="BodyText"/>
        <w:spacing w:line="480" w:lineRule="auto" w:before="79"/>
        <w:ind w:left="119" w:right="117"/>
        <w:jc w:val="both"/>
        <w:rPr>
          <w:sz w:val="13"/>
        </w:rPr>
      </w:pPr>
      <w:r>
        <w:rPr/>
        <w:t>unexpected death in epilepsy in DS and LGS, which can lead to fatigue and sleep deprivation.</w:t>
      </w:r>
      <w:r>
        <w:rPr>
          <w:position w:val="6"/>
          <w:sz w:val="13"/>
        </w:rPr>
        <w:t>1,5,6,16 </w:t>
      </w:r>
      <w:r>
        <w:rPr/>
        <w:t>The</w:t>
      </w:r>
      <w:r>
        <w:rPr>
          <w:spacing w:val="1"/>
        </w:rPr>
        <w:t> </w:t>
      </w:r>
      <w:r>
        <w:rPr/>
        <w:t>unpredictability of seizures can affect caregivers’ ability to make plans and take part in social and leisure</w:t>
      </w:r>
      <w:r>
        <w:rPr>
          <w:spacing w:val="1"/>
        </w:rPr>
        <w:t> </w:t>
      </w:r>
      <w:r>
        <w:rPr/>
        <w:t>activities, which can result in a withdrawal from social life.</w:t>
      </w:r>
      <w:r>
        <w:rPr>
          <w:position w:val="6"/>
          <w:sz w:val="13"/>
        </w:rPr>
        <w:t>1,6 </w:t>
      </w:r>
      <w:r>
        <w:rPr/>
        <w:t>This can impact the entire family and lead to</w:t>
      </w:r>
      <w:r>
        <w:rPr>
          <w:spacing w:val="1"/>
        </w:rPr>
        <w:t> </w:t>
      </w:r>
      <w:r>
        <w:rPr/>
        <w:t>siblings of the child with DS or LGS receiving less attention from their parents.</w:t>
      </w:r>
      <w:r>
        <w:rPr>
          <w:position w:val="6"/>
          <w:sz w:val="13"/>
        </w:rPr>
        <w:t>1,7 </w:t>
      </w:r>
      <w:r>
        <w:rPr/>
        <w:t>Stigma associated with</w:t>
      </w:r>
      <w:r>
        <w:rPr>
          <w:spacing w:val="1"/>
        </w:rPr>
        <w:t> </w:t>
      </w:r>
      <w:r>
        <w:rPr/>
        <w:t>seizures and lack of support and understanding from family and friends has been reported by caregivers,</w:t>
      </w:r>
      <w:r>
        <w:rPr>
          <w:spacing w:val="1"/>
        </w:rPr>
        <w:t> </w:t>
      </w:r>
      <w:r>
        <w:rPr/>
        <w:t>resulting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them feeling</w:t>
      </w:r>
      <w:r>
        <w:rPr>
          <w:spacing w:val="1"/>
        </w:rPr>
        <w:t> </w:t>
      </w:r>
      <w:r>
        <w:rPr/>
        <w:t>socially</w:t>
      </w:r>
      <w:r>
        <w:rPr>
          <w:spacing w:val="1"/>
        </w:rPr>
        <w:t> </w:t>
      </w:r>
      <w:r>
        <w:rPr/>
        <w:t>isolated.</w:t>
      </w:r>
      <w:r>
        <w:rPr>
          <w:position w:val="6"/>
          <w:sz w:val="13"/>
        </w:rPr>
        <w:t>1,6,7</w:t>
      </w:r>
      <w:r>
        <w:rPr>
          <w:spacing w:val="1"/>
          <w:position w:val="6"/>
          <w:sz w:val="13"/>
        </w:rPr>
        <w:t> </w:t>
      </w:r>
      <w:r>
        <w:rPr/>
        <w:t>Social isolation and</w:t>
      </w:r>
      <w:r>
        <w:rPr>
          <w:spacing w:val="1"/>
        </w:rPr>
        <w:t> </w:t>
      </w:r>
      <w:r>
        <w:rPr/>
        <w:t>a constant</w:t>
      </w:r>
      <w:r>
        <w:rPr>
          <w:spacing w:val="1"/>
        </w:rPr>
        <w:t> </w:t>
      </w:r>
      <w:r>
        <w:rPr/>
        <w:t>fear</w:t>
      </w:r>
      <w:r>
        <w:rPr>
          <w:spacing w:val="1"/>
        </w:rPr>
        <w:t> </w:t>
      </w:r>
      <w:r>
        <w:rPr/>
        <w:t>of seizures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additionally</w:t>
      </w:r>
      <w:r>
        <w:rPr>
          <w:spacing w:val="1"/>
        </w:rPr>
        <w:t> </w:t>
      </w:r>
      <w:r>
        <w:rPr/>
        <w:t>been</w:t>
      </w:r>
      <w:r>
        <w:rPr>
          <w:spacing w:val="1"/>
        </w:rPr>
        <w:t> </w:t>
      </w:r>
      <w:r>
        <w:rPr/>
        <w:t>reported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lead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anxiety,</w:t>
      </w:r>
      <w:r>
        <w:rPr>
          <w:spacing w:val="1"/>
        </w:rPr>
        <w:t> </w:t>
      </w:r>
      <w:r>
        <w:rPr/>
        <w:t>depression,</w:t>
      </w:r>
      <w:r>
        <w:rPr>
          <w:spacing w:val="1"/>
        </w:rPr>
        <w:t> </w:t>
      </w:r>
      <w:r>
        <w:rPr/>
        <w:t>stress,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emotional</w:t>
      </w:r>
      <w:r>
        <w:rPr>
          <w:spacing w:val="1"/>
        </w:rPr>
        <w:t> </w:t>
      </w:r>
      <w:r>
        <w:rPr/>
        <w:t>exhaustion.</w:t>
      </w:r>
      <w:r>
        <w:rPr>
          <w:position w:val="6"/>
          <w:sz w:val="13"/>
        </w:rPr>
        <w:t>1,6,7,13,15</w:t>
      </w:r>
      <w:r>
        <w:rPr>
          <w:spacing w:val="1"/>
          <w:position w:val="6"/>
          <w:sz w:val="13"/>
        </w:rPr>
        <w:t> </w:t>
      </w:r>
      <w:r>
        <w:rPr/>
        <w:t>Caregivers</w:t>
      </w:r>
      <w:r>
        <w:rPr>
          <w:spacing w:val="-1"/>
        </w:rPr>
        <w:t> </w:t>
      </w:r>
      <w:r>
        <w:rPr/>
        <w:t>have</w:t>
      </w:r>
      <w:r>
        <w:rPr>
          <w:spacing w:val="-2"/>
        </w:rPr>
        <w:t> </w:t>
      </w:r>
      <w:r>
        <w:rPr/>
        <w:t>reported a</w:t>
      </w:r>
      <w:r>
        <w:rPr>
          <w:spacing w:val="1"/>
        </w:rPr>
        <w:t> </w:t>
      </w:r>
      <w:r>
        <w:rPr/>
        <w:t>sense</w:t>
      </w:r>
      <w:r>
        <w:rPr>
          <w:spacing w:val="-2"/>
        </w:rPr>
        <w:t> </w:t>
      </w:r>
      <w:r>
        <w:rPr/>
        <w:t>of loss and</w:t>
      </w:r>
      <w:r>
        <w:rPr>
          <w:spacing w:val="-2"/>
        </w:rPr>
        <w:t> </w:t>
      </w:r>
      <w:r>
        <w:rPr/>
        <w:t>unfulfilled</w:t>
      </w:r>
      <w:r>
        <w:rPr>
          <w:spacing w:val="-2"/>
        </w:rPr>
        <w:t> </w:t>
      </w:r>
      <w:r>
        <w:rPr/>
        <w:t>expectations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life.</w:t>
      </w:r>
      <w:r>
        <w:rPr>
          <w:position w:val="6"/>
          <w:sz w:val="13"/>
        </w:rPr>
        <w:t>6</w:t>
      </w:r>
    </w:p>
    <w:p>
      <w:pPr>
        <w:pStyle w:val="BodyText"/>
        <w:spacing w:before="1"/>
        <w:rPr>
          <w:sz w:val="21"/>
        </w:rPr>
      </w:pPr>
    </w:p>
    <w:p>
      <w:pPr>
        <w:pStyle w:val="Heading2"/>
      </w:pPr>
      <w:bookmarkStart w:name="Adverse Events and Side Effects Associat" w:id="9"/>
      <w:bookmarkEnd w:id="9"/>
      <w:r>
        <w:rPr>
          <w:i w:val="0"/>
        </w:rPr>
      </w:r>
      <w:r>
        <w:rPr/>
        <w:t>Adverse</w:t>
      </w:r>
      <w:r>
        <w:rPr>
          <w:spacing w:val="-2"/>
        </w:rPr>
        <w:t> </w:t>
      </w:r>
      <w:r>
        <w:rPr/>
        <w:t>Events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Side</w:t>
      </w:r>
      <w:r>
        <w:rPr>
          <w:spacing w:val="-1"/>
        </w:rPr>
        <w:t> </w:t>
      </w:r>
      <w:r>
        <w:rPr/>
        <w:t>Effects</w:t>
      </w:r>
      <w:r>
        <w:rPr>
          <w:spacing w:val="-4"/>
        </w:rPr>
        <w:t> </w:t>
      </w:r>
      <w:r>
        <w:rPr/>
        <w:t>Associated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ASMs</w:t>
      </w:r>
    </w:p>
    <w:p>
      <w:pPr>
        <w:pStyle w:val="BodyText"/>
        <w:rPr>
          <w:rFonts w:ascii="Arial"/>
          <w:i/>
          <w:sz w:val="24"/>
        </w:rPr>
      </w:pPr>
    </w:p>
    <w:p>
      <w:pPr>
        <w:pStyle w:val="BodyText"/>
        <w:spacing w:line="480" w:lineRule="auto" w:before="215"/>
        <w:ind w:left="120" w:right="118"/>
        <w:jc w:val="both"/>
      </w:pPr>
      <w:r>
        <w:rPr/>
        <w:t>A summary of the adverse events and side effects that have been reported by reviews on the safety and</w:t>
      </w:r>
      <w:r>
        <w:rPr>
          <w:spacing w:val="1"/>
        </w:rPr>
        <w:t> </w:t>
      </w:r>
      <w:r>
        <w:rPr/>
        <w:t>tolerability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ASMs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treat</w:t>
      </w:r>
      <w:r>
        <w:rPr>
          <w:spacing w:val="1"/>
        </w:rPr>
        <w:t> </w:t>
      </w:r>
      <w:r>
        <w:rPr/>
        <w:t>epilepsy,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patients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DS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LGS,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provided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Supplementary</w:t>
      </w:r>
      <w:r>
        <w:rPr>
          <w:spacing w:val="-2"/>
        </w:rPr>
        <w:t> </w:t>
      </w:r>
      <w:r>
        <w:rPr/>
        <w:t>Table</w:t>
      </w:r>
      <w:r>
        <w:rPr>
          <w:spacing w:val="-4"/>
        </w:rPr>
        <w:t> </w:t>
      </w:r>
      <w:r>
        <w:rPr/>
        <w:t>5.</w:t>
      </w:r>
      <w:r>
        <w:rPr>
          <w:spacing w:val="-4"/>
        </w:rPr>
        <w:t> </w:t>
      </w:r>
      <w:r>
        <w:rPr/>
        <w:t>These</w:t>
      </w:r>
      <w:r>
        <w:rPr>
          <w:spacing w:val="-4"/>
        </w:rPr>
        <w:t> </w:t>
      </w:r>
      <w:r>
        <w:rPr/>
        <w:t>ASMs</w:t>
      </w:r>
      <w:r>
        <w:rPr>
          <w:spacing w:val="-3"/>
        </w:rPr>
        <w:t> </w:t>
      </w:r>
      <w:r>
        <w:rPr/>
        <w:t>include</w:t>
      </w:r>
      <w:r>
        <w:rPr>
          <w:spacing w:val="-4"/>
        </w:rPr>
        <w:t> </w:t>
      </w:r>
      <w:r>
        <w:rPr/>
        <w:t>CBD,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well</w:t>
      </w:r>
      <w:r>
        <w:rPr>
          <w:spacing w:val="-5"/>
        </w:rPr>
        <w:t> </w:t>
      </w:r>
      <w:r>
        <w:rPr/>
        <w:t>as</w:t>
      </w:r>
      <w:r>
        <w:rPr>
          <w:spacing w:val="-3"/>
        </w:rPr>
        <w:t> </w:t>
      </w:r>
      <w:r>
        <w:rPr/>
        <w:t>other</w:t>
      </w:r>
      <w:r>
        <w:rPr>
          <w:spacing w:val="-2"/>
        </w:rPr>
        <w:t> </w:t>
      </w:r>
      <w:r>
        <w:rPr/>
        <w:t>add-on</w:t>
      </w:r>
      <w:r>
        <w:rPr>
          <w:spacing w:val="-4"/>
        </w:rPr>
        <w:t> </w:t>
      </w:r>
      <w:r>
        <w:rPr/>
        <w:t>medications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can</w:t>
      </w:r>
      <w:r>
        <w:rPr>
          <w:spacing w:val="-2"/>
        </w:rPr>
        <w:t> </w:t>
      </w:r>
      <w:r>
        <w:rPr/>
        <w:t>be</w:t>
      </w:r>
      <w:r>
        <w:rPr>
          <w:spacing w:val="-4"/>
        </w:rPr>
        <w:t> </w:t>
      </w:r>
      <w:r>
        <w:rPr/>
        <w:t>given</w:t>
      </w:r>
      <w:r>
        <w:rPr>
          <w:spacing w:val="-53"/>
        </w:rPr>
        <w:t> </w:t>
      </w:r>
      <w:r>
        <w:rPr/>
        <w:t>to treat DS and LGS in conjunction with CBD. A wide range of adverse events and side effects were</w:t>
      </w:r>
      <w:r>
        <w:rPr>
          <w:spacing w:val="1"/>
        </w:rPr>
        <w:t> </w:t>
      </w:r>
      <w:r>
        <w:rPr/>
        <w:t>reported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reviews.</w:t>
      </w:r>
      <w:r>
        <w:rPr>
          <w:spacing w:val="-7"/>
        </w:rPr>
        <w:t> </w:t>
      </w:r>
      <w:r>
        <w:rPr/>
        <w:t>Those</w:t>
      </w:r>
      <w:r>
        <w:rPr>
          <w:spacing w:val="-7"/>
        </w:rPr>
        <w:t> </w:t>
      </w:r>
      <w:r>
        <w:rPr/>
        <w:t>that</w:t>
      </w:r>
      <w:r>
        <w:rPr>
          <w:spacing w:val="-7"/>
        </w:rPr>
        <w:t> </w:t>
      </w:r>
      <w:r>
        <w:rPr/>
        <w:t>were</w:t>
      </w:r>
      <w:r>
        <w:rPr>
          <w:spacing w:val="-5"/>
        </w:rPr>
        <w:t> </w:t>
      </w:r>
      <w:r>
        <w:rPr/>
        <w:t>most</w:t>
      </w:r>
      <w:r>
        <w:rPr>
          <w:spacing w:val="-6"/>
        </w:rPr>
        <w:t> </w:t>
      </w:r>
      <w:r>
        <w:rPr/>
        <w:t>commonly</w:t>
      </w:r>
      <w:r>
        <w:rPr>
          <w:spacing w:val="-6"/>
        </w:rPr>
        <w:t> </w:t>
      </w:r>
      <w:r>
        <w:rPr/>
        <w:t>reported</w:t>
      </w:r>
      <w:r>
        <w:rPr>
          <w:spacing w:val="-4"/>
        </w:rPr>
        <w:t> </w:t>
      </w:r>
      <w:r>
        <w:rPr/>
        <w:t>across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different</w:t>
      </w:r>
      <w:r>
        <w:rPr>
          <w:spacing w:val="-5"/>
        </w:rPr>
        <w:t> </w:t>
      </w:r>
      <w:r>
        <w:rPr/>
        <w:t>medications</w:t>
      </w:r>
      <w:r>
        <w:rPr>
          <w:spacing w:val="-6"/>
        </w:rPr>
        <w:t> </w:t>
      </w:r>
      <w:r>
        <w:rPr/>
        <w:t>include</w:t>
      </w:r>
      <w:r>
        <w:rPr>
          <w:spacing w:val="-53"/>
        </w:rPr>
        <w:t> </w:t>
      </w:r>
      <w:r>
        <w:rPr/>
        <w:t>irritability, ataxia, dizziness, diarrhea, somnolence, fatigue, decreased appetite, and upper respiratory</w:t>
      </w:r>
      <w:r>
        <w:rPr>
          <w:spacing w:val="1"/>
        </w:rPr>
        <w:t> </w:t>
      </w:r>
      <w:r>
        <w:rPr/>
        <w:t>infection.</w:t>
      </w:r>
      <w:r>
        <w:rPr>
          <w:spacing w:val="-5"/>
        </w:rPr>
        <w:t> </w:t>
      </w:r>
      <w:r>
        <w:rPr/>
        <w:t>Other</w:t>
      </w:r>
      <w:r>
        <w:rPr>
          <w:spacing w:val="-2"/>
        </w:rPr>
        <w:t> </w:t>
      </w:r>
      <w:r>
        <w:rPr/>
        <w:t>most</w:t>
      </w:r>
      <w:r>
        <w:rPr>
          <w:spacing w:val="-5"/>
        </w:rPr>
        <w:t> </w:t>
      </w:r>
      <w:r>
        <w:rPr/>
        <w:t>commonly</w:t>
      </w:r>
      <w:r>
        <w:rPr>
          <w:spacing w:val="-3"/>
        </w:rPr>
        <w:t> </w:t>
      </w:r>
      <w:r>
        <w:rPr/>
        <w:t>reported</w:t>
      </w:r>
      <w:r>
        <w:rPr>
          <w:spacing w:val="-3"/>
        </w:rPr>
        <w:t> </w:t>
      </w:r>
      <w:r>
        <w:rPr/>
        <w:t>adverse</w:t>
      </w:r>
      <w:r>
        <w:rPr>
          <w:spacing w:val="-3"/>
        </w:rPr>
        <w:t> </w:t>
      </w:r>
      <w:r>
        <w:rPr/>
        <w:t>events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/>
        <w:t>side</w:t>
      </w:r>
      <w:r>
        <w:rPr>
          <w:spacing w:val="-3"/>
        </w:rPr>
        <w:t> </w:t>
      </w:r>
      <w:r>
        <w:rPr/>
        <w:t>effects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specific</w:t>
      </w:r>
      <w:r>
        <w:rPr>
          <w:spacing w:val="-4"/>
        </w:rPr>
        <w:t> </w:t>
      </w:r>
      <w:r>
        <w:rPr/>
        <w:t>medications</w:t>
      </w:r>
      <w:r>
        <w:rPr>
          <w:spacing w:val="-4"/>
        </w:rPr>
        <w:t> </w:t>
      </w:r>
      <w:r>
        <w:rPr/>
        <w:t>include: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0" w:after="0"/>
        <w:ind w:left="839" w:right="0" w:hanging="361"/>
        <w:jc w:val="left"/>
        <w:rPr>
          <w:sz w:val="13"/>
        </w:rPr>
      </w:pPr>
      <w:r>
        <w:rPr>
          <w:rFonts w:ascii="Arial" w:hAnsi="Arial"/>
          <w:i/>
          <w:sz w:val="20"/>
        </w:rPr>
        <w:t>Brivaracetam:</w:t>
      </w:r>
      <w:r>
        <w:rPr>
          <w:rFonts w:ascii="Arial" w:hAnsi="Arial"/>
          <w:i/>
          <w:spacing w:val="-7"/>
          <w:sz w:val="20"/>
        </w:rPr>
        <w:t> </w:t>
      </w:r>
      <w:r>
        <w:rPr>
          <w:sz w:val="20"/>
        </w:rPr>
        <w:t>Dizziness,</w:t>
      </w:r>
      <w:r>
        <w:rPr>
          <w:spacing w:val="-6"/>
          <w:sz w:val="20"/>
        </w:rPr>
        <w:t> </w:t>
      </w:r>
      <w:r>
        <w:rPr>
          <w:sz w:val="20"/>
        </w:rPr>
        <w:t>fatigue,</w:t>
      </w:r>
      <w:r>
        <w:rPr>
          <w:spacing w:val="-4"/>
          <w:sz w:val="20"/>
        </w:rPr>
        <w:t> </w:t>
      </w:r>
      <w:r>
        <w:rPr>
          <w:sz w:val="20"/>
        </w:rPr>
        <w:t>irritability,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somnolence</w:t>
      </w:r>
      <w:r>
        <w:rPr>
          <w:position w:val="6"/>
          <w:sz w:val="13"/>
        </w:rPr>
        <w:t>26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0" w:after="0"/>
        <w:ind w:left="840" w:right="0" w:hanging="360"/>
        <w:jc w:val="left"/>
        <w:rPr>
          <w:sz w:val="13"/>
        </w:rPr>
      </w:pPr>
      <w:r>
        <w:rPr>
          <w:rFonts w:ascii="Arial" w:hAnsi="Arial"/>
          <w:i/>
          <w:sz w:val="20"/>
        </w:rPr>
        <w:t>CBD</w:t>
      </w:r>
      <w:r>
        <w:rPr>
          <w:sz w:val="20"/>
        </w:rPr>
        <w:t>:</w:t>
      </w:r>
      <w:r>
        <w:rPr>
          <w:spacing w:val="-4"/>
          <w:sz w:val="20"/>
        </w:rPr>
        <w:t> </w:t>
      </w:r>
      <w:r>
        <w:rPr>
          <w:sz w:val="20"/>
        </w:rPr>
        <w:t>Somnolence,</w:t>
      </w:r>
      <w:r>
        <w:rPr>
          <w:spacing w:val="-6"/>
          <w:sz w:val="20"/>
        </w:rPr>
        <w:t> </w:t>
      </w:r>
      <w:r>
        <w:rPr>
          <w:sz w:val="20"/>
        </w:rPr>
        <w:t>drowsiness,</w:t>
      </w:r>
      <w:r>
        <w:rPr>
          <w:spacing w:val="-5"/>
          <w:sz w:val="20"/>
        </w:rPr>
        <w:t> </w:t>
      </w:r>
      <w:r>
        <w:rPr>
          <w:sz w:val="20"/>
        </w:rPr>
        <w:t>diarrhea,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decreased/changes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appetite</w:t>
      </w:r>
      <w:r>
        <w:rPr>
          <w:position w:val="6"/>
          <w:sz w:val="13"/>
        </w:rPr>
        <w:t>22,27,32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0" w:after="0"/>
        <w:ind w:left="839" w:right="0" w:hanging="361"/>
        <w:jc w:val="left"/>
        <w:rPr>
          <w:sz w:val="13"/>
        </w:rPr>
      </w:pPr>
      <w:r>
        <w:rPr>
          <w:rFonts w:ascii="Arial" w:hAnsi="Arial"/>
          <w:i/>
          <w:sz w:val="20"/>
        </w:rPr>
        <w:t>Cenobamate:</w:t>
      </w:r>
      <w:r>
        <w:rPr>
          <w:rFonts w:ascii="Arial" w:hAnsi="Arial"/>
          <w:i/>
          <w:spacing w:val="-3"/>
          <w:sz w:val="20"/>
        </w:rPr>
        <w:t> </w:t>
      </w:r>
      <w:r>
        <w:rPr>
          <w:sz w:val="20"/>
        </w:rPr>
        <w:t>Somnolence,</w:t>
      </w:r>
      <w:r>
        <w:rPr>
          <w:spacing w:val="-3"/>
          <w:sz w:val="20"/>
        </w:rPr>
        <w:t> </w:t>
      </w:r>
      <w:r>
        <w:rPr>
          <w:sz w:val="20"/>
        </w:rPr>
        <w:t>dizziness,</w:t>
      </w:r>
      <w:r>
        <w:rPr>
          <w:spacing w:val="-6"/>
          <w:sz w:val="20"/>
        </w:rPr>
        <w:t> </w:t>
      </w:r>
      <w:r>
        <w:rPr>
          <w:sz w:val="20"/>
        </w:rPr>
        <w:t>fatigue,</w:t>
      </w:r>
      <w:r>
        <w:rPr>
          <w:spacing w:val="-5"/>
          <w:sz w:val="20"/>
        </w:rPr>
        <w:t> </w:t>
      </w:r>
      <w:r>
        <w:rPr>
          <w:sz w:val="20"/>
        </w:rPr>
        <w:t>balance</w:t>
      </w:r>
      <w:r>
        <w:rPr>
          <w:spacing w:val="-3"/>
          <w:sz w:val="20"/>
        </w:rPr>
        <w:t> </w:t>
      </w:r>
      <w:r>
        <w:rPr>
          <w:sz w:val="20"/>
        </w:rPr>
        <w:t>disorder,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diplopia</w:t>
      </w:r>
      <w:r>
        <w:rPr>
          <w:position w:val="6"/>
          <w:sz w:val="13"/>
        </w:rPr>
        <w:t>28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0" w:after="0"/>
        <w:ind w:left="839" w:right="0" w:hanging="361"/>
        <w:jc w:val="left"/>
        <w:rPr>
          <w:sz w:val="13"/>
        </w:rPr>
      </w:pPr>
      <w:r>
        <w:rPr>
          <w:rFonts w:ascii="Arial" w:hAnsi="Arial"/>
          <w:i/>
          <w:sz w:val="20"/>
        </w:rPr>
        <w:t>Clobazam</w:t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z w:val="20"/>
        </w:rPr>
        <w:t>Mood</w:t>
      </w:r>
      <w:r>
        <w:rPr>
          <w:spacing w:val="-4"/>
          <w:sz w:val="20"/>
        </w:rPr>
        <w:t> </w:t>
      </w:r>
      <w:r>
        <w:rPr>
          <w:sz w:val="20"/>
        </w:rPr>
        <w:t>changes,</w:t>
      </w:r>
      <w:r>
        <w:rPr>
          <w:spacing w:val="-3"/>
          <w:sz w:val="20"/>
        </w:rPr>
        <w:t> </w:t>
      </w:r>
      <w:r>
        <w:rPr>
          <w:sz w:val="20"/>
        </w:rPr>
        <w:t>drowsiness,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dizziness</w:t>
      </w:r>
      <w:r>
        <w:rPr>
          <w:position w:val="6"/>
          <w:sz w:val="13"/>
        </w:rPr>
        <w:t>18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0" w:after="0"/>
        <w:ind w:left="839" w:right="0" w:hanging="361"/>
        <w:jc w:val="left"/>
        <w:rPr>
          <w:sz w:val="13"/>
        </w:rPr>
      </w:pPr>
      <w:r>
        <w:rPr>
          <w:rFonts w:ascii="Arial" w:hAnsi="Arial"/>
          <w:i/>
          <w:sz w:val="20"/>
        </w:rPr>
        <w:t>Lamotrigine</w:t>
      </w:r>
      <w:r>
        <w:rPr>
          <w:sz w:val="20"/>
        </w:rPr>
        <w:t>:</w:t>
      </w:r>
      <w:r>
        <w:rPr>
          <w:spacing w:val="-6"/>
          <w:sz w:val="20"/>
        </w:rPr>
        <w:t> </w:t>
      </w:r>
      <w:r>
        <w:rPr>
          <w:sz w:val="20"/>
        </w:rPr>
        <w:t>Ataxia,</w:t>
      </w:r>
      <w:r>
        <w:rPr>
          <w:spacing w:val="-5"/>
          <w:sz w:val="20"/>
        </w:rPr>
        <w:t> </w:t>
      </w:r>
      <w:r>
        <w:rPr>
          <w:sz w:val="20"/>
        </w:rPr>
        <w:t>dizziness,</w:t>
      </w:r>
      <w:r>
        <w:rPr>
          <w:spacing w:val="-5"/>
          <w:sz w:val="20"/>
        </w:rPr>
        <w:t> </w:t>
      </w:r>
      <w:r>
        <w:rPr>
          <w:sz w:val="20"/>
        </w:rPr>
        <w:t>nausea,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diplopia</w:t>
      </w:r>
      <w:r>
        <w:rPr>
          <w:position w:val="6"/>
          <w:sz w:val="13"/>
        </w:rPr>
        <w:t>30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1" w:after="0"/>
        <w:ind w:left="839" w:right="0" w:hanging="361"/>
        <w:jc w:val="left"/>
        <w:rPr>
          <w:sz w:val="13"/>
        </w:rPr>
      </w:pPr>
      <w:r>
        <w:rPr>
          <w:rFonts w:ascii="Arial" w:hAnsi="Arial"/>
          <w:i/>
          <w:sz w:val="20"/>
        </w:rPr>
        <w:t>Levetiracetam</w:t>
      </w:r>
      <w:r>
        <w:rPr>
          <w:sz w:val="20"/>
        </w:rPr>
        <w:t>:</w:t>
      </w:r>
      <w:r>
        <w:rPr>
          <w:spacing w:val="-7"/>
          <w:sz w:val="20"/>
        </w:rPr>
        <w:t> </w:t>
      </w:r>
      <w:r>
        <w:rPr>
          <w:sz w:val="20"/>
        </w:rPr>
        <w:t>Somnolence,</w:t>
      </w:r>
      <w:r>
        <w:rPr>
          <w:spacing w:val="-6"/>
          <w:sz w:val="20"/>
        </w:rPr>
        <w:t> </w:t>
      </w:r>
      <w:r>
        <w:rPr>
          <w:sz w:val="20"/>
        </w:rPr>
        <w:t>dizziness,</w:t>
      </w:r>
      <w:r>
        <w:rPr>
          <w:spacing w:val="-6"/>
          <w:sz w:val="20"/>
        </w:rPr>
        <w:t> </w:t>
      </w:r>
      <w:r>
        <w:rPr>
          <w:sz w:val="20"/>
        </w:rPr>
        <w:t>infection,</w:t>
      </w:r>
      <w:r>
        <w:rPr>
          <w:spacing w:val="-5"/>
          <w:sz w:val="20"/>
        </w:rPr>
        <w:t> </w:t>
      </w:r>
      <w:r>
        <w:rPr>
          <w:sz w:val="20"/>
        </w:rPr>
        <w:t>anxiety,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irritability</w:t>
      </w:r>
      <w:r>
        <w:rPr>
          <w:position w:val="6"/>
          <w:sz w:val="13"/>
        </w:rPr>
        <w:t>20,34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1" w:val="left" w:leader="none"/>
        </w:tabs>
        <w:spacing w:line="463" w:lineRule="auto" w:before="0" w:after="0"/>
        <w:ind w:left="840" w:right="118" w:hanging="360"/>
        <w:jc w:val="left"/>
        <w:rPr>
          <w:sz w:val="13"/>
        </w:rPr>
      </w:pPr>
      <w:r>
        <w:rPr>
          <w:rFonts w:ascii="Arial" w:hAnsi="Arial"/>
          <w:i/>
          <w:sz w:val="20"/>
        </w:rPr>
        <w:t>Rufinamide</w:t>
      </w:r>
      <w:r>
        <w:rPr>
          <w:sz w:val="20"/>
        </w:rPr>
        <w:t>:</w:t>
      </w:r>
      <w:r>
        <w:rPr>
          <w:spacing w:val="4"/>
          <w:sz w:val="20"/>
        </w:rPr>
        <w:t> </w:t>
      </w:r>
      <w:r>
        <w:rPr>
          <w:sz w:val="20"/>
        </w:rPr>
        <w:t>Somnolence,</w:t>
      </w:r>
      <w:r>
        <w:rPr>
          <w:spacing w:val="6"/>
          <w:sz w:val="20"/>
        </w:rPr>
        <w:t> </w:t>
      </w:r>
      <w:r>
        <w:rPr>
          <w:sz w:val="20"/>
        </w:rPr>
        <w:t>headache,</w:t>
      </w:r>
      <w:r>
        <w:rPr>
          <w:spacing w:val="4"/>
          <w:sz w:val="20"/>
        </w:rPr>
        <w:t> </w:t>
      </w:r>
      <w:r>
        <w:rPr>
          <w:sz w:val="20"/>
        </w:rPr>
        <w:t>dizziness,</w:t>
      </w:r>
      <w:r>
        <w:rPr>
          <w:spacing w:val="4"/>
          <w:sz w:val="20"/>
        </w:rPr>
        <w:t> </w:t>
      </w:r>
      <w:r>
        <w:rPr>
          <w:sz w:val="20"/>
        </w:rPr>
        <w:t>nausea,</w:t>
      </w:r>
      <w:r>
        <w:rPr>
          <w:spacing w:val="5"/>
          <w:sz w:val="20"/>
        </w:rPr>
        <w:t> </w:t>
      </w:r>
      <w:r>
        <w:rPr>
          <w:sz w:val="20"/>
        </w:rPr>
        <w:t>vomiting,</w:t>
      </w:r>
      <w:r>
        <w:rPr>
          <w:spacing w:val="4"/>
          <w:sz w:val="20"/>
        </w:rPr>
        <w:t> </w:t>
      </w:r>
      <w:r>
        <w:rPr>
          <w:sz w:val="20"/>
        </w:rPr>
        <w:t>fatigue,</w:t>
      </w:r>
      <w:r>
        <w:rPr>
          <w:spacing w:val="6"/>
          <w:sz w:val="20"/>
        </w:rPr>
        <w:t> </w:t>
      </w:r>
      <w:r>
        <w:rPr>
          <w:sz w:val="20"/>
        </w:rPr>
        <w:t>upper</w:t>
      </w:r>
      <w:r>
        <w:rPr>
          <w:spacing w:val="5"/>
          <w:sz w:val="20"/>
        </w:rPr>
        <w:t> </w:t>
      </w:r>
      <w:r>
        <w:rPr>
          <w:sz w:val="20"/>
        </w:rPr>
        <w:t>respiratory</w:t>
      </w:r>
      <w:r>
        <w:rPr>
          <w:spacing w:val="5"/>
          <w:sz w:val="20"/>
        </w:rPr>
        <w:t> </w:t>
      </w:r>
      <w:r>
        <w:rPr>
          <w:sz w:val="20"/>
        </w:rPr>
        <w:t>tract</w:t>
      </w:r>
      <w:r>
        <w:rPr>
          <w:spacing w:val="-52"/>
          <w:sz w:val="20"/>
        </w:rPr>
        <w:t> </w:t>
      </w:r>
      <w:r>
        <w:rPr>
          <w:sz w:val="20"/>
        </w:rPr>
        <w:t>infection,</w:t>
      </w:r>
      <w:r>
        <w:rPr>
          <w:spacing w:val="-2"/>
          <w:sz w:val="20"/>
        </w:rPr>
        <w:t> </w:t>
      </w:r>
      <w:r>
        <w:rPr>
          <w:sz w:val="20"/>
        </w:rPr>
        <w:t>mood</w:t>
      </w:r>
      <w:r>
        <w:rPr>
          <w:spacing w:val="-1"/>
          <w:sz w:val="20"/>
        </w:rPr>
        <w:t> </w:t>
      </w:r>
      <w:r>
        <w:rPr>
          <w:sz w:val="20"/>
        </w:rPr>
        <w:t>changes,</w:t>
      </w:r>
      <w:r>
        <w:rPr>
          <w:spacing w:val="-2"/>
          <w:sz w:val="20"/>
        </w:rPr>
        <w:t> </w:t>
      </w:r>
      <w:r>
        <w:rPr>
          <w:sz w:val="20"/>
        </w:rPr>
        <w:t>asthenia, and nasopharyngitis</w:t>
      </w:r>
      <w:r>
        <w:rPr>
          <w:position w:val="6"/>
          <w:sz w:val="13"/>
        </w:rPr>
        <w:t>17,29,31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463" w:lineRule="auto" w:before="17" w:after="0"/>
        <w:ind w:left="839" w:right="119" w:hanging="360"/>
        <w:jc w:val="left"/>
        <w:rPr>
          <w:sz w:val="13"/>
        </w:rPr>
      </w:pPr>
      <w:r>
        <w:rPr>
          <w:rFonts w:ascii="Arial" w:hAnsi="Arial"/>
          <w:i/>
          <w:sz w:val="20"/>
        </w:rPr>
        <w:t>Perampanel:</w:t>
      </w:r>
      <w:r>
        <w:rPr>
          <w:rFonts w:ascii="Arial" w:hAnsi="Arial"/>
          <w:i/>
          <w:spacing w:val="39"/>
          <w:sz w:val="20"/>
        </w:rPr>
        <w:t> </w:t>
      </w:r>
      <w:r>
        <w:rPr>
          <w:sz w:val="20"/>
        </w:rPr>
        <w:t>Dizziness,</w:t>
      </w:r>
      <w:r>
        <w:rPr>
          <w:spacing w:val="40"/>
          <w:sz w:val="20"/>
        </w:rPr>
        <w:t> </w:t>
      </w:r>
      <w:r>
        <w:rPr>
          <w:sz w:val="20"/>
        </w:rPr>
        <w:t>somnolence,</w:t>
      </w:r>
      <w:r>
        <w:rPr>
          <w:spacing w:val="39"/>
          <w:sz w:val="20"/>
        </w:rPr>
        <w:t> </w:t>
      </w:r>
      <w:r>
        <w:rPr>
          <w:sz w:val="20"/>
        </w:rPr>
        <w:t>headache,</w:t>
      </w:r>
      <w:r>
        <w:rPr>
          <w:spacing w:val="40"/>
          <w:sz w:val="20"/>
        </w:rPr>
        <w:t> </w:t>
      </w:r>
      <w:r>
        <w:rPr>
          <w:sz w:val="20"/>
        </w:rPr>
        <w:t>fatigue,</w:t>
      </w:r>
      <w:r>
        <w:rPr>
          <w:spacing w:val="40"/>
          <w:sz w:val="20"/>
        </w:rPr>
        <w:t> </w:t>
      </w:r>
      <w:r>
        <w:rPr>
          <w:sz w:val="20"/>
        </w:rPr>
        <w:t>nasopharyngitis,</w:t>
      </w:r>
      <w:r>
        <w:rPr>
          <w:spacing w:val="39"/>
          <w:sz w:val="20"/>
        </w:rPr>
        <w:t> </w:t>
      </w:r>
      <w:r>
        <w:rPr>
          <w:sz w:val="20"/>
        </w:rPr>
        <w:t>worsening</w:t>
      </w:r>
      <w:r>
        <w:rPr>
          <w:spacing w:val="40"/>
          <w:sz w:val="20"/>
        </w:rPr>
        <w:t> </w:t>
      </w:r>
      <w:r>
        <w:rPr>
          <w:sz w:val="20"/>
        </w:rPr>
        <w:t>seizures,</w:t>
      </w:r>
      <w:r>
        <w:rPr>
          <w:spacing w:val="-53"/>
          <w:sz w:val="20"/>
        </w:rPr>
        <w:t> </w:t>
      </w:r>
      <w:r>
        <w:rPr>
          <w:sz w:val="20"/>
        </w:rPr>
        <w:t>irritability,</w:t>
      </w:r>
      <w:r>
        <w:rPr>
          <w:spacing w:val="-2"/>
          <w:sz w:val="20"/>
        </w:rPr>
        <w:t> </w:t>
      </w:r>
      <w:r>
        <w:rPr>
          <w:sz w:val="20"/>
        </w:rPr>
        <w:t>behavioral</w:t>
      </w:r>
      <w:r>
        <w:rPr>
          <w:spacing w:val="-2"/>
          <w:sz w:val="20"/>
        </w:rPr>
        <w:t> </w:t>
      </w:r>
      <w:r>
        <w:rPr>
          <w:sz w:val="20"/>
        </w:rPr>
        <w:t>changes,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2"/>
          <w:sz w:val="20"/>
        </w:rPr>
        <w:t> </w:t>
      </w:r>
      <w:r>
        <w:rPr>
          <w:sz w:val="20"/>
        </w:rPr>
        <w:t>gait</w:t>
      </w:r>
      <w:r>
        <w:rPr>
          <w:spacing w:val="-2"/>
          <w:sz w:val="20"/>
        </w:rPr>
        <w:t> </w:t>
      </w:r>
      <w:r>
        <w:rPr>
          <w:sz w:val="20"/>
        </w:rPr>
        <w:t>disturbance</w:t>
      </w:r>
      <w:r>
        <w:rPr>
          <w:position w:val="6"/>
          <w:sz w:val="13"/>
        </w:rPr>
        <w:t>21,25,33</w:t>
      </w:r>
    </w:p>
    <w:p>
      <w:pPr>
        <w:spacing w:after="0" w:line="463" w:lineRule="auto"/>
        <w:jc w:val="left"/>
        <w:rPr>
          <w:sz w:val="13"/>
        </w:rPr>
        <w:sectPr>
          <w:pgSz w:w="12240" w:h="15840"/>
          <w:pgMar w:header="0" w:footer="1020" w:top="1360" w:bottom="1200" w:left="1320" w:right="1320"/>
        </w:sectPr>
      </w:pP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80" w:after="0"/>
        <w:ind w:left="839" w:right="0" w:hanging="360"/>
        <w:jc w:val="left"/>
        <w:rPr>
          <w:sz w:val="13"/>
        </w:rPr>
      </w:pPr>
      <w:r>
        <w:rPr>
          <w:rFonts w:ascii="Arial" w:hAnsi="Arial"/>
          <w:i/>
          <w:sz w:val="20"/>
        </w:rPr>
        <w:t>Stiripentol</w:t>
      </w:r>
      <w:r>
        <w:rPr>
          <w:sz w:val="20"/>
        </w:rPr>
        <w:t>:</w:t>
      </w:r>
      <w:r>
        <w:rPr>
          <w:spacing w:val="-5"/>
          <w:sz w:val="20"/>
        </w:rPr>
        <w:t> </w:t>
      </w:r>
      <w:r>
        <w:rPr>
          <w:sz w:val="20"/>
        </w:rPr>
        <w:t>Drowsiness,</w:t>
      </w:r>
      <w:r>
        <w:rPr>
          <w:spacing w:val="-4"/>
          <w:sz w:val="20"/>
        </w:rPr>
        <w:t> </w:t>
      </w:r>
      <w:r>
        <w:rPr>
          <w:sz w:val="20"/>
        </w:rPr>
        <w:t>decreased</w:t>
      </w:r>
      <w:r>
        <w:rPr>
          <w:spacing w:val="-4"/>
          <w:sz w:val="20"/>
        </w:rPr>
        <w:t> </w:t>
      </w:r>
      <w:r>
        <w:rPr>
          <w:sz w:val="20"/>
        </w:rPr>
        <w:t>appetite,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ataxia</w:t>
      </w:r>
      <w:r>
        <w:rPr>
          <w:position w:val="6"/>
          <w:sz w:val="13"/>
        </w:rPr>
        <w:t>23</w: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832" w:val="left" w:leader="none"/>
          <w:tab w:pos="833" w:val="left" w:leader="none"/>
        </w:tabs>
        <w:spacing w:line="465" w:lineRule="auto" w:before="0" w:after="0"/>
        <w:ind w:left="832" w:right="125" w:hanging="356"/>
        <w:jc w:val="left"/>
        <w:rPr>
          <w:sz w:val="13"/>
        </w:rPr>
      </w:pPr>
      <w:r>
        <w:rPr>
          <w:rFonts w:ascii="Arial" w:hAnsi="Arial"/>
          <w:i/>
          <w:sz w:val="20"/>
        </w:rPr>
        <w:t>Topiramate:</w:t>
      </w:r>
      <w:r>
        <w:rPr>
          <w:rFonts w:ascii="Arial" w:hAnsi="Arial"/>
          <w:i/>
          <w:spacing w:val="22"/>
          <w:sz w:val="20"/>
        </w:rPr>
        <w:t> </w:t>
      </w:r>
      <w:r>
        <w:rPr>
          <w:sz w:val="20"/>
        </w:rPr>
        <w:t>Ataxia,</w:t>
      </w:r>
      <w:r>
        <w:rPr>
          <w:spacing w:val="19"/>
          <w:sz w:val="20"/>
        </w:rPr>
        <w:t> </w:t>
      </w:r>
      <w:r>
        <w:rPr>
          <w:sz w:val="20"/>
        </w:rPr>
        <w:t>concentration</w:t>
      </w:r>
      <w:r>
        <w:rPr>
          <w:spacing w:val="21"/>
          <w:sz w:val="20"/>
        </w:rPr>
        <w:t> </w:t>
      </w:r>
      <w:r>
        <w:rPr>
          <w:sz w:val="20"/>
        </w:rPr>
        <w:t>difficulties,</w:t>
      </w:r>
      <w:r>
        <w:rPr>
          <w:spacing w:val="22"/>
          <w:sz w:val="20"/>
        </w:rPr>
        <w:t> </w:t>
      </w:r>
      <w:r>
        <w:rPr>
          <w:sz w:val="20"/>
        </w:rPr>
        <w:t>dizziness,</w:t>
      </w:r>
      <w:r>
        <w:rPr>
          <w:spacing w:val="20"/>
          <w:sz w:val="20"/>
        </w:rPr>
        <w:t> </w:t>
      </w:r>
      <w:r>
        <w:rPr>
          <w:sz w:val="20"/>
        </w:rPr>
        <w:t>fatigue,</w:t>
      </w:r>
      <w:r>
        <w:rPr>
          <w:spacing w:val="22"/>
          <w:sz w:val="20"/>
        </w:rPr>
        <w:t> </w:t>
      </w:r>
      <w:r>
        <w:rPr>
          <w:sz w:val="20"/>
        </w:rPr>
        <w:t>paraesthesia,</w:t>
      </w:r>
      <w:r>
        <w:rPr>
          <w:spacing w:val="19"/>
          <w:sz w:val="20"/>
        </w:rPr>
        <w:t> </w:t>
      </w:r>
      <w:r>
        <w:rPr>
          <w:sz w:val="20"/>
        </w:rPr>
        <w:t>somnolence,</w:t>
      </w:r>
      <w:r>
        <w:rPr>
          <w:spacing w:val="-53"/>
          <w:sz w:val="20"/>
        </w:rPr>
        <w:t> </w:t>
      </w:r>
      <w:r>
        <w:rPr>
          <w:sz w:val="20"/>
        </w:rPr>
        <w:t>thinking abnormally,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2"/>
          <w:sz w:val="20"/>
        </w:rPr>
        <w:t> </w:t>
      </w:r>
      <w:r>
        <w:rPr>
          <w:sz w:val="20"/>
        </w:rPr>
        <w:t>weight</w:t>
      </w:r>
      <w:r>
        <w:rPr>
          <w:spacing w:val="-2"/>
          <w:sz w:val="20"/>
        </w:rPr>
        <w:t> </w:t>
      </w:r>
      <w:r>
        <w:rPr>
          <w:sz w:val="20"/>
        </w:rPr>
        <w:t>loss</w:t>
      </w:r>
      <w:r>
        <w:rPr>
          <w:position w:val="6"/>
          <w:sz w:val="13"/>
        </w:rPr>
        <w:t>19,24</w:t>
      </w:r>
    </w:p>
    <w:p>
      <w:pPr>
        <w:pStyle w:val="BodyText"/>
        <w:spacing w:before="1"/>
        <w:rPr>
          <w:sz w:val="22"/>
        </w:rPr>
      </w:pPr>
    </w:p>
    <w:p>
      <w:pPr>
        <w:pStyle w:val="Heading2"/>
        <w:spacing w:before="1"/>
      </w:pPr>
      <w:bookmarkStart w:name="Beneficial Impacts of CBD Beyond Seizure" w:id="10"/>
      <w:bookmarkEnd w:id="10"/>
      <w:r>
        <w:rPr>
          <w:i w:val="0"/>
        </w:rPr>
      </w:r>
      <w:r>
        <w:rPr/>
        <w:t>Beneficial</w:t>
      </w:r>
      <w:r>
        <w:rPr>
          <w:spacing w:val="-3"/>
        </w:rPr>
        <w:t> </w:t>
      </w:r>
      <w:r>
        <w:rPr/>
        <w:t>Impacts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CBD</w:t>
      </w:r>
      <w:r>
        <w:rPr>
          <w:spacing w:val="-3"/>
        </w:rPr>
        <w:t> </w:t>
      </w:r>
      <w:r>
        <w:rPr/>
        <w:t>Beyond</w:t>
      </w:r>
      <w:r>
        <w:rPr>
          <w:spacing w:val="-2"/>
        </w:rPr>
        <w:t> </w:t>
      </w:r>
      <w:r>
        <w:rPr/>
        <w:t>Seizure</w:t>
      </w:r>
      <w:r>
        <w:rPr>
          <w:spacing w:val="-5"/>
        </w:rPr>
        <w:t> </w:t>
      </w:r>
      <w:r>
        <w:rPr/>
        <w:t>Control</w:t>
      </w:r>
    </w:p>
    <w:p>
      <w:pPr>
        <w:pStyle w:val="BodyText"/>
        <w:rPr>
          <w:rFonts w:ascii="Arial"/>
          <w:i/>
          <w:sz w:val="24"/>
        </w:rPr>
      </w:pPr>
    </w:p>
    <w:p>
      <w:pPr>
        <w:pStyle w:val="BodyText"/>
        <w:spacing w:line="480" w:lineRule="auto" w:before="214"/>
        <w:ind w:left="119" w:right="115"/>
        <w:jc w:val="both"/>
        <w:rPr>
          <w:sz w:val="13"/>
        </w:rPr>
      </w:pPr>
      <w:r>
        <w:rPr/>
        <w:t>Evidence suggests that CBD may have beneficial effects on patient quality of life (QoL), distinct from its</w:t>
      </w:r>
      <w:r>
        <w:rPr>
          <w:spacing w:val="1"/>
        </w:rPr>
        <w:t> </w:t>
      </w:r>
      <w:r>
        <w:rPr/>
        <w:t>proven effect in reduction of seizure frequency. In 2 open-label studies of CBD for treatment-resistant</w:t>
      </w:r>
      <w:r>
        <w:rPr>
          <w:spacing w:val="1"/>
        </w:rPr>
        <w:t> </w:t>
      </w:r>
      <w:r>
        <w:rPr/>
        <w:t>epilepsy</w:t>
      </w:r>
      <w:r>
        <w:rPr>
          <w:spacing w:val="-7"/>
        </w:rPr>
        <w:t> </w:t>
      </w:r>
      <w:r>
        <w:rPr/>
        <w:t>in</w:t>
      </w:r>
      <w:r>
        <w:rPr>
          <w:spacing w:val="-8"/>
        </w:rPr>
        <w:t> </w:t>
      </w:r>
      <w:r>
        <w:rPr/>
        <w:t>adult</w:t>
      </w:r>
      <w:r>
        <w:rPr>
          <w:spacing w:val="-10"/>
        </w:rPr>
        <w:t> </w:t>
      </w:r>
      <w:r>
        <w:rPr/>
        <w:t>and</w:t>
      </w:r>
      <w:r>
        <w:rPr>
          <w:spacing w:val="-9"/>
        </w:rPr>
        <w:t> </w:t>
      </w:r>
      <w:r>
        <w:rPr/>
        <w:t>pediatric</w:t>
      </w:r>
      <w:r>
        <w:rPr>
          <w:spacing w:val="-8"/>
        </w:rPr>
        <w:t> </w:t>
      </w:r>
      <w:r>
        <w:rPr/>
        <w:t>patients,</w:t>
      </w:r>
      <w:r>
        <w:rPr>
          <w:spacing w:val="-10"/>
        </w:rPr>
        <w:t> </w:t>
      </w:r>
      <w:r>
        <w:rPr/>
        <w:t>HRQL</w:t>
      </w:r>
      <w:r>
        <w:rPr>
          <w:spacing w:val="-11"/>
        </w:rPr>
        <w:t> </w:t>
      </w:r>
      <w:r>
        <w:rPr/>
        <w:t>was</w:t>
      </w:r>
      <w:r>
        <w:rPr>
          <w:spacing w:val="-10"/>
        </w:rPr>
        <w:t> </w:t>
      </w:r>
      <w:r>
        <w:rPr/>
        <w:t>assessed</w:t>
      </w:r>
      <w:r>
        <w:rPr>
          <w:spacing w:val="-11"/>
        </w:rPr>
        <w:t> </w:t>
      </w:r>
      <w:r>
        <w:rPr/>
        <w:t>at</w:t>
      </w:r>
      <w:r>
        <w:rPr>
          <w:spacing w:val="-8"/>
        </w:rPr>
        <w:t> </w:t>
      </w:r>
      <w:r>
        <w:rPr/>
        <w:t>baseline</w:t>
      </w:r>
      <w:r>
        <w:rPr>
          <w:spacing w:val="-8"/>
        </w:rPr>
        <w:t> </w:t>
      </w:r>
      <w:r>
        <w:rPr/>
        <w:t>and</w:t>
      </w:r>
      <w:r>
        <w:rPr>
          <w:spacing w:val="-9"/>
        </w:rPr>
        <w:t> </w:t>
      </w:r>
      <w:r>
        <w:rPr/>
        <w:t>following</w:t>
      </w:r>
      <w:r>
        <w:rPr>
          <w:spacing w:val="-8"/>
        </w:rPr>
        <w:t> </w:t>
      </w:r>
      <w:r>
        <w:rPr/>
        <w:t>treatment.</w:t>
      </w:r>
      <w:r>
        <w:rPr>
          <w:position w:val="6"/>
          <w:sz w:val="13"/>
        </w:rPr>
        <w:t>35,40</w:t>
      </w:r>
      <w:r>
        <w:rPr>
          <w:spacing w:val="9"/>
          <w:position w:val="6"/>
          <w:sz w:val="13"/>
        </w:rPr>
        <w:t> </w:t>
      </w:r>
      <w:r>
        <w:rPr/>
        <w:t>In</w:t>
      </w:r>
      <w:r>
        <w:rPr>
          <w:spacing w:val="-8"/>
        </w:rPr>
        <w:t> </w:t>
      </w:r>
      <w:r>
        <w:rPr/>
        <w:t>the</w:t>
      </w:r>
      <w:r>
        <w:rPr>
          <w:spacing w:val="-53"/>
        </w:rPr>
        <w:t> </w:t>
      </w:r>
      <w:r>
        <w:rPr/>
        <w:t>study</w:t>
      </w:r>
      <w:r>
        <w:rPr>
          <w:spacing w:val="-12"/>
        </w:rPr>
        <w:t> </w:t>
      </w:r>
      <w:r>
        <w:rPr/>
        <w:t>with</w:t>
      </w:r>
      <w:r>
        <w:rPr>
          <w:spacing w:val="-14"/>
        </w:rPr>
        <w:t> </w:t>
      </w:r>
      <w:r>
        <w:rPr/>
        <w:t>pediatric</w:t>
      </w:r>
      <w:r>
        <w:rPr>
          <w:spacing w:val="-12"/>
        </w:rPr>
        <w:t> </w:t>
      </w:r>
      <w:r>
        <w:rPr/>
        <w:t>patients,</w:t>
      </w:r>
      <w:r>
        <w:rPr>
          <w:spacing w:val="-14"/>
        </w:rPr>
        <w:t> </w:t>
      </w:r>
      <w:r>
        <w:rPr/>
        <w:t>a</w:t>
      </w:r>
      <w:r>
        <w:rPr>
          <w:spacing w:val="-13"/>
        </w:rPr>
        <w:t> </w:t>
      </w:r>
      <w:r>
        <w:rPr/>
        <w:t>significant</w:t>
      </w:r>
      <w:r>
        <w:rPr>
          <w:spacing w:val="-11"/>
        </w:rPr>
        <w:t> </w:t>
      </w:r>
      <w:r>
        <w:rPr/>
        <w:t>improvement</w:t>
      </w:r>
      <w:r>
        <w:rPr>
          <w:spacing w:val="-11"/>
        </w:rPr>
        <w:t> </w:t>
      </w:r>
      <w:r>
        <w:rPr/>
        <w:t>in</w:t>
      </w:r>
      <w:r>
        <w:rPr>
          <w:spacing w:val="-14"/>
        </w:rPr>
        <w:t> </w:t>
      </w:r>
      <w:r>
        <w:rPr/>
        <w:t>mean</w:t>
      </w:r>
      <w:r>
        <w:rPr>
          <w:spacing w:val="-14"/>
        </w:rPr>
        <w:t> </w:t>
      </w:r>
      <w:r>
        <w:rPr/>
        <w:t>overall</w:t>
      </w:r>
      <w:r>
        <w:rPr>
          <w:spacing w:val="-14"/>
        </w:rPr>
        <w:t> </w:t>
      </w:r>
      <w:r>
        <w:rPr/>
        <w:t>Quality</w:t>
      </w:r>
      <w:r>
        <w:rPr>
          <w:spacing w:val="-10"/>
        </w:rPr>
        <w:t> </w:t>
      </w:r>
      <w:r>
        <w:rPr/>
        <w:t>of</w:t>
      </w:r>
      <w:r>
        <w:rPr>
          <w:spacing w:val="-13"/>
        </w:rPr>
        <w:t> </w:t>
      </w:r>
      <w:r>
        <w:rPr/>
        <w:t>Life</w:t>
      </w:r>
      <w:r>
        <w:rPr>
          <w:spacing w:val="-14"/>
        </w:rPr>
        <w:t> </w:t>
      </w:r>
      <w:r>
        <w:rPr/>
        <w:t>in</w:t>
      </w:r>
      <w:r>
        <w:rPr>
          <w:spacing w:val="-12"/>
        </w:rPr>
        <w:t> </w:t>
      </w:r>
      <w:r>
        <w:rPr/>
        <w:t>Childhood</w:t>
      </w:r>
      <w:r>
        <w:rPr>
          <w:spacing w:val="-12"/>
        </w:rPr>
        <w:t> </w:t>
      </w:r>
      <w:r>
        <w:rPr/>
        <w:t>Epilepsy</w:t>
      </w:r>
      <w:r>
        <w:rPr>
          <w:spacing w:val="-53"/>
        </w:rPr>
        <w:t> </w:t>
      </w:r>
      <w:r>
        <w:rPr/>
        <w:t>Questionnaire scores was found after 12 months of treatment with CBD (mean 45.7) compared with</w:t>
      </w:r>
      <w:r>
        <w:rPr>
          <w:spacing w:val="1"/>
        </w:rPr>
        <w:t> </w:t>
      </w:r>
      <w:r>
        <w:rPr/>
        <w:t>baseline (mean</w:t>
      </w:r>
      <w:r>
        <w:rPr>
          <w:spacing w:val="1"/>
        </w:rPr>
        <w:t> </w:t>
      </w:r>
      <w:r>
        <w:rPr/>
        <w:t>37.8).</w:t>
      </w:r>
      <w:r>
        <w:rPr>
          <w:position w:val="6"/>
          <w:sz w:val="13"/>
        </w:rPr>
        <w:t>40</w:t>
      </w:r>
      <w:r>
        <w:rPr>
          <w:spacing w:val="1"/>
          <w:position w:val="6"/>
          <w:sz w:val="13"/>
        </w:rPr>
        <w:t> </w:t>
      </w:r>
      <w:r>
        <w:rPr/>
        <w:t>Subscale analyses also showed significant improvements in energy/fatigue,</w:t>
      </w:r>
      <w:r>
        <w:rPr>
          <w:spacing w:val="1"/>
        </w:rPr>
        <w:t> </w:t>
      </w:r>
      <w:r>
        <w:rPr/>
        <w:t>memory, other cognitive functions, control/helplessness, social interactions, and behavior, at 12-month</w:t>
      </w:r>
      <w:r>
        <w:rPr>
          <w:spacing w:val="1"/>
        </w:rPr>
        <w:t> </w:t>
      </w:r>
      <w:r>
        <w:rPr/>
        <w:t>follow up.</w:t>
      </w:r>
      <w:r>
        <w:rPr>
          <w:position w:val="6"/>
          <w:sz w:val="13"/>
        </w:rPr>
        <w:t>40 </w:t>
      </w:r>
      <w:r>
        <w:rPr/>
        <w:t>These improvements in HRQL were not found to be significantly associated with a reduction in</w:t>
      </w:r>
      <w:r>
        <w:rPr>
          <w:spacing w:val="-54"/>
        </w:rPr>
        <w:t> </w:t>
      </w:r>
      <w:r>
        <w:rPr/>
        <w:t>seizure frequency or adverse events, which may indicate that CBD has beneficial non-seizure-related</w:t>
      </w:r>
      <w:r>
        <w:rPr>
          <w:spacing w:val="1"/>
        </w:rPr>
        <w:t> </w:t>
      </w:r>
      <w:r>
        <w:rPr/>
        <w:t>impacts that are independent from the treatment response.</w:t>
      </w:r>
      <w:r>
        <w:rPr>
          <w:position w:val="6"/>
          <w:sz w:val="13"/>
        </w:rPr>
        <w:t>40 </w:t>
      </w:r>
      <w:r>
        <w:rPr/>
        <w:t>Similarly, in the study with adult patients, a</w:t>
      </w:r>
      <w:r>
        <w:rPr>
          <w:spacing w:val="1"/>
        </w:rPr>
        <w:t> </w:t>
      </w:r>
      <w:r>
        <w:rPr/>
        <w:t>significant improvement was found in mean Quality of Life in Epilepsy Inventory-89 total scores from</w:t>
      </w:r>
      <w:r>
        <w:rPr>
          <w:spacing w:val="1"/>
        </w:rPr>
        <w:t> </w:t>
      </w:r>
      <w:r>
        <w:rPr/>
        <w:t>enrollment (mean 49.4) to 1 year following treatment with CBD (mean 57.0).</w:t>
      </w:r>
      <w:r>
        <w:rPr>
          <w:position w:val="6"/>
          <w:sz w:val="13"/>
        </w:rPr>
        <w:t>35 </w:t>
      </w:r>
      <w:r>
        <w:rPr/>
        <w:t>This improvement in HRQL</w:t>
      </w:r>
      <w:r>
        <w:rPr>
          <w:spacing w:val="1"/>
        </w:rPr>
        <w:t> </w:t>
      </w:r>
      <w:r>
        <w:rPr/>
        <w:t>was found to be significantly associated with mood but not with seizure frequency, severity, or adverse</w:t>
      </w:r>
      <w:r>
        <w:rPr>
          <w:spacing w:val="1"/>
        </w:rPr>
        <w:t> </w:t>
      </w:r>
      <w:r>
        <w:rPr/>
        <w:t>events.</w:t>
      </w:r>
      <w:r>
        <w:rPr>
          <w:position w:val="6"/>
          <w:sz w:val="13"/>
        </w:rPr>
        <w:t>35</w:t>
      </w:r>
    </w:p>
    <w:p>
      <w:pPr>
        <w:pStyle w:val="BodyText"/>
        <w:spacing w:before="10"/>
      </w:pPr>
    </w:p>
    <w:p>
      <w:pPr>
        <w:pStyle w:val="BodyText"/>
        <w:spacing w:line="480" w:lineRule="auto"/>
        <w:ind w:left="119" w:right="118" w:firstLine="720"/>
        <w:jc w:val="both"/>
        <w:rPr>
          <w:sz w:val="13"/>
        </w:rPr>
      </w:pPr>
      <w:r>
        <w:rPr/>
        <w:t>A</w:t>
      </w:r>
      <w:r>
        <w:rPr>
          <w:spacing w:val="-9"/>
        </w:rPr>
        <w:t> </w:t>
      </w:r>
      <w:r>
        <w:rPr/>
        <w:t>further</w:t>
      </w:r>
      <w:r>
        <w:rPr>
          <w:spacing w:val="-6"/>
        </w:rPr>
        <w:t> </w:t>
      </w:r>
      <w:r>
        <w:rPr/>
        <w:t>study</w:t>
      </w:r>
      <w:r>
        <w:rPr>
          <w:spacing w:val="-7"/>
        </w:rPr>
        <w:t> </w:t>
      </w:r>
      <w:r>
        <w:rPr/>
        <w:t>assessed</w:t>
      </w:r>
      <w:r>
        <w:rPr>
          <w:spacing w:val="-8"/>
        </w:rPr>
        <w:t> </w:t>
      </w:r>
      <w:r>
        <w:rPr/>
        <w:t>adaptive</w:t>
      </w:r>
      <w:r>
        <w:rPr>
          <w:spacing w:val="-8"/>
        </w:rPr>
        <w:t> </w:t>
      </w:r>
      <w:r>
        <w:rPr/>
        <w:t>function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HRQL</w:t>
      </w:r>
      <w:r>
        <w:rPr>
          <w:spacing w:val="-6"/>
        </w:rPr>
        <w:t> </w:t>
      </w:r>
      <w:r>
        <w:rPr/>
        <w:t>in</w:t>
      </w:r>
      <w:r>
        <w:rPr>
          <w:spacing w:val="-8"/>
        </w:rPr>
        <w:t> </w:t>
      </w:r>
      <w:r>
        <w:rPr/>
        <w:t>pediatric</w:t>
      </w:r>
      <w:r>
        <w:rPr>
          <w:spacing w:val="-6"/>
        </w:rPr>
        <w:t> </w:t>
      </w:r>
      <w:r>
        <w:rPr/>
        <w:t>patients</w:t>
      </w:r>
      <w:r>
        <w:rPr>
          <w:spacing w:val="-6"/>
        </w:rPr>
        <w:t> </w:t>
      </w:r>
      <w:r>
        <w:rPr/>
        <w:t>with</w:t>
      </w:r>
      <w:r>
        <w:rPr>
          <w:spacing w:val="-8"/>
        </w:rPr>
        <w:t> </w:t>
      </w:r>
      <w:r>
        <w:rPr/>
        <w:t>treatment-resistant</w:t>
      </w:r>
      <w:r>
        <w:rPr>
          <w:spacing w:val="-53"/>
        </w:rPr>
        <w:t> </w:t>
      </w:r>
      <w:r>
        <w:rPr/>
        <w:t>epilepsy, at baseline and at 3 and 6 months following treatment with CBD.</w:t>
      </w:r>
      <w:r>
        <w:rPr>
          <w:position w:val="6"/>
          <w:sz w:val="13"/>
        </w:rPr>
        <w:t>37 </w:t>
      </w:r>
      <w:r>
        <w:rPr/>
        <w:t>Findings of interim analyses,</w:t>
      </w:r>
      <w:r>
        <w:rPr>
          <w:spacing w:val="1"/>
        </w:rPr>
        <w:t> </w:t>
      </w:r>
      <w:r>
        <w:rPr/>
        <w:t>at 3 months, showed significant improvements in school-related QoL and reductions in school-related</w:t>
      </w:r>
      <w:r>
        <w:rPr>
          <w:spacing w:val="1"/>
        </w:rPr>
        <w:t> </w:t>
      </w:r>
      <w:r>
        <w:rPr/>
        <w:t>problems. No significant differences were found in the adaptive function domains of communication, daily</w:t>
      </w:r>
      <w:r>
        <w:rPr>
          <w:spacing w:val="1"/>
        </w:rPr>
        <w:t> </w:t>
      </w:r>
      <w:r>
        <w:rPr/>
        <w:t>living,</w:t>
      </w:r>
      <w:r>
        <w:rPr>
          <w:spacing w:val="-12"/>
        </w:rPr>
        <w:t> </w:t>
      </w:r>
      <w:r>
        <w:rPr/>
        <w:t>socialization,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motor</w:t>
      </w:r>
      <w:r>
        <w:rPr>
          <w:spacing w:val="-11"/>
        </w:rPr>
        <w:t> </w:t>
      </w:r>
      <w:r>
        <w:rPr/>
        <w:t>skills.</w:t>
      </w:r>
      <w:r>
        <w:rPr>
          <w:spacing w:val="-12"/>
        </w:rPr>
        <w:t> </w:t>
      </w:r>
      <w:r>
        <w:rPr/>
        <w:t>However,</w:t>
      </w:r>
      <w:r>
        <w:rPr>
          <w:spacing w:val="-11"/>
        </w:rPr>
        <w:t> </w:t>
      </w:r>
      <w:r>
        <w:rPr/>
        <w:t>the</w:t>
      </w:r>
      <w:r>
        <w:rPr>
          <w:spacing w:val="-13"/>
        </w:rPr>
        <w:t> </w:t>
      </w:r>
      <w:r>
        <w:rPr/>
        <w:t>authors</w:t>
      </w:r>
      <w:r>
        <w:rPr>
          <w:spacing w:val="-10"/>
        </w:rPr>
        <w:t> </w:t>
      </w:r>
      <w:r>
        <w:rPr/>
        <w:t>of</w:t>
      </w:r>
      <w:r>
        <w:rPr>
          <w:spacing w:val="-12"/>
        </w:rPr>
        <w:t> </w:t>
      </w:r>
      <w:r>
        <w:rPr/>
        <w:t>this</w:t>
      </w:r>
      <w:r>
        <w:rPr>
          <w:spacing w:val="-11"/>
        </w:rPr>
        <w:t> </w:t>
      </w:r>
      <w:r>
        <w:rPr/>
        <w:t>abstract</w:t>
      </w:r>
      <w:r>
        <w:rPr>
          <w:spacing w:val="-11"/>
        </w:rPr>
        <w:t> </w:t>
      </w:r>
      <w:r>
        <w:rPr/>
        <w:t>hypothesized</w:t>
      </w:r>
      <w:r>
        <w:rPr>
          <w:spacing w:val="-12"/>
        </w:rPr>
        <w:t> </w:t>
      </w:r>
      <w:r>
        <w:rPr/>
        <w:t>that</w:t>
      </w:r>
      <w:r>
        <w:rPr>
          <w:spacing w:val="-11"/>
        </w:rPr>
        <w:t> </w:t>
      </w:r>
      <w:r>
        <w:rPr/>
        <w:t>after</w:t>
      </w:r>
      <w:r>
        <w:rPr>
          <w:spacing w:val="-11"/>
        </w:rPr>
        <w:t> </w:t>
      </w:r>
      <w:r>
        <w:rPr/>
        <w:t>6</w:t>
      </w:r>
      <w:r>
        <w:rPr>
          <w:spacing w:val="-13"/>
        </w:rPr>
        <w:t> </w:t>
      </w:r>
      <w:r>
        <w:rPr/>
        <w:t>months</w:t>
      </w:r>
      <w:r>
        <w:rPr>
          <w:spacing w:val="-53"/>
        </w:rPr>
        <w:t> </w:t>
      </w:r>
      <w:r>
        <w:rPr/>
        <w:t>of</w:t>
      </w:r>
      <w:r>
        <w:rPr>
          <w:spacing w:val="-3"/>
        </w:rPr>
        <w:t> </w:t>
      </w:r>
      <w:r>
        <w:rPr/>
        <w:t>treatment,</w:t>
      </w:r>
      <w:r>
        <w:rPr>
          <w:spacing w:val="-2"/>
        </w:rPr>
        <w:t> </w:t>
      </w:r>
      <w:r>
        <w:rPr/>
        <w:t>participants</w:t>
      </w:r>
      <w:r>
        <w:rPr>
          <w:spacing w:val="-1"/>
        </w:rPr>
        <w:t> </w:t>
      </w:r>
      <w:r>
        <w:rPr/>
        <w:t>may</w:t>
      </w:r>
      <w:r>
        <w:rPr>
          <w:spacing w:val="-2"/>
        </w:rPr>
        <w:t> </w:t>
      </w:r>
      <w:r>
        <w:rPr/>
        <w:t>demonstrate improvements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more 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domains</w:t>
      </w:r>
      <w:r>
        <w:rPr>
          <w:spacing w:val="1"/>
        </w:rPr>
        <w:t> </w:t>
      </w:r>
      <w:r>
        <w:rPr/>
        <w:t>assessed.</w:t>
      </w:r>
      <w:r>
        <w:rPr>
          <w:position w:val="6"/>
          <w:sz w:val="13"/>
        </w:rPr>
        <w:t>37</w:t>
      </w:r>
    </w:p>
    <w:p>
      <w:pPr>
        <w:pStyle w:val="BodyText"/>
        <w:spacing w:before="10"/>
      </w:pPr>
    </w:p>
    <w:p>
      <w:pPr>
        <w:pStyle w:val="BodyText"/>
        <w:spacing w:line="480" w:lineRule="auto"/>
        <w:ind w:left="120" w:right="119" w:firstLine="719"/>
        <w:jc w:val="both"/>
      </w:pPr>
      <w:r>
        <w:rPr/>
        <w:t>A recent observational clinical audit at 2 UK neurology centers participating in the early access</w:t>
      </w:r>
      <w:r>
        <w:rPr>
          <w:spacing w:val="1"/>
        </w:rPr>
        <w:t> </w:t>
      </w:r>
      <w:r>
        <w:rPr/>
        <w:t>program</w:t>
      </w:r>
      <w:r>
        <w:rPr>
          <w:spacing w:val="3"/>
        </w:rPr>
        <w:t> </w:t>
      </w:r>
      <w:r>
        <w:rPr/>
        <w:t>for</w:t>
      </w:r>
      <w:r>
        <w:rPr>
          <w:spacing w:val="5"/>
        </w:rPr>
        <w:t> </w:t>
      </w:r>
      <w:r>
        <w:rPr/>
        <w:t>CBD</w:t>
      </w:r>
      <w:r>
        <w:rPr>
          <w:spacing w:val="3"/>
        </w:rPr>
        <w:t> </w:t>
      </w:r>
      <w:r>
        <w:rPr/>
        <w:t>in</w:t>
      </w:r>
      <w:r>
        <w:rPr>
          <w:spacing w:val="4"/>
        </w:rPr>
        <w:t> </w:t>
      </w:r>
      <w:r>
        <w:rPr/>
        <w:t>adults</w:t>
      </w:r>
      <w:r>
        <w:rPr>
          <w:spacing w:val="6"/>
        </w:rPr>
        <w:t> </w:t>
      </w:r>
      <w:r>
        <w:rPr/>
        <w:t>with</w:t>
      </w:r>
      <w:r>
        <w:rPr>
          <w:spacing w:val="3"/>
        </w:rPr>
        <w:t> </w:t>
      </w:r>
      <w:r>
        <w:rPr/>
        <w:t>DS</w:t>
      </w:r>
      <w:r>
        <w:rPr>
          <w:spacing w:val="3"/>
        </w:rPr>
        <w:t> </w:t>
      </w:r>
      <w:r>
        <w:rPr/>
        <w:t>assessed</w:t>
      </w:r>
      <w:r>
        <w:rPr>
          <w:spacing w:val="1"/>
        </w:rPr>
        <w:t> </w:t>
      </w:r>
      <w:r>
        <w:rPr/>
        <w:t>cognition and</w:t>
      </w:r>
      <w:r>
        <w:rPr>
          <w:spacing w:val="4"/>
        </w:rPr>
        <w:t> </w:t>
      </w:r>
      <w:r>
        <w:rPr/>
        <w:t>HRQL</w:t>
      </w:r>
      <w:r>
        <w:rPr>
          <w:spacing w:val="4"/>
        </w:rPr>
        <w:t> </w:t>
      </w:r>
      <w:r>
        <w:rPr/>
        <w:t>using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Caregiver</w:t>
      </w:r>
      <w:r>
        <w:rPr>
          <w:spacing w:val="5"/>
        </w:rPr>
        <w:t> </w:t>
      </w:r>
      <w:r>
        <w:rPr/>
        <w:t>Global</w:t>
      </w:r>
      <w:r>
        <w:rPr>
          <w:spacing w:val="1"/>
        </w:rPr>
        <w:t> </w:t>
      </w:r>
      <w:r>
        <w:rPr/>
        <w:t>Impression</w:t>
      </w:r>
    </w:p>
    <w:p>
      <w:pPr>
        <w:spacing w:after="0" w:line="480" w:lineRule="auto"/>
        <w:jc w:val="both"/>
        <w:sectPr>
          <w:pgSz w:w="12240" w:h="15840"/>
          <w:pgMar w:header="0" w:footer="1020" w:top="1360" w:bottom="1200" w:left="1320" w:right="1320"/>
        </w:sectPr>
      </w:pPr>
    </w:p>
    <w:p>
      <w:pPr>
        <w:pStyle w:val="BodyText"/>
        <w:spacing w:line="480" w:lineRule="auto" w:before="79"/>
        <w:ind w:left="119" w:right="120"/>
        <w:jc w:val="both"/>
        <w:rPr>
          <w:sz w:val="13"/>
        </w:rPr>
      </w:pPr>
      <w:r>
        <w:rPr/>
        <w:t>of Change (CGIC) measure at baseline and 3- and 6-month follow up.</w:t>
      </w:r>
      <w:r>
        <w:rPr>
          <w:position w:val="6"/>
          <w:sz w:val="13"/>
        </w:rPr>
        <w:t>41 </w:t>
      </w:r>
      <w:r>
        <w:rPr/>
        <w:t>Caregiver CGIC, as reported by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caregiver,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improved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out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18</w:t>
      </w:r>
      <w:r>
        <w:rPr>
          <w:spacing w:val="1"/>
        </w:rPr>
        <w:t> </w:t>
      </w:r>
      <w:r>
        <w:rPr/>
        <w:t>individuals</w:t>
      </w:r>
      <w:r>
        <w:rPr>
          <w:spacing w:val="1"/>
        </w:rPr>
        <w:t> </w:t>
      </w:r>
      <w:r>
        <w:rPr/>
        <w:t>(47.1%),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families</w:t>
      </w:r>
      <w:r>
        <w:rPr>
          <w:spacing w:val="1"/>
        </w:rPr>
        <w:t> </w:t>
      </w:r>
      <w:r>
        <w:rPr/>
        <w:t>who</w:t>
      </w:r>
      <w:r>
        <w:rPr>
          <w:spacing w:val="1"/>
        </w:rPr>
        <w:t> </w:t>
      </w:r>
      <w:r>
        <w:rPr/>
        <w:t>reported</w:t>
      </w:r>
      <w:r>
        <w:rPr>
          <w:spacing w:val="-53"/>
        </w:rPr>
        <w:t> </w:t>
      </w:r>
      <w:r>
        <w:rPr/>
        <w:t>improvement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individual’s</w:t>
      </w:r>
      <w:r>
        <w:rPr>
          <w:spacing w:val="-1"/>
        </w:rPr>
        <w:t> </w:t>
      </w:r>
      <w:r>
        <w:rPr/>
        <w:t>cognitive</w:t>
      </w:r>
      <w:r>
        <w:rPr>
          <w:spacing w:val="1"/>
        </w:rPr>
        <w:t> </w:t>
      </w:r>
      <w:r>
        <w:rPr/>
        <w:t>abilities</w:t>
      </w:r>
      <w:r>
        <w:rPr>
          <w:spacing w:val="-1"/>
        </w:rPr>
        <w:t> </w:t>
      </w:r>
      <w:r>
        <w:rPr/>
        <w:t>and</w:t>
      </w:r>
      <w:r>
        <w:rPr>
          <w:spacing w:val="1"/>
        </w:rPr>
        <w:t> </w:t>
      </w:r>
      <w:r>
        <w:rPr/>
        <w:t>language skills.</w:t>
      </w:r>
      <w:r>
        <w:rPr>
          <w:position w:val="6"/>
          <w:sz w:val="13"/>
        </w:rPr>
        <w:t>41</w:t>
      </w:r>
    </w:p>
    <w:p>
      <w:pPr>
        <w:pStyle w:val="BodyText"/>
        <w:spacing w:before="10"/>
      </w:pPr>
    </w:p>
    <w:p>
      <w:pPr>
        <w:pStyle w:val="BodyText"/>
        <w:spacing w:line="480" w:lineRule="auto"/>
        <w:ind w:left="119" w:right="116" w:firstLine="720"/>
        <w:jc w:val="both"/>
        <w:rPr>
          <w:sz w:val="13"/>
        </w:rPr>
      </w:pPr>
      <w:r>
        <w:rPr/>
        <w:t>Findings also showed that CBD does not appear to cause adverse events involving cognition or</w:t>
      </w:r>
      <w:r>
        <w:rPr>
          <w:spacing w:val="1"/>
        </w:rPr>
        <w:t> </w:t>
      </w:r>
      <w:r>
        <w:rPr/>
        <w:t>adaptive function over 1 year of treatment, which has been found to be associated with other antiepileptic</w:t>
      </w:r>
      <w:r>
        <w:rPr>
          <w:spacing w:val="1"/>
        </w:rPr>
        <w:t> </w:t>
      </w:r>
      <w:r>
        <w:rPr/>
        <w:t>treatments (see Supplementary Table 5).</w:t>
      </w:r>
      <w:r>
        <w:rPr>
          <w:position w:val="6"/>
          <w:sz w:val="13"/>
        </w:rPr>
        <w:t>42 </w:t>
      </w:r>
      <w:r>
        <w:rPr/>
        <w:t>In 2 open-label safety studies, the cognitive effects of CBD in</w:t>
      </w:r>
      <w:r>
        <w:rPr>
          <w:spacing w:val="1"/>
        </w:rPr>
        <w:t> </w:t>
      </w:r>
      <w:r>
        <w:rPr/>
        <w:t>pediatric and adult patients with treatment-resistant epilepsy were examined using standardized cognitive</w:t>
      </w:r>
      <w:r>
        <w:rPr>
          <w:spacing w:val="1"/>
        </w:rPr>
        <w:t> </w:t>
      </w:r>
      <w:r>
        <w:rPr/>
        <w:t>testing (NIH Toolbox Cognition Battery) at baseline and 1-year follow up.</w:t>
      </w:r>
      <w:r>
        <w:rPr>
          <w:position w:val="6"/>
          <w:sz w:val="13"/>
        </w:rPr>
        <w:t>36,42 </w:t>
      </w:r>
      <w:r>
        <w:rPr/>
        <w:t>No significant changes were</w:t>
      </w:r>
      <w:r>
        <w:rPr>
          <w:spacing w:val="1"/>
        </w:rPr>
        <w:t> </w:t>
      </w:r>
      <w:r>
        <w:rPr/>
        <w:t>found in most cognitive function domains, in both child and adult patients who were able to complete the</w:t>
      </w:r>
      <w:r>
        <w:rPr>
          <w:spacing w:val="1"/>
        </w:rPr>
        <w:t> </w:t>
      </w:r>
      <w:r>
        <w:rPr/>
        <w:t>testing. However, in the study with pediatric patients, a modest decline was found in 1 cognitive domain</w:t>
      </w:r>
      <w:r>
        <w:rPr>
          <w:spacing w:val="1"/>
        </w:rPr>
        <w:t> </w:t>
      </w:r>
      <w:r>
        <w:rPr/>
        <w:t>(Dimensional Change Card Sort Test).</w:t>
      </w:r>
      <w:r>
        <w:rPr>
          <w:position w:val="6"/>
          <w:sz w:val="13"/>
        </w:rPr>
        <w:t>42 </w:t>
      </w:r>
      <w:r>
        <w:rPr/>
        <w:t>Anecdotal evidence on the benefits of CBD beyond seizures has</w:t>
      </w:r>
      <w:r>
        <w:rPr>
          <w:spacing w:val="1"/>
        </w:rPr>
        <w:t> </w:t>
      </w:r>
      <w:r>
        <w:rPr/>
        <w:t>also been reported by patients and caregivers in retrospective studies assessing the effectiveness of CBD</w:t>
      </w:r>
      <w:r>
        <w:rPr>
          <w:spacing w:val="-53"/>
        </w:rPr>
        <w:t> </w:t>
      </w:r>
      <w:r>
        <w:rPr/>
        <w:t>in</w:t>
      </w:r>
      <w:r>
        <w:rPr>
          <w:spacing w:val="1"/>
        </w:rPr>
        <w:t> </w:t>
      </w:r>
      <w:r>
        <w:rPr/>
        <w:t>treatment-resistant</w:t>
      </w:r>
      <w:r>
        <w:rPr>
          <w:spacing w:val="1"/>
        </w:rPr>
        <w:t> </w:t>
      </w:r>
      <w:r>
        <w:rPr/>
        <w:t>epilepsy.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benefits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been</w:t>
      </w:r>
      <w:r>
        <w:rPr>
          <w:spacing w:val="1"/>
        </w:rPr>
        <w:t> </w:t>
      </w:r>
      <w:r>
        <w:rPr/>
        <w:t>reported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include</w:t>
      </w:r>
      <w:r>
        <w:rPr>
          <w:spacing w:val="1"/>
        </w:rPr>
        <w:t> </w:t>
      </w:r>
      <w:r>
        <w:rPr/>
        <w:t>improvement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behavior/alertness,</w:t>
      </w:r>
      <w:r>
        <w:rPr>
          <w:spacing w:val="-2"/>
        </w:rPr>
        <w:t> </w:t>
      </w:r>
      <w:r>
        <w:rPr/>
        <w:t>language,</w:t>
      </w:r>
      <w:r>
        <w:rPr>
          <w:spacing w:val="-2"/>
        </w:rPr>
        <w:t> </w:t>
      </w:r>
      <w:r>
        <w:rPr/>
        <w:t>communication,</w:t>
      </w:r>
      <w:r>
        <w:rPr>
          <w:spacing w:val="-1"/>
        </w:rPr>
        <w:t> </w:t>
      </w:r>
      <w:r>
        <w:rPr/>
        <w:t>mood,</w:t>
      </w:r>
      <w:r>
        <w:rPr>
          <w:spacing w:val="4"/>
        </w:rPr>
        <w:t> </w:t>
      </w:r>
      <w:r>
        <w:rPr/>
        <w:t>and</w:t>
      </w:r>
      <w:r>
        <w:rPr>
          <w:spacing w:val="-1"/>
        </w:rPr>
        <w:t> </w:t>
      </w:r>
      <w:r>
        <w:rPr/>
        <w:t>sleep.</w:t>
      </w:r>
      <w:r>
        <w:rPr>
          <w:position w:val="6"/>
          <w:sz w:val="13"/>
        </w:rPr>
        <w:t>38,39,43</w:t>
      </w:r>
    </w:p>
    <w:p>
      <w:pPr>
        <w:spacing w:after="0" w:line="480" w:lineRule="auto"/>
        <w:jc w:val="both"/>
        <w:rPr>
          <w:sz w:val="13"/>
        </w:rPr>
        <w:sectPr>
          <w:pgSz w:w="12240" w:h="15840"/>
          <w:pgMar w:header="0" w:footer="1020" w:top="1360" w:bottom="1200" w:left="1320" w:right="1320"/>
        </w:sectPr>
      </w:pPr>
    </w:p>
    <w:p>
      <w:pPr>
        <w:pStyle w:val="BodyText"/>
        <w:spacing w:before="11"/>
        <w:rPr>
          <w:sz w:val="17"/>
        </w:rPr>
      </w:pPr>
    </w:p>
    <w:p>
      <w:pPr>
        <w:spacing w:before="93"/>
        <w:ind w:left="120" w:right="0" w:firstLine="0"/>
        <w:jc w:val="left"/>
        <w:rPr>
          <w:sz w:val="20"/>
        </w:rPr>
      </w:pPr>
      <w:r>
        <w:rPr>
          <w:rFonts w:ascii="Arial"/>
          <w:b/>
          <w:sz w:val="20"/>
        </w:rPr>
        <w:t>Supplementary</w:t>
      </w:r>
      <w:r>
        <w:rPr>
          <w:rFonts w:ascii="Arial"/>
          <w:b/>
          <w:spacing w:val="-4"/>
          <w:sz w:val="20"/>
        </w:rPr>
        <w:t> </w:t>
      </w:r>
      <w:r>
        <w:rPr>
          <w:rFonts w:ascii="Arial"/>
          <w:b/>
          <w:sz w:val="20"/>
        </w:rPr>
        <w:t>Table</w:t>
      </w:r>
      <w:r>
        <w:rPr>
          <w:rFonts w:ascii="Arial"/>
          <w:b/>
          <w:spacing w:val="-3"/>
          <w:sz w:val="20"/>
        </w:rPr>
        <w:t> </w:t>
      </w:r>
      <w:r>
        <w:rPr>
          <w:rFonts w:ascii="Arial"/>
          <w:b/>
          <w:sz w:val="20"/>
        </w:rPr>
        <w:t>5.</w:t>
      </w:r>
      <w:r>
        <w:rPr>
          <w:rFonts w:ascii="Arial"/>
          <w:b/>
          <w:spacing w:val="-3"/>
          <w:sz w:val="20"/>
        </w:rPr>
        <w:t> </w:t>
      </w:r>
      <w:r>
        <w:rPr>
          <w:sz w:val="20"/>
        </w:rPr>
        <w:t>Adverse</w:t>
      </w:r>
      <w:r>
        <w:rPr>
          <w:spacing w:val="-3"/>
          <w:sz w:val="20"/>
        </w:rPr>
        <w:t> </w:t>
      </w:r>
      <w:r>
        <w:rPr>
          <w:sz w:val="20"/>
        </w:rPr>
        <w:t>events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z w:val="20"/>
        </w:rPr>
        <w:t>side</w:t>
      </w:r>
      <w:r>
        <w:rPr>
          <w:spacing w:val="-1"/>
          <w:sz w:val="20"/>
        </w:rPr>
        <w:t> </w:t>
      </w:r>
      <w:r>
        <w:rPr>
          <w:sz w:val="20"/>
        </w:rPr>
        <w:t>effects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ASMs.</w:t>
      </w:r>
    </w:p>
    <w:p>
      <w:pPr>
        <w:pStyle w:val="BodyText"/>
        <w:spacing w:before="1"/>
      </w:pPr>
    </w:p>
    <w:tbl>
      <w:tblPr>
        <w:tblW w:w="0" w:type="auto"/>
        <w:jc w:val="left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2"/>
        <w:gridCol w:w="1274"/>
        <w:gridCol w:w="1653"/>
        <w:gridCol w:w="1159"/>
        <w:gridCol w:w="1357"/>
        <w:gridCol w:w="1135"/>
        <w:gridCol w:w="1237"/>
        <w:gridCol w:w="1174"/>
        <w:gridCol w:w="1177"/>
        <w:gridCol w:w="1540"/>
        <w:gridCol w:w="1146"/>
      </w:tblGrid>
      <w:tr>
        <w:trPr>
          <w:trHeight w:val="414" w:hRule="atLeast"/>
        </w:trPr>
        <w:tc>
          <w:tcPr>
            <w:tcW w:w="105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27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0"/>
              <w:rPr>
                <w:sz w:val="21"/>
              </w:rPr>
            </w:pPr>
          </w:p>
          <w:p>
            <w:pPr>
              <w:pStyle w:val="TableParagraph"/>
              <w:spacing w:line="151" w:lineRule="exact"/>
              <w:ind w:left="1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Cannabidiol</w:t>
            </w:r>
          </w:p>
        </w:tc>
        <w:tc>
          <w:tcPr>
            <w:tcW w:w="165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0"/>
              <w:rPr>
                <w:sz w:val="21"/>
              </w:rPr>
            </w:pPr>
          </w:p>
          <w:p>
            <w:pPr>
              <w:pStyle w:val="TableParagraph"/>
              <w:spacing w:line="151" w:lineRule="exact"/>
              <w:ind w:left="15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Rufinamide</w:t>
            </w:r>
          </w:p>
        </w:tc>
        <w:tc>
          <w:tcPr>
            <w:tcW w:w="11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0"/>
              <w:rPr>
                <w:sz w:val="21"/>
              </w:rPr>
            </w:pPr>
          </w:p>
          <w:p>
            <w:pPr>
              <w:pStyle w:val="TableParagraph"/>
              <w:spacing w:line="151" w:lineRule="exact"/>
              <w:ind w:left="6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Clobazam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0"/>
              <w:rPr>
                <w:sz w:val="21"/>
              </w:rPr>
            </w:pPr>
          </w:p>
          <w:p>
            <w:pPr>
              <w:pStyle w:val="TableParagraph"/>
              <w:spacing w:line="151" w:lineRule="exact"/>
              <w:ind w:left="17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Topiramate</w:t>
            </w:r>
          </w:p>
        </w:tc>
        <w:tc>
          <w:tcPr>
            <w:tcW w:w="113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0"/>
              <w:rPr>
                <w:sz w:val="21"/>
              </w:rPr>
            </w:pPr>
          </w:p>
          <w:p>
            <w:pPr>
              <w:pStyle w:val="TableParagraph"/>
              <w:spacing w:line="151" w:lineRule="exact"/>
              <w:ind w:left="97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Stiripentol</w:t>
            </w:r>
          </w:p>
        </w:tc>
        <w:tc>
          <w:tcPr>
            <w:tcW w:w="123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0"/>
              <w:rPr>
                <w:sz w:val="21"/>
              </w:rPr>
            </w:pPr>
          </w:p>
          <w:p>
            <w:pPr>
              <w:pStyle w:val="TableParagraph"/>
              <w:spacing w:line="151" w:lineRule="exact"/>
              <w:ind w:left="9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Levetiracetam</w:t>
            </w:r>
          </w:p>
        </w:tc>
        <w:tc>
          <w:tcPr>
            <w:tcW w:w="117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0"/>
              <w:rPr>
                <w:sz w:val="21"/>
              </w:rPr>
            </w:pPr>
          </w:p>
          <w:p>
            <w:pPr>
              <w:pStyle w:val="TableParagraph"/>
              <w:spacing w:line="151" w:lineRule="exact"/>
              <w:ind w:left="13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Lamotrigine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0"/>
              <w:rPr>
                <w:sz w:val="21"/>
              </w:rPr>
            </w:pPr>
          </w:p>
          <w:p>
            <w:pPr>
              <w:pStyle w:val="TableParagraph"/>
              <w:spacing w:line="151" w:lineRule="exact"/>
              <w:ind w:left="96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Brivaracetam</w:t>
            </w:r>
          </w:p>
        </w:tc>
        <w:tc>
          <w:tcPr>
            <w:tcW w:w="154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0"/>
              <w:rPr>
                <w:sz w:val="21"/>
              </w:rPr>
            </w:pPr>
          </w:p>
          <w:p>
            <w:pPr>
              <w:pStyle w:val="TableParagraph"/>
              <w:spacing w:line="151" w:lineRule="exact"/>
              <w:ind w:left="13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Perampanel</w:t>
            </w:r>
          </w:p>
        </w:tc>
        <w:tc>
          <w:tcPr>
            <w:tcW w:w="11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"/>
              <w:ind w:left="0"/>
              <w:rPr>
                <w:sz w:val="21"/>
              </w:rPr>
            </w:pPr>
          </w:p>
          <w:p>
            <w:pPr>
              <w:pStyle w:val="TableParagraph"/>
              <w:spacing w:line="151" w:lineRule="exact"/>
              <w:ind w:left="7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Cenobamate</w:t>
            </w:r>
          </w:p>
        </w:tc>
      </w:tr>
      <w:tr>
        <w:trPr>
          <w:trHeight w:val="1897" w:hRule="atLeast"/>
        </w:trPr>
        <w:tc>
          <w:tcPr>
            <w:tcW w:w="1052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4"/>
              <w:ind w:left="71" w:right="1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Behavioral/</w:t>
            </w:r>
            <w:r>
              <w:rPr>
                <w:rFonts w:ascii="Arial"/>
                <w:b/>
                <w:spacing w:val="-39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psychiatric</w:t>
            </w:r>
          </w:p>
        </w:tc>
        <w:tc>
          <w:tcPr>
            <w:tcW w:w="1274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ind w:left="190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653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 w:before="2"/>
              <w:ind w:left="155" w:right="113"/>
              <w:rPr>
                <w:sz w:val="10"/>
              </w:rPr>
            </w:pPr>
            <w:r>
              <w:rPr>
                <w:sz w:val="15"/>
              </w:rPr>
              <w:t>Mood changes</w:t>
            </w:r>
            <w:r>
              <w:rPr>
                <w:position w:val="5"/>
                <w:sz w:val="10"/>
              </w:rPr>
              <w:t>17,29,31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Anxiety</w:t>
            </w:r>
            <w:r>
              <w:rPr>
                <w:position w:val="5"/>
                <w:sz w:val="10"/>
              </w:rPr>
              <w:t>29,31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Depression</w:t>
            </w:r>
            <w:r>
              <w:rPr>
                <w:position w:val="5"/>
                <w:sz w:val="10"/>
              </w:rPr>
              <w:t>29,31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Panic attacks</w:t>
            </w:r>
            <w:r>
              <w:rPr>
                <w:position w:val="5"/>
                <w:sz w:val="10"/>
              </w:rPr>
              <w:t>29,31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Irritability</w:t>
            </w:r>
            <w:r>
              <w:rPr>
                <w:position w:val="5"/>
                <w:sz w:val="10"/>
              </w:rPr>
              <w:t>29,31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Aggression</w:t>
            </w:r>
            <w:r>
              <w:rPr>
                <w:position w:val="5"/>
                <w:sz w:val="10"/>
              </w:rPr>
              <w:t>31</w:t>
            </w:r>
          </w:p>
          <w:p>
            <w:pPr>
              <w:pStyle w:val="TableParagraph"/>
              <w:spacing w:line="235" w:lineRule="auto" w:before="5"/>
              <w:ind w:left="155" w:right="43"/>
              <w:rPr>
                <w:sz w:val="10"/>
              </w:rPr>
            </w:pPr>
            <w:r>
              <w:rPr>
                <w:sz w:val="15"/>
              </w:rPr>
              <w:t>Suicidal behavior and</w:t>
            </w:r>
            <w:r>
              <w:rPr>
                <w:spacing w:val="-39"/>
                <w:sz w:val="15"/>
              </w:rPr>
              <w:t> </w:t>
            </w:r>
            <w:r>
              <w:rPr>
                <w:sz w:val="15"/>
              </w:rPr>
              <w:t>ideation</w:t>
            </w:r>
            <w:r>
              <w:rPr>
                <w:position w:val="5"/>
                <w:sz w:val="10"/>
              </w:rPr>
              <w:t>17</w:t>
            </w:r>
          </w:p>
        </w:tc>
        <w:tc>
          <w:tcPr>
            <w:tcW w:w="1159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1"/>
              <w:ind w:left="62" w:right="157"/>
              <w:rPr>
                <w:sz w:val="10"/>
              </w:rPr>
            </w:pPr>
            <w:r>
              <w:rPr>
                <w:sz w:val="15"/>
              </w:rPr>
              <w:t>Irritability</w:t>
            </w:r>
            <w:r>
              <w:rPr>
                <w:position w:val="5"/>
                <w:sz w:val="10"/>
              </w:rPr>
              <w:t>18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Depression</w:t>
            </w:r>
            <w:r>
              <w:rPr>
                <w:position w:val="5"/>
                <w:sz w:val="10"/>
              </w:rPr>
              <w:t>18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Disinhibition</w:t>
            </w:r>
            <w:r>
              <w:rPr>
                <w:position w:val="5"/>
                <w:sz w:val="10"/>
              </w:rPr>
              <w:t>18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Change in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behavior</w:t>
            </w:r>
            <w:r>
              <w:rPr>
                <w:position w:val="5"/>
                <w:sz w:val="10"/>
              </w:rPr>
              <w:t>18</w:t>
            </w:r>
          </w:p>
        </w:tc>
        <w:tc>
          <w:tcPr>
            <w:tcW w:w="1357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4"/>
              <w:ind w:left="177" w:right="167"/>
              <w:rPr>
                <w:sz w:val="10"/>
              </w:rPr>
            </w:pPr>
            <w:r>
              <w:rPr>
                <w:sz w:val="15"/>
              </w:rPr>
              <w:t>Concentration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difficulties</w:t>
            </w:r>
            <w:r>
              <w:rPr>
                <w:position w:val="5"/>
                <w:sz w:val="10"/>
              </w:rPr>
              <w:t>19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Speech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difficulty</w:t>
            </w:r>
            <w:r>
              <w:rPr>
                <w:position w:val="5"/>
                <w:sz w:val="10"/>
              </w:rPr>
              <w:t>19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Memory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impairment</w:t>
            </w:r>
            <w:r>
              <w:rPr>
                <w:position w:val="5"/>
                <w:sz w:val="10"/>
              </w:rPr>
              <w:t>19,24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Psychomotor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slowing</w:t>
            </w:r>
            <w:r>
              <w:rPr>
                <w:position w:val="5"/>
                <w:sz w:val="10"/>
              </w:rPr>
              <w:t>19,24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Suicidal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ideation</w:t>
            </w:r>
            <w:r>
              <w:rPr>
                <w:position w:val="5"/>
                <w:sz w:val="10"/>
              </w:rPr>
              <w:t>24</w:t>
            </w:r>
          </w:p>
          <w:p>
            <w:pPr>
              <w:pStyle w:val="TableParagraph"/>
              <w:spacing w:line="150" w:lineRule="exact"/>
              <w:ind w:left="177"/>
              <w:rPr>
                <w:sz w:val="10"/>
              </w:rPr>
            </w:pPr>
            <w:r>
              <w:rPr>
                <w:sz w:val="15"/>
              </w:rPr>
              <w:t>Aphasia</w:t>
            </w:r>
            <w:r>
              <w:rPr>
                <w:position w:val="5"/>
                <w:sz w:val="10"/>
              </w:rPr>
              <w:t>24</w:t>
            </w:r>
          </w:p>
        </w:tc>
        <w:tc>
          <w:tcPr>
            <w:tcW w:w="1135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ind w:left="80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237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 w:before="2"/>
              <w:ind w:left="95" w:right="252"/>
              <w:rPr>
                <w:sz w:val="10"/>
              </w:rPr>
            </w:pPr>
            <w:r>
              <w:rPr>
                <w:sz w:val="15"/>
              </w:rPr>
              <w:t>Anxiety</w:t>
            </w:r>
            <w:r>
              <w:rPr>
                <w:position w:val="5"/>
                <w:sz w:val="10"/>
              </w:rPr>
              <w:t>20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Irritability</w:t>
            </w:r>
            <w:r>
              <w:rPr>
                <w:position w:val="5"/>
                <w:sz w:val="10"/>
              </w:rPr>
              <w:t>20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Depression</w:t>
            </w:r>
            <w:r>
              <w:rPr>
                <w:position w:val="5"/>
                <w:sz w:val="10"/>
              </w:rPr>
              <w:t>34</w:t>
            </w:r>
          </w:p>
        </w:tc>
        <w:tc>
          <w:tcPr>
            <w:tcW w:w="1174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ind w:left="116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7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left="96"/>
              <w:rPr>
                <w:sz w:val="10"/>
              </w:rPr>
            </w:pPr>
            <w:r>
              <w:rPr>
                <w:sz w:val="15"/>
              </w:rPr>
              <w:t>Irritability</w:t>
            </w:r>
            <w:r>
              <w:rPr>
                <w:position w:val="5"/>
                <w:sz w:val="10"/>
              </w:rPr>
              <w:t>26</w:t>
            </w:r>
          </w:p>
        </w:tc>
        <w:tc>
          <w:tcPr>
            <w:tcW w:w="1540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 w:before="2"/>
              <w:ind w:left="131" w:right="57"/>
              <w:rPr>
                <w:sz w:val="10"/>
              </w:rPr>
            </w:pPr>
            <w:r>
              <w:rPr>
                <w:sz w:val="15"/>
              </w:rPr>
              <w:t>Irritability</w:t>
            </w:r>
            <w:r>
              <w:rPr>
                <w:position w:val="5"/>
                <w:sz w:val="10"/>
              </w:rPr>
              <w:t>21,25,33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Anxiety</w:t>
            </w:r>
            <w:r>
              <w:rPr>
                <w:position w:val="5"/>
                <w:sz w:val="10"/>
              </w:rPr>
              <w:t>25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Aggression</w:t>
            </w:r>
            <w:r>
              <w:rPr>
                <w:position w:val="5"/>
                <w:sz w:val="10"/>
              </w:rPr>
              <w:t>33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Behavioral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changes</w:t>
            </w:r>
            <w:r>
              <w:rPr>
                <w:position w:val="5"/>
                <w:sz w:val="10"/>
              </w:rPr>
              <w:t>21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Nervousness</w:t>
            </w:r>
            <w:r>
              <w:rPr>
                <w:position w:val="5"/>
                <w:sz w:val="10"/>
              </w:rPr>
              <w:t>21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Restlessness</w:t>
            </w:r>
            <w:r>
              <w:rPr>
                <w:position w:val="5"/>
                <w:sz w:val="10"/>
              </w:rPr>
              <w:t>21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Reduced</w:t>
            </w:r>
            <w:r>
              <w:rPr>
                <w:spacing w:val="-6"/>
                <w:sz w:val="15"/>
              </w:rPr>
              <w:t> </w:t>
            </w:r>
            <w:r>
              <w:rPr>
                <w:sz w:val="15"/>
              </w:rPr>
              <w:t>vigilance</w:t>
            </w:r>
            <w:r>
              <w:rPr>
                <w:position w:val="5"/>
                <w:sz w:val="10"/>
              </w:rPr>
              <w:t>21</w:t>
            </w:r>
          </w:p>
        </w:tc>
        <w:tc>
          <w:tcPr>
            <w:tcW w:w="1146" w:type="dxa"/>
            <w:tcBorders>
              <w:top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ind w:left="1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</w:tr>
      <w:tr>
        <w:trPr>
          <w:trHeight w:val="2070" w:hRule="atLeast"/>
        </w:trPr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71" w:right="3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Nervous</w:t>
            </w:r>
            <w:r>
              <w:rPr>
                <w:rFonts w:ascii="Arial"/>
                <w:b/>
                <w:spacing w:val="-39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system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/>
              <w:ind w:left="152" w:right="159"/>
              <w:rPr>
                <w:sz w:val="10"/>
              </w:rPr>
            </w:pPr>
            <w:r>
              <w:rPr>
                <w:sz w:val="15"/>
              </w:rPr>
              <w:t>Ataxia</w:t>
            </w:r>
            <w:r>
              <w:rPr>
                <w:position w:val="5"/>
                <w:sz w:val="10"/>
              </w:rPr>
              <w:t>32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Status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epilepticus</w:t>
            </w:r>
            <w:r>
              <w:rPr>
                <w:position w:val="5"/>
                <w:sz w:val="10"/>
              </w:rPr>
              <w:t>22,32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Convulsion</w:t>
            </w:r>
            <w:r>
              <w:rPr>
                <w:position w:val="5"/>
                <w:sz w:val="10"/>
              </w:rPr>
              <w:t>32</w:t>
            </w:r>
          </w:p>
        </w:tc>
        <w:tc>
          <w:tcPr>
            <w:tcW w:w="1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/>
              <w:ind w:left="155" w:right="191"/>
              <w:rPr>
                <w:sz w:val="10"/>
              </w:rPr>
            </w:pPr>
            <w:r>
              <w:rPr>
                <w:sz w:val="15"/>
              </w:rPr>
              <w:t>Status epilepticus</w:t>
            </w:r>
            <w:r>
              <w:rPr>
                <w:position w:val="5"/>
                <w:sz w:val="10"/>
              </w:rPr>
              <w:t>31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Seizures</w:t>
            </w:r>
            <w:r>
              <w:rPr>
                <w:position w:val="5"/>
                <w:sz w:val="10"/>
              </w:rPr>
              <w:t>17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Dizziness</w:t>
            </w:r>
            <w:r>
              <w:rPr>
                <w:position w:val="5"/>
                <w:sz w:val="10"/>
              </w:rPr>
              <w:t>17,29</w:t>
            </w:r>
          </w:p>
          <w:p>
            <w:pPr>
              <w:pStyle w:val="TableParagraph"/>
              <w:spacing w:line="237" w:lineRule="auto" w:before="4"/>
              <w:ind w:left="155" w:right="327"/>
              <w:rPr>
                <w:sz w:val="15"/>
              </w:rPr>
            </w:pPr>
            <w:r>
              <w:rPr>
                <w:sz w:val="15"/>
              </w:rPr>
              <w:t>Loss of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coordination</w:t>
            </w:r>
            <w:r>
              <w:rPr>
                <w:position w:val="5"/>
                <w:sz w:val="10"/>
              </w:rPr>
              <w:t>17,29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Transient seizure</w:t>
            </w:r>
            <w:r>
              <w:rPr>
                <w:spacing w:val="-39"/>
                <w:sz w:val="15"/>
              </w:rPr>
              <w:t> </w:t>
            </w:r>
            <w:r>
              <w:rPr>
                <w:sz w:val="15"/>
              </w:rPr>
              <w:t>aggravation</w:t>
            </w:r>
            <w:r>
              <w:rPr>
                <w:position w:val="5"/>
                <w:sz w:val="10"/>
              </w:rPr>
              <w:t>31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Headache</w:t>
            </w:r>
            <w:r>
              <w:rPr>
                <w:position w:val="5"/>
                <w:sz w:val="10"/>
              </w:rPr>
              <w:t>17,29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Nystagmus</w:t>
            </w:r>
            <w:r>
              <w:rPr>
                <w:position w:val="5"/>
                <w:sz w:val="10"/>
              </w:rPr>
              <w:t>17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Psychomotor</w:t>
            </w:r>
          </w:p>
          <w:p>
            <w:pPr>
              <w:pStyle w:val="TableParagraph"/>
              <w:spacing w:line="172" w:lineRule="exact"/>
              <w:ind w:left="155" w:right="533"/>
              <w:rPr>
                <w:sz w:val="10"/>
              </w:rPr>
            </w:pPr>
            <w:r>
              <w:rPr>
                <w:sz w:val="15"/>
              </w:rPr>
              <w:t>hyperactivity</w:t>
            </w:r>
            <w:r>
              <w:rPr>
                <w:position w:val="5"/>
                <w:sz w:val="10"/>
              </w:rPr>
              <w:t>17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Tremor</w:t>
            </w:r>
            <w:r>
              <w:rPr>
                <w:position w:val="5"/>
                <w:sz w:val="10"/>
              </w:rPr>
              <w:t>17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3" w:lineRule="exact"/>
              <w:ind w:left="62"/>
              <w:rPr>
                <w:sz w:val="10"/>
              </w:rPr>
            </w:pPr>
            <w:r>
              <w:rPr>
                <w:sz w:val="15"/>
              </w:rPr>
              <w:t>Vertigo</w:t>
            </w:r>
            <w:r>
              <w:rPr>
                <w:position w:val="5"/>
                <w:sz w:val="10"/>
              </w:rPr>
              <w:t>18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/>
              <w:ind w:left="177" w:right="225"/>
              <w:rPr>
                <w:sz w:val="10"/>
              </w:rPr>
            </w:pPr>
            <w:r>
              <w:rPr>
                <w:sz w:val="15"/>
              </w:rPr>
              <w:t>Ataxia</w:t>
            </w:r>
            <w:r>
              <w:rPr>
                <w:position w:val="5"/>
                <w:sz w:val="10"/>
              </w:rPr>
              <w:t>19,24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Convulsion</w:t>
            </w:r>
            <w:r>
              <w:rPr>
                <w:position w:val="5"/>
                <w:sz w:val="10"/>
              </w:rPr>
              <w:t>24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Dizziness</w:t>
            </w:r>
            <w:r>
              <w:rPr>
                <w:position w:val="5"/>
                <w:sz w:val="10"/>
              </w:rPr>
              <w:t>19,24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Headache</w:t>
            </w:r>
            <w:r>
              <w:rPr>
                <w:position w:val="5"/>
                <w:sz w:val="10"/>
              </w:rPr>
              <w:t>19,24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3" w:lineRule="exact"/>
              <w:ind w:left="97"/>
              <w:rPr>
                <w:sz w:val="10"/>
              </w:rPr>
            </w:pPr>
            <w:r>
              <w:rPr>
                <w:sz w:val="15"/>
              </w:rPr>
              <w:t>Ataxia</w:t>
            </w:r>
            <w:r>
              <w:rPr>
                <w:position w:val="5"/>
                <w:sz w:val="10"/>
              </w:rPr>
              <w:t>23</w:t>
            </w:r>
          </w:p>
        </w:tc>
        <w:tc>
          <w:tcPr>
            <w:tcW w:w="12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3" w:lineRule="exact"/>
              <w:ind w:left="95"/>
              <w:rPr>
                <w:sz w:val="10"/>
              </w:rPr>
            </w:pPr>
            <w:r>
              <w:rPr>
                <w:sz w:val="15"/>
              </w:rPr>
              <w:t>Dizziness</w:t>
            </w:r>
            <w:r>
              <w:rPr>
                <w:position w:val="5"/>
                <w:sz w:val="10"/>
              </w:rPr>
              <w:t>20</w:t>
            </w:r>
          </w:p>
        </w:tc>
        <w:tc>
          <w:tcPr>
            <w:tcW w:w="11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/>
              <w:ind w:left="135" w:right="223"/>
              <w:rPr>
                <w:sz w:val="10"/>
              </w:rPr>
            </w:pPr>
            <w:r>
              <w:rPr>
                <w:sz w:val="15"/>
              </w:rPr>
              <w:t>Ataxia</w:t>
            </w:r>
            <w:r>
              <w:rPr>
                <w:position w:val="5"/>
                <w:sz w:val="10"/>
              </w:rPr>
              <w:t>30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Dizziness</w:t>
            </w:r>
            <w:r>
              <w:rPr>
                <w:position w:val="5"/>
                <w:sz w:val="10"/>
              </w:rPr>
              <w:t>30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Headache</w:t>
            </w:r>
            <w:r>
              <w:rPr>
                <w:position w:val="5"/>
                <w:sz w:val="10"/>
              </w:rPr>
              <w:t>30</w:t>
            </w:r>
          </w:p>
        </w:tc>
        <w:tc>
          <w:tcPr>
            <w:tcW w:w="11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3" w:lineRule="exact"/>
              <w:ind w:left="96"/>
              <w:rPr>
                <w:sz w:val="10"/>
              </w:rPr>
            </w:pPr>
            <w:r>
              <w:rPr>
                <w:sz w:val="15"/>
              </w:rPr>
              <w:t>Dizziness</w:t>
            </w:r>
            <w:r>
              <w:rPr>
                <w:position w:val="5"/>
                <w:sz w:val="10"/>
              </w:rPr>
              <w:t>26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/>
              <w:ind w:left="131" w:right="357"/>
              <w:rPr>
                <w:sz w:val="10"/>
              </w:rPr>
            </w:pPr>
            <w:r>
              <w:rPr>
                <w:sz w:val="15"/>
              </w:rPr>
              <w:t>Dizziness</w:t>
            </w:r>
            <w:r>
              <w:rPr>
                <w:position w:val="5"/>
                <w:sz w:val="10"/>
              </w:rPr>
              <w:t>21,25,33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Headache</w:t>
            </w:r>
            <w:r>
              <w:rPr>
                <w:position w:val="5"/>
                <w:sz w:val="10"/>
              </w:rPr>
              <w:t>33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Worsening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seizures</w:t>
            </w:r>
            <w:r>
              <w:rPr>
                <w:position w:val="5"/>
                <w:sz w:val="10"/>
              </w:rPr>
              <w:t>25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Ataxia</w:t>
            </w:r>
            <w:r>
              <w:rPr>
                <w:position w:val="5"/>
                <w:sz w:val="10"/>
              </w:rPr>
              <w:t>25</w:t>
            </w:r>
          </w:p>
          <w:p>
            <w:pPr>
              <w:pStyle w:val="TableParagraph"/>
              <w:spacing w:line="172" w:lineRule="exact"/>
              <w:ind w:left="131"/>
              <w:rPr>
                <w:sz w:val="10"/>
              </w:rPr>
            </w:pPr>
            <w:r>
              <w:rPr>
                <w:sz w:val="15"/>
              </w:rPr>
              <w:t>Confusional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state</w:t>
            </w:r>
            <w:r>
              <w:rPr>
                <w:position w:val="5"/>
                <w:sz w:val="10"/>
              </w:rPr>
              <w:t>25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/>
              <w:ind w:left="72" w:right="308"/>
              <w:rPr>
                <w:sz w:val="10"/>
              </w:rPr>
            </w:pPr>
            <w:r>
              <w:rPr>
                <w:sz w:val="15"/>
              </w:rPr>
              <w:t>Dizziness</w:t>
            </w:r>
            <w:r>
              <w:rPr>
                <w:position w:val="5"/>
                <w:sz w:val="10"/>
              </w:rPr>
              <w:t>28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Balance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disorder</w:t>
            </w:r>
            <w:r>
              <w:rPr>
                <w:position w:val="5"/>
                <w:sz w:val="10"/>
              </w:rPr>
              <w:t>28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Diplopia</w:t>
            </w:r>
            <w:r>
              <w:rPr>
                <w:position w:val="5"/>
                <w:sz w:val="10"/>
              </w:rPr>
              <w:t>28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Hyper-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sensitivity</w:t>
            </w:r>
            <w:r>
              <w:rPr>
                <w:position w:val="5"/>
                <w:sz w:val="10"/>
              </w:rPr>
              <w:t>28</w:t>
            </w:r>
          </w:p>
        </w:tc>
      </w:tr>
      <w:tr>
        <w:trPr>
          <w:trHeight w:val="687" w:hRule="atLeast"/>
        </w:trPr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71" w:right="30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Gastro-</w:t>
            </w:r>
            <w:r>
              <w:rPr>
                <w:rFonts w:ascii="Arial"/>
                <w:b/>
                <w:spacing w:val="1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intestinal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/>
              <w:ind w:left="152" w:right="137"/>
              <w:rPr>
                <w:sz w:val="10"/>
              </w:rPr>
            </w:pPr>
            <w:r>
              <w:rPr>
                <w:position w:val="-4"/>
                <w:sz w:val="15"/>
              </w:rPr>
              <w:t>Diarrhea</w:t>
            </w:r>
            <w:r>
              <w:rPr>
                <w:sz w:val="10"/>
              </w:rPr>
              <w:t>22,27,32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5"/>
              </w:rPr>
              <w:t>Vomiting</w:t>
            </w:r>
            <w:r>
              <w:rPr>
                <w:position w:val="5"/>
                <w:sz w:val="10"/>
              </w:rPr>
              <w:t>27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Gastric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pain</w:t>
            </w:r>
            <w:r>
              <w:rPr>
                <w:position w:val="5"/>
                <w:sz w:val="10"/>
              </w:rPr>
              <w:t>32</w:t>
            </w:r>
          </w:p>
        </w:tc>
        <w:tc>
          <w:tcPr>
            <w:tcW w:w="1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/>
              <w:ind w:left="155" w:right="393"/>
              <w:rPr>
                <w:sz w:val="10"/>
              </w:rPr>
            </w:pPr>
            <w:r>
              <w:rPr>
                <w:sz w:val="15"/>
              </w:rPr>
              <w:t>Diarrhea</w:t>
            </w:r>
            <w:r>
              <w:rPr>
                <w:position w:val="5"/>
                <w:sz w:val="10"/>
              </w:rPr>
              <w:t>17,31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position w:val="-4"/>
                <w:sz w:val="15"/>
              </w:rPr>
              <w:t>Vomiting</w:t>
            </w:r>
            <w:r>
              <w:rPr>
                <w:sz w:val="10"/>
              </w:rPr>
              <w:t>17,29,31</w:t>
            </w:r>
            <w:r>
              <w:rPr>
                <w:spacing w:val="1"/>
                <w:sz w:val="10"/>
              </w:rPr>
              <w:t> </w:t>
            </w:r>
            <w:r>
              <w:rPr>
                <w:sz w:val="15"/>
              </w:rPr>
              <w:t>Constipation</w:t>
            </w:r>
            <w:r>
              <w:rPr>
                <w:position w:val="5"/>
                <w:sz w:val="10"/>
              </w:rPr>
              <w:t>17,31</w:t>
            </w:r>
          </w:p>
          <w:p>
            <w:pPr>
              <w:pStyle w:val="TableParagraph"/>
              <w:spacing w:line="152" w:lineRule="exact"/>
              <w:ind w:left="155"/>
              <w:rPr>
                <w:sz w:val="10"/>
              </w:rPr>
            </w:pPr>
            <w:r>
              <w:rPr>
                <w:sz w:val="15"/>
              </w:rPr>
              <w:t>Nausea</w:t>
            </w:r>
            <w:r>
              <w:rPr>
                <w:position w:val="5"/>
                <w:sz w:val="10"/>
              </w:rPr>
              <w:t>17,29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2" w:lineRule="exact"/>
              <w:ind w:left="125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/>
              <w:ind w:left="177" w:right="465"/>
              <w:rPr>
                <w:sz w:val="10"/>
              </w:rPr>
            </w:pPr>
            <w:r>
              <w:rPr>
                <w:sz w:val="15"/>
              </w:rPr>
              <w:t>Vomiting</w:t>
            </w:r>
            <w:r>
              <w:rPr>
                <w:position w:val="5"/>
                <w:sz w:val="10"/>
              </w:rPr>
              <w:t>19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Nausea</w:t>
            </w:r>
            <w:r>
              <w:rPr>
                <w:position w:val="5"/>
                <w:sz w:val="10"/>
              </w:rPr>
              <w:t>19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2" w:lineRule="exact"/>
              <w:ind w:left="97"/>
              <w:rPr>
                <w:sz w:val="10"/>
              </w:rPr>
            </w:pPr>
            <w:r>
              <w:rPr>
                <w:sz w:val="15"/>
              </w:rPr>
              <w:t>Nausea</w:t>
            </w:r>
            <w:r>
              <w:rPr>
                <w:position w:val="5"/>
                <w:sz w:val="10"/>
              </w:rPr>
              <w:t>23</w:t>
            </w:r>
          </w:p>
        </w:tc>
        <w:tc>
          <w:tcPr>
            <w:tcW w:w="12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/>
              <w:ind w:left="95" w:right="435"/>
              <w:rPr>
                <w:sz w:val="10"/>
              </w:rPr>
            </w:pPr>
            <w:r>
              <w:rPr>
                <w:sz w:val="15"/>
              </w:rPr>
              <w:t>Diarrhea</w:t>
            </w:r>
            <w:r>
              <w:rPr>
                <w:position w:val="5"/>
                <w:sz w:val="10"/>
              </w:rPr>
              <w:t>20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Nausea</w:t>
            </w:r>
            <w:r>
              <w:rPr>
                <w:position w:val="5"/>
                <w:sz w:val="10"/>
              </w:rPr>
              <w:t>20</w:t>
            </w:r>
          </w:p>
        </w:tc>
        <w:tc>
          <w:tcPr>
            <w:tcW w:w="11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2" w:lineRule="exact"/>
              <w:ind w:left="116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2" w:lineRule="exact"/>
              <w:ind w:left="113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2" w:lineRule="exact"/>
              <w:ind w:left="8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2" w:lineRule="exact"/>
              <w:ind w:left="1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</w:tr>
      <w:tr>
        <w:trPr>
          <w:trHeight w:val="172" w:hRule="atLeast"/>
        </w:trPr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2" w:lineRule="exact"/>
              <w:ind w:left="7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Eye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2" w:lineRule="exact"/>
              <w:ind w:left="190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2" w:lineRule="exact"/>
              <w:ind w:left="155"/>
              <w:rPr>
                <w:sz w:val="10"/>
              </w:rPr>
            </w:pPr>
            <w:r>
              <w:rPr>
                <w:sz w:val="15"/>
              </w:rPr>
              <w:t>Diplopia</w:t>
            </w:r>
            <w:r>
              <w:rPr>
                <w:position w:val="5"/>
                <w:sz w:val="10"/>
              </w:rPr>
              <w:t>17,29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2" w:lineRule="exact"/>
              <w:ind w:left="125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2" w:lineRule="exact"/>
              <w:ind w:left="15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2" w:lineRule="exact"/>
              <w:ind w:left="80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2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2" w:lineRule="exact"/>
              <w:ind w:left="113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2" w:lineRule="exact"/>
              <w:ind w:left="135"/>
              <w:rPr>
                <w:sz w:val="10"/>
              </w:rPr>
            </w:pPr>
            <w:r>
              <w:rPr>
                <w:sz w:val="15"/>
              </w:rPr>
              <w:t>Diplopia</w:t>
            </w:r>
            <w:r>
              <w:rPr>
                <w:position w:val="5"/>
                <w:sz w:val="10"/>
              </w:rPr>
              <w:t>30</w:t>
            </w:r>
          </w:p>
        </w:tc>
        <w:tc>
          <w:tcPr>
            <w:tcW w:w="11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2" w:lineRule="exact"/>
              <w:ind w:left="113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2" w:lineRule="exact"/>
              <w:ind w:left="8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2" w:lineRule="exact"/>
              <w:ind w:left="1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</w:tr>
      <w:tr>
        <w:trPr>
          <w:trHeight w:val="690" w:hRule="atLeast"/>
        </w:trPr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ind w:left="7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Sleep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1"/>
              <w:ind w:left="152" w:right="156"/>
              <w:rPr>
                <w:sz w:val="15"/>
              </w:rPr>
            </w:pPr>
            <w:r>
              <w:rPr>
                <w:sz w:val="15"/>
              </w:rPr>
              <w:t>Somnolence</w:t>
            </w:r>
            <w:r>
              <w:rPr>
                <w:position w:val="5"/>
                <w:sz w:val="10"/>
              </w:rPr>
              <w:t>27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Fatigue</w:t>
            </w:r>
            <w:r>
              <w:rPr>
                <w:position w:val="5"/>
                <w:sz w:val="10"/>
              </w:rPr>
              <w:t>27,32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Drowsiness/</w:t>
            </w:r>
          </w:p>
          <w:p>
            <w:pPr>
              <w:pStyle w:val="TableParagraph"/>
              <w:spacing w:line="151" w:lineRule="exact"/>
              <w:ind w:left="152"/>
              <w:rPr>
                <w:sz w:val="10"/>
              </w:rPr>
            </w:pPr>
            <w:r>
              <w:rPr>
                <w:sz w:val="15"/>
              </w:rPr>
              <w:t>sedation</w:t>
            </w:r>
            <w:r>
              <w:rPr>
                <w:position w:val="5"/>
                <w:sz w:val="10"/>
              </w:rPr>
              <w:t>27,32</w:t>
            </w:r>
          </w:p>
        </w:tc>
        <w:tc>
          <w:tcPr>
            <w:tcW w:w="1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 w:before="3"/>
              <w:ind w:left="155"/>
              <w:rPr>
                <w:sz w:val="10"/>
              </w:rPr>
            </w:pPr>
            <w:r>
              <w:rPr>
                <w:spacing w:val="-1"/>
                <w:sz w:val="15"/>
              </w:rPr>
              <w:t>Somnolence</w:t>
            </w:r>
            <w:r>
              <w:rPr>
                <w:spacing w:val="-1"/>
                <w:position w:val="5"/>
                <w:sz w:val="10"/>
              </w:rPr>
              <w:t>17,29,31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Fatigue</w:t>
            </w:r>
            <w:r>
              <w:rPr>
                <w:position w:val="5"/>
                <w:sz w:val="10"/>
              </w:rPr>
              <w:t>29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Drowsiness</w:t>
            </w:r>
            <w:r>
              <w:rPr>
                <w:position w:val="5"/>
                <w:sz w:val="10"/>
              </w:rPr>
              <w:t>17,31</w:t>
            </w:r>
          </w:p>
          <w:p>
            <w:pPr>
              <w:pStyle w:val="TableParagraph"/>
              <w:spacing w:line="152" w:lineRule="exact"/>
              <w:ind w:left="155"/>
              <w:rPr>
                <w:sz w:val="10"/>
              </w:rPr>
            </w:pPr>
            <w:r>
              <w:rPr>
                <w:sz w:val="15"/>
              </w:rPr>
              <w:t>Impaired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sleep</w:t>
            </w:r>
            <w:r>
              <w:rPr>
                <w:position w:val="5"/>
                <w:sz w:val="10"/>
              </w:rPr>
              <w:t>29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2"/>
              <w:rPr>
                <w:sz w:val="10"/>
              </w:rPr>
            </w:pPr>
            <w:r>
              <w:rPr>
                <w:sz w:val="15"/>
              </w:rPr>
              <w:t>Drowsiness</w:t>
            </w:r>
            <w:r>
              <w:rPr>
                <w:position w:val="5"/>
                <w:sz w:val="10"/>
              </w:rPr>
              <w:t>18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2" w:lineRule="auto" w:before="4"/>
              <w:ind w:left="177" w:right="75"/>
              <w:rPr>
                <w:sz w:val="10"/>
              </w:rPr>
            </w:pPr>
            <w:r>
              <w:rPr>
                <w:sz w:val="15"/>
              </w:rPr>
              <w:t>Somnolence</w:t>
            </w:r>
            <w:r>
              <w:rPr>
                <w:position w:val="5"/>
                <w:sz w:val="10"/>
              </w:rPr>
              <w:t>19,24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Fatigue</w:t>
            </w:r>
            <w:r>
              <w:rPr>
                <w:position w:val="5"/>
                <w:sz w:val="10"/>
              </w:rPr>
              <w:t>19,24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1"/>
              <w:ind w:left="97" w:right="72"/>
              <w:rPr>
                <w:sz w:val="15"/>
              </w:rPr>
            </w:pPr>
            <w:r>
              <w:rPr>
                <w:sz w:val="15"/>
              </w:rPr>
              <w:t>Somnolence</w:t>
            </w:r>
            <w:r>
              <w:rPr>
                <w:position w:val="5"/>
                <w:sz w:val="10"/>
              </w:rPr>
              <w:t>23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Drowsiness</w:t>
            </w:r>
          </w:p>
          <w:p>
            <w:pPr>
              <w:pStyle w:val="TableParagraph"/>
              <w:spacing w:line="173" w:lineRule="exact"/>
              <w:ind w:left="97"/>
              <w:rPr>
                <w:sz w:val="10"/>
              </w:rPr>
            </w:pPr>
            <w:r>
              <w:rPr>
                <w:sz w:val="15"/>
              </w:rPr>
              <w:t>/sedation</w:t>
            </w:r>
            <w:r>
              <w:rPr>
                <w:position w:val="5"/>
                <w:sz w:val="10"/>
              </w:rPr>
              <w:t>23</w:t>
            </w:r>
          </w:p>
        </w:tc>
        <w:tc>
          <w:tcPr>
            <w:tcW w:w="12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2" w:lineRule="auto" w:before="4"/>
              <w:ind w:left="95" w:right="176"/>
              <w:rPr>
                <w:sz w:val="10"/>
              </w:rPr>
            </w:pPr>
            <w:r>
              <w:rPr>
                <w:sz w:val="15"/>
              </w:rPr>
              <w:t>Somnolence</w:t>
            </w:r>
            <w:r>
              <w:rPr>
                <w:position w:val="5"/>
                <w:sz w:val="10"/>
              </w:rPr>
              <w:t>20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Fatigue</w:t>
            </w:r>
            <w:r>
              <w:rPr>
                <w:position w:val="5"/>
                <w:sz w:val="10"/>
              </w:rPr>
              <w:t>20,34</w:t>
            </w:r>
          </w:p>
        </w:tc>
        <w:tc>
          <w:tcPr>
            <w:tcW w:w="11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2" w:lineRule="auto" w:before="4"/>
              <w:ind w:left="135" w:right="73"/>
              <w:rPr>
                <w:sz w:val="10"/>
              </w:rPr>
            </w:pPr>
            <w:r>
              <w:rPr>
                <w:sz w:val="15"/>
              </w:rPr>
              <w:t>Somnolence</w:t>
            </w:r>
            <w:r>
              <w:rPr>
                <w:position w:val="5"/>
                <w:sz w:val="10"/>
              </w:rPr>
              <w:t>30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Fatigue</w:t>
            </w:r>
            <w:r>
              <w:rPr>
                <w:position w:val="5"/>
                <w:sz w:val="10"/>
              </w:rPr>
              <w:t>30</w:t>
            </w:r>
          </w:p>
        </w:tc>
        <w:tc>
          <w:tcPr>
            <w:tcW w:w="11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2" w:lineRule="auto" w:before="4"/>
              <w:ind w:left="96" w:right="115"/>
              <w:rPr>
                <w:sz w:val="10"/>
              </w:rPr>
            </w:pPr>
            <w:r>
              <w:rPr>
                <w:sz w:val="15"/>
              </w:rPr>
              <w:t>Somnolence</w:t>
            </w:r>
            <w:r>
              <w:rPr>
                <w:position w:val="5"/>
                <w:sz w:val="10"/>
              </w:rPr>
              <w:t>26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Fatigue</w:t>
            </w:r>
            <w:r>
              <w:rPr>
                <w:position w:val="5"/>
                <w:sz w:val="10"/>
              </w:rPr>
              <w:t>26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 w:before="3"/>
              <w:ind w:left="131"/>
              <w:rPr>
                <w:sz w:val="10"/>
              </w:rPr>
            </w:pPr>
            <w:r>
              <w:rPr>
                <w:spacing w:val="-1"/>
                <w:sz w:val="15"/>
              </w:rPr>
              <w:t>Somnolence</w:t>
            </w:r>
            <w:r>
              <w:rPr>
                <w:spacing w:val="-1"/>
                <w:position w:val="5"/>
                <w:sz w:val="10"/>
              </w:rPr>
              <w:t>21,25,33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position w:val="-4"/>
                <w:sz w:val="15"/>
              </w:rPr>
              <w:t>Fatigue</w:t>
            </w:r>
            <w:r>
              <w:rPr>
                <w:sz w:val="10"/>
              </w:rPr>
              <w:t>21,25,33</w:t>
            </w:r>
            <w:r>
              <w:rPr>
                <w:spacing w:val="1"/>
                <w:sz w:val="10"/>
              </w:rPr>
              <w:t> </w:t>
            </w:r>
            <w:r>
              <w:rPr>
                <w:sz w:val="15"/>
              </w:rPr>
              <w:t>Impaired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sleep</w:t>
            </w:r>
            <w:r>
              <w:rPr>
                <w:position w:val="5"/>
                <w:sz w:val="10"/>
              </w:rPr>
              <w:t>33</w:t>
            </w:r>
          </w:p>
          <w:p>
            <w:pPr>
              <w:pStyle w:val="TableParagraph"/>
              <w:spacing w:line="152" w:lineRule="exact"/>
              <w:ind w:left="131"/>
              <w:rPr>
                <w:sz w:val="10"/>
              </w:rPr>
            </w:pPr>
            <w:r>
              <w:rPr>
                <w:sz w:val="15"/>
              </w:rPr>
              <w:t>Drowsiness</w:t>
            </w:r>
            <w:r>
              <w:rPr>
                <w:position w:val="5"/>
                <w:sz w:val="10"/>
              </w:rPr>
              <w:t>21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2" w:lineRule="auto" w:before="4"/>
              <w:ind w:left="72" w:right="108"/>
              <w:rPr>
                <w:sz w:val="10"/>
              </w:rPr>
            </w:pPr>
            <w:r>
              <w:rPr>
                <w:sz w:val="15"/>
              </w:rPr>
              <w:t>Somnolence</w:t>
            </w:r>
            <w:r>
              <w:rPr>
                <w:position w:val="5"/>
                <w:sz w:val="10"/>
              </w:rPr>
              <w:t>28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Fatigue</w:t>
            </w:r>
            <w:r>
              <w:rPr>
                <w:position w:val="5"/>
                <w:sz w:val="10"/>
              </w:rPr>
              <w:t>28</w:t>
            </w:r>
          </w:p>
        </w:tc>
      </w:tr>
      <w:tr>
        <w:trPr>
          <w:trHeight w:val="345" w:hRule="atLeast"/>
        </w:trPr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0" w:lineRule="atLeast"/>
              <w:ind w:left="71" w:right="30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Musculo-</w:t>
            </w:r>
            <w:r>
              <w:rPr>
                <w:rFonts w:ascii="Arial"/>
                <w:b/>
                <w:spacing w:val="-39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skeletal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90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3" w:lineRule="exact"/>
              <w:ind w:left="155"/>
              <w:rPr>
                <w:sz w:val="10"/>
              </w:rPr>
            </w:pPr>
            <w:r>
              <w:rPr>
                <w:sz w:val="15"/>
              </w:rPr>
              <w:t>Abdominal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pain</w:t>
            </w:r>
            <w:r>
              <w:rPr>
                <w:position w:val="5"/>
                <w:sz w:val="10"/>
              </w:rPr>
              <w:t>17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25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5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80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2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3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6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3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2" w:lineRule="exact"/>
              <w:ind w:left="131"/>
              <w:rPr>
                <w:sz w:val="10"/>
              </w:rPr>
            </w:pPr>
            <w:r>
              <w:rPr>
                <w:sz w:val="15"/>
              </w:rPr>
              <w:t>Fall</w:t>
            </w:r>
            <w:r>
              <w:rPr>
                <w:position w:val="5"/>
                <w:sz w:val="10"/>
              </w:rPr>
              <w:t>25</w:t>
            </w:r>
          </w:p>
          <w:p>
            <w:pPr>
              <w:pStyle w:val="TableParagraph"/>
              <w:spacing w:line="153" w:lineRule="exact"/>
              <w:ind w:left="131"/>
              <w:rPr>
                <w:sz w:val="10"/>
              </w:rPr>
            </w:pPr>
            <w:r>
              <w:rPr>
                <w:sz w:val="15"/>
              </w:rPr>
              <w:t>Gait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disturbance</w:t>
            </w:r>
            <w:r>
              <w:rPr>
                <w:position w:val="5"/>
                <w:sz w:val="10"/>
              </w:rPr>
              <w:t>25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</w:tr>
      <w:tr>
        <w:trPr>
          <w:trHeight w:val="863" w:hRule="atLeast"/>
        </w:trPr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7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Blood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90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2" w:lineRule="exact"/>
              <w:ind w:left="155" w:right="124"/>
              <w:rPr>
                <w:sz w:val="10"/>
              </w:rPr>
            </w:pPr>
            <w:r>
              <w:rPr>
                <w:sz w:val="15"/>
              </w:rPr>
              <w:t>Anemia</w:t>
            </w:r>
            <w:r>
              <w:rPr>
                <w:position w:val="5"/>
                <w:sz w:val="10"/>
              </w:rPr>
              <w:t>17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Lymphadenopathy</w:t>
            </w:r>
            <w:r>
              <w:rPr>
                <w:position w:val="5"/>
                <w:sz w:val="10"/>
              </w:rPr>
              <w:t>17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Leukopenia</w:t>
            </w:r>
            <w:r>
              <w:rPr>
                <w:position w:val="5"/>
                <w:sz w:val="10"/>
              </w:rPr>
              <w:t>17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Neutropenia</w:t>
            </w:r>
            <w:r>
              <w:rPr>
                <w:position w:val="5"/>
                <w:sz w:val="10"/>
              </w:rPr>
              <w:t>17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Thrombocytopenia</w:t>
            </w:r>
            <w:r>
              <w:rPr>
                <w:position w:val="5"/>
                <w:sz w:val="10"/>
              </w:rPr>
              <w:t>17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25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5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80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2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3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6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3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8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</w:tr>
      <w:tr>
        <w:trPr>
          <w:trHeight w:val="861" w:hRule="atLeast"/>
        </w:trPr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7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Metabolism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2"/>
              <w:ind w:left="152" w:right="303"/>
              <w:rPr>
                <w:sz w:val="10"/>
              </w:rPr>
            </w:pPr>
            <w:r>
              <w:rPr>
                <w:spacing w:val="-1"/>
                <w:sz w:val="15"/>
              </w:rPr>
              <w:t>Decreased </w:t>
            </w:r>
            <w:r>
              <w:rPr>
                <w:sz w:val="15"/>
              </w:rPr>
              <w:t>/</w:t>
            </w:r>
            <w:r>
              <w:rPr>
                <w:spacing w:val="-39"/>
                <w:sz w:val="15"/>
              </w:rPr>
              <w:t> </w:t>
            </w:r>
            <w:r>
              <w:rPr>
                <w:sz w:val="15"/>
              </w:rPr>
              <w:t>change in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appetite</w:t>
            </w:r>
            <w:r>
              <w:rPr>
                <w:position w:val="5"/>
                <w:sz w:val="10"/>
              </w:rPr>
              <w:t>27,32</w:t>
            </w:r>
          </w:p>
        </w:tc>
        <w:tc>
          <w:tcPr>
            <w:tcW w:w="1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 w:before="2"/>
              <w:ind w:left="155" w:right="554"/>
              <w:rPr>
                <w:sz w:val="15"/>
              </w:rPr>
            </w:pPr>
            <w:r>
              <w:rPr>
                <w:sz w:val="15"/>
              </w:rPr>
              <w:t>Decreased</w:t>
            </w:r>
            <w:r>
              <w:rPr>
                <w:spacing w:val="1"/>
                <w:sz w:val="15"/>
              </w:rPr>
              <w:t> </w:t>
            </w:r>
            <w:r>
              <w:rPr>
                <w:position w:val="-4"/>
                <w:sz w:val="15"/>
              </w:rPr>
              <w:t>appetite</w:t>
            </w:r>
            <w:r>
              <w:rPr>
                <w:sz w:val="10"/>
              </w:rPr>
              <w:t>17,29,31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5"/>
              </w:rPr>
              <w:t>Weight loss</w:t>
            </w:r>
            <w:r>
              <w:rPr>
                <w:position w:val="5"/>
                <w:sz w:val="10"/>
              </w:rPr>
              <w:t>17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Anorexia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/</w:t>
            </w:r>
          </w:p>
          <w:p>
            <w:pPr>
              <w:pStyle w:val="TableParagraph"/>
              <w:spacing w:line="150" w:lineRule="exact"/>
              <w:ind w:left="155"/>
              <w:rPr>
                <w:sz w:val="10"/>
              </w:rPr>
            </w:pPr>
            <w:r>
              <w:rPr>
                <w:sz w:val="15"/>
              </w:rPr>
              <w:t>eating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disorder</w:t>
            </w:r>
            <w:r>
              <w:rPr>
                <w:position w:val="5"/>
                <w:sz w:val="10"/>
              </w:rPr>
              <w:t>17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25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3" w:lineRule="exact"/>
              <w:ind w:left="177"/>
              <w:rPr>
                <w:sz w:val="10"/>
              </w:rPr>
            </w:pPr>
            <w:r>
              <w:rPr>
                <w:sz w:val="15"/>
              </w:rPr>
              <w:t>Weight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loss</w:t>
            </w:r>
            <w:r>
              <w:rPr>
                <w:position w:val="5"/>
                <w:sz w:val="10"/>
              </w:rPr>
              <w:t>19,24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2" w:lineRule="auto" w:before="5"/>
              <w:ind w:left="97" w:right="292"/>
              <w:rPr>
                <w:sz w:val="10"/>
              </w:rPr>
            </w:pPr>
            <w:r>
              <w:rPr>
                <w:sz w:val="15"/>
              </w:rPr>
              <w:t>Decreased</w:t>
            </w:r>
            <w:r>
              <w:rPr>
                <w:spacing w:val="-40"/>
                <w:sz w:val="15"/>
              </w:rPr>
              <w:t> </w:t>
            </w:r>
            <w:r>
              <w:rPr>
                <w:sz w:val="15"/>
              </w:rPr>
              <w:t>appetite</w:t>
            </w:r>
            <w:r>
              <w:rPr>
                <w:position w:val="5"/>
                <w:sz w:val="10"/>
              </w:rPr>
              <w:t>23</w:t>
            </w:r>
          </w:p>
        </w:tc>
        <w:tc>
          <w:tcPr>
            <w:tcW w:w="12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3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6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3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8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</w:tr>
      <w:tr>
        <w:trPr>
          <w:trHeight w:val="517" w:hRule="atLeast"/>
        </w:trPr>
        <w:tc>
          <w:tcPr>
            <w:tcW w:w="10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0" w:lineRule="atLeast"/>
              <w:ind w:left="71" w:right="3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Cardio-</w:t>
            </w:r>
            <w:r>
              <w:rPr>
                <w:rFonts w:ascii="Arial"/>
                <w:b/>
                <w:spacing w:val="1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vascular</w:t>
            </w:r>
            <w:r>
              <w:rPr>
                <w:rFonts w:ascii="Arial"/>
                <w:b/>
                <w:spacing w:val="-39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system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 w:before="3"/>
              <w:ind w:left="152" w:right="440"/>
              <w:rPr>
                <w:sz w:val="10"/>
              </w:rPr>
            </w:pPr>
            <w:r>
              <w:rPr>
                <w:sz w:val="15"/>
              </w:rPr>
              <w:t>Thrombo-</w:t>
            </w:r>
            <w:r>
              <w:rPr>
                <w:spacing w:val="-39"/>
                <w:sz w:val="15"/>
              </w:rPr>
              <w:t> </w:t>
            </w:r>
            <w:r>
              <w:rPr>
                <w:sz w:val="15"/>
              </w:rPr>
              <w:t>phlebitis</w:t>
            </w:r>
            <w:r>
              <w:rPr>
                <w:position w:val="5"/>
                <w:sz w:val="10"/>
              </w:rPr>
              <w:t>32</w:t>
            </w:r>
          </w:p>
        </w:tc>
        <w:tc>
          <w:tcPr>
            <w:tcW w:w="16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5" w:lineRule="auto" w:before="3"/>
              <w:ind w:left="155" w:right="135"/>
              <w:rPr>
                <w:sz w:val="10"/>
              </w:rPr>
            </w:pPr>
            <w:r>
              <w:rPr>
                <w:sz w:val="15"/>
              </w:rPr>
              <w:t>Right bundle branch</w:t>
            </w:r>
            <w:r>
              <w:rPr>
                <w:spacing w:val="-39"/>
                <w:sz w:val="15"/>
              </w:rPr>
              <w:t> </w:t>
            </w:r>
            <w:r>
              <w:rPr>
                <w:sz w:val="15"/>
              </w:rPr>
              <w:t>block</w:t>
            </w:r>
            <w:r>
              <w:rPr>
                <w:position w:val="5"/>
                <w:sz w:val="10"/>
              </w:rPr>
              <w:t>17</w:t>
            </w:r>
          </w:p>
        </w:tc>
        <w:tc>
          <w:tcPr>
            <w:tcW w:w="11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25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5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80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2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3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6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3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8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4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8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</w:tr>
    </w:tbl>
    <w:p>
      <w:pPr>
        <w:spacing w:after="0"/>
        <w:jc w:val="center"/>
        <w:rPr>
          <w:sz w:val="15"/>
        </w:rPr>
        <w:sectPr>
          <w:footerReference w:type="default" r:id="rId6"/>
          <w:pgSz w:w="15840" w:h="12240" w:orient="landscape"/>
          <w:pgMar w:footer="1020" w:header="0" w:top="1140" w:bottom="1200" w:left="1320" w:right="400"/>
        </w:sectPr>
      </w:pPr>
    </w:p>
    <w:p>
      <w:pPr>
        <w:pStyle w:val="BodyText"/>
        <w:spacing w:before="1"/>
        <w:rPr>
          <w:sz w:val="26"/>
        </w:rPr>
      </w:pPr>
    </w:p>
    <w:tbl>
      <w:tblPr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21"/>
        <w:gridCol w:w="1497"/>
        <w:gridCol w:w="1432"/>
        <w:gridCol w:w="866"/>
        <w:gridCol w:w="1674"/>
        <w:gridCol w:w="809"/>
        <w:gridCol w:w="1675"/>
        <w:gridCol w:w="738"/>
        <w:gridCol w:w="1175"/>
        <w:gridCol w:w="1903"/>
        <w:gridCol w:w="1219"/>
      </w:tblGrid>
      <w:tr>
        <w:trPr>
          <w:trHeight w:val="517" w:hRule="atLeast"/>
        </w:trPr>
        <w:tc>
          <w:tcPr>
            <w:tcW w:w="92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2" w:lineRule="exact"/>
              <w:ind w:left="56" w:right="372"/>
              <w:rPr>
                <w:sz w:val="10"/>
              </w:rPr>
            </w:pPr>
            <w:r>
              <w:rPr>
                <w:sz w:val="15"/>
              </w:rPr>
              <w:t>First degree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atrioventricular</w:t>
            </w:r>
            <w:r>
              <w:rPr>
                <w:spacing w:val="-39"/>
                <w:sz w:val="15"/>
              </w:rPr>
              <w:t> </w:t>
            </w:r>
            <w:r>
              <w:rPr>
                <w:sz w:val="15"/>
              </w:rPr>
              <w:t>block</w:t>
            </w:r>
            <w:r>
              <w:rPr>
                <w:position w:val="5"/>
                <w:sz w:val="10"/>
              </w:rPr>
              <w:t>17</w:t>
            </w:r>
          </w:p>
        </w:tc>
        <w:tc>
          <w:tcPr>
            <w:tcW w:w="8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21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>
        <w:trPr>
          <w:trHeight w:val="518" w:hRule="atLeast"/>
        </w:trPr>
        <w:tc>
          <w:tcPr>
            <w:tcW w:w="92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Skin</w:t>
            </w:r>
          </w:p>
        </w:tc>
        <w:tc>
          <w:tcPr>
            <w:tcW w:w="14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77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7" w:lineRule="auto"/>
              <w:ind w:left="56" w:right="755"/>
              <w:rPr>
                <w:sz w:val="10"/>
              </w:rPr>
            </w:pPr>
            <w:r>
              <w:rPr>
                <w:position w:val="-4"/>
                <w:sz w:val="15"/>
              </w:rPr>
              <w:t>Rash</w:t>
            </w:r>
            <w:r>
              <w:rPr>
                <w:sz w:val="10"/>
              </w:rPr>
              <w:t>17,31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5"/>
              </w:rPr>
              <w:t>Acne</w:t>
            </w:r>
            <w:r>
              <w:rPr>
                <w:position w:val="5"/>
                <w:sz w:val="10"/>
              </w:rPr>
              <w:t>17</w:t>
            </w:r>
          </w:p>
        </w:tc>
        <w:tc>
          <w:tcPr>
            <w:tcW w:w="8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84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6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1" w:lineRule="exact"/>
              <w:ind w:left="593"/>
              <w:rPr>
                <w:sz w:val="15"/>
              </w:rPr>
            </w:pPr>
            <w:r>
              <w:rPr>
                <w:sz w:val="15"/>
              </w:rPr>
              <w:t>Paraesthesia</w:t>
            </w:r>
          </w:p>
          <w:p>
            <w:pPr>
              <w:pStyle w:val="TableParagraph"/>
              <w:spacing w:line="113" w:lineRule="exact"/>
              <w:ind w:left="593"/>
              <w:rPr>
                <w:sz w:val="10"/>
              </w:rPr>
            </w:pPr>
            <w:r>
              <w:rPr>
                <w:sz w:val="10"/>
              </w:rPr>
              <w:t>19,24</w:t>
            </w: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96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519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7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21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 w:right="51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3" w:lineRule="exact"/>
              <w:ind w:left="555"/>
              <w:rPr>
                <w:sz w:val="10"/>
              </w:rPr>
            </w:pPr>
            <w:r>
              <w:rPr>
                <w:sz w:val="15"/>
              </w:rPr>
              <w:t>Rash</w:t>
            </w:r>
            <w:r>
              <w:rPr>
                <w:position w:val="5"/>
                <w:sz w:val="10"/>
              </w:rPr>
              <w:t>21</w:t>
            </w:r>
          </w:p>
        </w:tc>
        <w:tc>
          <w:tcPr>
            <w:tcW w:w="121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2" w:lineRule="exact"/>
              <w:ind w:left="133" w:right="362"/>
              <w:rPr>
                <w:sz w:val="10"/>
              </w:rPr>
            </w:pPr>
            <w:r>
              <w:rPr>
                <w:sz w:val="15"/>
              </w:rPr>
              <w:t>Rash</w:t>
            </w:r>
            <w:r>
              <w:rPr>
                <w:position w:val="5"/>
                <w:sz w:val="10"/>
              </w:rPr>
              <w:t>28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Redness</w:t>
            </w:r>
            <w:r>
              <w:rPr>
                <w:position w:val="5"/>
                <w:sz w:val="10"/>
              </w:rPr>
              <w:t>28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Itchiness</w:t>
            </w:r>
            <w:r>
              <w:rPr>
                <w:position w:val="5"/>
                <w:sz w:val="10"/>
              </w:rPr>
              <w:t>28</w:t>
            </w:r>
          </w:p>
        </w:tc>
      </w:tr>
      <w:tr>
        <w:trPr>
          <w:trHeight w:val="515" w:hRule="atLeast"/>
        </w:trPr>
        <w:tc>
          <w:tcPr>
            <w:tcW w:w="92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65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Liver</w:t>
            </w:r>
          </w:p>
        </w:tc>
        <w:tc>
          <w:tcPr>
            <w:tcW w:w="14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2" w:lineRule="auto" w:before="5"/>
              <w:ind w:left="277" w:right="41"/>
              <w:rPr>
                <w:sz w:val="10"/>
              </w:rPr>
            </w:pPr>
            <w:r>
              <w:rPr>
                <w:sz w:val="15"/>
              </w:rPr>
              <w:t>Increased amino-</w:t>
            </w:r>
            <w:r>
              <w:rPr>
                <w:spacing w:val="-39"/>
                <w:sz w:val="15"/>
              </w:rPr>
              <w:t> </w:t>
            </w:r>
            <w:r>
              <w:rPr>
                <w:sz w:val="15"/>
              </w:rPr>
              <w:t>transferases</w:t>
            </w:r>
            <w:r>
              <w:rPr>
                <w:position w:val="5"/>
                <w:sz w:val="10"/>
              </w:rPr>
              <w:t>27,32</w:t>
            </w:r>
          </w:p>
          <w:p>
            <w:pPr>
              <w:pStyle w:val="TableParagraph"/>
              <w:spacing w:line="153" w:lineRule="exact"/>
              <w:ind w:left="277"/>
              <w:rPr>
                <w:sz w:val="10"/>
              </w:rPr>
            </w:pPr>
            <w:r>
              <w:rPr>
                <w:sz w:val="15"/>
              </w:rPr>
              <w:t>Hepatoxicity</w:t>
            </w:r>
            <w:r>
              <w:rPr>
                <w:position w:val="5"/>
                <w:sz w:val="10"/>
              </w:rPr>
              <w:t>32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32" w:lineRule="auto" w:before="5"/>
              <w:ind w:left="56" w:right="213"/>
              <w:rPr>
                <w:sz w:val="10"/>
              </w:rPr>
            </w:pPr>
            <w:r>
              <w:rPr>
                <w:sz w:val="15"/>
              </w:rPr>
              <w:t>Hepatic</w:t>
            </w:r>
            <w:r>
              <w:rPr>
                <w:spacing w:val="-8"/>
                <w:sz w:val="15"/>
              </w:rPr>
              <w:t> </w:t>
            </w:r>
            <w:r>
              <w:rPr>
                <w:sz w:val="15"/>
              </w:rPr>
              <w:t>enzymes</w:t>
            </w:r>
            <w:r>
              <w:rPr>
                <w:spacing w:val="-39"/>
                <w:sz w:val="15"/>
              </w:rPr>
              <w:t> </w:t>
            </w:r>
            <w:r>
              <w:rPr>
                <w:sz w:val="15"/>
              </w:rPr>
              <w:t>increased</w:t>
            </w:r>
            <w:r>
              <w:rPr>
                <w:position w:val="5"/>
                <w:sz w:val="10"/>
              </w:rPr>
              <w:t>17</w:t>
            </w:r>
          </w:p>
        </w:tc>
        <w:tc>
          <w:tcPr>
            <w:tcW w:w="8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84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67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593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96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519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73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21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0" w:right="51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9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555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21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33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</w:tr>
      <w:tr>
        <w:trPr>
          <w:trHeight w:val="1727" w:hRule="atLeast"/>
        </w:trPr>
        <w:tc>
          <w:tcPr>
            <w:tcW w:w="921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ind w:left="65" w:right="260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Immune</w:t>
            </w:r>
            <w:r>
              <w:rPr>
                <w:rFonts w:ascii="Arial"/>
                <w:b/>
                <w:spacing w:val="-39"/>
                <w:sz w:val="15"/>
              </w:rPr>
              <w:t> </w:t>
            </w:r>
            <w:r>
              <w:rPr>
                <w:rFonts w:ascii="Arial"/>
                <w:b/>
                <w:sz w:val="15"/>
              </w:rPr>
              <w:t>system</w:t>
            </w:r>
          </w:p>
        </w:tc>
        <w:tc>
          <w:tcPr>
            <w:tcW w:w="1497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line="235" w:lineRule="auto" w:before="3"/>
              <w:ind w:left="276" w:right="42"/>
              <w:rPr>
                <w:sz w:val="10"/>
              </w:rPr>
            </w:pPr>
            <w:r>
              <w:rPr>
                <w:sz w:val="15"/>
              </w:rPr>
              <w:t>Upper respiratory</w:t>
            </w:r>
            <w:r>
              <w:rPr>
                <w:spacing w:val="-39"/>
                <w:sz w:val="15"/>
              </w:rPr>
              <w:t> </w:t>
            </w:r>
            <w:r>
              <w:rPr>
                <w:sz w:val="15"/>
              </w:rPr>
              <w:t>infection</w:t>
            </w:r>
            <w:r>
              <w:rPr>
                <w:position w:val="5"/>
                <w:sz w:val="10"/>
              </w:rPr>
              <w:t>27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Pyrexia</w:t>
            </w:r>
            <w:r>
              <w:rPr>
                <w:position w:val="5"/>
                <w:sz w:val="10"/>
              </w:rPr>
              <w:t>27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Pneumonia</w:t>
            </w:r>
            <w:r>
              <w:rPr>
                <w:position w:val="5"/>
                <w:sz w:val="10"/>
              </w:rPr>
              <w:t>32</w:t>
            </w:r>
          </w:p>
        </w:tc>
        <w:tc>
          <w:tcPr>
            <w:tcW w:w="1432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line="235" w:lineRule="auto" w:before="3"/>
              <w:ind w:left="56" w:right="169"/>
              <w:rPr>
                <w:sz w:val="10"/>
              </w:rPr>
            </w:pPr>
            <w:r>
              <w:rPr>
                <w:sz w:val="15"/>
              </w:rPr>
              <w:t>Upper respiratory</w:t>
            </w:r>
            <w:r>
              <w:rPr>
                <w:spacing w:val="-39"/>
                <w:sz w:val="15"/>
              </w:rPr>
              <w:t> </w:t>
            </w:r>
            <w:r>
              <w:rPr>
                <w:sz w:val="15"/>
              </w:rPr>
              <w:t>infection</w:t>
            </w:r>
            <w:r>
              <w:rPr>
                <w:position w:val="5"/>
                <w:sz w:val="10"/>
              </w:rPr>
              <w:t>17,31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Bronchitis</w:t>
            </w:r>
            <w:r>
              <w:rPr>
                <w:position w:val="5"/>
                <w:sz w:val="10"/>
              </w:rPr>
              <w:t>31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Cough</w:t>
            </w:r>
            <w:r>
              <w:rPr>
                <w:position w:val="5"/>
                <w:sz w:val="10"/>
              </w:rPr>
              <w:t>31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Pyrexia</w:t>
            </w:r>
            <w:r>
              <w:rPr>
                <w:position w:val="5"/>
                <w:sz w:val="10"/>
              </w:rPr>
              <w:t>29,31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Pneumonia</w:t>
            </w:r>
            <w:r>
              <w:rPr>
                <w:position w:val="5"/>
                <w:sz w:val="10"/>
              </w:rPr>
              <w:t>17</w:t>
            </w:r>
            <w:r>
              <w:rPr>
                <w:spacing w:val="1"/>
                <w:position w:val="5"/>
                <w:sz w:val="10"/>
              </w:rPr>
              <w:t> </w:t>
            </w:r>
            <w:r>
              <w:rPr>
                <w:sz w:val="15"/>
              </w:rPr>
              <w:t>Nasopharyngitis</w:t>
            </w:r>
            <w:r>
              <w:rPr>
                <w:position w:val="5"/>
                <w:sz w:val="10"/>
              </w:rPr>
              <w:t>17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Ear</w:t>
            </w:r>
            <w:r>
              <w:rPr>
                <w:spacing w:val="-1"/>
                <w:sz w:val="15"/>
              </w:rPr>
              <w:t> </w:t>
            </w:r>
            <w:r>
              <w:rPr>
                <w:sz w:val="15"/>
              </w:rPr>
              <w:t>infections</w:t>
            </w:r>
            <w:r>
              <w:rPr>
                <w:position w:val="5"/>
                <w:sz w:val="10"/>
              </w:rPr>
              <w:t>17</w:t>
            </w:r>
          </w:p>
          <w:p>
            <w:pPr>
              <w:pStyle w:val="TableParagraph"/>
              <w:spacing w:line="172" w:lineRule="exact"/>
              <w:ind w:left="56" w:right="686"/>
              <w:rPr>
                <w:sz w:val="10"/>
              </w:rPr>
            </w:pPr>
            <w:r>
              <w:rPr>
                <w:sz w:val="15"/>
              </w:rPr>
              <w:t>Sinusitis</w:t>
            </w:r>
            <w:r>
              <w:rPr>
                <w:position w:val="5"/>
                <w:sz w:val="10"/>
              </w:rPr>
              <w:t>17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Rhinitis</w:t>
            </w:r>
            <w:r>
              <w:rPr>
                <w:position w:val="5"/>
                <w:sz w:val="10"/>
              </w:rPr>
              <w:t>17</w:t>
            </w:r>
          </w:p>
        </w:tc>
        <w:tc>
          <w:tcPr>
            <w:tcW w:w="866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ind w:left="184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674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ind w:left="593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809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ind w:left="196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675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line="235" w:lineRule="auto"/>
              <w:ind w:left="519" w:right="116"/>
              <w:rPr>
                <w:sz w:val="10"/>
              </w:rPr>
            </w:pPr>
            <w:r>
              <w:rPr>
                <w:sz w:val="15"/>
              </w:rPr>
              <w:t>Flu syndrome</w:t>
            </w:r>
            <w:r>
              <w:rPr>
                <w:position w:val="5"/>
                <w:sz w:val="10"/>
              </w:rPr>
              <w:t>20</w:t>
            </w:r>
            <w:r>
              <w:rPr>
                <w:spacing w:val="-25"/>
                <w:position w:val="5"/>
                <w:sz w:val="10"/>
              </w:rPr>
              <w:t> </w:t>
            </w:r>
            <w:r>
              <w:rPr>
                <w:sz w:val="15"/>
              </w:rPr>
              <w:t>Infection</w:t>
            </w:r>
            <w:r>
              <w:rPr>
                <w:position w:val="5"/>
                <w:sz w:val="10"/>
              </w:rPr>
              <w:t>20</w:t>
            </w:r>
          </w:p>
        </w:tc>
        <w:tc>
          <w:tcPr>
            <w:tcW w:w="738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ind w:left="121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175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ind w:left="0" w:right="51"/>
              <w:jc w:val="center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  <w:tc>
          <w:tcPr>
            <w:tcW w:w="1903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line="237" w:lineRule="auto"/>
              <w:ind w:left="563" w:right="149"/>
              <w:jc w:val="both"/>
              <w:rPr>
                <w:sz w:val="10"/>
              </w:rPr>
            </w:pPr>
            <w:r>
              <w:rPr>
                <w:sz w:val="15"/>
              </w:rPr>
              <w:t>Nasopharyngitis</w:t>
            </w:r>
            <w:r>
              <w:rPr>
                <w:position w:val="5"/>
                <w:sz w:val="10"/>
              </w:rPr>
              <w:t>25</w:t>
            </w:r>
            <w:r>
              <w:rPr>
                <w:spacing w:val="-26"/>
                <w:position w:val="5"/>
                <w:sz w:val="10"/>
              </w:rPr>
              <w:t> </w:t>
            </w:r>
            <w:r>
              <w:rPr>
                <w:sz w:val="15"/>
              </w:rPr>
              <w:t>Upper respiratory</w:t>
            </w:r>
            <w:r>
              <w:rPr>
                <w:spacing w:val="-39"/>
                <w:sz w:val="15"/>
              </w:rPr>
              <w:t> </w:t>
            </w:r>
            <w:r>
              <w:rPr>
                <w:sz w:val="15"/>
              </w:rPr>
              <w:t>infection</w:t>
            </w:r>
            <w:r>
              <w:rPr>
                <w:position w:val="5"/>
                <w:sz w:val="10"/>
              </w:rPr>
              <w:t>25</w:t>
            </w:r>
          </w:p>
        </w:tc>
        <w:tc>
          <w:tcPr>
            <w:tcW w:w="1219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ind w:left="133"/>
              <w:rPr>
                <w:sz w:val="15"/>
              </w:rPr>
            </w:pPr>
            <w:r>
              <w:rPr>
                <w:w w:val="100"/>
                <w:sz w:val="15"/>
              </w:rPr>
              <w:t>–</w:t>
            </w:r>
          </w:p>
        </w:tc>
      </w:tr>
    </w:tbl>
    <w:p>
      <w:pPr>
        <w:pStyle w:val="BodyText"/>
        <w:spacing w:line="230" w:lineRule="exact"/>
        <w:ind w:left="120"/>
      </w:pPr>
      <w:r>
        <w:rPr/>
        <w:t>Abbreviations:</w:t>
      </w:r>
      <w:r>
        <w:rPr>
          <w:spacing w:val="-5"/>
        </w:rPr>
        <w:t> </w:t>
      </w:r>
      <w:r>
        <w:rPr/>
        <w:t>ASM,</w:t>
      </w:r>
      <w:r>
        <w:rPr>
          <w:spacing w:val="-5"/>
        </w:rPr>
        <w:t> </w:t>
      </w:r>
      <w:r>
        <w:rPr/>
        <w:t>antiseizure</w:t>
      </w:r>
      <w:r>
        <w:rPr>
          <w:spacing w:val="-7"/>
        </w:rPr>
        <w:t> </w:t>
      </w:r>
      <w:r>
        <w:rPr/>
        <w:t>medication.</w:t>
      </w:r>
    </w:p>
    <w:p>
      <w:pPr>
        <w:spacing w:after="0" w:line="230" w:lineRule="exact"/>
        <w:sectPr>
          <w:pgSz w:w="15840" w:h="12240" w:orient="landscape"/>
          <w:pgMar w:header="0" w:footer="1020" w:top="1140" w:bottom="1200" w:left="1320" w:right="400"/>
        </w:sectPr>
      </w:pPr>
    </w:p>
    <w:p>
      <w:pPr>
        <w:pStyle w:val="Heading1"/>
        <w:spacing w:before="64"/>
      </w:pPr>
      <w:bookmarkStart w:name="References" w:id="11"/>
      <w:bookmarkEnd w:id="11"/>
      <w:r>
        <w:rPr>
          <w:b w:val="0"/>
        </w:rPr>
      </w:r>
      <w:r>
        <w:rPr/>
        <w:t>References</w:t>
      </w:r>
    </w:p>
    <w:p>
      <w:pPr>
        <w:pStyle w:val="BodyText"/>
        <w:spacing w:before="9"/>
        <w:rPr>
          <w:rFonts w:ascii="Arial"/>
          <w:b/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995" w:hanging="504"/>
        <w:jc w:val="left"/>
        <w:rPr>
          <w:sz w:val="20"/>
        </w:rPr>
      </w:pPr>
      <w:r>
        <w:rPr>
          <w:sz w:val="20"/>
        </w:rPr>
        <w:t>Berg AT, Kaiser K, Dixon-Salazar T, et al. Seizure burden in severe early-life epilepsy:</w:t>
      </w:r>
      <w:r>
        <w:rPr>
          <w:spacing w:val="-53"/>
          <w:sz w:val="20"/>
        </w:rPr>
        <w:t> </w:t>
      </w:r>
      <w:r>
        <w:rPr>
          <w:sz w:val="20"/>
        </w:rPr>
        <w:t>perspectives</w:t>
      </w:r>
      <w:r>
        <w:rPr>
          <w:spacing w:val="-1"/>
          <w:sz w:val="20"/>
        </w:rPr>
        <w:t> </w:t>
      </w:r>
      <w:r>
        <w:rPr>
          <w:sz w:val="20"/>
        </w:rPr>
        <w:t>from</w:t>
      </w:r>
      <w:r>
        <w:rPr>
          <w:spacing w:val="-2"/>
          <w:sz w:val="20"/>
        </w:rPr>
        <w:t> </w:t>
      </w:r>
      <w:r>
        <w:rPr>
          <w:sz w:val="20"/>
        </w:rPr>
        <w:t>parents.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Epilepsia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Open</w:t>
      </w:r>
      <w:r>
        <w:rPr>
          <w:sz w:val="20"/>
        </w:rPr>
        <w:t>. 2019;4(2):293-301.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335" w:hanging="504"/>
        <w:jc w:val="left"/>
        <w:rPr>
          <w:sz w:val="20"/>
        </w:rPr>
      </w:pPr>
      <w:r>
        <w:rPr>
          <w:sz w:val="20"/>
        </w:rPr>
        <w:t>Berg</w:t>
      </w:r>
      <w:r>
        <w:rPr>
          <w:spacing w:val="-3"/>
          <w:sz w:val="20"/>
        </w:rPr>
        <w:t> </w:t>
      </w:r>
      <w:r>
        <w:rPr>
          <w:sz w:val="20"/>
        </w:rPr>
        <w:t>AT,</w:t>
      </w:r>
      <w:r>
        <w:rPr>
          <w:spacing w:val="-4"/>
          <w:sz w:val="20"/>
        </w:rPr>
        <w:t> </w:t>
      </w:r>
      <w:r>
        <w:rPr>
          <w:sz w:val="20"/>
        </w:rPr>
        <w:t>Gaebler-Spira</w:t>
      </w:r>
      <w:r>
        <w:rPr>
          <w:spacing w:val="-5"/>
          <w:sz w:val="20"/>
        </w:rPr>
        <w:t> </w:t>
      </w:r>
      <w:r>
        <w:rPr>
          <w:sz w:val="20"/>
        </w:rPr>
        <w:t>D,</w:t>
      </w:r>
      <w:r>
        <w:rPr>
          <w:spacing w:val="-2"/>
          <w:sz w:val="20"/>
        </w:rPr>
        <w:t> </w:t>
      </w:r>
      <w:r>
        <w:rPr>
          <w:sz w:val="20"/>
        </w:rPr>
        <w:t>Wilkening</w:t>
      </w:r>
      <w:r>
        <w:rPr>
          <w:spacing w:val="-5"/>
          <w:sz w:val="20"/>
        </w:rPr>
        <w:t> </w:t>
      </w:r>
      <w:r>
        <w:rPr>
          <w:sz w:val="20"/>
        </w:rPr>
        <w:t>G,</w:t>
      </w:r>
      <w:r>
        <w:rPr>
          <w:spacing w:val="-2"/>
          <w:sz w:val="20"/>
        </w:rPr>
        <w:t> </w:t>
      </w:r>
      <w:r>
        <w:rPr>
          <w:sz w:val="20"/>
        </w:rPr>
        <w:t>et</w:t>
      </w:r>
      <w:r>
        <w:rPr>
          <w:spacing w:val="-3"/>
          <w:sz w:val="20"/>
        </w:rPr>
        <w:t> </w:t>
      </w:r>
      <w:r>
        <w:rPr>
          <w:sz w:val="20"/>
        </w:rPr>
        <w:t>al.</w:t>
      </w:r>
      <w:r>
        <w:rPr>
          <w:spacing w:val="-2"/>
          <w:sz w:val="20"/>
        </w:rPr>
        <w:t> </w:t>
      </w:r>
      <w:r>
        <w:rPr>
          <w:sz w:val="20"/>
        </w:rPr>
        <w:t>Nonseizure</w:t>
      </w:r>
      <w:r>
        <w:rPr>
          <w:spacing w:val="-5"/>
          <w:sz w:val="20"/>
        </w:rPr>
        <w:t> </w:t>
      </w:r>
      <w:r>
        <w:rPr>
          <w:sz w:val="20"/>
        </w:rPr>
        <w:t>consequences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Dravet</w:t>
      </w:r>
      <w:r>
        <w:rPr>
          <w:spacing w:val="-4"/>
          <w:sz w:val="20"/>
        </w:rPr>
        <w:t> </w:t>
      </w:r>
      <w:r>
        <w:rPr>
          <w:sz w:val="20"/>
        </w:rPr>
        <w:t>syndrome,</w:t>
      </w:r>
      <w:r>
        <w:rPr>
          <w:spacing w:val="-53"/>
          <w:sz w:val="20"/>
        </w:rPr>
        <w:t> </w:t>
      </w:r>
      <w:r>
        <w:rPr>
          <w:sz w:val="20"/>
        </w:rPr>
        <w:t>KCNQ2-DEE, KCNB1-DEE, Lennox-Gastaut syndrome, ESES: a functional framework.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Epilepsy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Behav</w:t>
      </w:r>
      <w:r>
        <w:rPr>
          <w:sz w:val="20"/>
        </w:rPr>
        <w:t>.</w:t>
      </w:r>
      <w:r>
        <w:rPr>
          <w:spacing w:val="-1"/>
          <w:sz w:val="20"/>
        </w:rPr>
        <w:t> </w:t>
      </w:r>
      <w:r>
        <w:rPr>
          <w:sz w:val="20"/>
        </w:rPr>
        <w:t>2020;111:107287.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176" w:hanging="504"/>
        <w:jc w:val="left"/>
        <w:rPr>
          <w:sz w:val="20"/>
        </w:rPr>
      </w:pPr>
      <w:r>
        <w:rPr>
          <w:sz w:val="20"/>
        </w:rPr>
        <w:t>Brown A, Arpone M, Schneider AL, Micallef S, Anderson VA, Scheffer IE. Cognitive, behavioral,</w:t>
      </w:r>
      <w:r>
        <w:rPr>
          <w:spacing w:val="-54"/>
          <w:sz w:val="20"/>
        </w:rPr>
        <w:t> </w:t>
      </w:r>
      <w:r>
        <w:rPr>
          <w:sz w:val="20"/>
        </w:rPr>
        <w:t>and social functioning in children and adults with Dravet syndrome. </w:t>
      </w:r>
      <w:r>
        <w:rPr>
          <w:rFonts w:ascii="Arial"/>
          <w:i/>
          <w:sz w:val="20"/>
        </w:rPr>
        <w:t>Epilepsy Behav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2020;112:107319.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186" w:hanging="504"/>
        <w:jc w:val="left"/>
        <w:rPr>
          <w:sz w:val="20"/>
        </w:rPr>
      </w:pPr>
      <w:r>
        <w:rPr>
          <w:sz w:val="20"/>
        </w:rPr>
        <w:t>Campbell JD, Whittington MD, Kim CH, VanderVeen GR, Knupp KG, Gammaitoni A. Assessing</w:t>
      </w:r>
      <w:r>
        <w:rPr>
          <w:spacing w:val="-53"/>
          <w:sz w:val="20"/>
        </w:rPr>
        <w:t> </w:t>
      </w:r>
      <w:r>
        <w:rPr>
          <w:sz w:val="20"/>
        </w:rPr>
        <w:t>the impact of caring for a child with Dravet syndrome: results of a caregiver survey. </w:t>
      </w:r>
      <w:r>
        <w:rPr>
          <w:rFonts w:ascii="Arial"/>
          <w:i/>
          <w:sz w:val="20"/>
        </w:rPr>
        <w:t>Epilepsy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Behav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2018;80:152-156.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373" w:hanging="504"/>
        <w:jc w:val="left"/>
        <w:rPr>
          <w:sz w:val="20"/>
        </w:rPr>
      </w:pPr>
      <w:r>
        <w:rPr>
          <w:sz w:val="20"/>
        </w:rPr>
        <w:t>Gallop K, Wild D, Nixon A, Verdian L, Cramer JA. Impact of Lennox-Gastaut syndrome (LGS)</w:t>
      </w:r>
      <w:r>
        <w:rPr>
          <w:spacing w:val="-53"/>
          <w:sz w:val="20"/>
        </w:rPr>
        <w:t> </w:t>
      </w:r>
      <w:r>
        <w:rPr>
          <w:sz w:val="20"/>
        </w:rPr>
        <w:t>on health-related quality of life (HRQL) of patients and caregivers: literature review. </w:t>
      </w:r>
      <w:r>
        <w:rPr>
          <w:rFonts w:ascii="Arial"/>
          <w:i/>
          <w:sz w:val="20"/>
        </w:rPr>
        <w:t>Seizure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2009;18(8):554-558.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141" w:hanging="504"/>
        <w:jc w:val="left"/>
        <w:rPr>
          <w:sz w:val="20"/>
        </w:rPr>
      </w:pPr>
      <w:r>
        <w:rPr>
          <w:sz w:val="20"/>
        </w:rPr>
        <w:t>Gallop K, Wild D, Verdian L, et al. Lennox-Gastaut syndrome (LGS): development of conceptual</w:t>
      </w:r>
      <w:r>
        <w:rPr>
          <w:spacing w:val="-53"/>
          <w:sz w:val="20"/>
        </w:rPr>
        <w:t> </w:t>
      </w:r>
      <w:r>
        <w:rPr>
          <w:sz w:val="20"/>
        </w:rPr>
        <w:t>models of health-related quality of life (HRQL) for caregivers and children. </w:t>
      </w:r>
      <w:r>
        <w:rPr>
          <w:rFonts w:ascii="Arial"/>
          <w:i/>
          <w:sz w:val="20"/>
        </w:rPr>
        <w:t>Seizure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2010;19(1):23-30.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598" w:hanging="504"/>
        <w:jc w:val="left"/>
        <w:rPr>
          <w:sz w:val="20"/>
        </w:rPr>
      </w:pPr>
      <w:r>
        <w:rPr>
          <w:sz w:val="20"/>
        </w:rPr>
        <w:t>Gibson PA. Lennox-Gastaut syndrome: impact on the caregivers and families of patients. </w:t>
      </w:r>
      <w:r>
        <w:rPr>
          <w:rFonts w:ascii="Arial"/>
          <w:i/>
          <w:sz w:val="20"/>
        </w:rPr>
        <w:t>J</w:t>
      </w:r>
      <w:r>
        <w:rPr>
          <w:rFonts w:ascii="Arial"/>
          <w:i/>
          <w:spacing w:val="-54"/>
          <w:sz w:val="20"/>
        </w:rPr>
        <w:t> </w:t>
      </w:r>
      <w:r>
        <w:rPr>
          <w:rFonts w:ascii="Arial"/>
          <w:i/>
          <w:sz w:val="20"/>
        </w:rPr>
        <w:t>Multidiscip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Healthc</w:t>
      </w:r>
      <w:r>
        <w:rPr>
          <w:sz w:val="20"/>
        </w:rPr>
        <w:t>.</w:t>
      </w:r>
      <w:r>
        <w:rPr>
          <w:spacing w:val="-1"/>
          <w:sz w:val="20"/>
        </w:rPr>
        <w:t> </w:t>
      </w:r>
      <w:r>
        <w:rPr>
          <w:sz w:val="20"/>
        </w:rPr>
        <w:t>2014;7:441-448.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409" w:hanging="504"/>
        <w:jc w:val="left"/>
        <w:rPr>
          <w:sz w:val="20"/>
        </w:rPr>
      </w:pPr>
      <w:r>
        <w:rPr>
          <w:sz w:val="20"/>
        </w:rPr>
        <w:t>Jansson JS, Hallböök T, Reilly C. Intellectual functioning and behavior in Dravet syndrome: a</w:t>
      </w:r>
      <w:r>
        <w:rPr>
          <w:spacing w:val="-54"/>
          <w:sz w:val="20"/>
        </w:rPr>
        <w:t> </w:t>
      </w:r>
      <w:r>
        <w:rPr>
          <w:sz w:val="20"/>
        </w:rPr>
        <w:t>systematic</w:t>
      </w:r>
      <w:r>
        <w:rPr>
          <w:spacing w:val="-1"/>
          <w:sz w:val="20"/>
        </w:rPr>
        <w:t> </w:t>
      </w:r>
      <w:r>
        <w:rPr>
          <w:sz w:val="20"/>
        </w:rPr>
        <w:t>review.</w:t>
      </w:r>
      <w:r>
        <w:rPr>
          <w:spacing w:val="-1"/>
          <w:sz w:val="20"/>
        </w:rPr>
        <w:t> </w:t>
      </w:r>
      <w:r>
        <w:rPr>
          <w:rFonts w:ascii="Arial" w:hAnsi="Arial"/>
          <w:i/>
          <w:sz w:val="20"/>
        </w:rPr>
        <w:t>Epilepsy Behav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2020;108:107079.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429" w:hanging="504"/>
        <w:jc w:val="left"/>
        <w:rPr>
          <w:sz w:val="20"/>
        </w:rPr>
      </w:pPr>
      <w:r>
        <w:rPr>
          <w:sz w:val="20"/>
        </w:rPr>
        <w:t>Knupp KG, Scarbro S, Wilkening G, Juarez-Colunga E, Kempe A, Dempsey A. Parental</w:t>
      </w:r>
      <w:r>
        <w:rPr>
          <w:spacing w:val="1"/>
          <w:sz w:val="20"/>
        </w:rPr>
        <w:t> </w:t>
      </w:r>
      <w:r>
        <w:rPr>
          <w:sz w:val="20"/>
        </w:rPr>
        <w:t>perception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comorbidities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children</w:t>
      </w:r>
      <w:r>
        <w:rPr>
          <w:spacing w:val="-6"/>
          <w:sz w:val="20"/>
        </w:rPr>
        <w:t> </w:t>
      </w:r>
      <w:r>
        <w:rPr>
          <w:sz w:val="20"/>
        </w:rPr>
        <w:t>with</w:t>
      </w:r>
      <w:r>
        <w:rPr>
          <w:spacing w:val="-3"/>
          <w:sz w:val="20"/>
        </w:rPr>
        <w:t> </w:t>
      </w:r>
      <w:r>
        <w:rPr>
          <w:sz w:val="20"/>
        </w:rPr>
        <w:t>Dravet</w:t>
      </w:r>
      <w:r>
        <w:rPr>
          <w:spacing w:val="-6"/>
          <w:sz w:val="20"/>
        </w:rPr>
        <w:t> </w:t>
      </w:r>
      <w:r>
        <w:rPr>
          <w:sz w:val="20"/>
        </w:rPr>
        <w:t>syndrome.</w:t>
      </w:r>
      <w:r>
        <w:rPr>
          <w:spacing w:val="-2"/>
          <w:sz w:val="20"/>
        </w:rPr>
        <w:t> </w:t>
      </w:r>
      <w:r>
        <w:rPr>
          <w:rFonts w:ascii="Arial"/>
          <w:i/>
          <w:sz w:val="20"/>
        </w:rPr>
        <w:t>Pediatr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Neurol</w:t>
      </w:r>
      <w:r>
        <w:rPr>
          <w:sz w:val="20"/>
        </w:rPr>
        <w:t>.</w:t>
      </w:r>
      <w:r>
        <w:rPr>
          <w:spacing w:val="-4"/>
          <w:sz w:val="20"/>
        </w:rPr>
        <w:t> </w:t>
      </w:r>
      <w:r>
        <w:rPr>
          <w:sz w:val="20"/>
        </w:rPr>
        <w:t>2017;76:60-65.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153" w:hanging="504"/>
        <w:jc w:val="left"/>
        <w:rPr>
          <w:sz w:val="20"/>
        </w:rPr>
      </w:pPr>
      <w:r>
        <w:rPr>
          <w:sz w:val="20"/>
        </w:rPr>
        <w:t>Lagae L, Brambilla I, Mingorance A, Gibson E, Battersby A. Quality of life and comorbidities</w:t>
      </w:r>
      <w:r>
        <w:rPr>
          <w:spacing w:val="1"/>
          <w:sz w:val="20"/>
        </w:rPr>
        <w:t> </w:t>
      </w:r>
      <w:r>
        <w:rPr>
          <w:sz w:val="20"/>
        </w:rPr>
        <w:t>associated with Dravet syndrome severity: a multinational cohort survey. </w:t>
      </w:r>
      <w:r>
        <w:rPr>
          <w:rFonts w:ascii="Arial"/>
          <w:i/>
          <w:sz w:val="20"/>
        </w:rPr>
        <w:t>Dev Med Child Neurol</w:t>
      </w:r>
      <w:r>
        <w:rPr>
          <w:sz w:val="20"/>
        </w:rPr>
        <w:t>.</w:t>
      </w:r>
      <w:r>
        <w:rPr>
          <w:spacing w:val="-53"/>
          <w:sz w:val="20"/>
        </w:rPr>
        <w:t> </w:t>
      </w:r>
      <w:r>
        <w:rPr>
          <w:sz w:val="20"/>
        </w:rPr>
        <w:t>2018;60(1):63-72.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"/>
        </w:numPr>
        <w:tabs>
          <w:tab w:pos="624" w:val="left" w:leader="none"/>
        </w:tabs>
        <w:spacing w:line="240" w:lineRule="auto" w:before="0" w:after="0"/>
        <w:ind w:left="623" w:right="318" w:hanging="504"/>
        <w:jc w:val="both"/>
        <w:rPr>
          <w:sz w:val="20"/>
        </w:rPr>
      </w:pPr>
      <w:r>
        <w:rPr>
          <w:sz w:val="20"/>
        </w:rPr>
        <w:t>Nabbout R, Auvin S, Chiron C, et al. Development and content validation of a preliminary core</w:t>
      </w:r>
      <w:r>
        <w:rPr>
          <w:spacing w:val="-53"/>
          <w:sz w:val="20"/>
        </w:rPr>
        <w:t> </w:t>
      </w:r>
      <w:r>
        <w:rPr>
          <w:sz w:val="20"/>
        </w:rPr>
        <w:t>set of patient- and caregiver-relevant outcomes for inclusion in a potential composite endpoint</w:t>
      </w:r>
      <w:r>
        <w:rPr>
          <w:spacing w:val="-53"/>
          <w:sz w:val="20"/>
        </w:rPr>
        <w:t> </w:t>
      </w:r>
      <w:r>
        <w:rPr>
          <w:sz w:val="20"/>
        </w:rPr>
        <w:t>for</w:t>
      </w:r>
      <w:r>
        <w:rPr>
          <w:spacing w:val="-1"/>
          <w:sz w:val="20"/>
        </w:rPr>
        <w:t> </w:t>
      </w:r>
      <w:r>
        <w:rPr>
          <w:sz w:val="20"/>
        </w:rPr>
        <w:t>Dravet</w:t>
      </w:r>
      <w:r>
        <w:rPr>
          <w:spacing w:val="1"/>
          <w:sz w:val="20"/>
        </w:rPr>
        <w:t> </w:t>
      </w:r>
      <w:r>
        <w:rPr>
          <w:sz w:val="20"/>
        </w:rPr>
        <w:t>Syndrome.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Epilepsy Behav</w:t>
      </w:r>
      <w:r>
        <w:rPr>
          <w:sz w:val="20"/>
        </w:rPr>
        <w:t>. 2018;78:232-242.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320" w:hanging="504"/>
        <w:jc w:val="left"/>
        <w:rPr>
          <w:sz w:val="20"/>
        </w:rPr>
      </w:pPr>
      <w:r>
        <w:rPr>
          <w:sz w:val="20"/>
        </w:rPr>
        <w:t>Nabbout R, Auvin S, Chiron C, et al. Perception of impact of Dravet syndrome on children and</w:t>
      </w:r>
      <w:r>
        <w:rPr>
          <w:spacing w:val="-54"/>
          <w:sz w:val="20"/>
        </w:rPr>
        <w:t> </w:t>
      </w:r>
      <w:r>
        <w:rPr>
          <w:sz w:val="20"/>
        </w:rPr>
        <w:t>caregivers in multiple countries: looking beyond seizures. </w:t>
      </w:r>
      <w:r>
        <w:rPr>
          <w:rFonts w:ascii="Arial"/>
          <w:i/>
          <w:sz w:val="20"/>
        </w:rPr>
        <w:t>Dev Med Child Neurol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2019;61(10):1229-1236.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623" w:hanging="504"/>
        <w:jc w:val="left"/>
        <w:rPr>
          <w:sz w:val="20"/>
        </w:rPr>
      </w:pPr>
      <w:r>
        <w:rPr>
          <w:sz w:val="20"/>
        </w:rPr>
        <w:t>Nabbout</w:t>
      </w:r>
      <w:r>
        <w:rPr>
          <w:spacing w:val="-4"/>
          <w:sz w:val="20"/>
        </w:rPr>
        <w:t> </w:t>
      </w:r>
      <w:r>
        <w:rPr>
          <w:sz w:val="20"/>
        </w:rPr>
        <w:t>R,</w:t>
      </w:r>
      <w:r>
        <w:rPr>
          <w:spacing w:val="-3"/>
          <w:sz w:val="20"/>
        </w:rPr>
        <w:t> </w:t>
      </w:r>
      <w:r>
        <w:rPr>
          <w:sz w:val="20"/>
        </w:rPr>
        <w:t>Dirani</w:t>
      </w:r>
      <w:r>
        <w:rPr>
          <w:spacing w:val="-2"/>
          <w:sz w:val="20"/>
        </w:rPr>
        <w:t> </w:t>
      </w:r>
      <w:r>
        <w:rPr>
          <w:sz w:val="20"/>
        </w:rPr>
        <w:t>M,</w:t>
      </w:r>
      <w:r>
        <w:rPr>
          <w:spacing w:val="-3"/>
          <w:sz w:val="20"/>
        </w:rPr>
        <w:t> </w:t>
      </w:r>
      <w:r>
        <w:rPr>
          <w:sz w:val="20"/>
        </w:rPr>
        <w:t>Teng</w:t>
      </w:r>
      <w:r>
        <w:rPr>
          <w:spacing w:val="-1"/>
          <w:sz w:val="20"/>
        </w:rPr>
        <w:t> </w:t>
      </w:r>
      <w:r>
        <w:rPr>
          <w:sz w:val="20"/>
        </w:rPr>
        <w:t>T,</w:t>
      </w:r>
      <w:r>
        <w:rPr>
          <w:spacing w:val="-3"/>
          <w:sz w:val="20"/>
        </w:rPr>
        <w:t> </w:t>
      </w:r>
      <w:r>
        <w:rPr>
          <w:sz w:val="20"/>
        </w:rPr>
        <w:t>et</w:t>
      </w:r>
      <w:r>
        <w:rPr>
          <w:spacing w:val="-4"/>
          <w:sz w:val="20"/>
        </w:rPr>
        <w:t> </w:t>
      </w:r>
      <w:r>
        <w:rPr>
          <w:sz w:val="20"/>
        </w:rPr>
        <w:t>al.</w:t>
      </w:r>
      <w:r>
        <w:rPr>
          <w:spacing w:val="-3"/>
          <w:sz w:val="20"/>
        </w:rPr>
        <w:t> </w:t>
      </w:r>
      <w:r>
        <w:rPr>
          <w:sz w:val="20"/>
        </w:rPr>
        <w:t>Impact</w:t>
      </w:r>
      <w:r>
        <w:rPr>
          <w:spacing w:val="-1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childhood</w:t>
      </w:r>
      <w:r>
        <w:rPr>
          <w:spacing w:val="-3"/>
          <w:sz w:val="20"/>
        </w:rPr>
        <w:t> </w:t>
      </w:r>
      <w:r>
        <w:rPr>
          <w:sz w:val="20"/>
        </w:rPr>
        <w:t>Dravet</w:t>
      </w:r>
      <w:r>
        <w:rPr>
          <w:spacing w:val="-3"/>
          <w:sz w:val="20"/>
        </w:rPr>
        <w:t> </w:t>
      </w:r>
      <w:r>
        <w:rPr>
          <w:sz w:val="20"/>
        </w:rPr>
        <w:t>syndrome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care</w:t>
      </w:r>
      <w:r>
        <w:rPr>
          <w:spacing w:val="-1"/>
          <w:sz w:val="20"/>
        </w:rPr>
        <w:t> </w:t>
      </w:r>
      <w:r>
        <w:rPr>
          <w:sz w:val="20"/>
        </w:rPr>
        <w:t>givers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patients</w:t>
      </w:r>
      <w:r>
        <w:rPr>
          <w:spacing w:val="-2"/>
          <w:sz w:val="20"/>
        </w:rPr>
        <w:t> </w:t>
      </w:r>
      <w:r>
        <w:rPr>
          <w:sz w:val="20"/>
        </w:rPr>
        <w:t>with DS, a</w:t>
      </w:r>
      <w:r>
        <w:rPr>
          <w:spacing w:val="-3"/>
          <w:sz w:val="20"/>
        </w:rPr>
        <w:t> </w:t>
      </w:r>
      <w:r>
        <w:rPr>
          <w:sz w:val="20"/>
        </w:rPr>
        <w:t>major</w:t>
      </w:r>
      <w:r>
        <w:rPr>
          <w:spacing w:val="-1"/>
          <w:sz w:val="20"/>
        </w:rPr>
        <w:t> </w:t>
      </w:r>
      <w:r>
        <w:rPr>
          <w:sz w:val="20"/>
        </w:rPr>
        <w:t>impact</w:t>
      </w:r>
      <w:r>
        <w:rPr>
          <w:spacing w:val="-2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mothers.</w:t>
      </w:r>
      <w:r>
        <w:rPr>
          <w:spacing w:val="-2"/>
          <w:sz w:val="20"/>
        </w:rPr>
        <w:t> </w:t>
      </w:r>
      <w:r>
        <w:rPr>
          <w:rFonts w:ascii="Arial"/>
          <w:i/>
          <w:sz w:val="20"/>
        </w:rPr>
        <w:t>Epilepsy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Behav</w:t>
      </w:r>
      <w:r>
        <w:rPr>
          <w:sz w:val="20"/>
        </w:rPr>
        <w:t>.</w:t>
      </w:r>
      <w:r>
        <w:rPr>
          <w:spacing w:val="-1"/>
          <w:sz w:val="20"/>
        </w:rPr>
        <w:t> </w:t>
      </w:r>
      <w:r>
        <w:rPr>
          <w:sz w:val="20"/>
        </w:rPr>
        <w:t>2020;108:107094.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396" w:hanging="504"/>
        <w:jc w:val="left"/>
        <w:rPr>
          <w:sz w:val="20"/>
        </w:rPr>
      </w:pPr>
      <w:r>
        <w:rPr>
          <w:sz w:val="20"/>
        </w:rPr>
        <w:t>Sinoo C, de Lange IML, Westers P, Gunning WB, Jongmans MJ, Brilstra EH. Behavior</w:t>
      </w:r>
      <w:r>
        <w:rPr>
          <w:spacing w:val="1"/>
          <w:sz w:val="20"/>
        </w:rPr>
        <w:t> </w:t>
      </w:r>
      <w:r>
        <w:rPr>
          <w:sz w:val="20"/>
        </w:rPr>
        <w:t>problems and health-related quality of life in Dravet syndrome. </w:t>
      </w:r>
      <w:r>
        <w:rPr>
          <w:rFonts w:ascii="Arial"/>
          <w:i/>
          <w:sz w:val="20"/>
        </w:rPr>
        <w:t>Epilepsy Behav</w:t>
      </w:r>
      <w:r>
        <w:rPr>
          <w:sz w:val="20"/>
        </w:rPr>
        <w:t>. 2019;90:217-</w:t>
      </w:r>
      <w:r>
        <w:rPr>
          <w:spacing w:val="-53"/>
          <w:sz w:val="20"/>
        </w:rPr>
        <w:t> </w:t>
      </w:r>
      <w:r>
        <w:rPr>
          <w:sz w:val="20"/>
        </w:rPr>
        <w:t>227.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"/>
        </w:numPr>
        <w:tabs>
          <w:tab w:pos="624" w:val="left" w:leader="none"/>
          <w:tab w:pos="625" w:val="left" w:leader="none"/>
        </w:tabs>
        <w:spacing w:line="240" w:lineRule="auto" w:before="0" w:after="0"/>
        <w:ind w:left="623" w:right="355" w:hanging="504"/>
        <w:jc w:val="left"/>
        <w:rPr>
          <w:sz w:val="20"/>
        </w:rPr>
      </w:pPr>
      <w:r>
        <w:rPr>
          <w:sz w:val="20"/>
        </w:rPr>
        <w:t>Strzelczyk A, Kalski M, Bast T, et al. Burden-of-illness and cost-driving factors in Dravet</w:t>
      </w:r>
      <w:r>
        <w:rPr>
          <w:spacing w:val="1"/>
          <w:sz w:val="20"/>
        </w:rPr>
        <w:t> </w:t>
      </w:r>
      <w:r>
        <w:rPr>
          <w:sz w:val="20"/>
        </w:rPr>
        <w:t>syndrome</w:t>
      </w:r>
      <w:r>
        <w:rPr>
          <w:spacing w:val="-4"/>
          <w:sz w:val="20"/>
        </w:rPr>
        <w:t> </w:t>
      </w:r>
      <w:r>
        <w:rPr>
          <w:sz w:val="20"/>
        </w:rPr>
        <w:t>patients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carers: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prospective,</w:t>
      </w:r>
      <w:r>
        <w:rPr>
          <w:spacing w:val="-4"/>
          <w:sz w:val="20"/>
        </w:rPr>
        <w:t> </w:t>
      </w:r>
      <w:r>
        <w:rPr>
          <w:sz w:val="20"/>
        </w:rPr>
        <w:t>multicenter</w:t>
      </w:r>
      <w:r>
        <w:rPr>
          <w:spacing w:val="-3"/>
          <w:sz w:val="20"/>
        </w:rPr>
        <w:t> </w:t>
      </w:r>
      <w:r>
        <w:rPr>
          <w:sz w:val="20"/>
        </w:rPr>
        <w:t>study</w:t>
      </w:r>
      <w:r>
        <w:rPr>
          <w:spacing w:val="-3"/>
          <w:sz w:val="20"/>
        </w:rPr>
        <w:t> </w:t>
      </w:r>
      <w:r>
        <w:rPr>
          <w:sz w:val="20"/>
        </w:rPr>
        <w:t>from</w:t>
      </w:r>
      <w:r>
        <w:rPr>
          <w:spacing w:val="-2"/>
          <w:sz w:val="20"/>
        </w:rPr>
        <w:t> </w:t>
      </w:r>
      <w:r>
        <w:rPr>
          <w:sz w:val="20"/>
        </w:rPr>
        <w:t>Germany.</w:t>
      </w:r>
      <w:r>
        <w:rPr>
          <w:spacing w:val="-4"/>
          <w:sz w:val="20"/>
        </w:rPr>
        <w:t> </w:t>
      </w:r>
      <w:r>
        <w:rPr>
          <w:rFonts w:ascii="Arial"/>
          <w:i/>
          <w:sz w:val="20"/>
        </w:rPr>
        <w:t>Eur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J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Paediatr</w:t>
      </w:r>
      <w:r>
        <w:rPr>
          <w:rFonts w:ascii="Arial"/>
          <w:i/>
          <w:spacing w:val="-53"/>
          <w:sz w:val="20"/>
        </w:rPr>
        <w:t> </w:t>
      </w:r>
      <w:r>
        <w:rPr>
          <w:rFonts w:ascii="Arial"/>
          <w:i/>
          <w:sz w:val="20"/>
        </w:rPr>
        <w:t>Neurol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2019;23(3):392-403.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122" w:hanging="504"/>
        <w:jc w:val="left"/>
        <w:rPr>
          <w:sz w:val="20"/>
        </w:rPr>
      </w:pPr>
      <w:r>
        <w:rPr>
          <w:sz w:val="20"/>
        </w:rPr>
        <w:t>Villas N, Meskis MA, Goodliffe S. Dravet syndrome: characteristics, comorbidities, and caregiver</w:t>
      </w:r>
      <w:r>
        <w:rPr>
          <w:spacing w:val="-54"/>
          <w:sz w:val="20"/>
        </w:rPr>
        <w:t> </w:t>
      </w:r>
      <w:r>
        <w:rPr>
          <w:sz w:val="20"/>
        </w:rPr>
        <w:t>concerns.</w:t>
      </w:r>
      <w:r>
        <w:rPr>
          <w:spacing w:val="-2"/>
          <w:sz w:val="20"/>
        </w:rPr>
        <w:t> </w:t>
      </w:r>
      <w:r>
        <w:rPr>
          <w:rFonts w:ascii="Arial"/>
          <w:i/>
          <w:sz w:val="20"/>
        </w:rPr>
        <w:t>Epilepsy Behav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2017;74:81-86.</w:t>
      </w:r>
    </w:p>
    <w:p>
      <w:pPr>
        <w:spacing w:after="0" w:line="240" w:lineRule="auto"/>
        <w:jc w:val="left"/>
        <w:rPr>
          <w:sz w:val="20"/>
        </w:rPr>
        <w:sectPr>
          <w:footerReference w:type="default" r:id="rId7"/>
          <w:pgSz w:w="11910" w:h="16840"/>
          <w:pgMar w:footer="1020" w:header="0" w:top="1360" w:bottom="1200" w:left="1320" w:right="1340"/>
        </w:sectPr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107" w:after="0"/>
        <w:ind w:left="623" w:right="466" w:hanging="504"/>
        <w:jc w:val="left"/>
        <w:rPr>
          <w:sz w:val="20"/>
        </w:rPr>
      </w:pPr>
      <w:r>
        <w:rPr>
          <w:sz w:val="20"/>
        </w:rPr>
        <w:t>Balagura</w:t>
      </w:r>
      <w:r>
        <w:rPr>
          <w:spacing w:val="-4"/>
          <w:sz w:val="20"/>
        </w:rPr>
        <w:t> </w:t>
      </w:r>
      <w:r>
        <w:rPr>
          <w:sz w:val="20"/>
        </w:rPr>
        <w:t>G,</w:t>
      </w:r>
      <w:r>
        <w:rPr>
          <w:spacing w:val="-4"/>
          <w:sz w:val="20"/>
        </w:rPr>
        <w:t> </w:t>
      </w:r>
      <w:r>
        <w:rPr>
          <w:sz w:val="20"/>
        </w:rPr>
        <w:t>Riva</w:t>
      </w:r>
      <w:r>
        <w:rPr>
          <w:spacing w:val="-3"/>
          <w:sz w:val="20"/>
        </w:rPr>
        <w:t> </w:t>
      </w:r>
      <w:r>
        <w:rPr>
          <w:sz w:val="20"/>
        </w:rPr>
        <w:t>A,</w:t>
      </w:r>
      <w:r>
        <w:rPr>
          <w:spacing w:val="-4"/>
          <w:sz w:val="20"/>
        </w:rPr>
        <w:t> </w:t>
      </w:r>
      <w:r>
        <w:rPr>
          <w:sz w:val="20"/>
        </w:rPr>
        <w:t>Marchese</w:t>
      </w:r>
      <w:r>
        <w:rPr>
          <w:spacing w:val="-4"/>
          <w:sz w:val="20"/>
        </w:rPr>
        <w:t> </w:t>
      </w:r>
      <w:r>
        <w:rPr>
          <w:sz w:val="20"/>
        </w:rPr>
        <w:t>F,</w:t>
      </w:r>
      <w:r>
        <w:rPr>
          <w:spacing w:val="-3"/>
          <w:sz w:val="20"/>
        </w:rPr>
        <w:t> </w:t>
      </w:r>
      <w:r>
        <w:rPr>
          <w:sz w:val="20"/>
        </w:rPr>
        <w:t>Verrotti</w:t>
      </w:r>
      <w:r>
        <w:rPr>
          <w:spacing w:val="-3"/>
          <w:sz w:val="20"/>
        </w:rPr>
        <w:t> </w:t>
      </w:r>
      <w:r>
        <w:rPr>
          <w:sz w:val="20"/>
        </w:rPr>
        <w:t>A,</w:t>
      </w:r>
      <w:r>
        <w:rPr>
          <w:spacing w:val="-2"/>
          <w:sz w:val="20"/>
        </w:rPr>
        <w:t> </w:t>
      </w:r>
      <w:r>
        <w:rPr>
          <w:sz w:val="20"/>
        </w:rPr>
        <w:t>Striano</w:t>
      </w:r>
      <w:r>
        <w:rPr>
          <w:spacing w:val="-1"/>
          <w:sz w:val="20"/>
        </w:rPr>
        <w:t> </w:t>
      </w:r>
      <w:r>
        <w:rPr>
          <w:sz w:val="20"/>
        </w:rPr>
        <w:t>P.</w:t>
      </w:r>
      <w:r>
        <w:rPr>
          <w:spacing w:val="-2"/>
          <w:sz w:val="20"/>
        </w:rPr>
        <w:t> </w:t>
      </w:r>
      <w:r>
        <w:rPr>
          <w:sz w:val="20"/>
        </w:rPr>
        <w:t>Adjunctive</w:t>
      </w:r>
      <w:r>
        <w:rPr>
          <w:spacing w:val="-4"/>
          <w:sz w:val="20"/>
        </w:rPr>
        <w:t> </w:t>
      </w:r>
      <w:r>
        <w:rPr>
          <w:sz w:val="20"/>
        </w:rPr>
        <w:t>rufinamide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children</w:t>
      </w:r>
      <w:r>
        <w:rPr>
          <w:spacing w:val="-4"/>
          <w:sz w:val="20"/>
        </w:rPr>
        <w:t> </w:t>
      </w:r>
      <w:r>
        <w:rPr>
          <w:sz w:val="20"/>
        </w:rPr>
        <w:t>with</w:t>
      </w:r>
      <w:r>
        <w:rPr>
          <w:spacing w:val="-52"/>
          <w:sz w:val="20"/>
        </w:rPr>
        <w:t> </w:t>
      </w:r>
      <w:r>
        <w:rPr>
          <w:sz w:val="20"/>
        </w:rPr>
        <w:t>Lennox-Gastaut</w:t>
      </w:r>
      <w:r>
        <w:rPr>
          <w:spacing w:val="-4"/>
          <w:sz w:val="20"/>
        </w:rPr>
        <w:t> </w:t>
      </w:r>
      <w:r>
        <w:rPr>
          <w:sz w:val="20"/>
        </w:rPr>
        <w:t>syndrome: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literature</w:t>
      </w:r>
      <w:r>
        <w:rPr>
          <w:spacing w:val="-3"/>
          <w:sz w:val="20"/>
        </w:rPr>
        <w:t> </w:t>
      </w:r>
      <w:r>
        <w:rPr>
          <w:sz w:val="20"/>
        </w:rPr>
        <w:t>review.</w:t>
      </w:r>
      <w:r>
        <w:rPr>
          <w:spacing w:val="-3"/>
          <w:sz w:val="20"/>
        </w:rPr>
        <w:t> </w:t>
      </w:r>
      <w:r>
        <w:rPr>
          <w:rFonts w:ascii="Arial"/>
          <w:i/>
          <w:sz w:val="20"/>
        </w:rPr>
        <w:t>Neuropsychiatr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Treat</w:t>
      </w:r>
      <w:r>
        <w:rPr>
          <w:sz w:val="20"/>
        </w:rPr>
        <w:t>.</w:t>
      </w:r>
      <w:r>
        <w:rPr>
          <w:spacing w:val="-3"/>
          <w:sz w:val="20"/>
        </w:rPr>
        <w:t> </w:t>
      </w:r>
      <w:r>
        <w:rPr>
          <w:sz w:val="20"/>
        </w:rPr>
        <w:t>2020;16:369-379.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595" w:hanging="504"/>
        <w:jc w:val="left"/>
        <w:rPr>
          <w:sz w:val="20"/>
        </w:rPr>
      </w:pPr>
      <w:r>
        <w:rPr>
          <w:sz w:val="20"/>
        </w:rPr>
        <w:t>Bresnahan R, Martin-McGill KJ, Williamson J, Michael BD, Marson AG. Clobazam add-on</w:t>
      </w:r>
      <w:r>
        <w:rPr>
          <w:spacing w:val="1"/>
          <w:sz w:val="20"/>
        </w:rPr>
        <w:t> </w:t>
      </w:r>
      <w:r>
        <w:rPr>
          <w:sz w:val="20"/>
        </w:rPr>
        <w:t>therapy</w:t>
      </w:r>
      <w:r>
        <w:rPr>
          <w:spacing w:val="-5"/>
          <w:sz w:val="20"/>
        </w:rPr>
        <w:t> </w:t>
      </w:r>
      <w:r>
        <w:rPr>
          <w:sz w:val="20"/>
        </w:rPr>
        <w:t>for</w:t>
      </w:r>
      <w:r>
        <w:rPr>
          <w:spacing w:val="-5"/>
          <w:sz w:val="20"/>
        </w:rPr>
        <w:t> </w:t>
      </w:r>
      <w:r>
        <w:rPr>
          <w:sz w:val="20"/>
        </w:rPr>
        <w:t>drug-resistant</w:t>
      </w:r>
      <w:r>
        <w:rPr>
          <w:spacing w:val="-4"/>
          <w:sz w:val="20"/>
        </w:rPr>
        <w:t> </w:t>
      </w:r>
      <w:r>
        <w:rPr>
          <w:sz w:val="20"/>
        </w:rPr>
        <w:t>epilepsy.</w:t>
      </w:r>
      <w:r>
        <w:rPr>
          <w:spacing w:val="-6"/>
          <w:sz w:val="20"/>
        </w:rPr>
        <w:t> </w:t>
      </w:r>
      <w:r>
        <w:rPr>
          <w:rFonts w:ascii="Arial"/>
          <w:i/>
          <w:sz w:val="20"/>
        </w:rPr>
        <w:t>Cochrane</w:t>
      </w:r>
      <w:r>
        <w:rPr>
          <w:rFonts w:ascii="Arial"/>
          <w:i/>
          <w:spacing w:val="-6"/>
          <w:sz w:val="20"/>
        </w:rPr>
        <w:t> </w:t>
      </w:r>
      <w:r>
        <w:rPr>
          <w:rFonts w:ascii="Arial"/>
          <w:i/>
          <w:sz w:val="20"/>
        </w:rPr>
        <w:t>Database</w:t>
      </w:r>
      <w:r>
        <w:rPr>
          <w:rFonts w:ascii="Arial"/>
          <w:i/>
          <w:spacing w:val="-6"/>
          <w:sz w:val="20"/>
        </w:rPr>
        <w:t> </w:t>
      </w:r>
      <w:r>
        <w:rPr>
          <w:rFonts w:ascii="Arial"/>
          <w:i/>
          <w:sz w:val="20"/>
        </w:rPr>
        <w:t>Syst</w:t>
      </w:r>
      <w:r>
        <w:rPr>
          <w:rFonts w:ascii="Arial"/>
          <w:i/>
          <w:spacing w:val="-6"/>
          <w:sz w:val="20"/>
        </w:rPr>
        <w:t> </w:t>
      </w:r>
      <w:r>
        <w:rPr>
          <w:rFonts w:ascii="Arial"/>
          <w:i/>
          <w:sz w:val="20"/>
        </w:rPr>
        <w:t>Rev</w:t>
      </w:r>
      <w:r>
        <w:rPr>
          <w:sz w:val="20"/>
        </w:rPr>
        <w:t>.</w:t>
      </w:r>
      <w:r>
        <w:rPr>
          <w:spacing w:val="-4"/>
          <w:sz w:val="20"/>
        </w:rPr>
        <w:t> </w:t>
      </w:r>
      <w:r>
        <w:rPr>
          <w:sz w:val="20"/>
        </w:rPr>
        <w:t>2019;10(10):CD004154.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575" w:hanging="504"/>
        <w:jc w:val="left"/>
        <w:rPr>
          <w:sz w:val="20"/>
        </w:rPr>
      </w:pPr>
      <w:r>
        <w:rPr>
          <w:sz w:val="20"/>
        </w:rPr>
        <w:t>Bresnahan R, Hounsome J, Jette N, Hutton JL, Marson AG. Topiramate add-on therapy for</w:t>
      </w:r>
      <w:r>
        <w:rPr>
          <w:spacing w:val="-53"/>
          <w:sz w:val="20"/>
        </w:rPr>
        <w:t> </w:t>
      </w:r>
      <w:r>
        <w:rPr>
          <w:sz w:val="20"/>
        </w:rPr>
        <w:t>drug-resistant</w:t>
      </w:r>
      <w:r>
        <w:rPr>
          <w:spacing w:val="-3"/>
          <w:sz w:val="20"/>
        </w:rPr>
        <w:t> </w:t>
      </w:r>
      <w:r>
        <w:rPr>
          <w:sz w:val="20"/>
        </w:rPr>
        <w:t>focal</w:t>
      </w:r>
      <w:r>
        <w:rPr>
          <w:spacing w:val="-4"/>
          <w:sz w:val="20"/>
        </w:rPr>
        <w:t> </w:t>
      </w:r>
      <w:r>
        <w:rPr>
          <w:sz w:val="20"/>
        </w:rPr>
        <w:t>epilepsy.</w:t>
      </w:r>
      <w:r>
        <w:rPr>
          <w:spacing w:val="-3"/>
          <w:sz w:val="20"/>
        </w:rPr>
        <w:t> </w:t>
      </w:r>
      <w:r>
        <w:rPr>
          <w:rFonts w:ascii="Arial"/>
          <w:i/>
          <w:sz w:val="20"/>
        </w:rPr>
        <w:t>Cochrane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Database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Syst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Rev</w:t>
      </w:r>
      <w:r>
        <w:rPr>
          <w:sz w:val="20"/>
        </w:rPr>
        <w:t>.</w:t>
      </w:r>
      <w:r>
        <w:rPr>
          <w:spacing w:val="-3"/>
          <w:sz w:val="20"/>
        </w:rPr>
        <w:t> </w:t>
      </w:r>
      <w:r>
        <w:rPr>
          <w:sz w:val="20"/>
        </w:rPr>
        <w:t>2019;10(10):CD001417.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307" w:hanging="504"/>
        <w:jc w:val="left"/>
        <w:rPr>
          <w:sz w:val="20"/>
        </w:rPr>
      </w:pPr>
      <w:r>
        <w:rPr>
          <w:sz w:val="20"/>
        </w:rPr>
        <w:t>Chen D, Bian H, Zhang L. A meta-analysis of levetiracetam for randomized placebo-controlled</w:t>
      </w:r>
      <w:r>
        <w:rPr>
          <w:spacing w:val="-53"/>
          <w:sz w:val="20"/>
        </w:rPr>
        <w:t> </w:t>
      </w:r>
      <w:r>
        <w:rPr>
          <w:sz w:val="20"/>
        </w:rPr>
        <w:t>trials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patients</w:t>
      </w:r>
      <w:r>
        <w:rPr>
          <w:spacing w:val="-2"/>
          <w:sz w:val="20"/>
        </w:rPr>
        <w:t> </w:t>
      </w:r>
      <w:r>
        <w:rPr>
          <w:sz w:val="20"/>
        </w:rPr>
        <w:t>with refractory</w:t>
      </w:r>
      <w:r>
        <w:rPr>
          <w:spacing w:val="-2"/>
          <w:sz w:val="20"/>
        </w:rPr>
        <w:t> </w:t>
      </w:r>
      <w:r>
        <w:rPr>
          <w:sz w:val="20"/>
        </w:rPr>
        <w:t>epilepsy.</w:t>
      </w:r>
      <w:r>
        <w:rPr>
          <w:spacing w:val="-2"/>
          <w:sz w:val="20"/>
        </w:rPr>
        <w:t> </w:t>
      </w:r>
      <w:r>
        <w:rPr>
          <w:rFonts w:ascii="Arial"/>
          <w:i/>
          <w:sz w:val="20"/>
        </w:rPr>
        <w:t>Neuropsychiatr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Treat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2019;15:905-917.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222" w:hanging="504"/>
        <w:jc w:val="left"/>
        <w:rPr>
          <w:sz w:val="20"/>
        </w:rPr>
      </w:pPr>
      <w:r>
        <w:rPr>
          <w:sz w:val="20"/>
        </w:rPr>
        <w:t>Dozières-Puyravel B, Auvin S. An evidence-based review on the use of perampanel for the</w:t>
      </w:r>
      <w:r>
        <w:rPr>
          <w:spacing w:val="1"/>
          <w:sz w:val="20"/>
        </w:rPr>
        <w:t> </w:t>
      </w:r>
      <w:r>
        <w:rPr>
          <w:sz w:val="20"/>
        </w:rPr>
        <w:t>treatment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focal-onset</w:t>
      </w:r>
      <w:r>
        <w:rPr>
          <w:spacing w:val="-6"/>
          <w:sz w:val="20"/>
        </w:rPr>
        <w:t> </w:t>
      </w:r>
      <w:r>
        <w:rPr>
          <w:sz w:val="20"/>
        </w:rPr>
        <w:t>seizures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6"/>
          <w:sz w:val="20"/>
        </w:rPr>
        <w:t> </w:t>
      </w:r>
      <w:r>
        <w:rPr>
          <w:sz w:val="20"/>
        </w:rPr>
        <w:t>pediatric</w:t>
      </w:r>
      <w:r>
        <w:rPr>
          <w:spacing w:val="-4"/>
          <w:sz w:val="20"/>
        </w:rPr>
        <w:t> </w:t>
      </w:r>
      <w:r>
        <w:rPr>
          <w:sz w:val="20"/>
        </w:rPr>
        <w:t>patients.</w:t>
      </w:r>
      <w:r>
        <w:rPr>
          <w:spacing w:val="-3"/>
          <w:sz w:val="20"/>
        </w:rPr>
        <w:t> </w:t>
      </w:r>
      <w:r>
        <w:rPr>
          <w:rFonts w:ascii="Arial" w:hAnsi="Arial"/>
          <w:i/>
          <w:sz w:val="20"/>
        </w:rPr>
        <w:t>Neuropsychiatr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Dis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Treat</w:t>
      </w:r>
      <w:r>
        <w:rPr>
          <w:sz w:val="20"/>
        </w:rPr>
        <w:t>.</w:t>
      </w:r>
      <w:r>
        <w:rPr>
          <w:spacing w:val="-5"/>
          <w:sz w:val="20"/>
        </w:rPr>
        <w:t> </w:t>
      </w:r>
      <w:r>
        <w:rPr>
          <w:sz w:val="20"/>
        </w:rPr>
        <w:t>2019;15:2789-</w:t>
      </w:r>
      <w:r>
        <w:rPr>
          <w:spacing w:val="-52"/>
          <w:sz w:val="20"/>
        </w:rPr>
        <w:t> </w:t>
      </w:r>
      <w:r>
        <w:rPr>
          <w:sz w:val="20"/>
        </w:rPr>
        <w:t>2798.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1063" w:hanging="504"/>
        <w:jc w:val="left"/>
        <w:rPr>
          <w:sz w:val="20"/>
        </w:rPr>
      </w:pPr>
      <w:r>
        <w:rPr>
          <w:sz w:val="20"/>
        </w:rPr>
        <w:t>Elliott J, DeJean D, Clifford T, et al. Cannabis-based products for pediatric epilepsy: a</w:t>
      </w:r>
      <w:r>
        <w:rPr>
          <w:spacing w:val="-53"/>
          <w:sz w:val="20"/>
        </w:rPr>
        <w:t> </w:t>
      </w:r>
      <w:r>
        <w:rPr>
          <w:sz w:val="20"/>
        </w:rPr>
        <w:t>systematic</w:t>
      </w:r>
      <w:r>
        <w:rPr>
          <w:spacing w:val="-1"/>
          <w:sz w:val="20"/>
        </w:rPr>
        <w:t> </w:t>
      </w:r>
      <w:r>
        <w:rPr>
          <w:sz w:val="20"/>
        </w:rPr>
        <w:t>review.</w:t>
      </w:r>
      <w:r>
        <w:rPr>
          <w:spacing w:val="-1"/>
          <w:sz w:val="20"/>
        </w:rPr>
        <w:t> </w:t>
      </w:r>
      <w:r>
        <w:rPr>
          <w:rFonts w:ascii="Arial"/>
          <w:i/>
          <w:sz w:val="20"/>
        </w:rPr>
        <w:t>Epilepsia</w:t>
      </w:r>
      <w:r>
        <w:rPr>
          <w:sz w:val="20"/>
        </w:rPr>
        <w:t>.</w:t>
      </w:r>
      <w:r>
        <w:rPr>
          <w:spacing w:val="-1"/>
          <w:sz w:val="20"/>
        </w:rPr>
        <w:t> </w:t>
      </w:r>
      <w:r>
        <w:rPr>
          <w:sz w:val="20"/>
        </w:rPr>
        <w:t>2019;60(1):6-19.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1" w:after="0"/>
        <w:ind w:left="623" w:right="0" w:hanging="505"/>
        <w:jc w:val="left"/>
        <w:rPr>
          <w:sz w:val="20"/>
        </w:rPr>
      </w:pPr>
      <w:r>
        <w:rPr>
          <w:sz w:val="20"/>
        </w:rPr>
        <w:t>Frampton</w:t>
      </w:r>
      <w:r>
        <w:rPr>
          <w:spacing w:val="-5"/>
          <w:sz w:val="20"/>
        </w:rPr>
        <w:t> </w:t>
      </w:r>
      <w:r>
        <w:rPr>
          <w:sz w:val="20"/>
        </w:rPr>
        <w:t>JE.</w:t>
      </w:r>
      <w:r>
        <w:rPr>
          <w:spacing w:val="-3"/>
          <w:sz w:val="20"/>
        </w:rPr>
        <w:t> </w:t>
      </w:r>
      <w:r>
        <w:rPr>
          <w:sz w:val="20"/>
        </w:rPr>
        <w:t>Stiripentol: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review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Dravet</w:t>
      </w:r>
      <w:r>
        <w:rPr>
          <w:spacing w:val="-2"/>
          <w:sz w:val="20"/>
        </w:rPr>
        <w:t> </w:t>
      </w:r>
      <w:r>
        <w:rPr>
          <w:sz w:val="20"/>
        </w:rPr>
        <w:t>syndrome.</w:t>
      </w:r>
      <w:r>
        <w:rPr>
          <w:spacing w:val="-3"/>
          <w:sz w:val="20"/>
        </w:rPr>
        <w:t> </w:t>
      </w:r>
      <w:r>
        <w:rPr>
          <w:rFonts w:ascii="Arial"/>
          <w:i/>
          <w:sz w:val="20"/>
        </w:rPr>
        <w:t>Drugs</w:t>
      </w:r>
      <w:r>
        <w:rPr>
          <w:sz w:val="20"/>
        </w:rPr>
        <w:t>.</w:t>
      </w:r>
      <w:r>
        <w:rPr>
          <w:spacing w:val="-5"/>
          <w:sz w:val="20"/>
        </w:rPr>
        <w:t> </w:t>
      </w:r>
      <w:r>
        <w:rPr>
          <w:sz w:val="20"/>
        </w:rPr>
        <w:t>2019;79(16):1785-1796.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0" w:hanging="505"/>
        <w:jc w:val="left"/>
        <w:rPr>
          <w:sz w:val="20"/>
        </w:rPr>
      </w:pPr>
      <w:r>
        <w:rPr>
          <w:sz w:val="20"/>
        </w:rPr>
        <w:t>Hoy</w:t>
      </w:r>
      <w:r>
        <w:rPr>
          <w:spacing w:val="-3"/>
          <w:sz w:val="20"/>
        </w:rPr>
        <w:t> </w:t>
      </w:r>
      <w:r>
        <w:rPr>
          <w:sz w:val="20"/>
        </w:rPr>
        <w:t>SM.</w:t>
      </w:r>
      <w:r>
        <w:rPr>
          <w:spacing w:val="-4"/>
          <w:sz w:val="20"/>
        </w:rPr>
        <w:t> </w:t>
      </w:r>
      <w:r>
        <w:rPr>
          <w:sz w:val="20"/>
        </w:rPr>
        <w:t>Topiramate</w:t>
      </w:r>
      <w:r>
        <w:rPr>
          <w:spacing w:val="-2"/>
          <w:sz w:val="20"/>
        </w:rPr>
        <w:t> </w:t>
      </w:r>
      <w:r>
        <w:rPr>
          <w:sz w:val="20"/>
        </w:rPr>
        <w:t>extended</w:t>
      </w:r>
      <w:r>
        <w:rPr>
          <w:spacing w:val="-4"/>
          <w:sz w:val="20"/>
        </w:rPr>
        <w:t> </w:t>
      </w:r>
      <w:r>
        <w:rPr>
          <w:sz w:val="20"/>
        </w:rPr>
        <w:t>release: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review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epilepsy.</w:t>
      </w:r>
      <w:r>
        <w:rPr>
          <w:spacing w:val="-4"/>
          <w:sz w:val="20"/>
        </w:rPr>
        <w:t> </w:t>
      </w:r>
      <w:r>
        <w:rPr>
          <w:rFonts w:ascii="Arial"/>
          <w:i/>
          <w:sz w:val="20"/>
        </w:rPr>
        <w:t>CNS</w:t>
      </w:r>
      <w:r>
        <w:rPr>
          <w:rFonts w:ascii="Arial"/>
          <w:i/>
          <w:spacing w:val="-5"/>
          <w:sz w:val="20"/>
        </w:rPr>
        <w:t> </w:t>
      </w:r>
      <w:r>
        <w:rPr>
          <w:rFonts w:ascii="Arial"/>
          <w:i/>
          <w:sz w:val="20"/>
        </w:rPr>
        <w:t>Drugs</w:t>
      </w:r>
      <w:r>
        <w:rPr>
          <w:sz w:val="20"/>
        </w:rPr>
        <w:t>.</w:t>
      </w:r>
      <w:r>
        <w:rPr>
          <w:spacing w:val="-4"/>
          <w:sz w:val="20"/>
        </w:rPr>
        <w:t> </w:t>
      </w:r>
      <w:r>
        <w:rPr>
          <w:sz w:val="20"/>
        </w:rPr>
        <w:t>2016;30(6):559-566.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150" w:hanging="504"/>
        <w:jc w:val="left"/>
        <w:rPr>
          <w:sz w:val="20"/>
        </w:rPr>
      </w:pPr>
      <w:r>
        <w:rPr>
          <w:sz w:val="20"/>
        </w:rPr>
        <w:t>Hsu WW, Sing CW, He Y, Worsley AJ, Wong IC, Chan EW. Systematic review and meta-</w:t>
      </w:r>
      <w:r>
        <w:rPr>
          <w:spacing w:val="1"/>
          <w:sz w:val="20"/>
        </w:rPr>
        <w:t> </w:t>
      </w:r>
      <w:r>
        <w:rPr>
          <w:sz w:val="20"/>
        </w:rPr>
        <w:t>analysis of the efficacy and safety of perampanel in the treatment of partial-onset epilepsy. </w:t>
      </w:r>
      <w:r>
        <w:rPr>
          <w:rFonts w:ascii="Arial"/>
          <w:i/>
          <w:sz w:val="20"/>
        </w:rPr>
        <w:t>CNS</w:t>
      </w:r>
      <w:r>
        <w:rPr>
          <w:rFonts w:ascii="Arial"/>
          <w:i/>
          <w:spacing w:val="-53"/>
          <w:sz w:val="20"/>
        </w:rPr>
        <w:t> </w:t>
      </w:r>
      <w:r>
        <w:rPr>
          <w:rFonts w:ascii="Arial"/>
          <w:i/>
          <w:sz w:val="20"/>
        </w:rPr>
        <w:t>Drugs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2013;27(10):817-827.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242" w:hanging="504"/>
        <w:jc w:val="left"/>
        <w:rPr>
          <w:sz w:val="20"/>
        </w:rPr>
      </w:pPr>
      <w:r>
        <w:rPr>
          <w:sz w:val="20"/>
        </w:rPr>
        <w:t>Lattanzi S, Cagnetti C, Foschi N, Provinciali L, Silvestrini M. Brivaracetam add-on for refractory</w:t>
      </w:r>
      <w:r>
        <w:rPr>
          <w:spacing w:val="-53"/>
          <w:sz w:val="20"/>
        </w:rPr>
        <w:t> </w:t>
      </w:r>
      <w:r>
        <w:rPr>
          <w:sz w:val="20"/>
        </w:rPr>
        <w:t>focal</w:t>
      </w:r>
      <w:r>
        <w:rPr>
          <w:spacing w:val="-3"/>
          <w:sz w:val="20"/>
        </w:rPr>
        <w:t> </w:t>
      </w:r>
      <w:r>
        <w:rPr>
          <w:sz w:val="20"/>
        </w:rPr>
        <w:t>epilepsy: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systematic</w:t>
      </w:r>
      <w:r>
        <w:rPr>
          <w:spacing w:val="-3"/>
          <w:sz w:val="20"/>
        </w:rPr>
        <w:t> </w:t>
      </w:r>
      <w:r>
        <w:rPr>
          <w:sz w:val="20"/>
        </w:rPr>
        <w:t>review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meta-analysis.</w:t>
      </w:r>
      <w:r>
        <w:rPr>
          <w:spacing w:val="-2"/>
          <w:sz w:val="20"/>
        </w:rPr>
        <w:t> </w:t>
      </w:r>
      <w:r>
        <w:rPr>
          <w:rFonts w:ascii="Arial"/>
          <w:i/>
          <w:sz w:val="20"/>
        </w:rPr>
        <w:t>Neurology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2016;86(14):1344-1352.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332" w:hanging="504"/>
        <w:jc w:val="left"/>
        <w:rPr>
          <w:sz w:val="20"/>
        </w:rPr>
      </w:pPr>
      <w:r>
        <w:rPr>
          <w:sz w:val="20"/>
        </w:rPr>
        <w:t>Lattanzi S, Brigo F, Trinka E, et al. Efficacy and safety of cannabidiol in epilepsy: a systematic</w:t>
      </w:r>
      <w:r>
        <w:rPr>
          <w:spacing w:val="-54"/>
          <w:sz w:val="20"/>
        </w:rPr>
        <w:t> </w:t>
      </w:r>
      <w:r>
        <w:rPr>
          <w:sz w:val="20"/>
        </w:rPr>
        <w:t>review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meta-analysis. </w:t>
      </w:r>
      <w:r>
        <w:rPr>
          <w:rFonts w:ascii="Arial"/>
          <w:i/>
          <w:sz w:val="20"/>
        </w:rPr>
        <w:t>Drugs</w:t>
      </w:r>
      <w:r>
        <w:rPr>
          <w:sz w:val="20"/>
        </w:rPr>
        <w:t>.</w:t>
      </w:r>
      <w:r>
        <w:rPr>
          <w:spacing w:val="-1"/>
          <w:sz w:val="20"/>
        </w:rPr>
        <w:t> </w:t>
      </w:r>
      <w:r>
        <w:rPr>
          <w:sz w:val="20"/>
        </w:rPr>
        <w:t>2018;78(17):1791-1804.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2" w:right="173" w:hanging="504"/>
        <w:jc w:val="left"/>
        <w:rPr>
          <w:sz w:val="20"/>
        </w:rPr>
      </w:pPr>
      <w:r>
        <w:rPr>
          <w:sz w:val="20"/>
        </w:rPr>
        <w:t>Lattanzi S, Trinka E, Zaccara G, et al. Adjunctive cenobamate for focal-onset seizures in adults: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systematic</w:t>
      </w:r>
      <w:r>
        <w:rPr>
          <w:spacing w:val="-1"/>
          <w:sz w:val="20"/>
        </w:rPr>
        <w:t> </w:t>
      </w:r>
      <w:r>
        <w:rPr>
          <w:sz w:val="20"/>
        </w:rPr>
        <w:t>review</w:t>
      </w:r>
      <w:r>
        <w:rPr>
          <w:spacing w:val="1"/>
          <w:sz w:val="20"/>
        </w:rPr>
        <w:t> </w:t>
      </w:r>
      <w:r>
        <w:rPr>
          <w:sz w:val="20"/>
        </w:rPr>
        <w:t>and meta-analysis.</w:t>
      </w:r>
      <w:r>
        <w:rPr>
          <w:spacing w:val="-2"/>
          <w:sz w:val="20"/>
        </w:rPr>
        <w:t> </w:t>
      </w:r>
      <w:r>
        <w:rPr>
          <w:rFonts w:ascii="Arial"/>
          <w:i/>
          <w:sz w:val="20"/>
        </w:rPr>
        <w:t>CNS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Drugs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2020;34(11):1105-1120.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2"/>
        </w:numPr>
        <w:tabs>
          <w:tab w:pos="622" w:val="left" w:leader="none"/>
          <w:tab w:pos="623" w:val="left" w:leader="none"/>
        </w:tabs>
        <w:spacing w:line="240" w:lineRule="auto" w:before="0" w:after="0"/>
        <w:ind w:left="622" w:right="0" w:hanging="505"/>
        <w:jc w:val="left"/>
        <w:rPr>
          <w:sz w:val="20"/>
        </w:rPr>
      </w:pPr>
      <w:r>
        <w:rPr>
          <w:sz w:val="20"/>
        </w:rPr>
        <w:t>Panebianco</w:t>
      </w:r>
      <w:r>
        <w:rPr>
          <w:spacing w:val="-3"/>
          <w:sz w:val="20"/>
        </w:rPr>
        <w:t> </w:t>
      </w:r>
      <w:r>
        <w:rPr>
          <w:sz w:val="20"/>
        </w:rPr>
        <w:t>M,</w:t>
      </w:r>
      <w:r>
        <w:rPr>
          <w:spacing w:val="-3"/>
          <w:sz w:val="20"/>
        </w:rPr>
        <w:t> </w:t>
      </w:r>
      <w:r>
        <w:rPr>
          <w:sz w:val="20"/>
        </w:rPr>
        <w:t>Prabhakar</w:t>
      </w:r>
      <w:r>
        <w:rPr>
          <w:spacing w:val="-1"/>
          <w:sz w:val="20"/>
        </w:rPr>
        <w:t> </w:t>
      </w:r>
      <w:r>
        <w:rPr>
          <w:sz w:val="20"/>
        </w:rPr>
        <w:t>H,</w:t>
      </w:r>
      <w:r>
        <w:rPr>
          <w:spacing w:val="-5"/>
          <w:sz w:val="20"/>
        </w:rPr>
        <w:t> </w:t>
      </w:r>
      <w:r>
        <w:rPr>
          <w:sz w:val="20"/>
        </w:rPr>
        <w:t>Marson</w:t>
      </w:r>
      <w:r>
        <w:rPr>
          <w:spacing w:val="-2"/>
          <w:sz w:val="20"/>
        </w:rPr>
        <w:t> </w:t>
      </w:r>
      <w:r>
        <w:rPr>
          <w:sz w:val="20"/>
        </w:rPr>
        <w:t>AG.</w:t>
      </w:r>
      <w:r>
        <w:rPr>
          <w:spacing w:val="-5"/>
          <w:sz w:val="20"/>
        </w:rPr>
        <w:t> </w:t>
      </w:r>
      <w:r>
        <w:rPr>
          <w:sz w:val="20"/>
        </w:rPr>
        <w:t>Rufinamide</w:t>
      </w:r>
      <w:r>
        <w:rPr>
          <w:spacing w:val="-2"/>
          <w:sz w:val="20"/>
        </w:rPr>
        <w:t> </w:t>
      </w:r>
      <w:r>
        <w:rPr>
          <w:sz w:val="20"/>
        </w:rPr>
        <w:t>add-on</w:t>
      </w:r>
      <w:r>
        <w:rPr>
          <w:spacing w:val="-5"/>
          <w:sz w:val="20"/>
        </w:rPr>
        <w:t> </w:t>
      </w:r>
      <w:r>
        <w:rPr>
          <w:sz w:val="20"/>
        </w:rPr>
        <w:t>therapy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refractory</w:t>
      </w:r>
      <w:r>
        <w:rPr>
          <w:spacing w:val="-4"/>
          <w:sz w:val="20"/>
        </w:rPr>
        <w:t> </w:t>
      </w:r>
      <w:r>
        <w:rPr>
          <w:sz w:val="20"/>
        </w:rPr>
        <w:t>epilepsy.</w:t>
      </w:r>
    </w:p>
    <w:p>
      <w:pPr>
        <w:spacing w:before="1"/>
        <w:ind w:left="622" w:right="0" w:firstLine="0"/>
        <w:jc w:val="left"/>
        <w:rPr>
          <w:sz w:val="20"/>
        </w:rPr>
      </w:pPr>
      <w:r>
        <w:rPr>
          <w:rFonts w:ascii="Arial"/>
          <w:i/>
          <w:sz w:val="20"/>
        </w:rPr>
        <w:t>Cochrane</w:t>
      </w:r>
      <w:r>
        <w:rPr>
          <w:rFonts w:ascii="Arial"/>
          <w:i/>
          <w:spacing w:val="-4"/>
          <w:sz w:val="20"/>
        </w:rPr>
        <w:t> </w:t>
      </w:r>
      <w:r>
        <w:rPr>
          <w:rFonts w:ascii="Arial"/>
          <w:i/>
          <w:sz w:val="20"/>
        </w:rPr>
        <w:t>Database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Syst</w:t>
      </w:r>
      <w:r>
        <w:rPr>
          <w:rFonts w:ascii="Arial"/>
          <w:i/>
          <w:spacing w:val="-6"/>
          <w:sz w:val="20"/>
        </w:rPr>
        <w:t> </w:t>
      </w:r>
      <w:r>
        <w:rPr>
          <w:rFonts w:ascii="Arial"/>
          <w:i/>
          <w:sz w:val="20"/>
        </w:rPr>
        <w:t>Rev</w:t>
      </w:r>
      <w:r>
        <w:rPr>
          <w:sz w:val="20"/>
        </w:rPr>
        <w:t>.</w:t>
      </w:r>
      <w:r>
        <w:rPr>
          <w:spacing w:val="-5"/>
          <w:sz w:val="20"/>
        </w:rPr>
        <w:t> </w:t>
      </w:r>
      <w:r>
        <w:rPr>
          <w:sz w:val="20"/>
        </w:rPr>
        <w:t>2018;4(4):CD011772.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2"/>
        </w:numPr>
        <w:tabs>
          <w:tab w:pos="622" w:val="left" w:leader="none"/>
          <w:tab w:pos="623" w:val="left" w:leader="none"/>
        </w:tabs>
        <w:spacing w:line="240" w:lineRule="auto" w:before="0" w:after="0"/>
        <w:ind w:left="622" w:right="122" w:hanging="504"/>
        <w:jc w:val="left"/>
        <w:rPr>
          <w:sz w:val="20"/>
        </w:rPr>
      </w:pPr>
      <w:r>
        <w:rPr>
          <w:sz w:val="20"/>
        </w:rPr>
        <w:t>Panebianco</w:t>
      </w:r>
      <w:r>
        <w:rPr>
          <w:spacing w:val="-3"/>
          <w:sz w:val="20"/>
        </w:rPr>
        <w:t> </w:t>
      </w:r>
      <w:r>
        <w:rPr>
          <w:sz w:val="20"/>
        </w:rPr>
        <w:t>M,</w:t>
      </w:r>
      <w:r>
        <w:rPr>
          <w:spacing w:val="-3"/>
          <w:sz w:val="20"/>
        </w:rPr>
        <w:t> </w:t>
      </w:r>
      <w:r>
        <w:rPr>
          <w:sz w:val="20"/>
        </w:rPr>
        <w:t>Bresnahan</w:t>
      </w:r>
      <w:r>
        <w:rPr>
          <w:spacing w:val="-2"/>
          <w:sz w:val="20"/>
        </w:rPr>
        <w:t> </w:t>
      </w:r>
      <w:r>
        <w:rPr>
          <w:sz w:val="20"/>
        </w:rPr>
        <w:t>R,</w:t>
      </w:r>
      <w:r>
        <w:rPr>
          <w:spacing w:val="-5"/>
          <w:sz w:val="20"/>
        </w:rPr>
        <w:t> </w:t>
      </w:r>
      <w:r>
        <w:rPr>
          <w:sz w:val="20"/>
        </w:rPr>
        <w:t>Ramaratnam</w:t>
      </w:r>
      <w:r>
        <w:rPr>
          <w:spacing w:val="-2"/>
          <w:sz w:val="20"/>
        </w:rPr>
        <w:t> </w:t>
      </w:r>
      <w:r>
        <w:rPr>
          <w:sz w:val="20"/>
        </w:rPr>
        <w:t>S,</w:t>
      </w:r>
      <w:r>
        <w:rPr>
          <w:spacing w:val="-3"/>
          <w:sz w:val="20"/>
        </w:rPr>
        <w:t> </w:t>
      </w:r>
      <w:r>
        <w:rPr>
          <w:sz w:val="20"/>
        </w:rPr>
        <w:t>Marson</w:t>
      </w:r>
      <w:r>
        <w:rPr>
          <w:spacing w:val="-3"/>
          <w:sz w:val="20"/>
        </w:rPr>
        <w:t> </w:t>
      </w:r>
      <w:r>
        <w:rPr>
          <w:sz w:val="20"/>
        </w:rPr>
        <w:t>AG.</w:t>
      </w:r>
      <w:r>
        <w:rPr>
          <w:spacing w:val="-4"/>
          <w:sz w:val="20"/>
        </w:rPr>
        <w:t> </w:t>
      </w:r>
      <w:r>
        <w:rPr>
          <w:sz w:val="20"/>
        </w:rPr>
        <w:t>Lamotrigine</w:t>
      </w:r>
      <w:r>
        <w:rPr>
          <w:spacing w:val="-3"/>
          <w:sz w:val="20"/>
        </w:rPr>
        <w:t> </w:t>
      </w:r>
      <w:r>
        <w:rPr>
          <w:sz w:val="20"/>
        </w:rPr>
        <w:t>add-on</w:t>
      </w:r>
      <w:r>
        <w:rPr>
          <w:spacing w:val="-4"/>
          <w:sz w:val="20"/>
        </w:rPr>
        <w:t> </w:t>
      </w:r>
      <w:r>
        <w:rPr>
          <w:sz w:val="20"/>
        </w:rPr>
        <w:t>therapy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drug-</w:t>
      </w:r>
      <w:r>
        <w:rPr>
          <w:spacing w:val="-53"/>
          <w:sz w:val="20"/>
        </w:rPr>
        <w:t> </w:t>
      </w:r>
      <w:r>
        <w:rPr>
          <w:sz w:val="20"/>
        </w:rPr>
        <w:t>resistant</w:t>
      </w:r>
      <w:r>
        <w:rPr>
          <w:spacing w:val="-2"/>
          <w:sz w:val="20"/>
        </w:rPr>
        <w:t> </w:t>
      </w:r>
      <w:r>
        <w:rPr>
          <w:sz w:val="20"/>
        </w:rPr>
        <w:t>focal epilepsy.</w:t>
      </w:r>
      <w:r>
        <w:rPr>
          <w:spacing w:val="-2"/>
          <w:sz w:val="20"/>
        </w:rPr>
        <w:t> </w:t>
      </w:r>
      <w:r>
        <w:rPr>
          <w:rFonts w:ascii="Arial"/>
          <w:i/>
          <w:sz w:val="20"/>
        </w:rPr>
        <w:t>Cochrane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Database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Syst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Rev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2020;3(3):CD001909.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622" w:val="left" w:leader="none"/>
          <w:tab w:pos="623" w:val="left" w:leader="none"/>
        </w:tabs>
        <w:spacing w:line="240" w:lineRule="auto" w:before="0" w:after="0"/>
        <w:ind w:left="622" w:right="752" w:hanging="504"/>
        <w:jc w:val="left"/>
        <w:rPr>
          <w:sz w:val="20"/>
        </w:rPr>
      </w:pPr>
      <w:r>
        <w:rPr>
          <w:sz w:val="20"/>
        </w:rPr>
        <w:t>Striano P, McMurray R, Santamarina E, Falip M. Rufinamide for the treatment of Lennox-</w:t>
      </w:r>
      <w:r>
        <w:rPr>
          <w:spacing w:val="-53"/>
          <w:sz w:val="20"/>
        </w:rPr>
        <w:t> </w:t>
      </w:r>
      <w:r>
        <w:rPr>
          <w:sz w:val="20"/>
        </w:rPr>
        <w:t>Gastaut syndrome: evidence from clinical trials and clinical practice. </w:t>
      </w:r>
      <w:r>
        <w:rPr>
          <w:rFonts w:ascii="Arial"/>
          <w:i/>
          <w:sz w:val="20"/>
        </w:rPr>
        <w:t>Epileptic Disord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2018;20(1):13-29.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"/>
        </w:numPr>
        <w:tabs>
          <w:tab w:pos="622" w:val="left" w:leader="none"/>
          <w:tab w:pos="623" w:val="left" w:leader="none"/>
        </w:tabs>
        <w:spacing w:line="240" w:lineRule="auto" w:before="0" w:after="0"/>
        <w:ind w:left="622" w:right="107" w:hanging="504"/>
        <w:jc w:val="left"/>
        <w:rPr>
          <w:sz w:val="20"/>
        </w:rPr>
      </w:pPr>
      <w:r>
        <w:rPr>
          <w:sz w:val="20"/>
        </w:rPr>
        <w:t>Stockings E, Zagic D, Campbell G, et al. Evidence for cannabis and cannabinoids for epilepsy: a</w:t>
      </w:r>
      <w:r>
        <w:rPr>
          <w:spacing w:val="-53"/>
          <w:sz w:val="20"/>
        </w:rPr>
        <w:t> </w:t>
      </w:r>
      <w:r>
        <w:rPr>
          <w:sz w:val="20"/>
        </w:rPr>
        <w:t>systematic review of controlled and observational evidence. </w:t>
      </w:r>
      <w:r>
        <w:rPr>
          <w:rFonts w:ascii="Arial"/>
          <w:i/>
          <w:sz w:val="20"/>
        </w:rPr>
        <w:t>J Neurol Neurosurg Psychiatry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2018;89(7):741-753.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22" w:val="left" w:leader="none"/>
          <w:tab w:pos="623" w:val="left" w:leader="none"/>
        </w:tabs>
        <w:spacing w:line="240" w:lineRule="auto" w:before="0" w:after="0"/>
        <w:ind w:left="622" w:right="142" w:hanging="504"/>
        <w:jc w:val="left"/>
        <w:rPr>
          <w:sz w:val="20"/>
        </w:rPr>
      </w:pPr>
      <w:r>
        <w:rPr>
          <w:sz w:val="20"/>
        </w:rPr>
        <w:t>Trinka E, Tsong W, Toupin S, et al. A systematic review and indirect treatment comparison of</w:t>
      </w:r>
      <w:r>
        <w:rPr>
          <w:spacing w:val="1"/>
          <w:sz w:val="20"/>
        </w:rPr>
        <w:t> </w:t>
      </w:r>
      <w:r>
        <w:rPr>
          <w:sz w:val="20"/>
        </w:rPr>
        <w:t>perampanel versus brivaracetam as adjunctive therapy in patients with focal-onset seizures with</w:t>
      </w:r>
      <w:r>
        <w:rPr>
          <w:spacing w:val="-53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without</w:t>
      </w:r>
      <w:r>
        <w:rPr>
          <w:spacing w:val="-2"/>
          <w:sz w:val="20"/>
        </w:rPr>
        <w:t> </w:t>
      </w:r>
      <w:r>
        <w:rPr>
          <w:sz w:val="20"/>
        </w:rPr>
        <w:t>secondary</w:t>
      </w:r>
      <w:r>
        <w:rPr>
          <w:spacing w:val="-1"/>
          <w:sz w:val="20"/>
        </w:rPr>
        <w:t> </w:t>
      </w:r>
      <w:r>
        <w:rPr>
          <w:sz w:val="20"/>
        </w:rPr>
        <w:t>generalization.</w:t>
      </w:r>
      <w:r>
        <w:rPr>
          <w:spacing w:val="2"/>
          <w:sz w:val="20"/>
        </w:rPr>
        <w:t> </w:t>
      </w:r>
      <w:r>
        <w:rPr>
          <w:rFonts w:ascii="Arial"/>
          <w:i/>
          <w:sz w:val="20"/>
        </w:rPr>
        <w:t>Epilepsy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Res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2020;166:106403.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"/>
        </w:numPr>
        <w:tabs>
          <w:tab w:pos="622" w:val="left" w:leader="none"/>
          <w:tab w:pos="623" w:val="left" w:leader="none"/>
        </w:tabs>
        <w:spacing w:line="240" w:lineRule="auto" w:before="0" w:after="0"/>
        <w:ind w:left="622" w:right="233" w:hanging="504"/>
        <w:jc w:val="left"/>
        <w:rPr>
          <w:sz w:val="20"/>
        </w:rPr>
      </w:pPr>
      <w:r>
        <w:rPr>
          <w:sz w:val="20"/>
        </w:rPr>
        <w:t>Yi ZM, Wen C, Cai T, et al. Levetiracetam for epilepsy: an evidence map of efficacy, safety and</w:t>
      </w:r>
      <w:r>
        <w:rPr>
          <w:spacing w:val="-54"/>
          <w:sz w:val="20"/>
        </w:rPr>
        <w:t> </w:t>
      </w:r>
      <w:r>
        <w:rPr>
          <w:sz w:val="20"/>
        </w:rPr>
        <w:t>economic</w:t>
      </w:r>
      <w:r>
        <w:rPr>
          <w:spacing w:val="-1"/>
          <w:sz w:val="20"/>
        </w:rPr>
        <w:t> </w:t>
      </w:r>
      <w:r>
        <w:rPr>
          <w:sz w:val="20"/>
        </w:rPr>
        <w:t>profiles.</w:t>
      </w:r>
      <w:r>
        <w:rPr>
          <w:spacing w:val="-1"/>
          <w:sz w:val="20"/>
        </w:rPr>
        <w:t> </w:t>
      </w:r>
      <w:r>
        <w:rPr>
          <w:rFonts w:ascii="Arial"/>
          <w:i/>
          <w:sz w:val="20"/>
        </w:rPr>
        <w:t>Neuropsychiatr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Dis Treat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2019;15:1-19.</w:t>
      </w:r>
    </w:p>
    <w:p>
      <w:pPr>
        <w:spacing w:after="0" w:line="240" w:lineRule="auto"/>
        <w:jc w:val="left"/>
        <w:rPr>
          <w:sz w:val="20"/>
        </w:rPr>
        <w:sectPr>
          <w:footerReference w:type="default" r:id="rId8"/>
          <w:pgSz w:w="11910" w:h="16840"/>
          <w:pgMar w:footer="1454" w:header="0" w:top="1580" w:bottom="1640" w:left="1320" w:right="1340"/>
          <w:pgNumType w:start="15"/>
        </w:sectPr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107" w:after="0"/>
        <w:ind w:left="623" w:right="142" w:hanging="504"/>
        <w:jc w:val="left"/>
        <w:rPr>
          <w:sz w:val="20"/>
        </w:rPr>
      </w:pPr>
      <w:r>
        <w:rPr>
          <w:sz w:val="20"/>
        </w:rPr>
        <w:t>Gaston TE, Szaflarski M, Hansen B, Bebin EM, Szaflarski JP, UAB CBD Program. Quality of life</w:t>
      </w:r>
      <w:r>
        <w:rPr>
          <w:spacing w:val="-53"/>
          <w:sz w:val="20"/>
        </w:rPr>
        <w:t> </w:t>
      </w:r>
      <w:r>
        <w:rPr>
          <w:sz w:val="20"/>
        </w:rPr>
        <w:t>in adults enrolled in an open-label study of cannabidiol (CBD) for treatment-resistant epilepsy.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Epilepsy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Behav</w:t>
      </w:r>
      <w:r>
        <w:rPr>
          <w:sz w:val="20"/>
        </w:rPr>
        <w:t>.</w:t>
      </w:r>
      <w:r>
        <w:rPr>
          <w:spacing w:val="-1"/>
          <w:sz w:val="20"/>
        </w:rPr>
        <w:t> </w:t>
      </w:r>
      <w:r>
        <w:rPr>
          <w:sz w:val="20"/>
        </w:rPr>
        <w:t>2019;95:10-17.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24" w:val="left" w:leader="none"/>
          <w:tab w:pos="625" w:val="left" w:leader="none"/>
        </w:tabs>
        <w:spacing w:line="240" w:lineRule="auto" w:before="0" w:after="0"/>
        <w:ind w:left="624" w:right="116" w:hanging="504"/>
        <w:jc w:val="left"/>
        <w:rPr>
          <w:sz w:val="20"/>
        </w:rPr>
      </w:pPr>
      <w:r>
        <w:rPr>
          <w:sz w:val="20"/>
        </w:rPr>
        <w:t>Martin RC, Gaston TE, Thompson M, et al. Cognitive functioning following long-term cannabidiol</w:t>
      </w:r>
      <w:r>
        <w:rPr>
          <w:spacing w:val="-53"/>
          <w:sz w:val="20"/>
        </w:rPr>
        <w:t> </w:t>
      </w:r>
      <w:r>
        <w:rPr>
          <w:sz w:val="20"/>
        </w:rPr>
        <w:t>use</w:t>
      </w:r>
      <w:r>
        <w:rPr>
          <w:spacing w:val="-3"/>
          <w:sz w:val="20"/>
        </w:rPr>
        <w:t> </w:t>
      </w:r>
      <w:r>
        <w:rPr>
          <w:sz w:val="20"/>
        </w:rPr>
        <w:t>in adults</w:t>
      </w:r>
      <w:r>
        <w:rPr>
          <w:spacing w:val="-2"/>
          <w:sz w:val="20"/>
        </w:rPr>
        <w:t> </w:t>
      </w:r>
      <w:r>
        <w:rPr>
          <w:sz w:val="20"/>
        </w:rPr>
        <w:t>with treatment-resistant</w:t>
      </w:r>
      <w:r>
        <w:rPr>
          <w:spacing w:val="-3"/>
          <w:sz w:val="20"/>
        </w:rPr>
        <w:t> </w:t>
      </w:r>
      <w:r>
        <w:rPr>
          <w:sz w:val="20"/>
        </w:rPr>
        <w:t>epilepsy.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Epilepsy</w:t>
      </w:r>
      <w:r>
        <w:rPr>
          <w:rFonts w:ascii="Arial"/>
          <w:i/>
          <w:spacing w:val="-1"/>
          <w:sz w:val="20"/>
        </w:rPr>
        <w:t> </w:t>
      </w:r>
      <w:r>
        <w:rPr>
          <w:rFonts w:ascii="Arial"/>
          <w:i/>
          <w:sz w:val="20"/>
        </w:rPr>
        <w:t>Behav</w:t>
      </w:r>
      <w:r>
        <w:rPr>
          <w:sz w:val="20"/>
        </w:rPr>
        <w:t>.</w:t>
      </w:r>
      <w:r>
        <w:rPr>
          <w:spacing w:val="-1"/>
          <w:sz w:val="20"/>
        </w:rPr>
        <w:t> </w:t>
      </w:r>
      <w:r>
        <w:rPr>
          <w:sz w:val="20"/>
        </w:rPr>
        <w:t>2019;97:105-110.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624" w:val="left" w:leader="none"/>
          <w:tab w:pos="625" w:val="left" w:leader="none"/>
        </w:tabs>
        <w:spacing w:line="240" w:lineRule="auto" w:before="0" w:after="0"/>
        <w:ind w:left="624" w:right="108" w:hanging="504"/>
        <w:jc w:val="left"/>
        <w:rPr>
          <w:sz w:val="20"/>
        </w:rPr>
      </w:pPr>
      <w:r>
        <w:rPr>
          <w:sz w:val="20"/>
        </w:rPr>
        <w:t>Morgan A, Pan J, Bruno P, Geffrey A, Pollack S, Thiele E. Impact of cannabidiol on quality of life</w:t>
      </w:r>
      <w:r>
        <w:rPr>
          <w:spacing w:val="-54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pediatric</w:t>
      </w:r>
      <w:r>
        <w:rPr>
          <w:spacing w:val="1"/>
          <w:sz w:val="20"/>
        </w:rPr>
        <w:t> </w:t>
      </w:r>
      <w:r>
        <w:rPr>
          <w:sz w:val="20"/>
        </w:rPr>
        <w:t>drug</w:t>
      </w:r>
      <w:r>
        <w:rPr>
          <w:spacing w:val="-3"/>
          <w:sz w:val="20"/>
        </w:rPr>
        <w:t> </w:t>
      </w:r>
      <w:r>
        <w:rPr>
          <w:sz w:val="20"/>
        </w:rPr>
        <w:t>resistant</w:t>
      </w:r>
      <w:r>
        <w:rPr>
          <w:spacing w:val="-1"/>
          <w:sz w:val="20"/>
        </w:rPr>
        <w:t> </w:t>
      </w:r>
      <w:r>
        <w:rPr>
          <w:sz w:val="20"/>
        </w:rPr>
        <w:t>epilepsy.</w:t>
      </w:r>
      <w:r>
        <w:rPr>
          <w:spacing w:val="-3"/>
          <w:sz w:val="20"/>
        </w:rPr>
        <w:t> </w:t>
      </w:r>
      <w:r>
        <w:rPr>
          <w:rFonts w:ascii="Arial"/>
          <w:i/>
          <w:sz w:val="20"/>
        </w:rPr>
        <w:t>Epilepsy</w:t>
      </w:r>
      <w:r>
        <w:rPr>
          <w:rFonts w:ascii="Arial"/>
          <w:i/>
          <w:spacing w:val="-3"/>
          <w:sz w:val="20"/>
        </w:rPr>
        <w:t> </w:t>
      </w:r>
      <w:r>
        <w:rPr>
          <w:rFonts w:ascii="Arial"/>
          <w:i/>
          <w:sz w:val="20"/>
        </w:rPr>
        <w:t>Curr</w:t>
      </w:r>
      <w:r>
        <w:rPr>
          <w:sz w:val="20"/>
        </w:rPr>
        <w:t>.</w:t>
      </w:r>
      <w:r>
        <w:rPr>
          <w:spacing w:val="-1"/>
          <w:sz w:val="20"/>
        </w:rPr>
        <w:t> </w:t>
      </w:r>
      <w:r>
        <w:rPr>
          <w:sz w:val="20"/>
        </w:rPr>
        <w:t>2015;15(Suppl.</w:t>
      </w:r>
      <w:r>
        <w:rPr>
          <w:spacing w:val="-1"/>
          <w:sz w:val="20"/>
        </w:rPr>
        <w:t> </w:t>
      </w:r>
      <w:r>
        <w:rPr>
          <w:sz w:val="20"/>
        </w:rPr>
        <w:t>1):370</w:t>
      </w:r>
      <w:r>
        <w:rPr>
          <w:spacing w:val="-3"/>
          <w:sz w:val="20"/>
        </w:rPr>
        <w:t> </w:t>
      </w:r>
      <w:r>
        <w:rPr>
          <w:sz w:val="20"/>
        </w:rPr>
        <w:t>(Abstract</w:t>
      </w:r>
      <w:r>
        <w:rPr>
          <w:spacing w:val="-3"/>
          <w:sz w:val="20"/>
        </w:rPr>
        <w:t> </w:t>
      </w:r>
      <w:r>
        <w:rPr>
          <w:sz w:val="20"/>
        </w:rPr>
        <w:t>2.397).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650" w:hanging="504"/>
        <w:jc w:val="left"/>
        <w:rPr>
          <w:sz w:val="20"/>
        </w:rPr>
      </w:pPr>
      <w:r>
        <w:rPr>
          <w:sz w:val="20"/>
        </w:rPr>
        <w:t>Porter BE, Jacobson C. Report of a parent survey of cannabidiol-enriched cannabis use in</w:t>
      </w:r>
      <w:r>
        <w:rPr>
          <w:spacing w:val="-53"/>
          <w:sz w:val="20"/>
        </w:rPr>
        <w:t> </w:t>
      </w:r>
      <w:r>
        <w:rPr>
          <w:sz w:val="20"/>
        </w:rPr>
        <w:t>pediatric</w:t>
      </w:r>
      <w:r>
        <w:rPr>
          <w:spacing w:val="-2"/>
          <w:sz w:val="20"/>
        </w:rPr>
        <w:t> </w:t>
      </w:r>
      <w:r>
        <w:rPr>
          <w:sz w:val="20"/>
        </w:rPr>
        <w:t>treatment-resistant</w:t>
      </w:r>
      <w:r>
        <w:rPr>
          <w:spacing w:val="-2"/>
          <w:sz w:val="20"/>
        </w:rPr>
        <w:t> </w:t>
      </w:r>
      <w:r>
        <w:rPr>
          <w:sz w:val="20"/>
        </w:rPr>
        <w:t>epilepsy.</w:t>
      </w:r>
      <w:r>
        <w:rPr>
          <w:spacing w:val="-2"/>
          <w:sz w:val="20"/>
        </w:rPr>
        <w:t> </w:t>
      </w:r>
      <w:r>
        <w:rPr>
          <w:rFonts w:ascii="Arial"/>
          <w:i/>
          <w:sz w:val="20"/>
        </w:rPr>
        <w:t>Epilepsy</w:t>
      </w:r>
      <w:r>
        <w:rPr>
          <w:rFonts w:ascii="Arial"/>
          <w:i/>
          <w:spacing w:val="-2"/>
          <w:sz w:val="20"/>
        </w:rPr>
        <w:t> </w:t>
      </w:r>
      <w:r>
        <w:rPr>
          <w:rFonts w:ascii="Arial"/>
          <w:i/>
          <w:sz w:val="20"/>
        </w:rPr>
        <w:t>Behav</w:t>
      </w:r>
      <w:r>
        <w:rPr>
          <w:sz w:val="20"/>
        </w:rPr>
        <w:t>. 2013;29(3):574-577.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131" w:hanging="504"/>
        <w:jc w:val="left"/>
        <w:rPr>
          <w:sz w:val="20"/>
        </w:rPr>
      </w:pPr>
      <w:r>
        <w:rPr>
          <w:sz w:val="20"/>
        </w:rPr>
        <w:t>Press CA, Knupp KG, Chapman KE. Parental reporting of response to oral cannabis extracts for</w:t>
      </w:r>
      <w:r>
        <w:rPr>
          <w:spacing w:val="-54"/>
          <w:sz w:val="20"/>
        </w:rPr>
        <w:t> </w:t>
      </w:r>
      <w:r>
        <w:rPr>
          <w:sz w:val="20"/>
        </w:rPr>
        <w:t>treatment of</w:t>
      </w:r>
      <w:r>
        <w:rPr>
          <w:spacing w:val="-2"/>
          <w:sz w:val="20"/>
        </w:rPr>
        <w:t> </w:t>
      </w:r>
      <w:r>
        <w:rPr>
          <w:sz w:val="20"/>
        </w:rPr>
        <w:t>refractory epilepsy.</w:t>
      </w:r>
      <w:r>
        <w:rPr>
          <w:spacing w:val="-2"/>
          <w:sz w:val="20"/>
        </w:rPr>
        <w:t> </w:t>
      </w:r>
      <w:r>
        <w:rPr>
          <w:rFonts w:ascii="Arial"/>
          <w:i/>
          <w:sz w:val="20"/>
        </w:rPr>
        <w:t>Epilepsy Behav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2015;45:49-52.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1" w:after="0"/>
        <w:ind w:left="623" w:right="117" w:hanging="504"/>
        <w:jc w:val="left"/>
        <w:rPr>
          <w:sz w:val="20"/>
        </w:rPr>
      </w:pPr>
      <w:r>
        <w:rPr>
          <w:sz w:val="20"/>
        </w:rPr>
        <w:t>Rosenberg EC, Louik</w:t>
      </w:r>
      <w:r>
        <w:rPr>
          <w:spacing w:val="2"/>
          <w:sz w:val="20"/>
        </w:rPr>
        <w:t> </w:t>
      </w:r>
      <w:r>
        <w:rPr>
          <w:sz w:val="20"/>
        </w:rPr>
        <w:t>J, Conway</w:t>
      </w:r>
      <w:r>
        <w:rPr>
          <w:spacing w:val="2"/>
          <w:sz w:val="20"/>
        </w:rPr>
        <w:t> </w:t>
      </w:r>
      <w:r>
        <w:rPr>
          <w:sz w:val="20"/>
        </w:rPr>
        <w:t>E,</w:t>
      </w:r>
      <w:r>
        <w:rPr>
          <w:spacing w:val="2"/>
          <w:sz w:val="20"/>
        </w:rPr>
        <w:t> </w:t>
      </w:r>
      <w:r>
        <w:rPr>
          <w:sz w:val="20"/>
        </w:rPr>
        <w:t>Devinsky</w:t>
      </w:r>
      <w:r>
        <w:rPr>
          <w:spacing w:val="2"/>
          <w:sz w:val="20"/>
        </w:rPr>
        <w:t> </w:t>
      </w:r>
      <w:r>
        <w:rPr>
          <w:sz w:val="20"/>
        </w:rPr>
        <w:t>O, Friedman</w:t>
      </w:r>
      <w:r>
        <w:rPr>
          <w:spacing w:val="1"/>
          <w:sz w:val="20"/>
        </w:rPr>
        <w:t> </w:t>
      </w:r>
      <w:r>
        <w:rPr>
          <w:sz w:val="20"/>
        </w:rPr>
        <w:t>D. Quality</w:t>
      </w:r>
      <w:r>
        <w:rPr>
          <w:spacing w:val="4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life</w:t>
      </w:r>
      <w:r>
        <w:rPr>
          <w:spacing w:val="2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childhood</w:t>
      </w:r>
      <w:r>
        <w:rPr>
          <w:spacing w:val="1"/>
          <w:sz w:val="20"/>
        </w:rPr>
        <w:t> </w:t>
      </w:r>
      <w:r>
        <w:rPr>
          <w:sz w:val="20"/>
        </w:rPr>
        <w:t>epilepsy in pediatric patients enrolled in a prospective, open-label clinical study with cannabidiol.</w:t>
      </w:r>
      <w:r>
        <w:rPr>
          <w:spacing w:val="-53"/>
          <w:sz w:val="20"/>
        </w:rPr>
        <w:t> </w:t>
      </w:r>
      <w:r>
        <w:rPr>
          <w:rFonts w:ascii="Arial"/>
          <w:i/>
          <w:sz w:val="20"/>
        </w:rPr>
        <w:t>Epilepsia</w:t>
      </w:r>
      <w:r>
        <w:rPr>
          <w:sz w:val="20"/>
        </w:rPr>
        <w:t>. 2017;58(8):e96-e100.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1" w:after="0"/>
        <w:ind w:left="623" w:right="352" w:hanging="504"/>
        <w:jc w:val="left"/>
        <w:rPr>
          <w:sz w:val="20"/>
        </w:rPr>
      </w:pPr>
      <w:r>
        <w:rPr>
          <w:sz w:val="20"/>
        </w:rPr>
        <w:t>Silvennoinen K, Ritter LM, Nashef L, et al. Two-center experience of cannabidiol use in adults</w:t>
      </w:r>
      <w:r>
        <w:rPr>
          <w:spacing w:val="-53"/>
          <w:sz w:val="20"/>
        </w:rPr>
        <w:t> </w:t>
      </w:r>
      <w:r>
        <w:rPr>
          <w:sz w:val="20"/>
        </w:rPr>
        <w:t>with Dravet</w:t>
      </w:r>
      <w:r>
        <w:rPr>
          <w:spacing w:val="-1"/>
          <w:sz w:val="20"/>
        </w:rPr>
        <w:t> </w:t>
      </w:r>
      <w:r>
        <w:rPr>
          <w:sz w:val="20"/>
        </w:rPr>
        <w:t>syndrome.</w:t>
      </w:r>
      <w:r>
        <w:rPr>
          <w:spacing w:val="2"/>
          <w:sz w:val="20"/>
        </w:rPr>
        <w:t> </w:t>
      </w:r>
      <w:r>
        <w:rPr>
          <w:rFonts w:ascii="Arial"/>
          <w:i/>
          <w:sz w:val="20"/>
        </w:rPr>
        <w:t>Seizure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2021;91:5-8.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177" w:hanging="504"/>
        <w:jc w:val="left"/>
        <w:rPr>
          <w:sz w:val="20"/>
        </w:rPr>
      </w:pPr>
      <w:r>
        <w:rPr>
          <w:sz w:val="20"/>
        </w:rPr>
        <w:t>Thompson</w:t>
      </w:r>
      <w:r>
        <w:rPr>
          <w:spacing w:val="-4"/>
          <w:sz w:val="20"/>
        </w:rPr>
        <w:t> </w:t>
      </w:r>
      <w:r>
        <w:rPr>
          <w:sz w:val="20"/>
        </w:rPr>
        <w:t>MD,</w:t>
      </w:r>
      <w:r>
        <w:rPr>
          <w:spacing w:val="-3"/>
          <w:sz w:val="20"/>
        </w:rPr>
        <w:t> </w:t>
      </w:r>
      <w:r>
        <w:rPr>
          <w:sz w:val="20"/>
        </w:rPr>
        <w:t>Martin</w:t>
      </w:r>
      <w:r>
        <w:rPr>
          <w:spacing w:val="-2"/>
          <w:sz w:val="20"/>
        </w:rPr>
        <w:t> </w:t>
      </w:r>
      <w:r>
        <w:rPr>
          <w:sz w:val="20"/>
        </w:rPr>
        <w:t>RC,</w:t>
      </w:r>
      <w:r>
        <w:rPr>
          <w:spacing w:val="-1"/>
          <w:sz w:val="20"/>
        </w:rPr>
        <w:t> </w:t>
      </w:r>
      <w:r>
        <w:rPr>
          <w:sz w:val="20"/>
        </w:rPr>
        <w:t>Grayson</w:t>
      </w:r>
      <w:r>
        <w:rPr>
          <w:spacing w:val="-3"/>
          <w:sz w:val="20"/>
        </w:rPr>
        <w:t> </w:t>
      </w:r>
      <w:r>
        <w:rPr>
          <w:sz w:val="20"/>
        </w:rPr>
        <w:t>LP,</w:t>
      </w:r>
      <w:r>
        <w:rPr>
          <w:spacing w:val="-2"/>
          <w:sz w:val="20"/>
        </w:rPr>
        <w:t> </w:t>
      </w:r>
      <w:r>
        <w:rPr>
          <w:sz w:val="20"/>
        </w:rPr>
        <w:t>et</w:t>
      </w:r>
      <w:r>
        <w:rPr>
          <w:spacing w:val="-3"/>
          <w:sz w:val="20"/>
        </w:rPr>
        <w:t> </w:t>
      </w:r>
      <w:r>
        <w:rPr>
          <w:sz w:val="20"/>
        </w:rPr>
        <w:t>al.</w:t>
      </w:r>
      <w:r>
        <w:rPr>
          <w:spacing w:val="-3"/>
          <w:sz w:val="20"/>
        </w:rPr>
        <w:t> </w:t>
      </w:r>
      <w:r>
        <w:rPr>
          <w:sz w:val="20"/>
        </w:rPr>
        <w:t>Cognitive</w:t>
      </w:r>
      <w:r>
        <w:rPr>
          <w:spacing w:val="-4"/>
          <w:sz w:val="20"/>
        </w:rPr>
        <w:t> </w:t>
      </w:r>
      <w:r>
        <w:rPr>
          <w:sz w:val="20"/>
        </w:rPr>
        <w:t>function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adaptive</w:t>
      </w:r>
      <w:r>
        <w:rPr>
          <w:spacing w:val="-3"/>
          <w:sz w:val="20"/>
        </w:rPr>
        <w:t> </w:t>
      </w:r>
      <w:r>
        <w:rPr>
          <w:sz w:val="20"/>
        </w:rPr>
        <w:t>skills</w:t>
      </w:r>
      <w:r>
        <w:rPr>
          <w:spacing w:val="-2"/>
          <w:sz w:val="20"/>
        </w:rPr>
        <w:t> </w:t>
      </w:r>
      <w:r>
        <w:rPr>
          <w:sz w:val="20"/>
        </w:rPr>
        <w:t>after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one-</w:t>
      </w:r>
      <w:r>
        <w:rPr>
          <w:spacing w:val="-53"/>
          <w:sz w:val="20"/>
        </w:rPr>
        <w:t> </w:t>
      </w:r>
      <w:r>
        <w:rPr>
          <w:sz w:val="20"/>
        </w:rPr>
        <w:t>year trial of cannabidiol (CBD) in a pediatric sample with treatment-resistant epilepsy. </w:t>
      </w:r>
      <w:r>
        <w:rPr>
          <w:rFonts w:ascii="Arial"/>
          <w:i/>
          <w:sz w:val="20"/>
        </w:rPr>
        <w:t>Epilepsy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Behav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2020;111:107299.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121" w:hanging="504"/>
        <w:jc w:val="left"/>
        <w:rPr>
          <w:sz w:val="20"/>
        </w:rPr>
      </w:pPr>
      <w:r>
        <w:rPr>
          <w:sz w:val="20"/>
        </w:rPr>
        <w:t>Tzadok M, Uliel-Siboni S, Linder I, et al. CBD-enriched medical cannabis for intractable pediatric</w:t>
      </w:r>
      <w:r>
        <w:rPr>
          <w:spacing w:val="-54"/>
          <w:sz w:val="20"/>
        </w:rPr>
        <w:t> </w:t>
      </w:r>
      <w:r>
        <w:rPr>
          <w:sz w:val="20"/>
        </w:rPr>
        <w:t>epilepsy: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current</w:t>
      </w:r>
      <w:r>
        <w:rPr>
          <w:spacing w:val="1"/>
          <w:sz w:val="20"/>
        </w:rPr>
        <w:t> </w:t>
      </w:r>
      <w:r>
        <w:rPr>
          <w:sz w:val="20"/>
        </w:rPr>
        <w:t>Israeli</w:t>
      </w:r>
      <w:r>
        <w:rPr>
          <w:spacing w:val="-1"/>
          <w:sz w:val="20"/>
        </w:rPr>
        <w:t> </w:t>
      </w:r>
      <w:r>
        <w:rPr>
          <w:sz w:val="20"/>
        </w:rPr>
        <w:t>experience.</w:t>
      </w:r>
      <w:r>
        <w:rPr>
          <w:spacing w:val="2"/>
          <w:sz w:val="20"/>
        </w:rPr>
        <w:t> </w:t>
      </w:r>
      <w:r>
        <w:rPr>
          <w:rFonts w:ascii="Arial"/>
          <w:i/>
          <w:sz w:val="20"/>
        </w:rPr>
        <w:t>Seizure</w:t>
      </w:r>
      <w:r>
        <w:rPr>
          <w:sz w:val="20"/>
        </w:rPr>
        <w:t>.</w:t>
      </w:r>
      <w:r>
        <w:rPr>
          <w:spacing w:val="-2"/>
          <w:sz w:val="20"/>
        </w:rPr>
        <w:t> </w:t>
      </w:r>
      <w:r>
        <w:rPr>
          <w:sz w:val="20"/>
        </w:rPr>
        <w:t>2016;35:41-44.</w:t>
      </w:r>
    </w:p>
    <w:p>
      <w:pPr>
        <w:pStyle w:val="BodyText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23" w:val="left" w:leader="none"/>
          <w:tab w:pos="624" w:val="left" w:leader="none"/>
        </w:tabs>
        <w:spacing w:line="240" w:lineRule="auto" w:before="0" w:after="0"/>
        <w:ind w:left="623" w:right="388" w:hanging="504"/>
        <w:jc w:val="left"/>
        <w:rPr>
          <w:sz w:val="20"/>
        </w:rPr>
      </w:pPr>
      <w:r>
        <w:rPr>
          <w:sz w:val="20"/>
        </w:rPr>
        <w:t>Wilson</w:t>
      </w:r>
      <w:r>
        <w:rPr>
          <w:spacing w:val="-4"/>
          <w:sz w:val="20"/>
        </w:rPr>
        <w:t> </w:t>
      </w:r>
      <w:r>
        <w:rPr>
          <w:sz w:val="20"/>
        </w:rPr>
        <w:t>CA,</w:t>
      </w:r>
      <w:r>
        <w:rPr>
          <w:spacing w:val="-2"/>
          <w:sz w:val="20"/>
        </w:rPr>
        <w:t> </w:t>
      </w:r>
      <w:r>
        <w:rPr>
          <w:sz w:val="20"/>
        </w:rPr>
        <w:t>Spigarelli</w:t>
      </w:r>
      <w:r>
        <w:rPr>
          <w:spacing w:val="-2"/>
          <w:sz w:val="20"/>
        </w:rPr>
        <w:t> </w:t>
      </w:r>
      <w:r>
        <w:rPr>
          <w:sz w:val="20"/>
        </w:rPr>
        <w:t>M,</w:t>
      </w:r>
      <w:r>
        <w:rPr>
          <w:spacing w:val="-2"/>
          <w:sz w:val="20"/>
        </w:rPr>
        <w:t> </w:t>
      </w:r>
      <w:r>
        <w:rPr>
          <w:sz w:val="20"/>
        </w:rPr>
        <w:t>Sweney</w:t>
      </w:r>
      <w:r>
        <w:rPr>
          <w:spacing w:val="-2"/>
          <w:sz w:val="20"/>
        </w:rPr>
        <w:t> </w:t>
      </w:r>
      <w:r>
        <w:rPr>
          <w:sz w:val="20"/>
        </w:rPr>
        <w:t>M,</w:t>
      </w:r>
      <w:r>
        <w:rPr>
          <w:spacing w:val="-4"/>
          <w:sz w:val="20"/>
        </w:rPr>
        <w:t> </w:t>
      </w:r>
      <w:r>
        <w:rPr>
          <w:sz w:val="20"/>
        </w:rPr>
        <w:t>et</w:t>
      </w:r>
      <w:r>
        <w:rPr>
          <w:spacing w:val="-2"/>
          <w:sz w:val="20"/>
        </w:rPr>
        <w:t> </w:t>
      </w:r>
      <w:r>
        <w:rPr>
          <w:sz w:val="20"/>
        </w:rPr>
        <w:t>al.</w:t>
      </w:r>
      <w:r>
        <w:rPr>
          <w:spacing w:val="-2"/>
          <w:sz w:val="20"/>
        </w:rPr>
        <w:t> </w:t>
      </w:r>
      <w:r>
        <w:rPr>
          <w:sz w:val="20"/>
        </w:rPr>
        <w:t>Efficacy,</w:t>
      </w:r>
      <w:r>
        <w:rPr>
          <w:spacing w:val="-3"/>
          <w:sz w:val="20"/>
        </w:rPr>
        <w:t> </w:t>
      </w:r>
      <w:r>
        <w:rPr>
          <w:sz w:val="20"/>
        </w:rPr>
        <w:t>adverse</w:t>
      </w:r>
      <w:r>
        <w:rPr>
          <w:spacing w:val="-4"/>
          <w:sz w:val="20"/>
        </w:rPr>
        <w:t> </w:t>
      </w:r>
      <w:r>
        <w:rPr>
          <w:sz w:val="20"/>
        </w:rPr>
        <w:t>effects,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additional</w:t>
      </w:r>
      <w:r>
        <w:rPr>
          <w:spacing w:val="-4"/>
          <w:sz w:val="20"/>
        </w:rPr>
        <w:t> </w:t>
      </w:r>
      <w:r>
        <w:rPr>
          <w:sz w:val="20"/>
        </w:rPr>
        <w:t>benefits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Epidiolex in children and young adults with treatment resistant epilepsy. </w:t>
      </w:r>
      <w:r>
        <w:rPr>
          <w:rFonts w:ascii="Arial"/>
          <w:i/>
          <w:sz w:val="20"/>
        </w:rPr>
        <w:t>Ann Neurol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2015;78(Suppl. 19):180</w:t>
      </w:r>
      <w:r>
        <w:rPr>
          <w:spacing w:val="-1"/>
          <w:sz w:val="20"/>
        </w:rPr>
        <w:t> </w:t>
      </w:r>
      <w:r>
        <w:rPr>
          <w:sz w:val="20"/>
        </w:rPr>
        <w:t>(Abstract</w:t>
      </w:r>
      <w:r>
        <w:rPr>
          <w:spacing w:val="-1"/>
          <w:sz w:val="20"/>
        </w:rPr>
        <w:t> </w:t>
      </w:r>
      <w:r>
        <w:rPr>
          <w:sz w:val="20"/>
        </w:rPr>
        <w:t>50).</w:t>
      </w:r>
    </w:p>
    <w:sectPr>
      <w:pgSz w:w="11910" w:h="16840"/>
      <w:pgMar w:header="0" w:footer="1454" w:top="1580" w:bottom="1640" w:left="132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imSun">
    <w:altName w:val="SimSun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25.840027pt;margin-top:730.023499pt;width:17.2pt;height:13.15pt;mso-position-horizontal-relative:page;mso-position-vertical-relative:page;z-index:-16385536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705.840027pt;margin-top:550.023499pt;width:17.05pt;height:13.15pt;mso-position-horizontal-relative:page;mso-position-vertical-relative:page;z-index:-16385024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11.160004pt;margin-top:779.943481pt;width:13.05pt;height:13.15pt;mso-position-horizontal-relative:page;mso-position-vertical-relative:page;z-index:-16384512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20"/>
                </w:pPr>
                <w:r>
                  <w:rPr/>
                  <w:t>14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09.160004pt;margin-top:758.22345pt;width:17.05pt;height:13.15pt;mso-position-horizontal-relative:page;mso-position-vertical-relative:page;z-index:-16384000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623" w:hanging="504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2" w:hanging="5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45" w:hanging="5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07" w:hanging="5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0" w:hanging="5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33" w:hanging="5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95" w:hanging="5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58" w:hanging="5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21" w:hanging="50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40" w:hanging="360"/>
      </w:pPr>
      <w:rPr>
        <w:rFonts w:hint="default" w:ascii="Symbol" w:hAnsi="Symbol" w:eastAsia="Symbol" w:cs="Symbol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0"/>
      <w:jc w:val="both"/>
      <w:outlineLvl w:val="2"/>
    </w:pPr>
    <w:rPr>
      <w:rFonts w:ascii="Arial" w:hAnsi="Arial" w:eastAsia="Arial" w:cs="Arial"/>
      <w:i/>
      <w:i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9"/>
      <w:ind w:left="120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23" w:hanging="504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5"/>
    </w:pPr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Infusion</dc:creator>
  <dcterms:created xsi:type="dcterms:W3CDTF">2023-06-14T10:02:54Z</dcterms:created>
  <dcterms:modified xsi:type="dcterms:W3CDTF">2023-06-14T10:02:54Z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2023-06-14T00:00:00Z</vt:filetime>
  </property>
</Properties>
</file>