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3EA30A" w14:textId="1942A8EA" w:rsidR="00B30A12" w:rsidRDefault="00C93AC0" w:rsidP="002F794D">
      <w:pPr>
        <w:jc w:val="center"/>
        <w:rPr>
          <w:rFonts w:ascii="Arial" w:hAnsi="Arial" w:cs="Arial"/>
          <w:b/>
          <w:bCs/>
          <w:sz w:val="28"/>
          <w:szCs w:val="28"/>
          <w:u w:val="single"/>
        </w:rPr>
      </w:pPr>
      <w:r w:rsidRPr="0037592A">
        <w:rPr>
          <w:rFonts w:ascii="Arial" w:hAnsi="Arial" w:cs="Arial"/>
          <w:b/>
          <w:bCs/>
          <w:sz w:val="28"/>
          <w:szCs w:val="28"/>
          <w:u w:val="single"/>
        </w:rPr>
        <w:t>Supplemental Materials</w:t>
      </w:r>
    </w:p>
    <w:p w14:paraId="28980A92" w14:textId="77777777" w:rsidR="002F794D" w:rsidRDefault="002F794D" w:rsidP="002F794D">
      <w:pPr>
        <w:jc w:val="center"/>
        <w:rPr>
          <w:rFonts w:cstheme="minorHAnsi"/>
          <w:i/>
          <w:iCs/>
        </w:rPr>
      </w:pPr>
      <w:r w:rsidRPr="0037592A">
        <w:rPr>
          <w:rFonts w:cstheme="minorHAnsi"/>
          <w:i/>
          <w:iCs/>
        </w:rPr>
        <w:t>Altered Functional Connectivity Dynamics Serving Cognitive Flexibility in Regular Cannabis Users</w:t>
      </w:r>
    </w:p>
    <w:p w14:paraId="1D673D76" w14:textId="61E99664" w:rsidR="002F794D" w:rsidRPr="0037592A" w:rsidRDefault="002F794D" w:rsidP="002F794D">
      <w:pPr>
        <w:jc w:val="center"/>
        <w:rPr>
          <w:rFonts w:cstheme="minorHAnsi"/>
          <w:i/>
          <w:iCs/>
        </w:rPr>
      </w:pPr>
      <w:r>
        <w:rPr>
          <w:rFonts w:cstheme="minorHAnsi"/>
          <w:i/>
          <w:iCs/>
        </w:rPr>
        <w:t>Kellen M. McDonald, Mikki Schantell, et al.</w:t>
      </w:r>
    </w:p>
    <w:p w14:paraId="5FA02F3D" w14:textId="77777777" w:rsidR="002F794D" w:rsidRDefault="002F794D" w:rsidP="002F794D">
      <w:pPr>
        <w:rPr>
          <w:rFonts w:ascii="Arial" w:hAnsi="Arial" w:cs="Arial"/>
          <w:b/>
          <w:bCs/>
          <w:sz w:val="28"/>
          <w:szCs w:val="28"/>
          <w:u w:val="single"/>
        </w:rPr>
      </w:pPr>
    </w:p>
    <w:p w14:paraId="69CCEE72" w14:textId="3B7C1393" w:rsidR="002F794D" w:rsidRDefault="002F794D" w:rsidP="002F794D">
      <w:pPr>
        <w:rPr>
          <w:rFonts w:ascii="Arial" w:hAnsi="Arial" w:cs="Arial"/>
          <w:b/>
          <w:bCs/>
          <w:sz w:val="28"/>
          <w:szCs w:val="28"/>
          <w:u w:val="single"/>
        </w:rPr>
      </w:pPr>
      <w:r>
        <w:rPr>
          <w:rFonts w:ascii="Arial" w:hAnsi="Arial" w:cs="Arial"/>
          <w:b/>
          <w:bCs/>
          <w:sz w:val="28"/>
          <w:szCs w:val="28"/>
          <w:u w:val="single"/>
        </w:rPr>
        <w:t>Supplemental Results</w:t>
      </w:r>
    </w:p>
    <w:p w14:paraId="07D6734E" w14:textId="77777777" w:rsidR="002F794D" w:rsidRPr="0037592A" w:rsidRDefault="002F794D" w:rsidP="002F794D">
      <w:pPr>
        <w:rPr>
          <w:rFonts w:ascii="Arial" w:hAnsi="Arial" w:cs="Arial"/>
          <w:b/>
          <w:bCs/>
          <w:sz w:val="12"/>
          <w:szCs w:val="12"/>
          <w:u w:val="single"/>
        </w:rPr>
      </w:pPr>
    </w:p>
    <w:p w14:paraId="7A1FB27A" w14:textId="3104F5CE" w:rsidR="00C93AC0" w:rsidRPr="00C93AC0" w:rsidRDefault="00C93AC0">
      <w:pPr>
        <w:rPr>
          <w:rFonts w:ascii="Calibri" w:hAnsi="Calibri" w:cs="Calibri"/>
          <w:sz w:val="18"/>
          <w:szCs w:val="18"/>
        </w:rPr>
      </w:pPr>
      <w:r w:rsidRPr="00C93AC0">
        <w:rPr>
          <w:rFonts w:ascii="Calibri" w:hAnsi="Calibri" w:cs="Calibri"/>
          <w:noProof/>
          <w:sz w:val="18"/>
          <w:szCs w:val="18"/>
        </w:rPr>
        <w:drawing>
          <wp:inline distT="0" distB="0" distL="0" distR="0" wp14:anchorId="2656B050" wp14:editId="7DEB0E9F">
            <wp:extent cx="5629275" cy="5448068"/>
            <wp:effectExtent l="0" t="0" r="0" b="635"/>
            <wp:docPr id="209094613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46132" name="Picture 1" descr="A screenshot of a computer screen&#10;&#10;Description automatically generated"/>
                    <pic:cNvPicPr/>
                  </pic:nvPicPr>
                  <pic:blipFill rotWithShape="1">
                    <a:blip r:embed="rId4" cstate="print">
                      <a:extLst>
                        <a:ext uri="{28A0092B-C50C-407E-A947-70E740481C1C}">
                          <a14:useLocalDpi xmlns:a14="http://schemas.microsoft.com/office/drawing/2010/main" val="0"/>
                        </a:ext>
                      </a:extLst>
                    </a:blip>
                    <a:srcRect l="3077" r="2208"/>
                    <a:stretch/>
                  </pic:blipFill>
                  <pic:spPr bwMode="auto">
                    <a:xfrm>
                      <a:off x="0" y="0"/>
                      <a:ext cx="5629515" cy="5448300"/>
                    </a:xfrm>
                    <a:prstGeom prst="rect">
                      <a:avLst/>
                    </a:prstGeom>
                    <a:ln>
                      <a:noFill/>
                    </a:ln>
                    <a:extLst>
                      <a:ext uri="{53640926-AAD7-44D8-BBD7-CCE9431645EC}">
                        <a14:shadowObscured xmlns:a14="http://schemas.microsoft.com/office/drawing/2010/main"/>
                      </a:ext>
                    </a:extLst>
                  </pic:spPr>
                </pic:pic>
              </a:graphicData>
            </a:graphic>
          </wp:inline>
        </w:drawing>
      </w:r>
    </w:p>
    <w:p w14:paraId="712CBB3F" w14:textId="77F75886" w:rsidR="00C93AC0" w:rsidRDefault="00C93AC0" w:rsidP="00C93AC0">
      <w:pPr>
        <w:rPr>
          <w:rFonts w:ascii="Calibri" w:hAnsi="Calibri" w:cs="Calibri"/>
          <w:sz w:val="18"/>
          <w:szCs w:val="18"/>
        </w:rPr>
      </w:pPr>
      <w:r w:rsidRPr="00C93AC0">
        <w:rPr>
          <w:rFonts w:ascii="Calibri" w:hAnsi="Calibri" w:cs="Calibri"/>
          <w:b/>
          <w:bCs/>
          <w:sz w:val="18"/>
          <w:szCs w:val="18"/>
        </w:rPr>
        <w:t xml:space="preserve">Supplemental Figure 1. Average beamformer maps </w:t>
      </w:r>
      <w:r w:rsidR="00AD4380">
        <w:rPr>
          <w:rFonts w:ascii="Calibri" w:hAnsi="Calibri" w:cs="Calibri"/>
          <w:b/>
          <w:bCs/>
          <w:sz w:val="18"/>
          <w:szCs w:val="18"/>
        </w:rPr>
        <w:t>per</w:t>
      </w:r>
      <w:r w:rsidRPr="00C93AC0">
        <w:rPr>
          <w:rFonts w:ascii="Calibri" w:hAnsi="Calibri" w:cs="Calibri"/>
          <w:b/>
          <w:bCs/>
          <w:sz w:val="18"/>
          <w:szCs w:val="18"/>
        </w:rPr>
        <w:t xml:space="preserve"> condition and group</w:t>
      </w:r>
      <w:r w:rsidRPr="00C93AC0">
        <w:rPr>
          <w:rFonts w:ascii="Calibri" w:hAnsi="Calibri" w:cs="Calibri"/>
          <w:b/>
          <w:bCs/>
        </w:rPr>
        <w:t>.</w:t>
      </w:r>
      <w:r>
        <w:rPr>
          <w:rFonts w:ascii="Calibri" w:hAnsi="Calibri" w:cs="Calibri"/>
        </w:rPr>
        <w:t xml:space="preserve"> </w:t>
      </w:r>
      <w:r>
        <w:rPr>
          <w:rFonts w:ascii="Calibri" w:hAnsi="Calibri" w:cs="Calibri"/>
          <w:sz w:val="18"/>
          <w:szCs w:val="18"/>
        </w:rPr>
        <w:t>B</w:t>
      </w:r>
      <w:r w:rsidRPr="00C9630E">
        <w:rPr>
          <w:rFonts w:ascii="Calibri" w:hAnsi="Calibri" w:cs="Calibri"/>
          <w:sz w:val="18"/>
          <w:szCs w:val="18"/>
        </w:rPr>
        <w:t xml:space="preserve">eamformer maps for each </w:t>
      </w:r>
      <w:r w:rsidR="00AD4380">
        <w:rPr>
          <w:rFonts w:ascii="Calibri" w:hAnsi="Calibri" w:cs="Calibri"/>
          <w:sz w:val="18"/>
          <w:szCs w:val="18"/>
        </w:rPr>
        <w:t xml:space="preserve">oscillatory response </w:t>
      </w:r>
      <w:r w:rsidRPr="00C9630E">
        <w:rPr>
          <w:rFonts w:ascii="Calibri" w:hAnsi="Calibri" w:cs="Calibri"/>
          <w:sz w:val="18"/>
          <w:szCs w:val="18"/>
        </w:rPr>
        <w:t>window are shown in pseudo-</w:t>
      </w:r>
      <w:r w:rsidRPr="00C9630E">
        <w:rPr>
          <w:rFonts w:ascii="Calibri" w:hAnsi="Calibri" w:cs="Calibri"/>
          <w:i/>
          <w:iCs/>
          <w:sz w:val="18"/>
          <w:szCs w:val="18"/>
        </w:rPr>
        <w:t>t</w:t>
      </w:r>
      <w:r w:rsidRPr="00C9630E">
        <w:rPr>
          <w:rFonts w:ascii="Calibri" w:hAnsi="Calibri" w:cs="Calibri"/>
          <w:sz w:val="18"/>
          <w:szCs w:val="18"/>
        </w:rPr>
        <w:t xml:space="preserve"> units</w:t>
      </w:r>
      <w:r w:rsidR="00340E6E">
        <w:rPr>
          <w:rFonts w:ascii="Calibri" w:hAnsi="Calibri" w:cs="Calibri"/>
          <w:sz w:val="18"/>
          <w:szCs w:val="18"/>
        </w:rPr>
        <w:t>. The top two rows depict beamformer maps averaged across the nonuser group</w:t>
      </w:r>
      <w:r>
        <w:rPr>
          <w:rFonts w:ascii="Calibri" w:hAnsi="Calibri" w:cs="Calibri"/>
          <w:sz w:val="18"/>
          <w:szCs w:val="18"/>
        </w:rPr>
        <w:t xml:space="preserve"> per </w:t>
      </w:r>
      <w:r w:rsidR="00340E6E">
        <w:rPr>
          <w:rFonts w:ascii="Calibri" w:hAnsi="Calibri" w:cs="Calibri"/>
          <w:sz w:val="18"/>
          <w:szCs w:val="18"/>
        </w:rPr>
        <w:t>condition</w:t>
      </w:r>
      <w:r w:rsidR="00AD4380">
        <w:rPr>
          <w:rFonts w:ascii="Calibri" w:hAnsi="Calibri" w:cs="Calibri"/>
          <w:sz w:val="18"/>
          <w:szCs w:val="18"/>
        </w:rPr>
        <w:t>, with the no-switch at the top and the switch condition directly below</w:t>
      </w:r>
      <w:r w:rsidR="00340E6E">
        <w:rPr>
          <w:rFonts w:ascii="Calibri" w:hAnsi="Calibri" w:cs="Calibri"/>
          <w:sz w:val="18"/>
          <w:szCs w:val="18"/>
        </w:rPr>
        <w:t xml:space="preserve">. The bottom two rows show maps averaged across the user </w:t>
      </w:r>
      <w:r>
        <w:rPr>
          <w:rFonts w:ascii="Calibri" w:hAnsi="Calibri" w:cs="Calibri"/>
          <w:sz w:val="18"/>
          <w:szCs w:val="18"/>
        </w:rPr>
        <w:t xml:space="preserve">group </w:t>
      </w:r>
      <w:r w:rsidR="00340E6E">
        <w:rPr>
          <w:rFonts w:ascii="Calibri" w:hAnsi="Calibri" w:cs="Calibri"/>
          <w:sz w:val="18"/>
          <w:szCs w:val="18"/>
        </w:rPr>
        <w:t>per</w:t>
      </w:r>
      <w:r>
        <w:rPr>
          <w:rFonts w:ascii="Calibri" w:hAnsi="Calibri" w:cs="Calibri"/>
          <w:sz w:val="18"/>
          <w:szCs w:val="18"/>
        </w:rPr>
        <w:t xml:space="preserve"> condition</w:t>
      </w:r>
      <w:r w:rsidR="00AD4380">
        <w:rPr>
          <w:rFonts w:ascii="Calibri" w:hAnsi="Calibri" w:cs="Calibri"/>
          <w:sz w:val="18"/>
          <w:szCs w:val="18"/>
        </w:rPr>
        <w:t>, with the no-switch condition again above the switch condition</w:t>
      </w:r>
      <w:r w:rsidRPr="00C9630E">
        <w:rPr>
          <w:rFonts w:ascii="Calibri" w:hAnsi="Calibri" w:cs="Calibri"/>
          <w:sz w:val="18"/>
          <w:szCs w:val="18"/>
        </w:rPr>
        <w:t>.</w:t>
      </w:r>
      <w:r w:rsidR="00AD4380">
        <w:rPr>
          <w:rFonts w:ascii="Calibri" w:hAnsi="Calibri" w:cs="Calibri"/>
          <w:sz w:val="18"/>
          <w:szCs w:val="18"/>
        </w:rPr>
        <w:t xml:space="preserve"> Color scale bars appear to the right of each averaged map.</w:t>
      </w:r>
      <w:r w:rsidR="00340E6E">
        <w:rPr>
          <w:rFonts w:ascii="Calibri" w:hAnsi="Calibri" w:cs="Calibri"/>
          <w:color w:val="0070C0"/>
          <w:sz w:val="18"/>
          <w:szCs w:val="18"/>
        </w:rPr>
        <w:t xml:space="preserve"> </w:t>
      </w:r>
    </w:p>
    <w:p w14:paraId="5EB4C47C" w14:textId="77777777" w:rsidR="00340E6E" w:rsidRDefault="00340E6E" w:rsidP="00C93AC0">
      <w:pPr>
        <w:rPr>
          <w:rFonts w:ascii="Calibri" w:hAnsi="Calibri" w:cs="Calibri"/>
          <w:sz w:val="18"/>
          <w:szCs w:val="18"/>
        </w:rPr>
      </w:pPr>
    </w:p>
    <w:p w14:paraId="2C30D468" w14:textId="78729A53" w:rsidR="00340E6E" w:rsidRDefault="00340E6E" w:rsidP="00C93AC0">
      <w:pPr>
        <w:rPr>
          <w:rFonts w:ascii="Calibri" w:hAnsi="Calibri" w:cs="Calibri"/>
        </w:rPr>
      </w:pPr>
      <w:r>
        <w:rPr>
          <w:rFonts w:ascii="Calibri" w:hAnsi="Calibri" w:cs="Calibri"/>
          <w:noProof/>
        </w:rPr>
        <w:drawing>
          <wp:inline distT="0" distB="0" distL="0" distR="0" wp14:anchorId="4B08DBD8" wp14:editId="60B7ADCF">
            <wp:extent cx="5943600" cy="1802130"/>
            <wp:effectExtent l="0" t="0" r="0" b="0"/>
            <wp:docPr id="1680511660" name="Picture 2" descr="A group of brain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11660" name="Picture 2" descr="A group of brain images&#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802130"/>
                    </a:xfrm>
                    <a:prstGeom prst="rect">
                      <a:avLst/>
                    </a:prstGeom>
                  </pic:spPr>
                </pic:pic>
              </a:graphicData>
            </a:graphic>
          </wp:inline>
        </w:drawing>
      </w:r>
    </w:p>
    <w:p w14:paraId="7222548A" w14:textId="670C1067" w:rsidR="00340E6E" w:rsidRDefault="00340E6E" w:rsidP="00340E6E">
      <w:pPr>
        <w:rPr>
          <w:rFonts w:ascii="Calibri" w:hAnsi="Calibri" w:cs="Calibri"/>
          <w:sz w:val="18"/>
          <w:szCs w:val="18"/>
        </w:rPr>
      </w:pPr>
      <w:r w:rsidRPr="00340E6E">
        <w:rPr>
          <w:rFonts w:ascii="Calibri" w:hAnsi="Calibri" w:cs="Calibri"/>
          <w:b/>
          <w:bCs/>
          <w:sz w:val="18"/>
          <w:szCs w:val="18"/>
        </w:rPr>
        <w:t>Supplemental Figure 2. Whole-brain Correlation Maps.</w:t>
      </w:r>
      <w:r w:rsidRPr="00340E6E">
        <w:rPr>
          <w:rFonts w:ascii="Calibri" w:hAnsi="Calibri" w:cs="Calibri"/>
          <w:sz w:val="18"/>
          <w:szCs w:val="18"/>
        </w:rPr>
        <w:t xml:space="preserve"> The neural coherence switch cost maps </w:t>
      </w:r>
      <w:r>
        <w:rPr>
          <w:rFonts w:ascii="Calibri" w:hAnsi="Calibri" w:cs="Calibri"/>
          <w:sz w:val="18"/>
          <w:szCs w:val="18"/>
        </w:rPr>
        <w:t>were correlated with</w:t>
      </w:r>
      <w:r w:rsidR="00BB4282">
        <w:rPr>
          <w:rFonts w:ascii="Calibri" w:hAnsi="Calibri" w:cs="Calibri"/>
          <w:sz w:val="18"/>
          <w:szCs w:val="18"/>
        </w:rPr>
        <w:t xml:space="preserve"> </w:t>
      </w:r>
      <w:r w:rsidR="00084832">
        <w:rPr>
          <w:rFonts w:ascii="Calibri" w:hAnsi="Calibri" w:cs="Calibri"/>
          <w:sz w:val="18"/>
          <w:szCs w:val="18"/>
        </w:rPr>
        <w:t xml:space="preserve">the reaction time </w:t>
      </w:r>
      <w:r w:rsidR="00BB4282">
        <w:rPr>
          <w:rFonts w:ascii="Calibri" w:hAnsi="Calibri" w:cs="Calibri"/>
          <w:sz w:val="18"/>
          <w:szCs w:val="18"/>
        </w:rPr>
        <w:t>switch cost</w:t>
      </w:r>
      <w:r>
        <w:rPr>
          <w:rFonts w:ascii="Calibri" w:hAnsi="Calibri" w:cs="Calibri"/>
          <w:sz w:val="18"/>
          <w:szCs w:val="18"/>
        </w:rPr>
        <w:t xml:space="preserve"> </w:t>
      </w:r>
      <w:r w:rsidR="00BB4282">
        <w:rPr>
          <w:rFonts w:ascii="Calibri" w:hAnsi="Calibri" w:cs="Calibri"/>
          <w:sz w:val="18"/>
          <w:szCs w:val="18"/>
        </w:rPr>
        <w:t xml:space="preserve">(i.e., reaction time during the no switch condition subtracted from the switch condition). Responses are depicted separately per nonusers (top row) and users (bottom row). The circled brain regions indicate significant areas of activation after </w:t>
      </w:r>
      <w:r w:rsidR="00BB4282" w:rsidRPr="00BB4282">
        <w:rPr>
          <w:rFonts w:ascii="Calibri" w:hAnsi="Calibri" w:cs="Calibri"/>
          <w:sz w:val="18"/>
          <w:szCs w:val="18"/>
        </w:rPr>
        <w:t>Fisher-</w:t>
      </w:r>
      <w:r w:rsidR="00BB4282" w:rsidRPr="00BB4282">
        <w:rPr>
          <w:rFonts w:ascii="Calibri" w:hAnsi="Calibri" w:cs="Calibri"/>
          <w:i/>
          <w:iCs/>
          <w:sz w:val="18"/>
          <w:szCs w:val="18"/>
        </w:rPr>
        <w:t>r</w:t>
      </w:r>
      <w:r w:rsidR="00BB4282" w:rsidRPr="00BB4282">
        <w:rPr>
          <w:rFonts w:ascii="Calibri" w:hAnsi="Calibri" w:cs="Calibri"/>
          <w:sz w:val="18"/>
          <w:szCs w:val="18"/>
        </w:rPr>
        <w:t>-to-</w:t>
      </w:r>
      <w:r w:rsidR="00BB4282" w:rsidRPr="00BB4282">
        <w:rPr>
          <w:rFonts w:ascii="Calibri" w:hAnsi="Calibri" w:cs="Calibri"/>
          <w:i/>
          <w:iCs/>
          <w:sz w:val="18"/>
          <w:szCs w:val="18"/>
        </w:rPr>
        <w:t>z</w:t>
      </w:r>
      <w:r w:rsidR="00BB4282" w:rsidRPr="00BB4282">
        <w:rPr>
          <w:rFonts w:ascii="Calibri" w:hAnsi="Calibri" w:cs="Calibri"/>
          <w:sz w:val="18"/>
          <w:szCs w:val="18"/>
        </w:rPr>
        <w:t xml:space="preserve"> transformations</w:t>
      </w:r>
      <w:r w:rsidR="00BB4282">
        <w:rPr>
          <w:rFonts w:ascii="Calibri" w:hAnsi="Calibri" w:cs="Calibri"/>
          <w:sz w:val="18"/>
          <w:szCs w:val="18"/>
        </w:rPr>
        <w:t xml:space="preserve">. </w:t>
      </w:r>
    </w:p>
    <w:p w14:paraId="01E71867" w14:textId="77777777" w:rsidR="002F794D" w:rsidRDefault="002F794D" w:rsidP="00340E6E">
      <w:pPr>
        <w:rPr>
          <w:rFonts w:ascii="Calibri" w:hAnsi="Calibri" w:cs="Calibri"/>
          <w:sz w:val="18"/>
          <w:szCs w:val="18"/>
        </w:rPr>
      </w:pPr>
    </w:p>
    <w:p w14:paraId="5EB13992" w14:textId="77777777" w:rsidR="002F794D" w:rsidRDefault="002F794D" w:rsidP="00340E6E">
      <w:pPr>
        <w:rPr>
          <w:rFonts w:ascii="Calibri" w:hAnsi="Calibri" w:cs="Calibri"/>
          <w:sz w:val="18"/>
          <w:szCs w:val="18"/>
        </w:rPr>
      </w:pPr>
    </w:p>
    <w:p w14:paraId="38B892BE" w14:textId="08C420AB" w:rsidR="002F794D" w:rsidRPr="0037592A" w:rsidRDefault="002F794D" w:rsidP="00340E6E">
      <w:pPr>
        <w:rPr>
          <w:rFonts w:ascii="Arial" w:hAnsi="Arial" w:cs="Arial"/>
          <w:b/>
          <w:bCs/>
        </w:rPr>
      </w:pPr>
      <w:r w:rsidRPr="0037592A">
        <w:rPr>
          <w:rFonts w:ascii="Arial" w:hAnsi="Arial" w:cs="Arial"/>
          <w:b/>
          <w:bCs/>
        </w:rPr>
        <w:t>Aging Effects:</w:t>
      </w:r>
    </w:p>
    <w:p w14:paraId="0C044E21" w14:textId="54DE25D8" w:rsidR="002F794D" w:rsidRPr="0037592A" w:rsidRDefault="002F794D" w:rsidP="002F794D">
      <w:pPr>
        <w:rPr>
          <w:rFonts w:ascii="Arial" w:hAnsi="Arial" w:cs="Arial"/>
        </w:rPr>
      </w:pPr>
      <w:r w:rsidRPr="0037592A">
        <w:rPr>
          <w:rFonts w:ascii="Arial" w:hAnsi="Arial" w:cs="Arial"/>
        </w:rPr>
        <w:t xml:space="preserve">At the request of a reviewer, we added age to each of our statistical models and recomputed them. There were no main effects or interactions </w:t>
      </w:r>
      <w:r>
        <w:rPr>
          <w:rFonts w:ascii="Arial" w:hAnsi="Arial" w:cs="Arial"/>
        </w:rPr>
        <w:t xml:space="preserve">with age </w:t>
      </w:r>
      <w:r w:rsidRPr="0037592A">
        <w:rPr>
          <w:rFonts w:ascii="Arial" w:hAnsi="Arial" w:cs="Arial"/>
        </w:rPr>
        <w:t>for any of our neural measures. For behavior, only the group-by-age interaction was significant for overall task accuracy (</w:t>
      </w:r>
      <w:r w:rsidR="006522C7" w:rsidRPr="0037592A">
        <w:rPr>
          <w:rFonts w:ascii="Arial" w:hAnsi="Arial" w:cs="Arial"/>
          <w:i/>
          <w:iCs/>
        </w:rPr>
        <w:t>F</w:t>
      </w:r>
      <w:r w:rsidR="006522C7">
        <w:rPr>
          <w:rFonts w:ascii="Arial" w:hAnsi="Arial" w:cs="Arial"/>
          <w:i/>
          <w:iCs/>
        </w:rPr>
        <w:t xml:space="preserve"> </w:t>
      </w:r>
      <w:r w:rsidR="006522C7" w:rsidRPr="0037592A">
        <w:rPr>
          <w:rFonts w:ascii="Arial" w:hAnsi="Arial" w:cs="Arial"/>
        </w:rPr>
        <w:t>= 4.49,</w:t>
      </w:r>
      <w:r w:rsidR="006522C7" w:rsidRPr="0037592A">
        <w:rPr>
          <w:rFonts w:ascii="Arial" w:hAnsi="Arial" w:cs="Arial"/>
          <w:i/>
          <w:iCs/>
        </w:rPr>
        <w:t xml:space="preserve"> p</w:t>
      </w:r>
      <w:r w:rsidR="006522C7">
        <w:rPr>
          <w:rFonts w:ascii="Arial" w:hAnsi="Arial" w:cs="Arial"/>
          <w:i/>
          <w:iCs/>
        </w:rPr>
        <w:t xml:space="preserve"> </w:t>
      </w:r>
      <w:r w:rsidR="006522C7" w:rsidRPr="0037592A">
        <w:rPr>
          <w:rFonts w:ascii="Arial" w:hAnsi="Arial" w:cs="Arial"/>
        </w:rPr>
        <w:t>= .041</w:t>
      </w:r>
      <w:r w:rsidRPr="0037592A">
        <w:rPr>
          <w:rFonts w:ascii="Arial" w:hAnsi="Arial" w:cs="Arial"/>
        </w:rPr>
        <w:t>).</w:t>
      </w:r>
    </w:p>
    <w:p w14:paraId="2C6AAB49" w14:textId="77777777" w:rsidR="002F794D" w:rsidRPr="0037592A" w:rsidRDefault="002F794D" w:rsidP="00340E6E">
      <w:pPr>
        <w:rPr>
          <w:rFonts w:ascii="Arial" w:hAnsi="Arial" w:cs="Arial"/>
        </w:rPr>
      </w:pPr>
    </w:p>
    <w:sectPr w:rsidR="002F794D" w:rsidRPr="003759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AC0"/>
    <w:rsid w:val="000302DA"/>
    <w:rsid w:val="00084832"/>
    <w:rsid w:val="002F794D"/>
    <w:rsid w:val="00340E6E"/>
    <w:rsid w:val="00365F95"/>
    <w:rsid w:val="0037592A"/>
    <w:rsid w:val="00420D7B"/>
    <w:rsid w:val="00431920"/>
    <w:rsid w:val="00492A5C"/>
    <w:rsid w:val="006522C7"/>
    <w:rsid w:val="007C07C7"/>
    <w:rsid w:val="008162E3"/>
    <w:rsid w:val="00AD4380"/>
    <w:rsid w:val="00B30A12"/>
    <w:rsid w:val="00BB4282"/>
    <w:rsid w:val="00C93AC0"/>
    <w:rsid w:val="00DA34FE"/>
    <w:rsid w:val="00DF7172"/>
    <w:rsid w:val="00E22013"/>
    <w:rsid w:val="00E37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D6C2"/>
  <w15:chartTrackingRefBased/>
  <w15:docId w15:val="{0AA8C374-EF8A-4F79-A567-1E58F632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A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A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A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A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A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A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A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A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A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A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A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A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A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A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A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A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A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AC0"/>
    <w:rPr>
      <w:rFonts w:eastAsiaTheme="majorEastAsia" w:cstheme="majorBidi"/>
      <w:color w:val="272727" w:themeColor="text1" w:themeTint="D8"/>
    </w:rPr>
  </w:style>
  <w:style w:type="paragraph" w:styleId="Title">
    <w:name w:val="Title"/>
    <w:basedOn w:val="Normal"/>
    <w:next w:val="Normal"/>
    <w:link w:val="TitleChar"/>
    <w:uiPriority w:val="10"/>
    <w:qFormat/>
    <w:rsid w:val="00C93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A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A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A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AC0"/>
    <w:pPr>
      <w:spacing w:before="160"/>
      <w:jc w:val="center"/>
    </w:pPr>
    <w:rPr>
      <w:i/>
      <w:iCs/>
      <w:color w:val="404040" w:themeColor="text1" w:themeTint="BF"/>
    </w:rPr>
  </w:style>
  <w:style w:type="character" w:customStyle="1" w:styleId="QuoteChar">
    <w:name w:val="Quote Char"/>
    <w:basedOn w:val="DefaultParagraphFont"/>
    <w:link w:val="Quote"/>
    <w:uiPriority w:val="29"/>
    <w:rsid w:val="00C93AC0"/>
    <w:rPr>
      <w:i/>
      <w:iCs/>
      <w:color w:val="404040" w:themeColor="text1" w:themeTint="BF"/>
    </w:rPr>
  </w:style>
  <w:style w:type="paragraph" w:styleId="ListParagraph">
    <w:name w:val="List Paragraph"/>
    <w:basedOn w:val="Normal"/>
    <w:uiPriority w:val="34"/>
    <w:qFormat/>
    <w:rsid w:val="00C93AC0"/>
    <w:pPr>
      <w:ind w:left="720"/>
      <w:contextualSpacing/>
    </w:pPr>
  </w:style>
  <w:style w:type="character" w:styleId="IntenseEmphasis">
    <w:name w:val="Intense Emphasis"/>
    <w:basedOn w:val="DefaultParagraphFont"/>
    <w:uiPriority w:val="21"/>
    <w:qFormat/>
    <w:rsid w:val="00C93AC0"/>
    <w:rPr>
      <w:i/>
      <w:iCs/>
      <w:color w:val="0F4761" w:themeColor="accent1" w:themeShade="BF"/>
    </w:rPr>
  </w:style>
  <w:style w:type="paragraph" w:styleId="IntenseQuote">
    <w:name w:val="Intense Quote"/>
    <w:basedOn w:val="Normal"/>
    <w:next w:val="Normal"/>
    <w:link w:val="IntenseQuoteChar"/>
    <w:uiPriority w:val="30"/>
    <w:qFormat/>
    <w:rsid w:val="00C93A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AC0"/>
    <w:rPr>
      <w:i/>
      <w:iCs/>
      <w:color w:val="0F4761" w:themeColor="accent1" w:themeShade="BF"/>
    </w:rPr>
  </w:style>
  <w:style w:type="character" w:styleId="IntenseReference">
    <w:name w:val="Intense Reference"/>
    <w:basedOn w:val="DefaultParagraphFont"/>
    <w:uiPriority w:val="32"/>
    <w:qFormat/>
    <w:rsid w:val="00C93AC0"/>
    <w:rPr>
      <w:b/>
      <w:bCs/>
      <w:smallCaps/>
      <w:color w:val="0F4761" w:themeColor="accent1" w:themeShade="BF"/>
      <w:spacing w:val="5"/>
    </w:rPr>
  </w:style>
  <w:style w:type="paragraph" w:styleId="Revision">
    <w:name w:val="Revision"/>
    <w:hidden/>
    <w:uiPriority w:val="99"/>
    <w:semiHidden/>
    <w:rsid w:val="002F79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6061871">
      <w:bodyDiv w:val="1"/>
      <w:marLeft w:val="0"/>
      <w:marRight w:val="0"/>
      <w:marTop w:val="0"/>
      <w:marBottom w:val="0"/>
      <w:divBdr>
        <w:top w:val="none" w:sz="0" w:space="0" w:color="auto"/>
        <w:left w:val="none" w:sz="0" w:space="0" w:color="auto"/>
        <w:bottom w:val="none" w:sz="0" w:space="0" w:color="auto"/>
        <w:right w:val="none" w:sz="0" w:space="0" w:color="auto"/>
      </w:divBdr>
    </w:div>
    <w:div w:id="166535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McDonald, Kellen M.</dc:creator>
  <cp:keywords/>
  <dc:description/>
  <cp:lastModifiedBy>Wilson, Tony W.</cp:lastModifiedBy>
  <cp:revision>2</cp:revision>
  <dcterms:created xsi:type="dcterms:W3CDTF">2024-12-10T13:54:00Z</dcterms:created>
  <dcterms:modified xsi:type="dcterms:W3CDTF">2024-12-10T13:54:00Z</dcterms:modified>
</cp:coreProperties>
</file>