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971" w:rsidRPr="008E2AAF" w:rsidRDefault="00266971" w:rsidP="00266971">
      <w:pPr>
        <w:jc w:val="center"/>
        <w:rPr>
          <w:b/>
          <w:bCs/>
          <w:sz w:val="32"/>
          <w:szCs w:val="32"/>
          <w:u w:val="single"/>
        </w:rPr>
      </w:pPr>
      <w:r w:rsidRPr="008E2AAF">
        <w:rPr>
          <w:b/>
          <w:bCs/>
          <w:sz w:val="32"/>
          <w:szCs w:val="32"/>
          <w:u w:val="single"/>
        </w:rPr>
        <w:t>Supplemental Graphs</w:t>
      </w:r>
    </w:p>
    <w:p w:rsidR="00266971" w:rsidRPr="008E2AAF" w:rsidRDefault="00266971" w:rsidP="00266971">
      <w:pPr>
        <w:rPr>
          <w:b/>
          <w:bCs/>
        </w:rPr>
      </w:pPr>
      <w:r w:rsidRPr="008E2AAF">
        <w:rPr>
          <w:b/>
          <w:bCs/>
        </w:rPr>
        <w:t>Supplemental Figure 1.</w:t>
      </w:r>
    </w:p>
    <w:p w:rsidR="00266971" w:rsidRPr="008E2AAF" w:rsidRDefault="00266971" w:rsidP="00266971">
      <w:pPr>
        <w:rPr>
          <w:b/>
          <w:bCs/>
        </w:rPr>
      </w:pPr>
      <w:proofErr w:type="spellStart"/>
      <w:r w:rsidRPr="008E2AAF">
        <w:rPr>
          <w:b/>
          <w:bCs/>
        </w:rPr>
        <w:t>mCEQ</w:t>
      </w:r>
      <w:proofErr w:type="spellEnd"/>
      <w:r w:rsidRPr="008E2AAF">
        <w:rPr>
          <w:b/>
          <w:bCs/>
        </w:rPr>
        <w:t xml:space="preserve"> Subscales</w:t>
      </w:r>
    </w:p>
    <w:p w:rsidR="00266971" w:rsidRPr="008E2AAF" w:rsidRDefault="00266971" w:rsidP="00266971">
      <w:r w:rsidRPr="008E2AAF">
        <w:object w:dxaOrig="4666" w:dyaOrig="35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55pt;height:137.1pt" o:ole="">
            <v:imagedata r:id="rId4" o:title=""/>
          </v:shape>
          <o:OLEObject Type="Embed" ProgID="Prism6.Document" ShapeID="_x0000_i1025" DrawAspect="Content" ObjectID="_1667214171" r:id="rId5"/>
        </w:object>
      </w:r>
      <w:r w:rsidRPr="008E2AAF">
        <w:t xml:space="preserve"> </w:t>
      </w:r>
      <w:r w:rsidRPr="008E2AAF">
        <w:object w:dxaOrig="7286" w:dyaOrig="5597">
          <v:shape id="_x0000_i1026" type="#_x0000_t75" style="width:178.45pt;height:137.75pt" o:ole="">
            <v:imagedata r:id="rId6" o:title=""/>
          </v:shape>
          <o:OLEObject Type="Embed" ProgID="Prism6.Document" ShapeID="_x0000_i1026" DrawAspect="Content" ObjectID="_1667214172" r:id="rId7"/>
        </w:object>
      </w:r>
      <w:r w:rsidRPr="008E2AAF">
        <w:object w:dxaOrig="6998" w:dyaOrig="5064">
          <v:shape id="_x0000_i1027" type="#_x0000_t75" style="width:180.95pt;height:130.85pt" o:ole="">
            <v:imagedata r:id="rId8" o:title=""/>
          </v:shape>
          <o:OLEObject Type="Embed" ProgID="Prism6.Document" ShapeID="_x0000_i1027" DrawAspect="Content" ObjectID="_1667214173" r:id="rId9"/>
        </w:object>
      </w:r>
      <w:r w:rsidRPr="008E2AAF">
        <w:t xml:space="preserve">  </w:t>
      </w:r>
      <w:r w:rsidRPr="008E2AAF">
        <w:object w:dxaOrig="6998" w:dyaOrig="5223">
          <v:shape id="_x0000_i1028" type="#_x0000_t75" style="width:172.8pt;height:132.1pt" o:ole="">
            <v:imagedata r:id="rId10" o:title=""/>
          </v:shape>
          <o:OLEObject Type="Embed" ProgID="Prism6.Document" ShapeID="_x0000_i1028" DrawAspect="Content" ObjectID="_1667214174" r:id="rId11"/>
        </w:object>
      </w:r>
      <w:r w:rsidRPr="008E2AAF">
        <w:t xml:space="preserve"> </w:t>
      </w:r>
      <w:r w:rsidRPr="008E2AAF">
        <w:object w:dxaOrig="9053" w:dyaOrig="6692">
          <v:shape id="_x0000_i1029" type="#_x0000_t75" style="width:197.85pt;height:147.15pt" o:ole="">
            <v:imagedata r:id="rId12" o:title=""/>
          </v:shape>
          <o:OLEObject Type="Embed" ProgID="Prism6.Document" ShapeID="_x0000_i1029" DrawAspect="Content" ObjectID="_1667214175" r:id="rId13"/>
        </w:object>
      </w:r>
    </w:p>
    <w:p w:rsidR="00266971" w:rsidRPr="008E2AAF" w:rsidRDefault="00266971" w:rsidP="00266971">
      <w:r w:rsidRPr="008E2AAF">
        <w:rPr>
          <w:b/>
          <w:bCs/>
        </w:rPr>
        <w:t xml:space="preserve">Legends: </w:t>
      </w:r>
      <w:proofErr w:type="spellStart"/>
      <w:r w:rsidRPr="008E2AAF">
        <w:t>mCEQ</w:t>
      </w:r>
      <w:proofErr w:type="spellEnd"/>
      <w:r w:rsidRPr="008E2AAF">
        <w:t xml:space="preserve"> scores of individual subscales. There were genotype </w:t>
      </w:r>
      <w:r w:rsidRPr="008E2AAF">
        <w:rPr>
          <w:rFonts w:cstheme="minorHAnsi"/>
        </w:rPr>
        <w:t>×</w:t>
      </w:r>
      <w:r w:rsidRPr="008E2AAF">
        <w:t xml:space="preserve"> cigarette type interactions in both the ‘smoking satisfaction’ (F (1,100) = 3.981, p = 0.049, </w:t>
      </w:r>
      <w:r w:rsidRPr="008E2AAF">
        <w:sym w:font="Symbol" w:char="F068"/>
      </w:r>
      <w:r w:rsidRPr="008E2AAF">
        <w:rPr>
          <w:vertAlign w:val="superscript"/>
        </w:rPr>
        <w:t>2</w:t>
      </w:r>
      <w:r w:rsidRPr="008E2AAF">
        <w:rPr>
          <w:vertAlign w:val="subscript"/>
        </w:rPr>
        <w:t>p</w:t>
      </w:r>
      <w:r w:rsidRPr="008E2AAF">
        <w:t xml:space="preserve"> = 0.038) and ‘enjoyment of the respiratory tract sensation’ (F (1,100) = 6.893, p = 0.010, </w:t>
      </w:r>
      <w:r w:rsidRPr="008E2AAF">
        <w:sym w:font="Symbol" w:char="F068"/>
      </w:r>
      <w:r w:rsidRPr="008E2AAF">
        <w:rPr>
          <w:vertAlign w:val="superscript"/>
        </w:rPr>
        <w:t>2</w:t>
      </w:r>
      <w:r w:rsidRPr="008E2AAF">
        <w:rPr>
          <w:vertAlign w:val="subscript"/>
        </w:rPr>
        <w:t>p</w:t>
      </w:r>
      <w:r w:rsidRPr="008E2AAF">
        <w:t xml:space="preserve"> = 0.064). In both subscales, the Nic-</w:t>
      </w:r>
      <w:proofErr w:type="spellStart"/>
      <w:r w:rsidRPr="008E2AAF">
        <w:t>Denic</w:t>
      </w:r>
      <w:proofErr w:type="spellEnd"/>
      <w:r w:rsidRPr="008E2AAF">
        <w:t xml:space="preserve"> mean difference was smaller in the C group compared to the No C group. There was a main effect of cigarette type in all subscales, where Nic scores were significantly greater than </w:t>
      </w:r>
      <w:proofErr w:type="spellStart"/>
      <w:r w:rsidRPr="008E2AAF">
        <w:t>Denic</w:t>
      </w:r>
      <w:proofErr w:type="spellEnd"/>
      <w:r w:rsidRPr="008E2AAF">
        <w:t xml:space="preserve"> scores, except for Aversion. + = significant 2-way interaction. * = p &lt; 0.05. *** = p &lt; 0.001</w:t>
      </w:r>
    </w:p>
    <w:p w:rsidR="00266971" w:rsidRPr="008E2AAF" w:rsidRDefault="00266971" w:rsidP="00266971">
      <w:pPr>
        <w:rPr>
          <w:b/>
          <w:bCs/>
        </w:rPr>
      </w:pPr>
    </w:p>
    <w:p w:rsidR="00266971" w:rsidRPr="008E2AAF" w:rsidRDefault="00266971" w:rsidP="00266971">
      <w:pPr>
        <w:rPr>
          <w:b/>
          <w:bCs/>
        </w:rPr>
      </w:pPr>
      <w:r w:rsidRPr="008E2AAF">
        <w:rPr>
          <w:b/>
          <w:bCs/>
        </w:rPr>
        <w:lastRenderedPageBreak/>
        <w:t>Supplemental Figure 2.</w:t>
      </w:r>
    </w:p>
    <w:p w:rsidR="00266971" w:rsidRPr="008E2AAF" w:rsidRDefault="00266971" w:rsidP="00266971">
      <w:r w:rsidRPr="008E2AAF">
        <w:object w:dxaOrig="5194" w:dyaOrig="3441">
          <v:shape id="_x0000_i1030" type="#_x0000_t75" style="width:149.65pt;height:98.9pt" o:ole="">
            <v:imagedata r:id="rId14" o:title=""/>
          </v:shape>
          <o:OLEObject Type="Embed" ProgID="Prism6.Document" ShapeID="_x0000_i1030" DrawAspect="Content" ObjectID="_1667214176" r:id="rId15"/>
        </w:object>
      </w:r>
      <w:r w:rsidRPr="008E2AAF">
        <w:object w:dxaOrig="5271" w:dyaOrig="3373">
          <v:shape id="_x0000_i1031" type="#_x0000_t75" style="width:150.25pt;height:97.05pt" o:ole="">
            <v:imagedata r:id="rId16" o:title=""/>
          </v:shape>
          <o:OLEObject Type="Embed" ProgID="Prism6.Document" ShapeID="_x0000_i1031" DrawAspect="Content" ObjectID="_1667214177" r:id="rId17"/>
        </w:object>
      </w:r>
      <w:r w:rsidRPr="008E2AAF">
        <w:object w:dxaOrig="5271" w:dyaOrig="3373">
          <v:shape id="_x0000_i1032" type="#_x0000_t75" style="width:148.4pt;height:94.55pt" o:ole="">
            <v:imagedata r:id="rId18" o:title=""/>
          </v:shape>
          <o:OLEObject Type="Embed" ProgID="Prism6.Document" ShapeID="_x0000_i1032" DrawAspect="Content" ObjectID="_1667214178" r:id="rId19"/>
        </w:object>
      </w:r>
    </w:p>
    <w:p w:rsidR="00266971" w:rsidRPr="008E2AAF" w:rsidRDefault="00266971" w:rsidP="00266971">
      <w:r w:rsidRPr="008E2AAF">
        <w:t xml:space="preserve">Legend: There were no genotype </w:t>
      </w:r>
      <w:r w:rsidRPr="008E2AAF">
        <w:rPr>
          <w:rFonts w:cstheme="minorHAnsi"/>
        </w:rPr>
        <w:t>× cigarette type interaction in any of the craving measures. There was also no main effect of cue type in any measure.</w:t>
      </w:r>
    </w:p>
    <w:p w:rsidR="00266971" w:rsidRPr="008E2AAF" w:rsidRDefault="00266971" w:rsidP="00266971">
      <w:pPr>
        <w:rPr>
          <w:b/>
          <w:bCs/>
        </w:rPr>
      </w:pPr>
      <w:r w:rsidRPr="008E2AAF">
        <w:rPr>
          <w:b/>
          <w:bCs/>
        </w:rPr>
        <w:t>Supplemental Figure 3.</w:t>
      </w:r>
    </w:p>
    <w:p w:rsidR="00266971" w:rsidRPr="008E2AAF" w:rsidRDefault="00266971" w:rsidP="00266971">
      <w:r w:rsidRPr="008E2AAF">
        <w:object w:dxaOrig="5242" w:dyaOrig="3527">
          <v:shape id="_x0000_i1033" type="#_x0000_t75" style="width:262.35pt;height:177.2pt" o:ole="">
            <v:imagedata r:id="rId20" o:title=""/>
          </v:shape>
          <o:OLEObject Type="Embed" ProgID="Prism6.Document" ShapeID="_x0000_i1033" DrawAspect="Content" ObjectID="_1667214179" r:id="rId21"/>
        </w:object>
      </w:r>
    </w:p>
    <w:p w:rsidR="00266971" w:rsidRPr="008E2AAF" w:rsidRDefault="00266971" w:rsidP="00266971">
      <w:r w:rsidRPr="008E2AAF">
        <w:t xml:space="preserve">Legend: There were main effects of cue type in both positive mood (F (1,99) = 3.983, p = 0.049, </w:t>
      </w:r>
      <w:r w:rsidRPr="008E2AAF">
        <w:sym w:font="Symbol" w:char="F068"/>
      </w:r>
      <w:r w:rsidRPr="008E2AAF">
        <w:rPr>
          <w:vertAlign w:val="superscript"/>
        </w:rPr>
        <w:t>2</w:t>
      </w:r>
      <w:r w:rsidRPr="008E2AAF">
        <w:rPr>
          <w:vertAlign w:val="subscript"/>
        </w:rPr>
        <w:t>p</w:t>
      </w:r>
      <w:r w:rsidRPr="008E2AAF">
        <w:t xml:space="preserve"> = 0.039) and negative mood (F (1,99) = 7.086, p = 0.009, </w:t>
      </w:r>
      <w:r w:rsidRPr="008E2AAF">
        <w:sym w:font="Symbol" w:char="F068"/>
      </w:r>
      <w:r w:rsidRPr="008E2AAF">
        <w:rPr>
          <w:vertAlign w:val="superscript"/>
        </w:rPr>
        <w:t>2</w:t>
      </w:r>
      <w:r w:rsidRPr="008E2AAF">
        <w:rPr>
          <w:vertAlign w:val="subscript"/>
        </w:rPr>
        <w:t>p</w:t>
      </w:r>
      <w:r w:rsidRPr="008E2AAF">
        <w:t xml:space="preserve"> = 0.067). The smoking cue elicited significantly greater decreases in positive mood and significantly greater increases in negative mood compared to the neutral cue.</w:t>
      </w:r>
    </w:p>
    <w:p w:rsidR="00266971" w:rsidRPr="008E2AAF" w:rsidRDefault="00266971" w:rsidP="00266971">
      <w:pPr>
        <w:rPr>
          <w:b/>
          <w:bCs/>
        </w:rPr>
      </w:pPr>
      <w:r w:rsidRPr="008E2AAF">
        <w:rPr>
          <w:b/>
          <w:bCs/>
        </w:rPr>
        <w:t>Supplemental Figure 4.</w:t>
      </w:r>
    </w:p>
    <w:p w:rsidR="00266971" w:rsidRPr="008E2AAF" w:rsidRDefault="00266971" w:rsidP="00266971">
      <w:r w:rsidRPr="008E2AAF">
        <w:object w:dxaOrig="5050" w:dyaOrig="3665">
          <v:shape id="_x0000_i1034" type="#_x0000_t75" style="width:209.75pt;height:150.9pt" o:ole="">
            <v:imagedata r:id="rId22" o:title=""/>
          </v:shape>
          <o:OLEObject Type="Embed" ProgID="Prism6.Document" ShapeID="_x0000_i1034" DrawAspect="Content" ObjectID="_1667214180" r:id="rId23"/>
        </w:object>
      </w:r>
    </w:p>
    <w:p w:rsidR="00266971" w:rsidRPr="008E2AAF" w:rsidRDefault="00266971" w:rsidP="00266971">
      <w:r w:rsidRPr="008E2AAF">
        <w:lastRenderedPageBreak/>
        <w:t xml:space="preserve">Legend: There were main effects of cue type in both heart rate (F (1,57) = 4.609, p = 0.036, </w:t>
      </w:r>
      <w:r w:rsidRPr="008E2AAF">
        <w:sym w:font="Symbol" w:char="F068"/>
      </w:r>
      <w:r w:rsidRPr="008E2AAF">
        <w:rPr>
          <w:vertAlign w:val="superscript"/>
        </w:rPr>
        <w:t>2</w:t>
      </w:r>
      <w:r w:rsidRPr="008E2AAF">
        <w:rPr>
          <w:vertAlign w:val="subscript"/>
        </w:rPr>
        <w:t>p</w:t>
      </w:r>
      <w:r w:rsidRPr="008E2AAF">
        <w:t xml:space="preserve"> = 0.075) and skin temperature (F (1,72) = 5.205, p = 0.025, </w:t>
      </w:r>
      <w:r w:rsidRPr="008E2AAF">
        <w:sym w:font="Symbol" w:char="F068"/>
      </w:r>
      <w:r w:rsidRPr="008E2AAF">
        <w:rPr>
          <w:vertAlign w:val="superscript"/>
        </w:rPr>
        <w:t>2</w:t>
      </w:r>
      <w:r w:rsidRPr="008E2AAF">
        <w:rPr>
          <w:vertAlign w:val="subscript"/>
        </w:rPr>
        <w:t>p</w:t>
      </w:r>
      <w:r w:rsidRPr="008E2AAF">
        <w:t xml:space="preserve"> = 0.067). The smoking cue elicited significantly greater decreases in heart rate and skin temperature compared to the neutral cue.</w:t>
      </w:r>
    </w:p>
    <w:p w:rsidR="00266971" w:rsidRPr="008E2AAF" w:rsidRDefault="00266971" w:rsidP="00266971">
      <w:pPr>
        <w:rPr>
          <w:b/>
          <w:bCs/>
        </w:rPr>
      </w:pPr>
      <w:r w:rsidRPr="008E2AAF">
        <w:rPr>
          <w:b/>
          <w:bCs/>
        </w:rPr>
        <w:t>Supplemental Graphs- Race analysis</w:t>
      </w:r>
    </w:p>
    <w:tbl>
      <w:tblPr>
        <w:tblStyle w:val="TableGrid"/>
        <w:tblW w:w="9847" w:type="dxa"/>
        <w:tblLook w:val="04A0" w:firstRow="1" w:lastRow="0" w:firstColumn="1" w:lastColumn="0" w:noHBand="0" w:noVBand="1"/>
      </w:tblPr>
      <w:tblGrid>
        <w:gridCol w:w="3218"/>
        <w:gridCol w:w="3427"/>
        <w:gridCol w:w="3426"/>
      </w:tblGrid>
      <w:tr w:rsidR="00266971" w:rsidRPr="008E2AAF" w:rsidTr="00D308A1">
        <w:trPr>
          <w:trHeight w:val="432"/>
        </w:trPr>
        <w:tc>
          <w:tcPr>
            <w:tcW w:w="9847" w:type="dxa"/>
            <w:gridSpan w:val="3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CA"/>
              </w:rPr>
              <w:t>Forced Choice</w:t>
            </w:r>
          </w:p>
        </w:tc>
      </w:tr>
      <w:tr w:rsidR="00266971" w:rsidRPr="008E2AAF" w:rsidTr="00D308A1">
        <w:trPr>
          <w:trHeight w:val="449"/>
        </w:trPr>
        <w:tc>
          <w:tcPr>
            <w:tcW w:w="3281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All (Race collapsed)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White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Black</w:t>
            </w:r>
          </w:p>
        </w:tc>
      </w:tr>
      <w:tr w:rsidR="00266971" w:rsidRPr="008E2AAF" w:rsidTr="00D308A1">
        <w:trPr>
          <w:trHeight w:val="2261"/>
        </w:trPr>
        <w:tc>
          <w:tcPr>
            <w:tcW w:w="3281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7C2761E9" wp14:editId="0DE433C4">
                  <wp:extent cx="1906413" cy="119575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018" cy="121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06A28D18" wp14:editId="250B8F9D">
                  <wp:extent cx="2039202" cy="125905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916" cy="12712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47912EDC" wp14:editId="27BF89F0">
                  <wp:extent cx="2033571" cy="1195705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964" cy="12024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281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5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6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7</w:t>
            </w:r>
          </w:p>
        </w:tc>
      </w:tr>
    </w:tbl>
    <w:p w:rsidR="00266971" w:rsidRPr="008E2AAF" w:rsidRDefault="00266971" w:rsidP="00266971"/>
    <w:tbl>
      <w:tblPr>
        <w:tblStyle w:val="TableGrid"/>
        <w:tblW w:w="9847" w:type="dxa"/>
        <w:tblLook w:val="04A0" w:firstRow="1" w:lastRow="0" w:firstColumn="1" w:lastColumn="0" w:noHBand="0" w:noVBand="1"/>
      </w:tblPr>
      <w:tblGrid>
        <w:gridCol w:w="3281"/>
        <w:gridCol w:w="3282"/>
        <w:gridCol w:w="3284"/>
      </w:tblGrid>
      <w:tr w:rsidR="00266971" w:rsidRPr="008E2AAF" w:rsidTr="00D308A1">
        <w:trPr>
          <w:trHeight w:val="432"/>
        </w:trPr>
        <w:tc>
          <w:tcPr>
            <w:tcW w:w="9847" w:type="dxa"/>
            <w:gridSpan w:val="3"/>
            <w:vAlign w:val="center"/>
          </w:tcPr>
          <w:p w:rsidR="00266971" w:rsidRPr="008E2AAF" w:rsidRDefault="00266971" w:rsidP="00D308A1">
            <w:pPr>
              <w:jc w:val="center"/>
            </w:pPr>
            <w:proofErr w:type="spellStart"/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CA"/>
              </w:rPr>
              <w:t>mCEQ</w:t>
            </w:r>
            <w:proofErr w:type="spellEnd"/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CA"/>
              </w:rPr>
              <w:t xml:space="preserve"> Composite score</w:t>
            </w:r>
          </w:p>
        </w:tc>
      </w:tr>
      <w:tr w:rsidR="00266971" w:rsidRPr="008E2AAF" w:rsidTr="00D308A1">
        <w:trPr>
          <w:trHeight w:val="449"/>
        </w:trPr>
        <w:tc>
          <w:tcPr>
            <w:tcW w:w="3281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All (Race collapsed)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White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Black</w:t>
            </w:r>
          </w:p>
        </w:tc>
      </w:tr>
      <w:tr w:rsidR="00266971" w:rsidRPr="008E2AAF" w:rsidTr="00D308A1">
        <w:trPr>
          <w:trHeight w:val="2261"/>
        </w:trPr>
        <w:tc>
          <w:tcPr>
            <w:tcW w:w="3281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object w:dxaOrig="1440" w:dyaOrig="1440">
                <v:shape id="_x0000_s1026" type="#_x0000_t75" style="position:absolute;left:0;text-align:left;margin-left:10.85pt;margin-top:453.5pt;width:373.65pt;height:260.4pt;z-index:251658240;mso-position-horizontal-relative:text;mso-position-vertical-relative:text">
                  <v:imagedata r:id="rId27" o:title=""/>
                </v:shape>
                <o:OLEObject Type="Embed" ProgID="Prism6.Document" ShapeID="_x0000_s1026" DrawAspect="Content" ObjectID="_1667214181" r:id="rId28"/>
              </w:object>
            </w:r>
            <w:r w:rsidRPr="008E2AAF">
              <w:rPr>
                <w:noProof/>
              </w:rPr>
              <w:drawing>
                <wp:inline distT="0" distB="0" distL="0" distR="0" wp14:anchorId="7A1B71C2" wp14:editId="09E81AD0">
                  <wp:extent cx="1879600" cy="1254918"/>
                  <wp:effectExtent l="0" t="0" r="635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049" cy="1268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28595071" wp14:editId="056FBF58">
                  <wp:extent cx="1686057" cy="12319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209" cy="12400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2B0C409A" wp14:editId="10171F2D">
                  <wp:extent cx="1854200" cy="1340898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204" cy="1352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281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8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9</w:t>
            </w:r>
          </w:p>
        </w:tc>
        <w:tc>
          <w:tcPr>
            <w:tcW w:w="3282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10</w:t>
            </w:r>
          </w:p>
        </w:tc>
      </w:tr>
    </w:tbl>
    <w:p w:rsidR="00266971" w:rsidRPr="008E2AAF" w:rsidRDefault="00266971" w:rsidP="00266971"/>
    <w:tbl>
      <w:tblPr>
        <w:tblStyle w:val="TableGrid"/>
        <w:tblW w:w="10158" w:type="dxa"/>
        <w:tblLook w:val="04A0" w:firstRow="1" w:lastRow="0" w:firstColumn="1" w:lastColumn="0" w:noHBand="0" w:noVBand="1"/>
      </w:tblPr>
      <w:tblGrid>
        <w:gridCol w:w="3726"/>
        <w:gridCol w:w="11"/>
        <w:gridCol w:w="3205"/>
        <w:gridCol w:w="6"/>
        <w:gridCol w:w="3210"/>
      </w:tblGrid>
      <w:tr w:rsidR="00266971" w:rsidRPr="008E2AAF" w:rsidTr="00D308A1">
        <w:trPr>
          <w:trHeight w:val="432"/>
        </w:trPr>
        <w:tc>
          <w:tcPr>
            <w:tcW w:w="10158" w:type="dxa"/>
            <w:gridSpan w:val="5"/>
            <w:vAlign w:val="center"/>
          </w:tcPr>
          <w:p w:rsidR="00266971" w:rsidRPr="008E2AAF" w:rsidRDefault="00266971" w:rsidP="00D308A1">
            <w:pPr>
              <w:jc w:val="center"/>
            </w:pPr>
            <w:proofErr w:type="spellStart"/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CA"/>
              </w:rPr>
              <w:t>mCEQ</w:t>
            </w:r>
            <w:proofErr w:type="spellEnd"/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CA"/>
              </w:rPr>
              <w:t xml:space="preserve"> Subscales</w:t>
            </w:r>
          </w:p>
        </w:tc>
      </w:tr>
      <w:tr w:rsidR="00266971" w:rsidRPr="008E2AAF" w:rsidTr="00D308A1">
        <w:trPr>
          <w:trHeight w:val="44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All (Race collapsed)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White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Black</w:t>
            </w:r>
          </w:p>
        </w:tc>
      </w:tr>
      <w:tr w:rsidR="00266971" w:rsidRPr="008E2AAF" w:rsidTr="00D308A1">
        <w:trPr>
          <w:trHeight w:val="2261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lastRenderedPageBreak/>
              <w:drawing>
                <wp:inline distT="0" distB="0" distL="0" distR="0" wp14:anchorId="6213C2E8" wp14:editId="2B293C03">
                  <wp:extent cx="1982709" cy="1406412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463" cy="1426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67F010FC" wp14:editId="7FC881D6">
                  <wp:extent cx="1778000" cy="1239889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405" cy="12450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4A29FD55" wp14:editId="47E872D5">
                  <wp:extent cx="1828800" cy="132033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957" cy="13320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11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12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13</w:t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3B8A1DC3" wp14:editId="3CA48726">
                  <wp:extent cx="2228403" cy="1460500"/>
                  <wp:effectExtent l="0" t="0" r="63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716" cy="1467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0EE19752" wp14:editId="7F76E872">
                  <wp:extent cx="1765300" cy="1234782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928" cy="1238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0FC05E72" wp14:editId="61F3E6CC">
                  <wp:extent cx="1739900" cy="1199593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662" cy="12276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14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15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16</w:t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64EA0077" wp14:editId="0020C5B4">
                  <wp:extent cx="2018922" cy="130097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850" cy="13389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044D3029" wp14:editId="203D36FE">
                  <wp:extent cx="1696487" cy="1210769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754" cy="1215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6773628F" wp14:editId="5098E905">
                  <wp:extent cx="1900939" cy="1344665"/>
                  <wp:effectExtent l="0" t="0" r="444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753" cy="13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17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18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19</w:t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1530378A" wp14:editId="75CF70FC">
                  <wp:extent cx="2041883" cy="1262587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891" cy="1270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322E7B2B" wp14:editId="3C37F1C5">
                  <wp:extent cx="1735549" cy="1285592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59" cy="12904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4942E18A" wp14:editId="25D35635">
                  <wp:extent cx="1840961" cy="1366187"/>
                  <wp:effectExtent l="0" t="0" r="698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771" cy="1369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20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21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22</w:t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lastRenderedPageBreak/>
              <w:drawing>
                <wp:inline distT="0" distB="0" distL="0" distR="0" wp14:anchorId="379EF862" wp14:editId="68ABAC3A">
                  <wp:extent cx="1493822" cy="1385449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484" cy="1395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1CFB2B1A" wp14:editId="6AB14BDA">
                  <wp:extent cx="1904627" cy="1436798"/>
                  <wp:effectExtent l="0" t="0" r="63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119" cy="1441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2EB7C802" wp14:editId="5B80B816">
                  <wp:extent cx="1786349" cy="1342346"/>
                  <wp:effectExtent l="0" t="0" r="444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691" cy="13493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726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23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24</w:t>
            </w:r>
          </w:p>
        </w:tc>
        <w:tc>
          <w:tcPr>
            <w:tcW w:w="3216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25</w:t>
            </w:r>
          </w:p>
        </w:tc>
      </w:tr>
      <w:tr w:rsidR="00266971" w:rsidRPr="008E2AAF" w:rsidTr="00D308A1">
        <w:trPr>
          <w:trHeight w:val="432"/>
        </w:trPr>
        <w:tc>
          <w:tcPr>
            <w:tcW w:w="10158" w:type="dxa"/>
            <w:gridSpan w:val="5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CA"/>
              </w:rPr>
              <w:t>Cue-reactivity (Craving)</w:t>
            </w:r>
          </w:p>
        </w:tc>
      </w:tr>
      <w:tr w:rsidR="00266971" w:rsidRPr="008E2AAF" w:rsidTr="00D308A1">
        <w:trPr>
          <w:trHeight w:val="449"/>
        </w:trPr>
        <w:tc>
          <w:tcPr>
            <w:tcW w:w="3737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All (Race collapsed)</w:t>
            </w:r>
          </w:p>
        </w:tc>
        <w:tc>
          <w:tcPr>
            <w:tcW w:w="3211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White</w:t>
            </w:r>
          </w:p>
        </w:tc>
        <w:tc>
          <w:tcPr>
            <w:tcW w:w="3210" w:type="dxa"/>
            <w:vAlign w:val="center"/>
          </w:tcPr>
          <w:p w:rsidR="00266971" w:rsidRPr="008E2AAF" w:rsidRDefault="00266971" w:rsidP="00D308A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</w:pPr>
            <w:r w:rsidRPr="008E2AA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en-CA"/>
              </w:rPr>
              <w:t>Black</w:t>
            </w:r>
          </w:p>
        </w:tc>
      </w:tr>
      <w:tr w:rsidR="00266971" w:rsidRPr="008E2AAF" w:rsidTr="00D308A1">
        <w:trPr>
          <w:trHeight w:val="2261"/>
        </w:trPr>
        <w:tc>
          <w:tcPr>
            <w:tcW w:w="3737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74230924" wp14:editId="7F22B285">
                  <wp:extent cx="2236433" cy="1225047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995" cy="12494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71278FAD" wp14:editId="15BFC754">
                  <wp:extent cx="1676253" cy="1099989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225" cy="11071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794E8F25" wp14:editId="55D67008">
                  <wp:extent cx="1770273" cy="1160614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100" cy="11742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737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26</w:t>
            </w:r>
          </w:p>
        </w:tc>
        <w:tc>
          <w:tcPr>
            <w:tcW w:w="3211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27</w:t>
            </w:r>
          </w:p>
        </w:tc>
        <w:tc>
          <w:tcPr>
            <w:tcW w:w="3210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28</w:t>
            </w:r>
          </w:p>
        </w:tc>
      </w:tr>
      <w:tr w:rsidR="00266971" w:rsidRPr="008E2AAF" w:rsidTr="00D308A1">
        <w:trPr>
          <w:trHeight w:val="399"/>
        </w:trPr>
        <w:tc>
          <w:tcPr>
            <w:tcW w:w="3737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1E94CAD6" wp14:editId="4D3624BF">
                  <wp:extent cx="2036515" cy="1077363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424" cy="10926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312C8549" wp14:editId="14020974">
                  <wp:extent cx="1618472" cy="1062286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487" cy="10734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2D316901" wp14:editId="5B96183D">
                  <wp:extent cx="1602464" cy="1048302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444" cy="1091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RPr="008E2AAF" w:rsidTr="00D308A1">
        <w:trPr>
          <w:trHeight w:val="399"/>
        </w:trPr>
        <w:tc>
          <w:tcPr>
            <w:tcW w:w="3737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29</w:t>
            </w:r>
          </w:p>
        </w:tc>
        <w:tc>
          <w:tcPr>
            <w:tcW w:w="3211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30</w:t>
            </w:r>
          </w:p>
        </w:tc>
        <w:tc>
          <w:tcPr>
            <w:tcW w:w="3210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31</w:t>
            </w:r>
          </w:p>
        </w:tc>
      </w:tr>
      <w:tr w:rsidR="00266971" w:rsidRPr="008E2AAF" w:rsidTr="00D308A1">
        <w:trPr>
          <w:trHeight w:val="399"/>
        </w:trPr>
        <w:tc>
          <w:tcPr>
            <w:tcW w:w="3737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282CC3F0" wp14:editId="5865979E">
                  <wp:extent cx="1526093" cy="1236606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734" cy="12573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4C766289" wp14:editId="74AF0F50">
                  <wp:extent cx="1784350" cy="1173839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831" cy="1195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rPr>
                <w:noProof/>
              </w:rPr>
              <w:drawing>
                <wp:inline distT="0" distB="0" distL="0" distR="0" wp14:anchorId="7AEB5F54" wp14:editId="32B50FAE">
                  <wp:extent cx="1614371" cy="1099713"/>
                  <wp:effectExtent l="0" t="0" r="508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23" cy="1103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971" w:rsidTr="00D308A1">
        <w:trPr>
          <w:trHeight w:val="399"/>
        </w:trPr>
        <w:tc>
          <w:tcPr>
            <w:tcW w:w="3737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32</w:t>
            </w:r>
          </w:p>
        </w:tc>
        <w:tc>
          <w:tcPr>
            <w:tcW w:w="3211" w:type="dxa"/>
            <w:gridSpan w:val="2"/>
            <w:vAlign w:val="center"/>
          </w:tcPr>
          <w:p w:rsidR="00266971" w:rsidRPr="008E2AAF" w:rsidRDefault="00266971" w:rsidP="00D308A1">
            <w:pPr>
              <w:jc w:val="center"/>
            </w:pPr>
            <w:r w:rsidRPr="008E2AAF">
              <w:t>Supp. Fig. 33</w:t>
            </w:r>
          </w:p>
        </w:tc>
        <w:tc>
          <w:tcPr>
            <w:tcW w:w="3210" w:type="dxa"/>
            <w:vAlign w:val="center"/>
          </w:tcPr>
          <w:p w:rsidR="00266971" w:rsidRDefault="00266971" w:rsidP="00D308A1">
            <w:pPr>
              <w:jc w:val="center"/>
            </w:pPr>
            <w:r w:rsidRPr="008E2AAF">
              <w:t>Supp. Fig. 34</w:t>
            </w:r>
          </w:p>
        </w:tc>
      </w:tr>
    </w:tbl>
    <w:p w:rsidR="00266971" w:rsidRDefault="00266971" w:rsidP="00266971"/>
    <w:p w:rsidR="00D246B7" w:rsidRDefault="00D246B7">
      <w:bookmarkStart w:id="0" w:name="_GoBack"/>
      <w:bookmarkEnd w:id="0"/>
    </w:p>
    <w:sectPr w:rsidR="00D24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971"/>
    <w:rsid w:val="00266971"/>
    <w:rsid w:val="0078532E"/>
    <w:rsid w:val="00D2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F5D9368-AD39-4010-91B6-4B3EC8A0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97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97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3.png"/><Relationship Id="rId39" Type="http://schemas.openxmlformats.org/officeDocument/2006/relationships/image" Target="media/image25.png"/><Relationship Id="rId21" Type="http://schemas.openxmlformats.org/officeDocument/2006/relationships/oleObject" Target="embeddings/oleObject9.bin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image" Target="media/image15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" Type="http://schemas.openxmlformats.org/officeDocument/2006/relationships/oleObject" Target="embeddings/oleObject1.bin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image" Target="media/image14.wmf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fontTable" Target="fontTable.xml"/><Relationship Id="rId8" Type="http://schemas.openxmlformats.org/officeDocument/2006/relationships/image" Target="media/image3.emf"/><Relationship Id="rId51" Type="http://schemas.openxmlformats.org/officeDocument/2006/relationships/image" Target="media/image37.png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20" Type="http://schemas.openxmlformats.org/officeDocument/2006/relationships/image" Target="media/image9.emf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1.bin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theme" Target="theme/theme1.xml"/><Relationship Id="rId10" Type="http://schemas.openxmlformats.org/officeDocument/2006/relationships/image" Target="media/image4.emf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Chidera Chukwueke</dc:creator>
  <cp:keywords/>
  <dc:description/>
  <cp:lastModifiedBy>Chidera Chukwueke</cp:lastModifiedBy>
  <cp:revision>1</cp:revision>
  <dcterms:created xsi:type="dcterms:W3CDTF">2020-11-18T19:12:00Z</dcterms:created>
  <dcterms:modified xsi:type="dcterms:W3CDTF">2020-11-18T19:13:00Z</dcterms:modified>
</cp:coreProperties>
</file>