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D46" w:rsidRPr="00F70236" w:rsidRDefault="00AB4D46" w:rsidP="00AB4D46">
      <w:r w:rsidRPr="00A33F01">
        <w:rPr>
          <w:b/>
          <w:sz w:val="24"/>
          <w:szCs w:val="24"/>
        </w:rPr>
        <w:t xml:space="preserve">Supplementary </w:t>
      </w:r>
      <w:r>
        <w:rPr>
          <w:b/>
          <w:sz w:val="24"/>
          <w:szCs w:val="24"/>
        </w:rPr>
        <w:t>Information</w:t>
      </w:r>
      <w:r w:rsidRPr="00A33F01">
        <w:rPr>
          <w:b/>
          <w:sz w:val="24"/>
          <w:szCs w:val="24"/>
        </w:rPr>
        <w:t>:</w:t>
      </w:r>
    </w:p>
    <w:p w:rsidR="00AB4D46" w:rsidRPr="00B3224C" w:rsidRDefault="00AB4D46" w:rsidP="00AB4D46">
      <w:pPr>
        <w:keepNext/>
        <w:spacing w:before="240" w:line="360" w:lineRule="auto"/>
        <w:jc w:val="both"/>
        <w:outlineLvl w:val="0"/>
        <w:rPr>
          <w:rFonts w:eastAsia="Times New Roman"/>
          <w:b/>
          <w:kern w:val="28"/>
          <w:sz w:val="24"/>
          <w:szCs w:val="24"/>
          <w:lang w:eastAsia="es-ES"/>
        </w:rPr>
      </w:pPr>
      <w:r>
        <w:rPr>
          <w:rFonts w:eastAsia="Times New Roman"/>
          <w:b/>
          <w:kern w:val="28"/>
          <w:sz w:val="24"/>
          <w:szCs w:val="24"/>
          <w:lang w:eastAsia="es-ES"/>
        </w:rPr>
        <w:t>Supplementary</w:t>
      </w:r>
      <w:r w:rsidRPr="00B3224C">
        <w:rPr>
          <w:rFonts w:eastAsia="Times New Roman"/>
          <w:b/>
          <w:kern w:val="28"/>
          <w:sz w:val="24"/>
          <w:szCs w:val="24"/>
          <w:lang w:eastAsia="es-ES"/>
        </w:rPr>
        <w:t xml:space="preserve"> Methods</w:t>
      </w:r>
    </w:p>
    <w:p w:rsidR="00AB4D46" w:rsidRDefault="00AB4D46" w:rsidP="00AB4D46">
      <w:pPr>
        <w:pStyle w:val="Paragraph"/>
        <w:spacing w:line="480" w:lineRule="auto"/>
        <w:ind w:firstLine="0"/>
        <w:jc w:val="both"/>
        <w:rPr>
          <w:i/>
        </w:rPr>
      </w:pPr>
      <w:r w:rsidRPr="00EF57E8">
        <w:rPr>
          <w:i/>
        </w:rPr>
        <w:t>Immunoprecipitation and western blotting</w:t>
      </w:r>
      <w:r>
        <w:rPr>
          <w:i/>
        </w:rPr>
        <w:t xml:space="preserve"> </w:t>
      </w:r>
    </w:p>
    <w:p w:rsidR="00AB4D46" w:rsidRPr="004D47C9" w:rsidRDefault="00AB4D46" w:rsidP="00AB4D46">
      <w:pPr>
        <w:pStyle w:val="Paragraph"/>
        <w:spacing w:line="480" w:lineRule="auto"/>
        <w:ind w:firstLine="0"/>
        <w:jc w:val="both"/>
        <w:rPr>
          <w:i/>
        </w:rPr>
      </w:pPr>
      <w:r>
        <w:t xml:space="preserve">Cerebral cortices were collected and homogenized in 10 volumes of 25 </w:t>
      </w:r>
      <w:proofErr w:type="spellStart"/>
      <w:r>
        <w:t>mM</w:t>
      </w:r>
      <w:proofErr w:type="spellEnd"/>
      <w:r>
        <w:t xml:space="preserve"> </w:t>
      </w:r>
      <w:proofErr w:type="spellStart"/>
      <w:r>
        <w:t>Tris-HCl</w:t>
      </w:r>
      <w:proofErr w:type="spellEnd"/>
      <w:r>
        <w:t xml:space="preserve"> pH 7.4, and 0.32 M sucrose supplemented with a phosphatase inhibitor mixture (P2850; Sigma), H89 (B1427; Sigma), and a protease inhibitor cocktail (P8340; Sigma). The homogenate was centrifuged at 1000 g for 10 min to remove the nuclear fraction. The supernatant (S1) was centrifuged twice at 20,000 g for 20 min to obtain the crude </w:t>
      </w:r>
      <w:proofErr w:type="spellStart"/>
      <w:r>
        <w:t>synaptosomal</w:t>
      </w:r>
      <w:proofErr w:type="spellEnd"/>
      <w:r>
        <w:t xml:space="preserve"> pellet (P2). The final pellet was diluted in </w:t>
      </w:r>
      <w:proofErr w:type="spellStart"/>
      <w:r>
        <w:t>Tris</w:t>
      </w:r>
      <w:proofErr w:type="spellEnd"/>
      <w:r>
        <w:t xml:space="preserve"> buffer supplemented with a mixture of protease inhibitors (0.2 </w:t>
      </w:r>
      <w:proofErr w:type="spellStart"/>
      <w:r>
        <w:t>mM</w:t>
      </w:r>
      <w:proofErr w:type="spellEnd"/>
      <w:r>
        <w:t xml:space="preserve"> </w:t>
      </w:r>
      <w:proofErr w:type="spellStart"/>
      <w:r>
        <w:t>phenylmethylsulphonyl</w:t>
      </w:r>
      <w:proofErr w:type="spellEnd"/>
      <w:r>
        <w:t xml:space="preserve"> fluoride, 2 </w:t>
      </w:r>
      <w:proofErr w:type="spellStart"/>
      <w:r>
        <w:t>μg</w:t>
      </w:r>
      <w:proofErr w:type="spellEnd"/>
      <w:r>
        <w:t xml:space="preserve">/ml </w:t>
      </w:r>
      <w:proofErr w:type="spellStart"/>
      <w:r>
        <w:t>leupeptin</w:t>
      </w:r>
      <w:proofErr w:type="spellEnd"/>
      <w:r>
        <w:t xml:space="preserve">, and 0.5 </w:t>
      </w:r>
      <w:proofErr w:type="spellStart"/>
      <w:r>
        <w:t>μg</w:t>
      </w:r>
      <w:proofErr w:type="spellEnd"/>
      <w:r>
        <w:t xml:space="preserve">/ ml </w:t>
      </w:r>
      <w:proofErr w:type="spellStart"/>
      <w:r>
        <w:t>aprotinin</w:t>
      </w:r>
      <w:proofErr w:type="spellEnd"/>
      <w:r>
        <w:t xml:space="preserve">), then divided into aliquots and processed for protein determinations. </w:t>
      </w:r>
    </w:p>
    <w:p w:rsidR="00AB4D46" w:rsidRDefault="00AB4D46" w:rsidP="00AB4D46">
      <w:pPr>
        <w:pStyle w:val="Paragraph"/>
        <w:spacing w:line="480" w:lineRule="auto"/>
        <w:jc w:val="both"/>
      </w:pPr>
      <w:r>
        <w:t xml:space="preserve">For immunoprecipitation studies and to circumvent interference with signaling proteins attached to the cytosolic regions of the GPCRs, the antibodies used were directed to amino acid sequences in their extracellular domains. The affinity purified </w:t>
      </w:r>
      <w:proofErr w:type="spellStart"/>
      <w:r>
        <w:t>IgGs</w:t>
      </w:r>
      <w:proofErr w:type="spellEnd"/>
      <w:r>
        <w:t xml:space="preserve"> against the extracellular domains of the MOR 2</w:t>
      </w:r>
      <w:r w:rsidRPr="00364AD5">
        <w:rPr>
          <w:vertAlign w:val="superscript"/>
        </w:rPr>
        <w:t>nd</w:t>
      </w:r>
      <w:r>
        <w:t xml:space="preserve"> external loop (EL) (205-216: MATTKYRQGSID; </w:t>
      </w:r>
      <w:proofErr w:type="spellStart"/>
      <w:r>
        <w:t>GenScript</w:t>
      </w:r>
      <w:proofErr w:type="spellEnd"/>
      <w:r>
        <w:t xml:space="preserve"> Co., Piscataway, NJ, USA), CB1R 1</w:t>
      </w:r>
      <w:r w:rsidRPr="00364AD5">
        <w:rPr>
          <w:vertAlign w:val="superscript"/>
        </w:rPr>
        <w:t>st</w:t>
      </w:r>
      <w:r>
        <w:t xml:space="preserve"> EL (177-188: DFHVFHRKDSPN; </w:t>
      </w:r>
      <w:proofErr w:type="spellStart"/>
      <w:r>
        <w:t>GenScript</w:t>
      </w:r>
      <w:proofErr w:type="spellEnd"/>
      <w:r>
        <w:t xml:space="preserve"> Co.), D2R N terminal (</w:t>
      </w:r>
      <w:proofErr w:type="spellStart"/>
      <w:r>
        <w:t>Nt</w:t>
      </w:r>
      <w:proofErr w:type="spellEnd"/>
      <w:r>
        <w:t xml:space="preserve">) (19-32: SRPFNGSEGKPDRP; </w:t>
      </w:r>
      <w:proofErr w:type="spellStart"/>
      <w:r>
        <w:t>GenScript</w:t>
      </w:r>
      <w:proofErr w:type="spellEnd"/>
      <w:r>
        <w:t xml:space="preserve"> Co.), 5HT1AR 2</w:t>
      </w:r>
      <w:r w:rsidRPr="00364AD5">
        <w:rPr>
          <w:vertAlign w:val="superscript"/>
        </w:rPr>
        <w:t>nd</w:t>
      </w:r>
      <w:r>
        <w:t xml:space="preserve"> EL (174-186: GWRTPEDRSNPNE), 5HT2AR </w:t>
      </w:r>
      <w:proofErr w:type="spellStart"/>
      <w:r>
        <w:t>Nt</w:t>
      </w:r>
      <w:proofErr w:type="spellEnd"/>
      <w:r>
        <w:t xml:space="preserve"> (25-38:  SRLYPNDFNSRDAN) and the NMDAR NR1 subunit (483-496: KFGTQERVNNSNKK; </w:t>
      </w:r>
      <w:proofErr w:type="spellStart"/>
      <w:r>
        <w:t>GenScript</w:t>
      </w:r>
      <w:proofErr w:type="spellEnd"/>
      <w:r>
        <w:t xml:space="preserve"> Co.) were labeled with biotin (Pierce #21217 and 21339). Pilot assays were performed to optimize the amount of IgG and sample protein needed to precipitate the desired protein in a single run. The </w:t>
      </w:r>
      <w:proofErr w:type="spellStart"/>
      <w:r>
        <w:t>Nonidet</w:t>
      </w:r>
      <w:proofErr w:type="spellEnd"/>
      <w:r>
        <w:t xml:space="preserve"> P-40 solubilized proteins were incubated overnight at 4ºC with biotin-conjugated primary antibodies directed against the target protein. The </w:t>
      </w:r>
      <w:proofErr w:type="spellStart"/>
      <w:r>
        <w:t>immunocomplexes</w:t>
      </w:r>
      <w:proofErr w:type="spellEnd"/>
      <w:r>
        <w:t xml:space="preserve"> were recovered and resolved with SDS/polyacrylamide gel electrophoresis (PAGE) in 10cm×10cm×1.5mm gel slabs (7–14% total acrylamide concentration, 2.6% </w:t>
      </w:r>
      <w:proofErr w:type="spellStart"/>
      <w:r>
        <w:t>bisacrylamide</w:t>
      </w:r>
      <w:proofErr w:type="spellEnd"/>
      <w:r>
        <w:t xml:space="preserve"> cross-linker concentration). The separated </w:t>
      </w:r>
      <w:r>
        <w:lastRenderedPageBreak/>
        <w:t xml:space="preserve">proteins were then transferred onto 0.2 </w:t>
      </w:r>
      <w:proofErr w:type="spellStart"/>
      <w:r>
        <w:t>μm</w:t>
      </w:r>
      <w:proofErr w:type="spellEnd"/>
      <w:r>
        <w:t xml:space="preserve"> </w:t>
      </w:r>
      <w:proofErr w:type="spellStart"/>
      <w:r>
        <w:t>polyvinylidene</w:t>
      </w:r>
      <w:proofErr w:type="spellEnd"/>
      <w:r>
        <w:t xml:space="preserve"> difluoride (PVDF) membranes (162-0176; Bio-Rad, Madrid, Spain) and probed overnight at 6ºC with the selected primary antibodies diluted in </w:t>
      </w:r>
      <w:proofErr w:type="spellStart"/>
      <w:r>
        <w:t>Tris</w:t>
      </w:r>
      <w:proofErr w:type="spellEnd"/>
      <w:r>
        <w:t xml:space="preserve">-buffered saline pH 7.7 (TBS) + 0.05% Tween 20 (TTBS). Those were detected using secondary antibodies conjugated to horseradish peroxidase. The western blot images, antibody binding, were visualized by </w:t>
      </w:r>
      <w:proofErr w:type="spellStart"/>
      <w:r>
        <w:t>chemiluminescence</w:t>
      </w:r>
      <w:proofErr w:type="spellEnd"/>
      <w:r>
        <w:t xml:space="preserve"> (#170-5061; Bio-Rad) and recorded using a </w:t>
      </w:r>
      <w:proofErr w:type="spellStart"/>
      <w:r>
        <w:t>ChemiImager</w:t>
      </w:r>
      <w:proofErr w:type="spellEnd"/>
      <w:r>
        <w:t xml:space="preserve"> IS-5500 (Alpha </w:t>
      </w:r>
      <w:proofErr w:type="spellStart"/>
      <w:r>
        <w:t>Innotech</w:t>
      </w:r>
      <w:proofErr w:type="spellEnd"/>
      <w:r>
        <w:t xml:space="preserve">, San Leandro, CA). Protein </w:t>
      </w:r>
      <w:proofErr w:type="spellStart"/>
      <w:r>
        <w:t>immunosignals</w:t>
      </w:r>
      <w:proofErr w:type="spellEnd"/>
      <w:r>
        <w:t xml:space="preserve">, and those of α-tubulin, were measured using the area of the strongest signal of each studied group of samples (average optical density of the pixels within the object area/mm2; </w:t>
      </w:r>
      <w:proofErr w:type="spellStart"/>
      <w:r>
        <w:t>AlphaEase</w:t>
      </w:r>
      <w:proofErr w:type="spellEnd"/>
      <w:r>
        <w:t xml:space="preserve"> FC software), the grey values of the means were then normalized within the 8 bit/256 grey levels [(256-computed value)/computed value]. Equal loading was verified and adjusted, if necessary, versus α-tubulin or the </w:t>
      </w:r>
      <w:proofErr w:type="spellStart"/>
      <w:r>
        <w:t>immunoprecipitated</w:t>
      </w:r>
      <w:proofErr w:type="spellEnd"/>
      <w:r>
        <w:t xml:space="preserve"> receptor. </w:t>
      </w:r>
      <w:proofErr w:type="spellStart"/>
      <w:r>
        <w:t>Immunosignals</w:t>
      </w:r>
      <w:proofErr w:type="spellEnd"/>
      <w:r>
        <w:t xml:space="preserve"> relative to </w:t>
      </w:r>
      <w:proofErr w:type="spellStart"/>
      <w:r>
        <w:t>schizophenics</w:t>
      </w:r>
      <w:proofErr w:type="spellEnd"/>
      <w:r>
        <w:t xml:space="preserve"> and depressives are shown relative to those of control subjects that were attributed an arbitrary value of 1.</w:t>
      </w:r>
    </w:p>
    <w:p w:rsidR="00AB4D46" w:rsidRDefault="00AB4D46" w:rsidP="00AB4D46">
      <w:pPr>
        <w:pStyle w:val="Paragraph"/>
        <w:spacing w:line="480" w:lineRule="auto"/>
        <w:ind w:firstLine="0"/>
        <w:jc w:val="both"/>
        <w:rPr>
          <w:i/>
        </w:rPr>
      </w:pPr>
      <w:r w:rsidRPr="000A30AD">
        <w:rPr>
          <w:i/>
        </w:rPr>
        <w:t>Antibodies</w:t>
      </w:r>
    </w:p>
    <w:p w:rsidR="00AB4D46" w:rsidRPr="004D47C9" w:rsidRDefault="00AB4D46" w:rsidP="00AB4D46">
      <w:pPr>
        <w:pStyle w:val="Paragraph"/>
        <w:spacing w:line="480" w:lineRule="auto"/>
        <w:ind w:firstLine="0"/>
        <w:jc w:val="both"/>
        <w:rPr>
          <w:i/>
        </w:rPr>
      </w:pPr>
      <w:r>
        <w:t xml:space="preserve">The primary antibodies to detect </w:t>
      </w:r>
      <w:proofErr w:type="spellStart"/>
      <w:r>
        <w:t>immunoprecipitated</w:t>
      </w:r>
      <w:proofErr w:type="spellEnd"/>
      <w:r>
        <w:t xml:space="preserve"> receptors were: anti-MOR Ct </w:t>
      </w:r>
      <w:proofErr w:type="gramStart"/>
      <w:r>
        <w:t>aa</w:t>
      </w:r>
      <w:proofErr w:type="gramEnd"/>
      <w:r>
        <w:t xml:space="preserve"> 387–398 (</w:t>
      </w:r>
      <w:proofErr w:type="spellStart"/>
      <w:r>
        <w:t>GenScript</w:t>
      </w:r>
      <w:proofErr w:type="spellEnd"/>
      <w:r>
        <w:t xml:space="preserve"> Co., Piscataway, NJ), anti-CB1R </w:t>
      </w:r>
      <w:proofErr w:type="spellStart"/>
      <w:r>
        <w:t>Nt</w:t>
      </w:r>
      <w:proofErr w:type="spellEnd"/>
      <w:r>
        <w:t xml:space="preserve"> aa 53-66 (</w:t>
      </w:r>
      <w:proofErr w:type="spellStart"/>
      <w:r>
        <w:t>GenScript</w:t>
      </w:r>
      <w:proofErr w:type="spellEnd"/>
      <w:r>
        <w:t xml:space="preserve"> Co), anti-D2R (#ab30743, </w:t>
      </w:r>
      <w:proofErr w:type="spellStart"/>
      <w:r>
        <w:t>Abcam</w:t>
      </w:r>
      <w:proofErr w:type="spellEnd"/>
      <w:r>
        <w:t xml:space="preserve">), anti-5HT1AR (#ab64994, </w:t>
      </w:r>
      <w:proofErr w:type="spellStart"/>
      <w:r>
        <w:t>Abcam</w:t>
      </w:r>
      <w:proofErr w:type="spellEnd"/>
      <w:r>
        <w:t xml:space="preserve">), anti-5HT2AR (#ab16028, </w:t>
      </w:r>
      <w:proofErr w:type="spellStart"/>
      <w:r>
        <w:t>Abcam</w:t>
      </w:r>
      <w:proofErr w:type="spellEnd"/>
      <w:r>
        <w:t xml:space="preserve">), anti-NMDAR NR1 (#MAB1586, Merck-Millipore), anti-NMDAR NR1 C1 (#MAB5046P, Merck-Millipore). Other primary antibodies used in this study were: anti-σ1R (#42-3300, Invitrogen), anti-β-catenin (#9582, Cell Signaling Technology), anti-P-S33/37/T41 β-catenin (#9561, Cell Signaling Technology), anti-P-S552 β-catenin (#9566, Cell Signaling Technology), anti-P-S675 β-catenin (#9567, Cell Signaling Technology), anti-GSK3β (#9315, Cell Signaling), anti-P-S9 GSK3β (#9336, Cell Signaling Technology), anti-P-Y216 GSK3β (#ab75745, </w:t>
      </w:r>
      <w:proofErr w:type="spellStart"/>
      <w:r>
        <w:t>Abcam</w:t>
      </w:r>
      <w:proofErr w:type="spellEnd"/>
      <w:r>
        <w:t>),  anti-</w:t>
      </w:r>
      <w:proofErr w:type="spellStart"/>
      <w:r>
        <w:t>CaMKIIpan</w:t>
      </w:r>
      <w:proofErr w:type="spellEnd"/>
      <w:r>
        <w:t xml:space="preserve"> (#3362, Cell Signaling), anti-CaMKIIα P-T286 (#3361, Cell Signaling), anti-PKCγ (#ab4145, </w:t>
      </w:r>
      <w:proofErr w:type="spellStart"/>
      <w:r>
        <w:t>Abcam</w:t>
      </w:r>
      <w:proofErr w:type="spellEnd"/>
      <w:r>
        <w:t xml:space="preserve">), anti-nNOS (sc-1025, </w:t>
      </w:r>
      <w:r>
        <w:lastRenderedPageBreak/>
        <w:t xml:space="preserve">Santa Cruz Biotechnology), anti P-S1417 nNOS (#ab5583, </w:t>
      </w:r>
      <w:proofErr w:type="spellStart"/>
      <w:r>
        <w:t>Abcam</w:t>
      </w:r>
      <w:proofErr w:type="spellEnd"/>
      <w:r>
        <w:t>), anti-α-tubulin (#T9026, Sigma-Aldrich). The anti-HINT1 antibody was raised in rabbits (</w:t>
      </w:r>
      <w:proofErr w:type="spellStart"/>
      <w:r>
        <w:t>Immunostep</w:t>
      </w:r>
      <w:proofErr w:type="spellEnd"/>
      <w:r>
        <w:t>, Spain) against the peptide sequence GYRMVVNEGADGGG (</w:t>
      </w:r>
      <w:proofErr w:type="gramStart"/>
      <w:r>
        <w:t>aa</w:t>
      </w:r>
      <w:proofErr w:type="gramEnd"/>
      <w:r>
        <w:t xml:space="preserve"> 93–106). All primary antibodies were detected using the appropriate horseradish peroxidase-conjugated secondary antibodies.</w:t>
      </w:r>
    </w:p>
    <w:p w:rsidR="00AB4D46" w:rsidRPr="00EF57E8" w:rsidRDefault="00AB4D46" w:rsidP="00AB4D46">
      <w:pPr>
        <w:pStyle w:val="Paragraph"/>
        <w:spacing w:line="480" w:lineRule="auto"/>
        <w:ind w:firstLine="0"/>
        <w:jc w:val="both"/>
        <w:rPr>
          <w:i/>
        </w:rPr>
      </w:pPr>
      <w:r w:rsidRPr="00EF57E8">
        <w:rPr>
          <w:i/>
        </w:rPr>
        <w:t xml:space="preserve">Lentiviral vector production </w:t>
      </w:r>
    </w:p>
    <w:p w:rsidR="00AB4D46" w:rsidRDefault="00AB4D46" w:rsidP="00AB4D46">
      <w:pPr>
        <w:pStyle w:val="SOMContent"/>
        <w:spacing w:line="480" w:lineRule="auto"/>
        <w:jc w:val="both"/>
      </w:pPr>
      <w:r>
        <w:t xml:space="preserve">RNAs isolated from mouse brain lysates were reverse-transcribed using the </w:t>
      </w:r>
      <w:proofErr w:type="spellStart"/>
      <w:r>
        <w:t>SuperScript</w:t>
      </w:r>
      <w:proofErr w:type="spellEnd"/>
      <w:r>
        <w:t xml:space="preserve">® III First-Strand Synthesis System (Invitrogen) following the manufacturer’s instructions. The </w:t>
      </w:r>
      <w:proofErr w:type="spellStart"/>
      <w:r>
        <w:t>cDNAs</w:t>
      </w:r>
      <w:proofErr w:type="spellEnd"/>
      <w:r>
        <w:t xml:space="preserve"> for the murine HINT1 (NM_008248) was then amplified by PCR and subsequently cloned in the </w:t>
      </w:r>
      <w:proofErr w:type="spellStart"/>
      <w:r>
        <w:t>pLVTHM</w:t>
      </w:r>
      <w:proofErr w:type="spellEnd"/>
      <w:r>
        <w:t xml:space="preserve"> “Tet on” inducible vector downstream of the H1 promoter. Cloned inserts were sequenced to verify the integrity of each construct. Lentiviruses were prepared by </w:t>
      </w:r>
      <w:proofErr w:type="spellStart"/>
      <w:r>
        <w:t>cotransfection</w:t>
      </w:r>
      <w:proofErr w:type="spellEnd"/>
      <w:r>
        <w:t xml:space="preserve"> of 10 </w:t>
      </w:r>
      <w:proofErr w:type="spellStart"/>
      <w:r>
        <w:t>μg</w:t>
      </w:r>
      <w:proofErr w:type="spellEnd"/>
      <w:r>
        <w:t xml:space="preserve"> of </w:t>
      </w:r>
      <w:proofErr w:type="spellStart"/>
      <w:r>
        <w:t>pLVTHM</w:t>
      </w:r>
      <w:proofErr w:type="spellEnd"/>
      <w:r>
        <w:t xml:space="preserve"> vector (carrying either HINT1 </w:t>
      </w:r>
      <w:proofErr w:type="spellStart"/>
      <w:r>
        <w:t>cDNAs</w:t>
      </w:r>
      <w:proofErr w:type="spellEnd"/>
      <w:r>
        <w:t xml:space="preserve"> or the empty plasmid), 6.5 </w:t>
      </w:r>
      <w:proofErr w:type="spellStart"/>
      <w:r>
        <w:t>μg</w:t>
      </w:r>
      <w:proofErr w:type="spellEnd"/>
      <w:r>
        <w:t xml:space="preserve"> of second generation packaging plasmid (psPAX2) and 3.5 </w:t>
      </w:r>
      <w:proofErr w:type="spellStart"/>
      <w:r>
        <w:t>μg</w:t>
      </w:r>
      <w:proofErr w:type="spellEnd"/>
      <w:r>
        <w:t xml:space="preserve"> of envelope plasmid (pMD2.G) into HEK-293T cells. Transfections were carried out with a 1:3 volumetric mix of DNA and </w:t>
      </w:r>
      <w:proofErr w:type="spellStart"/>
      <w:r>
        <w:t>FuGENE</w:t>
      </w:r>
      <w:proofErr w:type="spellEnd"/>
      <w:r>
        <w:t>® 6 Transfection Reagent (Roche).  Lentivirus-containing supernatants were collected 48 and 72 h after transfection, filtered through 0.22-μm-pore nitrocellulose, concentrated by ultracentrifugation, aliquoted, and stored at -80 °C until used. The titer of lentivirus was determined by a hole-by-dilution titer assay.</w:t>
      </w:r>
    </w:p>
    <w:p w:rsidR="00131927" w:rsidRDefault="001D5698">
      <w:bookmarkStart w:id="0" w:name="_GoBack"/>
      <w:bookmarkEnd w:id="0"/>
    </w:p>
    <w:sectPr w:rsidR="00131927" w:rsidSect="00D642D1">
      <w:headerReference w:type="default" r:id="rId7"/>
      <w:headerReference w:type="first" r:id="rId8"/>
      <w:pgSz w:w="12240" w:h="15840"/>
      <w:pgMar w:top="1440" w:right="900" w:bottom="1440" w:left="1440" w:header="432"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D46" w:rsidRDefault="00AB4D46" w:rsidP="00AB4D46">
      <w:r>
        <w:separator/>
      </w:r>
    </w:p>
  </w:endnote>
  <w:endnote w:type="continuationSeparator" w:id="0">
    <w:p w:rsidR="00AB4D46" w:rsidRDefault="00AB4D46" w:rsidP="00AB4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D46" w:rsidRDefault="00AB4D46" w:rsidP="00AB4D46">
      <w:r>
        <w:separator/>
      </w:r>
    </w:p>
  </w:footnote>
  <w:footnote w:type="continuationSeparator" w:id="0">
    <w:p w:rsidR="00AB4D46" w:rsidRDefault="00AB4D46" w:rsidP="00AB4D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3588117"/>
      <w:docPartObj>
        <w:docPartGallery w:val="Page Numbers (Top of Page)"/>
        <w:docPartUnique/>
      </w:docPartObj>
    </w:sdtPr>
    <w:sdtContent>
      <w:p w:rsidR="00AB4D46" w:rsidRDefault="00AB4D46">
        <w:pPr>
          <w:pStyle w:val="Encabezado"/>
          <w:jc w:val="right"/>
        </w:pPr>
        <w:r>
          <w:fldChar w:fldCharType="begin"/>
        </w:r>
        <w:r>
          <w:instrText>PAGE   \* MERGEFORMAT</w:instrText>
        </w:r>
        <w:r>
          <w:fldChar w:fldCharType="separate"/>
        </w:r>
        <w:r w:rsidRPr="00AB4D46">
          <w:rPr>
            <w:noProof/>
            <w:lang w:val="es-ES"/>
          </w:rPr>
          <w:t>2</w:t>
        </w:r>
        <w:r>
          <w:fldChar w:fldCharType="end"/>
        </w:r>
      </w:p>
    </w:sdtContent>
  </w:sdt>
  <w:p w:rsidR="00AB4D46" w:rsidRDefault="00AB4D4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7763224"/>
      <w:docPartObj>
        <w:docPartGallery w:val="Page Numbers (Top of Page)"/>
        <w:docPartUnique/>
      </w:docPartObj>
    </w:sdtPr>
    <w:sdtContent>
      <w:p w:rsidR="00AB4D46" w:rsidRDefault="00AB4D46">
        <w:pPr>
          <w:pStyle w:val="Encabezado"/>
          <w:jc w:val="right"/>
        </w:pPr>
        <w:r>
          <w:fldChar w:fldCharType="begin"/>
        </w:r>
        <w:r>
          <w:instrText>PAGE   \* MERGEFORMAT</w:instrText>
        </w:r>
        <w:r>
          <w:fldChar w:fldCharType="separate"/>
        </w:r>
        <w:r w:rsidRPr="00AB4D46">
          <w:rPr>
            <w:noProof/>
            <w:lang w:val="es-ES"/>
          </w:rPr>
          <w:t>1</w:t>
        </w:r>
        <w:r>
          <w:fldChar w:fldCharType="end"/>
        </w:r>
      </w:p>
    </w:sdtContent>
  </w:sdt>
  <w:p w:rsidR="00D642D1" w:rsidRPr="00AB4D46" w:rsidRDefault="001D5698" w:rsidP="00D642D1">
    <w:pPr>
      <w:pStyle w:val="Encabezado"/>
      <w:jc w:val="right"/>
      <w:rPr>
        <w:color w:val="4F81BD"/>
        <w:sz w:val="28"/>
        <w:szCs w:val="28"/>
        <w:lang w:val="es-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D46"/>
    <w:rsid w:val="0013480E"/>
    <w:rsid w:val="00531033"/>
    <w:rsid w:val="00971678"/>
    <w:rsid w:val="00AB4D46"/>
    <w:rsid w:val="00BF4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D46"/>
    <w:pPr>
      <w:spacing w:before="0" w:beforeAutospacing="0" w:after="0" w:afterAutospacing="0" w:line="240" w:lineRule="auto"/>
      <w:jc w:val="left"/>
    </w:pPr>
    <w:rPr>
      <w:rFonts w:ascii="Times New Roman" w:eastAsia="Calibri" w:hAnsi="Times New Roman" w:cs="Times New Roman"/>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AB4D46"/>
    <w:pPr>
      <w:spacing w:before="120"/>
      <w:ind w:firstLine="720"/>
    </w:pPr>
    <w:rPr>
      <w:rFonts w:eastAsia="Times New Roman"/>
      <w:sz w:val="24"/>
      <w:szCs w:val="24"/>
    </w:rPr>
  </w:style>
  <w:style w:type="paragraph" w:styleId="Encabezado">
    <w:name w:val="header"/>
    <w:basedOn w:val="Normal"/>
    <w:link w:val="EncabezadoCar"/>
    <w:uiPriority w:val="99"/>
    <w:rsid w:val="00AB4D46"/>
    <w:pPr>
      <w:tabs>
        <w:tab w:val="center" w:pos="4320"/>
        <w:tab w:val="right" w:pos="8640"/>
      </w:tabs>
    </w:pPr>
    <w:rPr>
      <w:rFonts w:eastAsia="Times New Roman"/>
    </w:rPr>
  </w:style>
  <w:style w:type="character" w:customStyle="1" w:styleId="EncabezadoCar">
    <w:name w:val="Encabezado Car"/>
    <w:basedOn w:val="Fuentedeprrafopredeter"/>
    <w:link w:val="Encabezado"/>
    <w:uiPriority w:val="99"/>
    <w:rsid w:val="00AB4D46"/>
    <w:rPr>
      <w:rFonts w:ascii="Times New Roman" w:eastAsia="Times New Roman" w:hAnsi="Times New Roman" w:cs="Times New Roman"/>
      <w:sz w:val="20"/>
      <w:szCs w:val="20"/>
    </w:rPr>
  </w:style>
  <w:style w:type="paragraph" w:customStyle="1" w:styleId="SOMContent">
    <w:name w:val="SOMContent"/>
    <w:basedOn w:val="Normal"/>
    <w:rsid w:val="00AB4D46"/>
    <w:pPr>
      <w:spacing w:before="120"/>
    </w:pPr>
    <w:rPr>
      <w:rFonts w:eastAsia="Times New Roman"/>
      <w:sz w:val="24"/>
      <w:szCs w:val="24"/>
    </w:rPr>
  </w:style>
  <w:style w:type="paragraph" w:styleId="Piedepgina">
    <w:name w:val="footer"/>
    <w:basedOn w:val="Normal"/>
    <w:link w:val="PiedepginaCar"/>
    <w:uiPriority w:val="99"/>
    <w:unhideWhenUsed/>
    <w:rsid w:val="00AB4D46"/>
    <w:pPr>
      <w:tabs>
        <w:tab w:val="center" w:pos="4419"/>
        <w:tab w:val="right" w:pos="8838"/>
      </w:tabs>
    </w:pPr>
  </w:style>
  <w:style w:type="character" w:customStyle="1" w:styleId="PiedepginaCar">
    <w:name w:val="Pie de página Car"/>
    <w:basedOn w:val="Fuentedeprrafopredeter"/>
    <w:link w:val="Piedepgina"/>
    <w:uiPriority w:val="99"/>
    <w:rsid w:val="00AB4D46"/>
    <w:rPr>
      <w:rFonts w:ascii="Times New Roman" w:eastAsia="Calibri"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D46"/>
    <w:pPr>
      <w:spacing w:before="0" w:beforeAutospacing="0" w:after="0" w:afterAutospacing="0" w:line="240" w:lineRule="auto"/>
      <w:jc w:val="left"/>
    </w:pPr>
    <w:rPr>
      <w:rFonts w:ascii="Times New Roman" w:eastAsia="Calibri" w:hAnsi="Times New Roman" w:cs="Times New Roman"/>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AB4D46"/>
    <w:pPr>
      <w:spacing w:before="120"/>
      <w:ind w:firstLine="720"/>
    </w:pPr>
    <w:rPr>
      <w:rFonts w:eastAsia="Times New Roman"/>
      <w:sz w:val="24"/>
      <w:szCs w:val="24"/>
    </w:rPr>
  </w:style>
  <w:style w:type="paragraph" w:styleId="Encabezado">
    <w:name w:val="header"/>
    <w:basedOn w:val="Normal"/>
    <w:link w:val="EncabezadoCar"/>
    <w:uiPriority w:val="99"/>
    <w:rsid w:val="00AB4D46"/>
    <w:pPr>
      <w:tabs>
        <w:tab w:val="center" w:pos="4320"/>
        <w:tab w:val="right" w:pos="8640"/>
      </w:tabs>
    </w:pPr>
    <w:rPr>
      <w:rFonts w:eastAsia="Times New Roman"/>
    </w:rPr>
  </w:style>
  <w:style w:type="character" w:customStyle="1" w:styleId="EncabezadoCar">
    <w:name w:val="Encabezado Car"/>
    <w:basedOn w:val="Fuentedeprrafopredeter"/>
    <w:link w:val="Encabezado"/>
    <w:uiPriority w:val="99"/>
    <w:rsid w:val="00AB4D46"/>
    <w:rPr>
      <w:rFonts w:ascii="Times New Roman" w:eastAsia="Times New Roman" w:hAnsi="Times New Roman" w:cs="Times New Roman"/>
      <w:sz w:val="20"/>
      <w:szCs w:val="20"/>
    </w:rPr>
  </w:style>
  <w:style w:type="paragraph" w:customStyle="1" w:styleId="SOMContent">
    <w:name w:val="SOMContent"/>
    <w:basedOn w:val="Normal"/>
    <w:rsid w:val="00AB4D46"/>
    <w:pPr>
      <w:spacing w:before="120"/>
    </w:pPr>
    <w:rPr>
      <w:rFonts w:eastAsia="Times New Roman"/>
      <w:sz w:val="24"/>
      <w:szCs w:val="24"/>
    </w:rPr>
  </w:style>
  <w:style w:type="paragraph" w:styleId="Piedepgina">
    <w:name w:val="footer"/>
    <w:basedOn w:val="Normal"/>
    <w:link w:val="PiedepginaCar"/>
    <w:uiPriority w:val="99"/>
    <w:unhideWhenUsed/>
    <w:rsid w:val="00AB4D46"/>
    <w:pPr>
      <w:tabs>
        <w:tab w:val="center" w:pos="4419"/>
        <w:tab w:val="right" w:pos="8838"/>
      </w:tabs>
    </w:pPr>
  </w:style>
  <w:style w:type="character" w:customStyle="1" w:styleId="PiedepginaCar">
    <w:name w:val="Pie de página Car"/>
    <w:basedOn w:val="Fuentedeprrafopredeter"/>
    <w:link w:val="Piedepgina"/>
    <w:uiPriority w:val="99"/>
    <w:rsid w:val="00AB4D46"/>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813</Words>
  <Characters>4637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Javier</dc:creator>
  <cp:lastModifiedBy>Javier</cp:lastModifiedBy>
  <cp:revision>2</cp:revision>
  <dcterms:created xsi:type="dcterms:W3CDTF">2017-08-02T10:17:00Z</dcterms:created>
  <dcterms:modified xsi:type="dcterms:W3CDTF">2017-08-02T10:17:00Z</dcterms:modified>
</cp:coreProperties>
</file>