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2079F" w14:textId="77777777" w:rsidR="00E86A80" w:rsidRPr="0046158F" w:rsidRDefault="00E86A80" w:rsidP="00E86A80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46158F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Supplementary figure 1.</w:t>
      </w:r>
      <w:r w:rsidRPr="0046158F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r w:rsidRPr="0046158F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Expression levels of the dopaminergic system in the </w:t>
      </w:r>
      <w:proofErr w:type="spellStart"/>
      <w:r w:rsidRPr="0046158F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mPFC</w:t>
      </w:r>
      <w:proofErr w:type="spellEnd"/>
      <w:r w:rsidRPr="0046158F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. </w:t>
      </w:r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Comparison of gene expression levels in the 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mPFC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of WT (empty circles) and </w:t>
      </w:r>
      <w:r w:rsidRPr="0046158F">
        <w:rPr>
          <w:rFonts w:ascii="Arial" w:hAnsi="Arial" w:cs="Arial"/>
          <w:i/>
          <w:color w:val="000000" w:themeColor="text1"/>
          <w:sz w:val="24"/>
          <w:szCs w:val="24"/>
          <w:lang w:val="en-US"/>
        </w:rPr>
        <w:t>Fgf14</w:t>
      </w:r>
      <w:r w:rsidRPr="0046158F">
        <w:rPr>
          <w:rFonts w:ascii="Arial" w:hAnsi="Arial" w:cs="Arial"/>
          <w:i/>
          <w:color w:val="000000" w:themeColor="text1"/>
          <w:sz w:val="24"/>
          <w:szCs w:val="24"/>
          <w:vertAlign w:val="superscript"/>
          <w:lang w:val="en-US"/>
        </w:rPr>
        <w:t>-/-</w:t>
      </w:r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(filled circles) mice of dopamine receptor 1 (DRD1) (A), dopamine receptor 2 (DRD2) (B), dopamine transporter (DAT) (C). </w:t>
      </w:r>
      <w:r w:rsidRPr="0046158F">
        <w:rPr>
          <w:rFonts w:ascii="Arial" w:hAnsi="Arial" w:cs="Arial"/>
          <w:i/>
          <w:color w:val="000000" w:themeColor="text1"/>
          <w:sz w:val="24"/>
          <w:szCs w:val="24"/>
          <w:lang w:val="en-US"/>
        </w:rPr>
        <w:t>Fgf14</w:t>
      </w:r>
      <w:r w:rsidRPr="0046158F">
        <w:rPr>
          <w:rFonts w:ascii="Arial" w:hAnsi="Arial" w:cs="Arial"/>
          <w:i/>
          <w:color w:val="000000" w:themeColor="text1"/>
          <w:sz w:val="24"/>
          <w:szCs w:val="24"/>
          <w:vertAlign w:val="superscript"/>
          <w:lang w:val="en-US"/>
        </w:rPr>
        <w:t>-/-</w:t>
      </w:r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mice show comparable gene expression level for all the analyzed genes compared to WT. The bars indicate median values.</w:t>
      </w:r>
    </w:p>
    <w:p w14:paraId="686B1994" w14:textId="77777777" w:rsidR="00E86A80" w:rsidRPr="0046158F" w:rsidRDefault="00E86A80" w:rsidP="00E86A80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</w:p>
    <w:p w14:paraId="6FC13328" w14:textId="77777777" w:rsidR="00E86A80" w:rsidRPr="0046158F" w:rsidRDefault="00E86A80" w:rsidP="00E86A80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46158F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Supplementary figure </w:t>
      </w:r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2. </w:t>
      </w:r>
      <w:r w:rsidRPr="0046158F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>Expression levels of cannabinoid receptor 1 (CB1).</w:t>
      </w:r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Comparison of gene expression levels of CB1 in the nucleus 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accumbens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NAc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, A), caudate putamen (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CPu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B) and amygdala (C) of WT (empty circles) and </w:t>
      </w:r>
      <w:r w:rsidRPr="0046158F">
        <w:rPr>
          <w:rFonts w:ascii="Arial" w:hAnsi="Arial" w:cs="Arial"/>
          <w:i/>
          <w:color w:val="000000" w:themeColor="text1"/>
          <w:sz w:val="24"/>
          <w:szCs w:val="24"/>
          <w:lang w:val="en-US"/>
        </w:rPr>
        <w:t>Fgf14</w:t>
      </w:r>
      <w:r w:rsidRPr="0046158F">
        <w:rPr>
          <w:rFonts w:ascii="Arial" w:hAnsi="Arial" w:cs="Arial"/>
          <w:i/>
          <w:color w:val="000000" w:themeColor="text1"/>
          <w:sz w:val="24"/>
          <w:szCs w:val="24"/>
          <w:vertAlign w:val="superscript"/>
          <w:lang w:val="en-US"/>
        </w:rPr>
        <w:t>-/-</w:t>
      </w:r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(filled circles). Expression levels are not different between genotypes. </w:t>
      </w:r>
    </w:p>
    <w:p w14:paraId="61D4710D" w14:textId="77777777" w:rsidR="00E86A80" w:rsidRPr="0046158F" w:rsidRDefault="00E86A80" w:rsidP="00E86A80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</w:p>
    <w:p w14:paraId="2E01F2BD" w14:textId="77777777" w:rsidR="00E86A80" w:rsidRPr="0046158F" w:rsidRDefault="00E86A80" w:rsidP="00E86A80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46158F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Supplementary figure 3. </w:t>
      </w:r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Representative images of the coronal sections of 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mPFC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(A, G, M, S), ACA (B, H, N, T), PL (C, I, O, U), IL (D, J, P, V) and VTA (E, F, K, L, Q, R, W, X) of unstressed (A-L) and TST-induced acute stressed (M-X) WT (A-F, M-R) and Fgf14-/- (G-L, S-X) mice, 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immunostained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with 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cFOS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antibody.</w:t>
      </w:r>
    </w:p>
    <w:p w14:paraId="1BCA0F89" w14:textId="77777777" w:rsidR="00E86A80" w:rsidRPr="0046158F" w:rsidRDefault="00E86A80" w:rsidP="00E86A80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14:paraId="31C2AA33" w14:textId="77777777" w:rsidR="00E86A80" w:rsidRPr="0046158F" w:rsidRDefault="00E86A80" w:rsidP="00E86A80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  <w:r w:rsidRPr="0046158F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Supplementary figure 4. Quantitative analysis of </w:t>
      </w:r>
      <w:proofErr w:type="spellStart"/>
      <w:r w:rsidRPr="0046158F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cFOS</w:t>
      </w:r>
      <w:proofErr w:type="spellEnd"/>
      <w:r w:rsidRPr="0046158F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immunostaining of WT and </w:t>
      </w:r>
      <w:r w:rsidRPr="0046158F">
        <w:rPr>
          <w:rFonts w:ascii="Arial" w:hAnsi="Arial" w:cs="Arial"/>
          <w:b/>
          <w:i/>
          <w:color w:val="000000" w:themeColor="text1"/>
          <w:sz w:val="24"/>
          <w:szCs w:val="24"/>
          <w:lang w:val="en-US"/>
        </w:rPr>
        <w:t>Fgf14</w:t>
      </w:r>
      <w:r w:rsidRPr="0046158F">
        <w:rPr>
          <w:rFonts w:ascii="Arial" w:hAnsi="Arial" w:cs="Arial"/>
          <w:b/>
          <w:i/>
          <w:color w:val="000000" w:themeColor="text1"/>
          <w:sz w:val="24"/>
          <w:szCs w:val="24"/>
          <w:vertAlign w:val="superscript"/>
          <w:lang w:val="en-US"/>
        </w:rPr>
        <w:t>-/-</w:t>
      </w:r>
      <w:r w:rsidRPr="0046158F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mice in other brain areas involved in depression. 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cFOS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+</w:t>
      </w:r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cell density was evaluated in the nucleus 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accumbens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NAc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) core (A), 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NAc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shell (B), amygdala (C), lateral habenula (D), dorsal hippocampus (HIP) (E), and ventral HIP (F) of unstressed (circles) and TST-induced acute stress (squares). Empty symbols: WT mice; filled symbols: </w:t>
      </w:r>
      <w:r w:rsidRPr="0046158F">
        <w:rPr>
          <w:rFonts w:ascii="Arial" w:hAnsi="Arial" w:cs="Arial"/>
          <w:i/>
          <w:color w:val="000000" w:themeColor="text1"/>
          <w:sz w:val="24"/>
          <w:szCs w:val="24"/>
          <w:lang w:val="en-US"/>
        </w:rPr>
        <w:t>Fgf14</w:t>
      </w:r>
      <w:r w:rsidRPr="0046158F">
        <w:rPr>
          <w:rFonts w:ascii="Arial" w:hAnsi="Arial" w:cs="Arial"/>
          <w:i/>
          <w:color w:val="000000" w:themeColor="text1"/>
          <w:sz w:val="24"/>
          <w:szCs w:val="24"/>
          <w:vertAlign w:val="superscript"/>
          <w:lang w:val="en-US"/>
        </w:rPr>
        <w:t>-/-</w:t>
      </w:r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mice. The analysis reveals that </w:t>
      </w:r>
      <w:r w:rsidRPr="0046158F">
        <w:rPr>
          <w:rFonts w:ascii="Arial" w:hAnsi="Arial" w:cs="Arial"/>
          <w:i/>
          <w:color w:val="000000" w:themeColor="text1"/>
          <w:sz w:val="24"/>
          <w:szCs w:val="24"/>
          <w:lang w:val="en-US"/>
        </w:rPr>
        <w:t>Fgf14</w:t>
      </w:r>
      <w:r w:rsidRPr="0046158F">
        <w:rPr>
          <w:rFonts w:ascii="Arial" w:hAnsi="Arial" w:cs="Arial"/>
          <w:i/>
          <w:color w:val="000000" w:themeColor="text1"/>
          <w:sz w:val="24"/>
          <w:szCs w:val="24"/>
          <w:vertAlign w:val="superscript"/>
          <w:lang w:val="en-US"/>
        </w:rPr>
        <w:t>-/-</w:t>
      </w:r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mice subjected to TST show a significantly higher number of 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cFOS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+</w:t>
      </w:r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cells compared to unstressed controls only in ventral HIP (F). *p &lt; 0.05. </w:t>
      </w:r>
    </w:p>
    <w:p w14:paraId="14083F8C" w14:textId="77777777" w:rsidR="00E86A80" w:rsidRPr="0046158F" w:rsidRDefault="00E86A80" w:rsidP="00E86A80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14:paraId="1B7A893F" w14:textId="77777777" w:rsidR="00E86A80" w:rsidRPr="0046158F" w:rsidRDefault="00E86A80" w:rsidP="00E86A80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46158F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Supplementary figure 5. Correlation analysis between </w:t>
      </w:r>
      <w:proofErr w:type="spellStart"/>
      <w:r w:rsidRPr="0046158F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cFOS</w:t>
      </w:r>
      <w:proofErr w:type="spellEnd"/>
      <w:r w:rsidRPr="0046158F">
        <w:rPr>
          <w:rFonts w:ascii="Arial" w:hAnsi="Arial" w:cs="Arial"/>
          <w:b/>
          <w:color w:val="000000" w:themeColor="text1"/>
          <w:sz w:val="24"/>
          <w:szCs w:val="24"/>
          <w:vertAlign w:val="superscript"/>
          <w:lang w:val="en-US"/>
        </w:rPr>
        <w:t>+</w:t>
      </w:r>
      <w:r w:rsidRPr="0046158F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cell density and immobility time after TST-induced acute stress in other brain areas involved in depression. </w:t>
      </w:r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Correlation between immobility time in TST and 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cFOS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+</w:t>
      </w:r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cell density in the 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NAc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core (A) 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NAc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shell (B), amygdala (C), lateral habenula (D), dorsal HIP (E), and ventral HIP (F). Empty squares: WT mice; filled squared: </w:t>
      </w:r>
      <w:r w:rsidRPr="0046158F">
        <w:rPr>
          <w:rFonts w:ascii="Arial" w:hAnsi="Arial" w:cs="Arial"/>
          <w:i/>
          <w:color w:val="000000" w:themeColor="text1"/>
          <w:sz w:val="24"/>
          <w:szCs w:val="24"/>
          <w:lang w:val="en-US"/>
        </w:rPr>
        <w:t>Fgf14</w:t>
      </w:r>
      <w:r w:rsidRPr="0046158F">
        <w:rPr>
          <w:rFonts w:ascii="Arial" w:hAnsi="Arial" w:cs="Arial"/>
          <w:i/>
          <w:color w:val="000000" w:themeColor="text1"/>
          <w:sz w:val="24"/>
          <w:szCs w:val="24"/>
          <w:vertAlign w:val="superscript"/>
          <w:lang w:val="en-US"/>
        </w:rPr>
        <w:t>-/-</w:t>
      </w:r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mice. The analysis reveals no correlations between immobility time in TST and 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cFOS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+</w:t>
      </w:r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cell density in all the 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analysed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regions. *p &lt; 0.05.</w:t>
      </w:r>
    </w:p>
    <w:p w14:paraId="46EFEFE2" w14:textId="77777777" w:rsidR="00E86A80" w:rsidRPr="0046158F" w:rsidRDefault="00E86A80" w:rsidP="00E86A80">
      <w:pPr>
        <w:widowControl w:val="0"/>
        <w:autoSpaceDE w:val="0"/>
        <w:autoSpaceDN w:val="0"/>
        <w:adjustRightInd w:val="0"/>
        <w:spacing w:after="0" w:line="360" w:lineRule="auto"/>
        <w:ind w:left="640" w:hanging="640"/>
        <w:jc w:val="both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</w:p>
    <w:p w14:paraId="7DD27B34" w14:textId="77777777" w:rsidR="00E86A80" w:rsidRPr="0046158F" w:rsidRDefault="00E86A80" w:rsidP="00E86A80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46158F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lastRenderedPageBreak/>
        <w:t xml:space="preserve">Supplementary figure 6. Correlation analysis between </w:t>
      </w:r>
      <w:proofErr w:type="spellStart"/>
      <w:r w:rsidRPr="0046158F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cFOS</w:t>
      </w:r>
      <w:proofErr w:type="spellEnd"/>
      <w:r w:rsidRPr="0046158F">
        <w:rPr>
          <w:rFonts w:ascii="Arial" w:hAnsi="Arial" w:cs="Arial"/>
          <w:b/>
          <w:color w:val="000000" w:themeColor="text1"/>
          <w:sz w:val="24"/>
          <w:szCs w:val="24"/>
          <w:vertAlign w:val="superscript"/>
          <w:lang w:val="en-US"/>
        </w:rPr>
        <w:t>+</w:t>
      </w:r>
      <w:r w:rsidRPr="0046158F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cell density and immobility time after TST-induced acute stress in WT mice for all brain areas involved in depression. </w:t>
      </w:r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Correlations between immobility time in TST and 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cFOS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+</w:t>
      </w:r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cell density in the whole 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mPFC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(A), ACA (B), PL (C), IL (D) areas, VTA (E), 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NAc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core (F), </w:t>
      </w:r>
      <w:proofErr w:type="spellStart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>NAc</w:t>
      </w:r>
      <w:proofErr w:type="spellEnd"/>
      <w:r w:rsidRPr="0046158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shell (G), amygdala (G), lateral habenula (H), dorsal HIP (I), and ventral HIP (J) of WT mice. *p &lt; 0.05.</w:t>
      </w:r>
    </w:p>
    <w:p w14:paraId="66B49D99" w14:textId="77777777" w:rsidR="00507B06" w:rsidRDefault="00507B06"/>
    <w:sectPr w:rsidR="00507B06" w:rsidSect="002A4D8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mirrorMargins/>
  <w:proofState w:spelling="clean" w:grammar="clean"/>
  <w:defaultTabStop w:val="708"/>
  <w:hyphenationZone w:val="283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80"/>
    <w:rsid w:val="00003C84"/>
    <w:rsid w:val="002A4D82"/>
    <w:rsid w:val="00507B06"/>
    <w:rsid w:val="00716518"/>
    <w:rsid w:val="00E8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9BFE579"/>
  <w15:chartTrackingRefBased/>
  <w15:docId w15:val="{CF4746D8-49D9-D646-9AB4-C6759BCCE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4"/>
        <w:szCs w:val="24"/>
        <w:lang w:val="it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6A80"/>
    <w:pPr>
      <w:spacing w:after="200" w:line="276" w:lineRule="auto"/>
    </w:pPr>
    <w:rPr>
      <w:rFonts w:ascii="Calibri" w:hAnsi="Calibri" w:cs="Times New Roman"/>
      <w:kern w:val="0"/>
      <w:sz w:val="22"/>
      <w:szCs w:val="22"/>
      <w:lang w:val="en-GB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86A8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86A8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86A8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6A8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it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86A8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it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86A8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it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86A8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it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86A8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it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86A8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it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86A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86A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86A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6A80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86A80"/>
    <w:rPr>
      <w:rFonts w:eastAsiaTheme="majorEastAsia" w:cstheme="majorBidi"/>
      <w:color w:val="0F4761" w:themeColor="accent1" w:themeShade="BF"/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86A80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86A80"/>
    <w:rPr>
      <w:rFonts w:eastAsiaTheme="majorEastAsia" w:cstheme="majorBidi"/>
      <w:color w:val="595959" w:themeColor="text1" w:themeTint="A6"/>
      <w:sz w:val="22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86A80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86A80"/>
    <w:rPr>
      <w:rFonts w:eastAsiaTheme="majorEastAsia" w:cstheme="majorBidi"/>
      <w:color w:val="272727" w:themeColor="text1" w:themeTint="D8"/>
      <w:sz w:val="22"/>
    </w:rPr>
  </w:style>
  <w:style w:type="paragraph" w:styleId="Titolo">
    <w:name w:val="Title"/>
    <w:basedOn w:val="Normale"/>
    <w:next w:val="Normale"/>
    <w:link w:val="TitoloCarattere"/>
    <w:uiPriority w:val="10"/>
    <w:qFormat/>
    <w:rsid w:val="00E86A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86A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86A8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86A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86A80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Cs w:val="24"/>
      <w:lang w:val="it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86A80"/>
    <w:rPr>
      <w:i/>
      <w:iCs/>
      <w:color w:val="404040" w:themeColor="text1" w:themeTint="BF"/>
      <w:sz w:val="22"/>
    </w:rPr>
  </w:style>
  <w:style w:type="paragraph" w:styleId="Paragrafoelenco">
    <w:name w:val="List Paragraph"/>
    <w:basedOn w:val="Normale"/>
    <w:uiPriority w:val="34"/>
    <w:qFormat/>
    <w:rsid w:val="00E86A80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Cs w:val="24"/>
      <w:lang w:val="it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86A8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86A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Cs w:val="24"/>
      <w:lang w:val="it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86A80"/>
    <w:rPr>
      <w:i/>
      <w:iCs/>
      <w:color w:val="0F4761" w:themeColor="accent1" w:themeShade="BF"/>
      <w:sz w:val="22"/>
    </w:rPr>
  </w:style>
  <w:style w:type="character" w:styleId="Riferimentointenso">
    <w:name w:val="Intense Reference"/>
    <w:basedOn w:val="Carpredefinitoparagrafo"/>
    <w:uiPriority w:val="32"/>
    <w:qFormat/>
    <w:rsid w:val="00E86A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Eriola Hoxha</dc:creator>
  <cp:keywords/>
  <dc:description/>
  <cp:lastModifiedBy>Eriola Hoxha</cp:lastModifiedBy>
  <cp:revision>1</cp:revision>
  <dcterms:created xsi:type="dcterms:W3CDTF">2025-03-14T21:29:00Z</dcterms:created>
  <dcterms:modified xsi:type="dcterms:W3CDTF">2025-03-14T21:29:00Z</dcterms:modified>
</cp:coreProperties>
</file>