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FDFD" w14:textId="77777777" w:rsidR="00611E3E" w:rsidRPr="00611E3E" w:rsidRDefault="00611E3E" w:rsidP="00611E3E">
      <w:pPr>
        <w:rPr>
          <w:rFonts w:ascii="Times New Roman" w:hAnsi="Times New Roman" w:cs="Times New Roman"/>
          <w:b/>
          <w:bCs/>
        </w:rPr>
      </w:pPr>
      <w:r w:rsidRPr="00611E3E">
        <w:rPr>
          <w:rFonts w:ascii="Times New Roman" w:hAnsi="Times New Roman" w:cs="Times New Roman"/>
          <w:b/>
          <w:bCs/>
        </w:rPr>
        <w:t>Identifying Facilitators of and Barriers to Digital Health Literacy in Chronic Childhood Rheumatic Disease: A Scoping Review Protocol</w:t>
      </w:r>
    </w:p>
    <w:p w14:paraId="350CD247" w14:textId="4D16AE3F" w:rsidR="00611E3E" w:rsidRDefault="00611E3E" w:rsidP="00611E3E">
      <w:pPr>
        <w:rPr>
          <w:rFonts w:ascii="Times New Roman" w:hAnsi="Times New Roman" w:cs="Times New Roman"/>
        </w:rPr>
      </w:pPr>
      <w:r w:rsidRPr="00611E3E">
        <w:rPr>
          <w:rFonts w:ascii="Times New Roman" w:hAnsi="Times New Roman" w:cs="Times New Roman"/>
        </w:rPr>
        <w:t>Craig Eling; Alan Rosenberg; Jennifer Stinson; Maryam Mehtar; Jasmin Bhawra; Mary Chipanshi; Roona Sinha; Donna Goodridge</w:t>
      </w:r>
    </w:p>
    <w:p w14:paraId="5AEC3570" w14:textId="77777777" w:rsidR="00611E3E" w:rsidRDefault="00611E3E">
      <w:pPr>
        <w:rPr>
          <w:rFonts w:ascii="Times New Roman" w:hAnsi="Times New Roman" w:cs="Times New Roman"/>
        </w:rPr>
      </w:pPr>
    </w:p>
    <w:p w14:paraId="7D283B11" w14:textId="7A2790D5" w:rsidR="000B26DF" w:rsidRPr="00611E3E" w:rsidRDefault="00611E3E">
      <w:pPr>
        <w:rPr>
          <w:rFonts w:ascii="Times New Roman" w:hAnsi="Times New Roman" w:cs="Times New Roman"/>
          <w:b/>
          <w:bCs/>
        </w:rPr>
      </w:pPr>
      <w:r w:rsidRPr="00611E3E">
        <w:rPr>
          <w:rFonts w:ascii="Times New Roman" w:hAnsi="Times New Roman" w:cs="Times New Roman"/>
          <w:b/>
          <w:bCs/>
        </w:rPr>
        <w:t>Appendix 1</w:t>
      </w:r>
    </w:p>
    <w:p w14:paraId="221FE15F" w14:textId="77777777" w:rsidR="00611E3E" w:rsidRPr="00611E3E" w:rsidRDefault="00611E3E">
      <w:pPr>
        <w:rPr>
          <w:rFonts w:ascii="Times New Roman" w:hAnsi="Times New Roman" w:cs="Times New Roman"/>
        </w:rPr>
      </w:pPr>
    </w:p>
    <w:p w14:paraId="44025F2A" w14:textId="3D41D2F8" w:rsidR="00611E3E" w:rsidRPr="00611E3E" w:rsidRDefault="00611E3E" w:rsidP="00611E3E">
      <w:pPr>
        <w:spacing w:line="480" w:lineRule="auto"/>
        <w:ind w:firstLine="720"/>
        <w:rPr>
          <w:rFonts w:ascii="Times New Roman" w:hAnsi="Times New Roman" w:cs="Times New Roman"/>
          <w:lang w:val="en-CA"/>
        </w:rPr>
      </w:pPr>
      <w:r w:rsidRPr="00611E3E">
        <w:rPr>
          <w:rFonts w:ascii="Times New Roman" w:hAnsi="Times New Roman" w:cs="Times New Roman"/>
          <w:lang w:val="en-CA"/>
        </w:rPr>
        <w:t xml:space="preserve">Table 1 presents facilitators of and barriers to </w:t>
      </w:r>
      <w:r w:rsidRPr="00611E3E">
        <w:rPr>
          <w:rFonts w:ascii="Times New Roman" w:hAnsi="Times New Roman" w:cs="Times New Roman"/>
          <w:lang w:val="en-CA"/>
        </w:rPr>
        <w:t>DHL in children with or without a chronic disease, parents of children with or without a chronic disease, and adults with rheumatic disease</w:t>
      </w:r>
      <w:r w:rsidRPr="00611E3E">
        <w:rPr>
          <w:rFonts w:ascii="Times New Roman" w:hAnsi="Times New Roman" w:cs="Times New Roman"/>
          <w:lang w:val="en-CA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7649"/>
      </w:tblGrid>
      <w:tr w:rsidR="00611E3E" w:rsidRPr="00611E3E" w14:paraId="51F53C8F" w14:textId="77777777" w:rsidTr="00292FFC">
        <w:tc>
          <w:tcPr>
            <w:tcW w:w="9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68BED" w14:textId="77777777" w:rsidR="00D8248C" w:rsidRDefault="00D8248C" w:rsidP="00292FFC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2A09B86F" w14:textId="245A8AAB" w:rsidR="00611E3E" w:rsidRPr="00611E3E" w:rsidRDefault="00611E3E" w:rsidP="00292FFC">
            <w:pPr>
              <w:spacing w:line="480" w:lineRule="auto"/>
              <w:rPr>
                <w:rFonts w:ascii="Times New Roman" w:hAnsi="Times New Roman" w:cs="Times New Roman"/>
                <w:lang w:val="en-CA"/>
              </w:rPr>
            </w:pPr>
            <w:r w:rsidRPr="00611E3E">
              <w:rPr>
                <w:rFonts w:ascii="Times New Roman" w:hAnsi="Times New Roman" w:cs="Times New Roman"/>
                <w:b/>
                <w:bCs/>
                <w:lang w:val="en-CA"/>
              </w:rPr>
              <w:t xml:space="preserve">Table 1. </w:t>
            </w:r>
            <w:r w:rsidRPr="00611E3E">
              <w:rPr>
                <w:rFonts w:ascii="Times New Roman" w:hAnsi="Times New Roman" w:cs="Times New Roman"/>
                <w:lang w:val="en-CA"/>
              </w:rPr>
              <w:t>Facilitators of and barriers to DHL in children with or without a chronic disease, parents of children with or without a chronic disease, and adults with rheumatic disease identified from the literature search.</w:t>
            </w:r>
          </w:p>
        </w:tc>
      </w:tr>
      <w:tr w:rsidR="00611E3E" w:rsidRPr="00611E3E" w14:paraId="54BAC36E" w14:textId="77777777" w:rsidTr="00292FFC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82129AB" w14:textId="77777777" w:rsidR="00611E3E" w:rsidRPr="00611E3E" w:rsidRDefault="00611E3E" w:rsidP="00292FFC">
            <w:pPr>
              <w:rPr>
                <w:rFonts w:ascii="Times New Roman" w:hAnsi="Times New Roman" w:cs="Times New Roman"/>
                <w:lang w:val="en-CA"/>
              </w:rPr>
            </w:pPr>
            <w:r w:rsidRPr="00611E3E">
              <w:rPr>
                <w:rFonts w:ascii="Times New Roman" w:hAnsi="Times New Roman" w:cs="Times New Roman"/>
                <w:lang w:val="en-CA"/>
              </w:rPr>
              <w:t>Facilitators of DHL</w:t>
            </w:r>
          </w:p>
        </w:tc>
        <w:tc>
          <w:tcPr>
            <w:tcW w:w="7649" w:type="dxa"/>
            <w:tcBorders>
              <w:left w:val="nil"/>
              <w:bottom w:val="nil"/>
              <w:right w:val="nil"/>
            </w:tcBorders>
          </w:tcPr>
          <w:p w14:paraId="481B7452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</w:rPr>
            </w:pPr>
            <w:r w:rsidRPr="00933706">
              <w:rPr>
                <w:rFonts w:ascii="Times New Roman" w:hAnsi="Times New Roman" w:cs="Times New Roman"/>
              </w:rPr>
              <w:t>Desire and motivation to learn and use digital health services (16)</w:t>
            </w:r>
          </w:p>
          <w:p w14:paraId="604A5543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</w:rPr>
            </w:pPr>
            <w:r w:rsidRPr="00933706">
              <w:rPr>
                <w:rFonts w:ascii="Times New Roman" w:hAnsi="Times New Roman" w:cs="Times New Roman"/>
              </w:rPr>
              <w:t>Positive past experiences with digital health and reliable sources of health information (17,18)</w:t>
            </w:r>
          </w:p>
          <w:p w14:paraId="22C7AC9F" w14:textId="77777777" w:rsidR="00611E3E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</w:rPr>
            </w:pPr>
            <w:r w:rsidRPr="00933706">
              <w:rPr>
                <w:rFonts w:ascii="Times New Roman" w:hAnsi="Times New Roman" w:cs="Times New Roman"/>
              </w:rPr>
              <w:t>Belief that digital technologies and digital health is beneficial to personal health (13,17)</w:t>
            </w:r>
          </w:p>
          <w:p w14:paraId="5B753149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Practitioner recommendation and support for digital health (17)</w:t>
            </w:r>
          </w:p>
          <w:p w14:paraId="39F0A55F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Training/education (17)</w:t>
            </w:r>
          </w:p>
          <w:p w14:paraId="6004FDE8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 xml:space="preserve">Internet and/or devices accessible at public locations or through subsidization (17) </w:t>
            </w:r>
          </w:p>
          <w:p w14:paraId="56A36085" w14:textId="3A8DA9AA" w:rsidR="00933706" w:rsidRPr="00611E3E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Parental education greater than high school (19–21)</w:t>
            </w:r>
          </w:p>
        </w:tc>
      </w:tr>
      <w:tr w:rsidR="00611E3E" w:rsidRPr="00611E3E" w14:paraId="2A9B5432" w14:textId="77777777" w:rsidTr="00292FFC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82922" w14:textId="77777777" w:rsidR="00611E3E" w:rsidRPr="00611E3E" w:rsidRDefault="00611E3E" w:rsidP="00292FFC">
            <w:pPr>
              <w:rPr>
                <w:rFonts w:ascii="Times New Roman" w:hAnsi="Times New Roman" w:cs="Times New Roman"/>
                <w:lang w:val="en-CA"/>
              </w:rPr>
            </w:pPr>
            <w:r w:rsidRPr="00611E3E">
              <w:rPr>
                <w:rFonts w:ascii="Times New Roman" w:hAnsi="Times New Roman" w:cs="Times New Roman"/>
                <w:lang w:val="en-CA"/>
              </w:rPr>
              <w:t>Barriers to DHL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BABA1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 xml:space="preserve">Lower socioeconomic status (4,16,19–23) </w:t>
            </w:r>
          </w:p>
          <w:p w14:paraId="61441847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Limited English language proficiency (13,16,24)</w:t>
            </w:r>
          </w:p>
          <w:p w14:paraId="0C643F00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Increasing rurality or geographic isolation (13,24,25)</w:t>
            </w:r>
          </w:p>
          <w:p w14:paraId="7CD1A95B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Indigenous, immigrant, and marginalized populations (16,24,26)</w:t>
            </w:r>
          </w:p>
          <w:p w14:paraId="125AF768" w14:textId="77777777" w:rsidR="00933706" w:rsidRPr="00933706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  <w:lang w:val="en-CA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Lack of access to broadband Internet, high-speed cellular networks, or lack of access to internet-capable and usable devices (6,17,23,24)</w:t>
            </w:r>
          </w:p>
          <w:p w14:paraId="0BB49A97" w14:textId="46D2011C" w:rsidR="00611E3E" w:rsidRPr="00611E3E" w:rsidRDefault="00933706" w:rsidP="00933706">
            <w:pPr>
              <w:spacing w:after="120"/>
              <w:ind w:left="34"/>
              <w:rPr>
                <w:rFonts w:ascii="Times New Roman" w:hAnsi="Times New Roman" w:cs="Times New Roman"/>
              </w:rPr>
            </w:pPr>
            <w:r w:rsidRPr="00933706">
              <w:rPr>
                <w:rFonts w:ascii="Times New Roman" w:hAnsi="Times New Roman" w:cs="Times New Roman"/>
                <w:lang w:val="en-CA"/>
              </w:rPr>
              <w:t>Aged 65-years or older (16,23,24) or too young to have developed digital skills (4)</w:t>
            </w:r>
          </w:p>
        </w:tc>
      </w:tr>
    </w:tbl>
    <w:p w14:paraId="23F9C4A1" w14:textId="77777777" w:rsidR="00611E3E" w:rsidRPr="00611E3E" w:rsidRDefault="00611E3E" w:rsidP="00611E3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89700B1" w14:textId="77777777" w:rsidR="00611E3E" w:rsidRPr="00611E3E" w:rsidRDefault="00611E3E">
      <w:pPr>
        <w:rPr>
          <w:rFonts w:ascii="Times New Roman" w:hAnsi="Times New Roman" w:cs="Times New Roman"/>
        </w:rPr>
      </w:pPr>
    </w:p>
    <w:sectPr w:rsidR="00611E3E" w:rsidRPr="00611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E3E"/>
    <w:rsid w:val="0003642F"/>
    <w:rsid w:val="000B26DF"/>
    <w:rsid w:val="004F5246"/>
    <w:rsid w:val="00533264"/>
    <w:rsid w:val="00611E3E"/>
    <w:rsid w:val="00933706"/>
    <w:rsid w:val="009F3EE3"/>
    <w:rsid w:val="00D8248C"/>
    <w:rsid w:val="00E56345"/>
    <w:rsid w:val="00F02FF1"/>
    <w:rsid w:val="00F3412F"/>
    <w:rsid w:val="00F8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E69AA2"/>
  <w15:chartTrackingRefBased/>
  <w15:docId w15:val="{C023F6DA-1D5C-5941-8958-17BAAFC4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E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E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E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E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E3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E3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E3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E3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E3E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E3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E3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E3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E3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11E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E3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E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E3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611E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E3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611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E3E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611E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1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3412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Eling</dc:creator>
  <cp:keywords/>
  <dc:description/>
  <cp:lastModifiedBy>Eling, Craig</cp:lastModifiedBy>
  <cp:revision>4</cp:revision>
  <dcterms:created xsi:type="dcterms:W3CDTF">2025-03-19T02:24:00Z</dcterms:created>
  <dcterms:modified xsi:type="dcterms:W3CDTF">2025-09-16T16:44:00Z</dcterms:modified>
</cp:coreProperties>
</file>