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F9A55" w14:textId="01CE8CA6" w:rsidR="006F5104" w:rsidRPr="00B22098" w:rsidRDefault="006F5104" w:rsidP="006F5104">
      <w:pPr>
        <w:rPr>
          <w:rFonts w:ascii="Arial" w:hAnsi="Arial" w:cs="Arial"/>
          <w:sz w:val="20"/>
          <w:szCs w:val="20"/>
        </w:rPr>
      </w:pPr>
      <w:r w:rsidRPr="00B22098">
        <w:rPr>
          <w:rFonts w:ascii="Arial" w:hAnsi="Arial" w:cs="Arial"/>
          <w:sz w:val="20"/>
          <w:szCs w:val="20"/>
        </w:rPr>
        <w:t xml:space="preserve">Supplemental Table </w:t>
      </w:r>
      <w:r w:rsidR="00C058F6">
        <w:rPr>
          <w:rFonts w:ascii="Arial" w:hAnsi="Arial" w:cs="Arial"/>
          <w:sz w:val="20"/>
          <w:szCs w:val="20"/>
        </w:rPr>
        <w:t>1</w:t>
      </w:r>
      <w:r w:rsidRPr="00B22098">
        <w:rPr>
          <w:rFonts w:ascii="Arial" w:hAnsi="Arial" w:cs="Arial"/>
          <w:sz w:val="20"/>
          <w:szCs w:val="20"/>
        </w:rPr>
        <w:t xml:space="preserve">: </w:t>
      </w:r>
      <w:r w:rsidR="00C058F6">
        <w:rPr>
          <w:rFonts w:ascii="Arial" w:hAnsi="Arial" w:cs="Arial"/>
          <w:sz w:val="20"/>
          <w:szCs w:val="20"/>
        </w:rPr>
        <w:t xml:space="preserve">Cannabis use endorsement rates </w:t>
      </w:r>
      <w:r w:rsidRPr="00B22098">
        <w:rPr>
          <w:rFonts w:ascii="Arial" w:hAnsi="Arial" w:cs="Arial"/>
          <w:sz w:val="20"/>
          <w:szCs w:val="20"/>
        </w:rPr>
        <w:t>by group and visit.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3690"/>
        <w:gridCol w:w="1530"/>
        <w:gridCol w:w="1530"/>
      </w:tblGrid>
      <w:tr w:rsidR="006F5104" w14:paraId="62851912" w14:textId="77777777" w:rsidTr="00223167">
        <w:trPr>
          <w:cantSplit/>
          <w:tblHeader/>
        </w:trPr>
        <w:tc>
          <w:tcPr>
            <w:tcW w:w="3690" w:type="dxa"/>
            <w:tcBorders>
              <w:top w:val="single" w:sz="12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6BF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Cannabis use</w:t>
            </w:r>
          </w:p>
        </w:tc>
        <w:tc>
          <w:tcPr>
            <w:tcW w:w="1530" w:type="dxa"/>
            <w:tcBorders>
              <w:top w:val="single" w:sz="12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9FE2D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Immediate</w:t>
            </w:r>
          </w:p>
        </w:tc>
        <w:tc>
          <w:tcPr>
            <w:tcW w:w="1530" w:type="dxa"/>
            <w:tcBorders>
              <w:top w:val="single" w:sz="12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8E77A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Delayed</w:t>
            </w:r>
          </w:p>
        </w:tc>
      </w:tr>
      <w:tr w:rsidR="006F5104" w14:paraId="46C54FD7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FBB0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Prior to RCT trial (Month 0)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5EBAF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55A5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67</w:t>
            </w:r>
          </w:p>
        </w:tc>
      </w:tr>
      <w:tr w:rsidR="006F5104" w14:paraId="52C65D10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4CE17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monthly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2F9CF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59.4% (57)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64F8B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47.8% (32)</w:t>
            </w:r>
          </w:p>
        </w:tc>
      </w:tr>
      <w:tr w:rsidR="006F5104" w14:paraId="71636BE0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D194A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weekly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E3A2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19.8% (19)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C76B8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17.9% (12)</w:t>
            </w:r>
          </w:p>
        </w:tc>
      </w:tr>
      <w:tr w:rsidR="006F5104" w14:paraId="28046B55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E541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1 - 4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D60A9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18.8% (18)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1E67E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32.8% (22)</w:t>
            </w:r>
          </w:p>
        </w:tc>
      </w:tr>
      <w:tr w:rsidR="006F5104" w14:paraId="6999771F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66396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5 or more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744D0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2.1% (2)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B8CE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1.5% (1)</w:t>
            </w:r>
          </w:p>
        </w:tc>
      </w:tr>
      <w:tr w:rsidR="006F5104" w14:paraId="6FCA261B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BDA9F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End of RCT trial (Month 3)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ED0FE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61D6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</w:tr>
      <w:tr w:rsidR="006F5104" w14:paraId="235E0A0F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4D212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monthly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BC48B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7.3% (7)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F7B0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46.3% (31)</w:t>
            </w:r>
          </w:p>
        </w:tc>
      </w:tr>
      <w:tr w:rsidR="006F5104" w14:paraId="4FA07329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A34F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weekly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A00F0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7.3% (7)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DEF7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9% (6)</w:t>
            </w:r>
          </w:p>
        </w:tc>
      </w:tr>
      <w:tr w:rsidR="006F5104" w14:paraId="76F73914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EC608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1 - 4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00E74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55.2% (53)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410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34.3% (23)</w:t>
            </w:r>
          </w:p>
        </w:tc>
      </w:tr>
      <w:tr w:rsidR="006F5104" w14:paraId="73908768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5BEA9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5 or more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1FC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30.2% (29)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EF818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10.4% (7)</w:t>
            </w:r>
          </w:p>
        </w:tc>
      </w:tr>
      <w:tr w:rsidR="006F5104" w14:paraId="0C11A0F3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7A70E" w14:textId="5FCF0BB2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Use increased</w:t>
            </w:r>
            <w:r w:rsidR="00223167">
              <w:rPr>
                <w:rFonts w:ascii="Arial"/>
                <w:color w:val="000000"/>
                <w:sz w:val="20"/>
                <w:szCs w:val="20"/>
              </w:rPr>
              <w:t xml:space="preserve"> over prior 3 months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08ABE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79.2% (76)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77FE0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25.4% (17)</w:t>
            </w:r>
          </w:p>
        </w:tc>
      </w:tr>
      <w:tr w:rsidR="006F5104" w14:paraId="0E53DCDA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4553" w14:textId="55C5C412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Use decreased</w:t>
            </w:r>
            <w:r w:rsidR="00223167">
              <w:rPr>
                <w:rFonts w:ascii="Arial"/>
                <w:color w:val="000000"/>
                <w:sz w:val="20"/>
                <w:szCs w:val="20"/>
              </w:rPr>
              <w:t xml:space="preserve"> over prior 3 months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39BA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2.1% (2)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4D5E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14.9% (10)</w:t>
            </w:r>
          </w:p>
        </w:tc>
      </w:tr>
      <w:tr w:rsidR="006F5104" w14:paraId="39EB0679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C5888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Follow-up (Month 6)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D423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2AFB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</w:tr>
      <w:tr w:rsidR="006F5104" w14:paraId="78DDA87D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41C76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monthly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9FCE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13.5% (13)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35982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31.3% (21)</w:t>
            </w:r>
          </w:p>
        </w:tc>
      </w:tr>
      <w:tr w:rsidR="006F5104" w14:paraId="426DBCB8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5C290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weekly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5F199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4.2% (4)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218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17.9% (12)</w:t>
            </w:r>
          </w:p>
        </w:tc>
      </w:tr>
      <w:tr w:rsidR="006F5104" w14:paraId="234FF785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DB5EA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1 - 4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88807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53.1% (51)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77353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26.9% (18)</w:t>
            </w:r>
          </w:p>
        </w:tc>
      </w:tr>
      <w:tr w:rsidR="006F5104" w14:paraId="4CAA569B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75DEA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5 or more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AC77A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29.2% (28)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37B9F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23.9% (16)</w:t>
            </w:r>
          </w:p>
        </w:tc>
      </w:tr>
      <w:tr w:rsidR="006F5104" w14:paraId="00A890E9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5BF7" w14:textId="1EFFB7C4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Use increased</w:t>
            </w:r>
            <w:r w:rsidR="00223167">
              <w:rPr>
                <w:rFonts w:ascii="Arial"/>
                <w:color w:val="000000"/>
                <w:sz w:val="20"/>
                <w:szCs w:val="20"/>
              </w:rPr>
              <w:t xml:space="preserve"> over prior 3 months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DC88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12.5% (12)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E4A62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34.3% (23)</w:t>
            </w:r>
          </w:p>
        </w:tc>
      </w:tr>
      <w:tr w:rsidR="006F5104" w14:paraId="22D73E04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DF22" w14:textId="5339953F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Use decreased</w:t>
            </w:r>
            <w:r w:rsidR="00223167">
              <w:rPr>
                <w:rFonts w:ascii="Arial"/>
                <w:color w:val="000000"/>
                <w:sz w:val="20"/>
                <w:szCs w:val="20"/>
              </w:rPr>
              <w:t xml:space="preserve"> over prior 3 months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C06C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21.9% (21)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DB78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17.9% (12)</w:t>
            </w:r>
          </w:p>
        </w:tc>
      </w:tr>
      <w:tr w:rsidR="006F5104" w14:paraId="2EC6D9C1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2F639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Follow-up (Month 12)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CA938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4B23E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</w:p>
        </w:tc>
      </w:tr>
      <w:tr w:rsidR="006F5104" w14:paraId="6F4A13B5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C83CD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monthly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91C47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18.8% (18)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E8A3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26.9% (18)</w:t>
            </w:r>
          </w:p>
        </w:tc>
      </w:tr>
      <w:tr w:rsidR="006F5104" w14:paraId="01413048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306F6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Less than weekly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EB6C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12.5% (12)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5C41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10.4% (7)</w:t>
            </w:r>
          </w:p>
        </w:tc>
      </w:tr>
      <w:tr w:rsidR="006F5104" w14:paraId="4301E6DF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5DFE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1 - 4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293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40.6% (39)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5148C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29.9% (20)</w:t>
            </w:r>
          </w:p>
        </w:tc>
      </w:tr>
      <w:tr w:rsidR="006F5104" w14:paraId="2D0B0987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2D2B4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5 or more days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A071F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24% (23)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0384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17.9% (12)</w:t>
            </w:r>
          </w:p>
        </w:tc>
      </w:tr>
      <w:tr w:rsidR="006F5104" w14:paraId="5B0A8D03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959E2" w14:textId="2882947B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Use increased</w:t>
            </w:r>
            <w:r w:rsidR="00223167">
              <w:rPr>
                <w:rFonts w:ascii="Arial"/>
                <w:color w:val="000000"/>
                <w:sz w:val="20"/>
                <w:szCs w:val="20"/>
              </w:rPr>
              <w:t xml:space="preserve"> over prior 6 months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A04C7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10.4% (10)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5F95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19.4% (13)</w:t>
            </w:r>
          </w:p>
        </w:tc>
      </w:tr>
      <w:tr w:rsidR="006F5104" w14:paraId="30A14AF2" w14:textId="77777777" w:rsidTr="00223167">
        <w:trPr>
          <w:cantSplit/>
        </w:trPr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09E35" w14:textId="62250DD6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Use decreased</w:t>
            </w:r>
            <w:r w:rsidR="00223167">
              <w:rPr>
                <w:rFonts w:ascii="Arial"/>
                <w:color w:val="000000"/>
                <w:sz w:val="20"/>
                <w:szCs w:val="20"/>
              </w:rPr>
              <w:t xml:space="preserve"> over prior 6 months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2233B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28.1% (27)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E5E5E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6F51" w14:textId="77777777" w:rsidR="006F5104" w:rsidRDefault="006F5104" w:rsidP="000275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</w:pPr>
            <w:r>
              <w:rPr>
                <w:rFonts w:ascii="Arial"/>
                <w:color w:val="000000"/>
                <w:sz w:val="20"/>
                <w:szCs w:val="20"/>
              </w:rPr>
              <w:t>19.4% (13)</w:t>
            </w:r>
          </w:p>
        </w:tc>
      </w:tr>
    </w:tbl>
    <w:p w14:paraId="36C4FB8F" w14:textId="77777777" w:rsidR="006F5104" w:rsidRDefault="006F5104" w:rsidP="006F5104"/>
    <w:p w14:paraId="3DF36807" w14:textId="77777777" w:rsidR="006F5104" w:rsidRDefault="006F5104" w:rsidP="006F5104">
      <w:r>
        <w:br w:type="page"/>
      </w:r>
    </w:p>
    <w:p w14:paraId="06329662" w14:textId="1FFB705D" w:rsidR="00844888" w:rsidRPr="00B22098" w:rsidRDefault="009A2A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sz w:val="20"/>
          <w:szCs w:val="20"/>
        </w:rPr>
      </w:pPr>
      <w:r w:rsidRPr="00B22098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Supplemental Table </w:t>
      </w:r>
      <w:r w:rsidR="00C058F6">
        <w:rPr>
          <w:rFonts w:ascii="Arial" w:eastAsia="Arial" w:hAnsi="Arial" w:cs="Arial"/>
          <w:color w:val="000000"/>
          <w:sz w:val="20"/>
          <w:szCs w:val="20"/>
        </w:rPr>
        <w:t>2</w:t>
      </w:r>
      <w:r w:rsidRPr="00B22098"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 w:rsidR="00E35B29">
        <w:rPr>
          <w:rFonts w:ascii="Arial" w:eastAsia="Arial" w:hAnsi="Arial" w:cs="Arial"/>
          <w:color w:val="000000"/>
          <w:sz w:val="20"/>
          <w:szCs w:val="20"/>
        </w:rPr>
        <w:t>M</w:t>
      </w:r>
      <w:r w:rsidRPr="00B22098">
        <w:rPr>
          <w:rFonts w:ascii="Arial" w:eastAsia="Arial" w:hAnsi="Arial" w:cs="Arial"/>
          <w:color w:val="000000"/>
          <w:sz w:val="20"/>
          <w:szCs w:val="20"/>
        </w:rPr>
        <w:t>ain effects of time and randomization group and their interaction for each clinical outcome.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145"/>
        <w:gridCol w:w="2829"/>
        <w:gridCol w:w="2167"/>
        <w:gridCol w:w="2167"/>
      </w:tblGrid>
      <w:tr w:rsidR="00624DC3" w14:paraId="750936A2" w14:textId="17361301" w:rsidTr="00624DC3">
        <w:trPr>
          <w:cantSplit/>
          <w:tblHeader/>
        </w:trPr>
        <w:tc>
          <w:tcPr>
            <w:tcW w:w="2145" w:type="dxa"/>
            <w:tcBorders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FD3F7" w14:textId="77777777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829" w:type="dxa"/>
            <w:tcBorders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39012" w14:textId="77777777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2167" w:type="dxa"/>
            <w:tcBorders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A35A7" w14:textId="77777777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Cohen's D</w:t>
            </w:r>
          </w:p>
        </w:tc>
        <w:tc>
          <w:tcPr>
            <w:tcW w:w="2167" w:type="dxa"/>
            <w:tcBorders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1083CBA2" w14:textId="5F2CB882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Post. p-value</w:t>
            </w:r>
          </w:p>
        </w:tc>
      </w:tr>
      <w:tr w:rsidR="00624DC3" w14:paraId="0BE95398" w14:textId="2B27B728" w:rsidTr="00624DC3">
        <w:trPr>
          <w:cantSplit/>
          <w:tblHeader/>
        </w:trPr>
        <w:tc>
          <w:tcPr>
            <w:tcW w:w="2145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1E56D" w14:textId="77777777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B7B1C" w14:textId="77777777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67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6FBB" w14:textId="77777777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Mean; 95% CI</w:t>
            </w:r>
          </w:p>
        </w:tc>
        <w:tc>
          <w:tcPr>
            <w:tcW w:w="2167" w:type="dxa"/>
            <w:tcBorders>
              <w:bottom w:val="single" w:sz="12" w:space="0" w:color="000000"/>
            </w:tcBorders>
            <w:shd w:val="clear" w:color="auto" w:fill="FFFFFF"/>
          </w:tcPr>
          <w:p w14:paraId="2DAA40F0" w14:textId="77777777" w:rsidR="00624DC3" w:rsidRDefault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</w:p>
        </w:tc>
      </w:tr>
      <w:tr w:rsidR="00624DC3" w14:paraId="0D38A13D" w14:textId="778A14FF" w:rsidTr="00C13F66">
        <w:trPr>
          <w:cantSplit/>
        </w:trPr>
        <w:tc>
          <w:tcPr>
            <w:tcW w:w="2145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AEF6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HADS [Anxiety]</w:t>
            </w:r>
          </w:p>
        </w:tc>
        <w:tc>
          <w:tcPr>
            <w:tcW w:w="2829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CC472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Main effect of time</w:t>
            </w:r>
          </w:p>
        </w:tc>
        <w:tc>
          <w:tcPr>
            <w:tcW w:w="2167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3D754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-0.11; -0.24 to 0.02</w:t>
            </w:r>
          </w:p>
        </w:tc>
        <w:tc>
          <w:tcPr>
            <w:tcW w:w="2167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0754645D" w14:textId="5C4F0A31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0.109</w:t>
            </w:r>
          </w:p>
        </w:tc>
      </w:tr>
      <w:tr w:rsidR="00624DC3" w14:paraId="3584C13C" w14:textId="4B9B02A6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4DF7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1EE65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Main effect of group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A1CEF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-0.07; -0.27 to 0.11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14C1835B" w14:textId="5F46D776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0.467</w:t>
            </w:r>
          </w:p>
        </w:tc>
      </w:tr>
      <w:tr w:rsidR="00624DC3" w14:paraId="515972AC" w14:textId="5ED906DC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EE6B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84D9F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Time x group interaction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C926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0.00; -0.01 to 0.02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46E906BB" w14:textId="3BC4A5A8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0.528</w:t>
            </w:r>
          </w:p>
        </w:tc>
      </w:tr>
      <w:tr w:rsidR="00624DC3" w14:paraId="37B14AC8" w14:textId="74B4017B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10F57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HADS [Depression]</w:t>
            </w: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67B29" w14:textId="77777777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  <w:rPr>
                <w:b/>
                <w:bCs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 xml:space="preserve">   Main effect of time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3E912" w14:textId="77777777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>-0.13; -0.26 to -0.01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8A9CBD0" w14:textId="0213E511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b/>
                <w:bCs/>
                <w:color w:val="000000"/>
                <w:sz w:val="20"/>
                <w:szCs w:val="20"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>p = 0.032</w:t>
            </w:r>
          </w:p>
        </w:tc>
      </w:tr>
      <w:tr w:rsidR="00624DC3" w14:paraId="14EBA4E5" w14:textId="64FCB56A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E9C38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BE7B6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Main effect of group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42FD4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-0.10; -0.36 to  0.00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DC88EF4" w14:textId="50477825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0.476</w:t>
            </w:r>
          </w:p>
        </w:tc>
      </w:tr>
      <w:tr w:rsidR="00624DC3" w14:paraId="751A92E9" w14:textId="2221129D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A69B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151BD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Time x group interaction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B39F0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0.08; -0.07 to  0.35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9D3E10E" w14:textId="60D8FB68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0.562</w:t>
            </w:r>
          </w:p>
        </w:tc>
      </w:tr>
      <w:tr w:rsidR="00624DC3" w14:paraId="1D25983C" w14:textId="006DD5FE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2F5F9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AIS</w:t>
            </w: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318B7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Main effect of time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C1CC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-0.10; -0.25 to  0.04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10B72713" w14:textId="7F31BF10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0.182</w:t>
            </w:r>
          </w:p>
        </w:tc>
      </w:tr>
      <w:tr w:rsidR="00624DC3" w14:paraId="628AF77C" w14:textId="5D62C76A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E0991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DC5D" w14:textId="77777777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  <w:rPr>
                <w:b/>
                <w:bCs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 xml:space="preserve">   Main effect of group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582E2" w14:textId="77777777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>-0.30; -0.53 to -0.08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318905BD" w14:textId="327BB370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b/>
                <w:bCs/>
                <w:color w:val="000000"/>
                <w:sz w:val="20"/>
                <w:szCs w:val="20"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>p = 0.008</w:t>
            </w:r>
          </w:p>
        </w:tc>
      </w:tr>
      <w:tr w:rsidR="00624DC3" w14:paraId="022FE416" w14:textId="70ADE5BF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32A8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50C01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Time x group interaction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84445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0.01;  0.00 to  0.03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5A53B22B" w14:textId="4E9F9572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0.189</w:t>
            </w:r>
          </w:p>
        </w:tc>
      </w:tr>
      <w:tr w:rsidR="00624DC3" w14:paraId="234FAA5E" w14:textId="57E6F71B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CB61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BPI [Severity]</w:t>
            </w: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0023B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Main effect of time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A2B66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-0.01; -0.09 to 0.08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52A2BEB1" w14:textId="5B35145F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0.891</w:t>
            </w:r>
          </w:p>
        </w:tc>
      </w:tr>
      <w:tr w:rsidR="00624DC3" w14:paraId="2CAC571C" w14:textId="487A7E1E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A879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6F901" w14:textId="77777777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  <w:rPr>
                <w:b/>
                <w:bCs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 xml:space="preserve">   Main effect of group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E9163" w14:textId="77777777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 xml:space="preserve"> 0.15;  0.03 to 0.27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E451B5E" w14:textId="1E5B782D" w:rsidR="00624DC3" w:rsidRPr="009A2A22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b/>
                <w:bCs/>
                <w:color w:val="000000"/>
                <w:sz w:val="20"/>
                <w:szCs w:val="20"/>
              </w:rPr>
            </w:pPr>
            <w:r w:rsidRPr="009A2A22">
              <w:rPr>
                <w:rFonts w:ascii="Arial"/>
                <w:b/>
                <w:bCs/>
                <w:color w:val="000000"/>
                <w:sz w:val="20"/>
                <w:szCs w:val="20"/>
              </w:rPr>
              <w:t>p = 0.012</w:t>
            </w:r>
          </w:p>
        </w:tc>
      </w:tr>
      <w:tr w:rsidR="00624DC3" w14:paraId="68EC6C9F" w14:textId="5C37B026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6A656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810ED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Time x group interaction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D4AD4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0.00; -0.07 to 0.05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5F6D9B30" w14:textId="361E0CE5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0.891</w:t>
            </w:r>
          </w:p>
        </w:tc>
      </w:tr>
      <w:tr w:rsidR="00624DC3" w14:paraId="160EB7B7" w14:textId="0AE7642C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00626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Arial"/>
                <w:color w:val="000000"/>
                <w:sz w:val="20"/>
                <w:szCs w:val="20"/>
              </w:rPr>
              <w:t>CUD symptoms</w:t>
            </w: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B957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Main effect of time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542C2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0.09; -0.36 to 0.54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69FA9664" w14:textId="39E19006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0.695</w:t>
            </w:r>
          </w:p>
        </w:tc>
      </w:tr>
      <w:tr w:rsidR="00624DC3" w14:paraId="08F5BC5E" w14:textId="4D687330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A938A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AFE7C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Main effect of group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6486F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0.63;  0.00 to 1.31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3B17D1C1" w14:textId="1D5F0010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0.185</w:t>
            </w:r>
          </w:p>
        </w:tc>
      </w:tr>
      <w:tr w:rsidR="00624DC3" w14:paraId="2E32A23D" w14:textId="1BD6A05F" w:rsidTr="00C13F66">
        <w:trPr>
          <w:cantSplit/>
        </w:trPr>
        <w:tc>
          <w:tcPr>
            <w:tcW w:w="214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82728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282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30E89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80" w:right="100"/>
            </w:pPr>
            <w:r>
              <w:rPr>
                <w:rFonts w:ascii="Arial"/>
                <w:color w:val="000000"/>
                <w:sz w:val="20"/>
                <w:szCs w:val="20"/>
              </w:rPr>
              <w:t xml:space="preserve">   Time x group interaction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632AB" w14:textId="77777777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</w:pPr>
            <w:r>
              <w:rPr>
                <w:rFonts w:ascii="Arial"/>
                <w:color w:val="000000"/>
                <w:sz w:val="20"/>
                <w:szCs w:val="20"/>
              </w:rPr>
              <w:t>0.05; -0.26 to 0.39</w:t>
            </w:r>
          </w:p>
        </w:tc>
        <w:tc>
          <w:tcPr>
            <w:tcW w:w="2167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2F2F2" w:themeFill="background1" w:themeFillShade="F2"/>
            <w:vAlign w:val="center"/>
          </w:tcPr>
          <w:p w14:paraId="13D32C63" w14:textId="60921D08" w:rsidR="00624DC3" w:rsidRDefault="00624DC3" w:rsidP="00624DC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/>
                <w:color w:val="000000"/>
                <w:sz w:val="20"/>
                <w:szCs w:val="20"/>
              </w:rPr>
            </w:pPr>
            <w:r>
              <w:rPr>
                <w:rFonts w:ascii="Arial"/>
                <w:color w:val="000000"/>
                <w:sz w:val="20"/>
                <w:szCs w:val="20"/>
              </w:rPr>
              <w:t>p = 0.758</w:t>
            </w:r>
          </w:p>
        </w:tc>
      </w:tr>
    </w:tbl>
    <w:p w14:paraId="6786C903" w14:textId="77777777" w:rsidR="00844888" w:rsidRDefault="00844888"/>
    <w:p w14:paraId="38DA638A" w14:textId="77777777" w:rsidR="00844888" w:rsidRDefault="009A2A22">
      <w:r>
        <w:br w:type="page"/>
      </w:r>
    </w:p>
    <w:p w14:paraId="77482E6F" w14:textId="52AE8758" w:rsidR="00F65293" w:rsidRDefault="00624DC3">
      <w:pPr>
        <w:rPr>
          <w:rFonts w:ascii="Arial" w:hAnsi="Arial" w:cs="Arial"/>
          <w:sz w:val="20"/>
          <w:szCs w:val="20"/>
        </w:rPr>
      </w:pPr>
      <w:r w:rsidRPr="00B22098">
        <w:rPr>
          <w:rFonts w:ascii="Arial" w:hAnsi="Arial" w:cs="Arial"/>
          <w:sz w:val="20"/>
          <w:szCs w:val="20"/>
        </w:rPr>
        <w:lastRenderedPageBreak/>
        <w:t xml:space="preserve">Supplemental Figure 1: Upset plot showing combinations of cannabis use disorder (CUD) symptoms for all participants and visits in which a CUD diagnosis was made. The </w:t>
      </w:r>
      <w:r w:rsidR="00A0475C" w:rsidRPr="00B22098">
        <w:rPr>
          <w:rFonts w:ascii="Arial" w:hAnsi="Arial" w:cs="Arial"/>
          <w:sz w:val="20"/>
          <w:szCs w:val="20"/>
        </w:rPr>
        <w:t>bar plot</w:t>
      </w:r>
      <w:r w:rsidRPr="00B22098">
        <w:rPr>
          <w:rFonts w:ascii="Arial" w:hAnsi="Arial" w:cs="Arial"/>
          <w:sz w:val="20"/>
          <w:szCs w:val="20"/>
        </w:rPr>
        <w:t xml:space="preserve"> on the bottom left panel provides marginal frequencies by symptom, the </w:t>
      </w:r>
      <w:r w:rsidR="00A0475C" w:rsidRPr="00B22098">
        <w:rPr>
          <w:rFonts w:ascii="Arial" w:hAnsi="Arial" w:cs="Arial"/>
          <w:sz w:val="20"/>
          <w:szCs w:val="20"/>
        </w:rPr>
        <w:t>bar plot</w:t>
      </w:r>
      <w:r w:rsidRPr="00B22098">
        <w:rPr>
          <w:rFonts w:ascii="Arial" w:hAnsi="Arial" w:cs="Arial"/>
          <w:sz w:val="20"/>
          <w:szCs w:val="20"/>
        </w:rPr>
        <w:t xml:space="preserve"> on the top panel reports frequencies for each combination of symptoms, and the line and dot plot on the bottom right shows the specific combination of symptoms per frequency.</w:t>
      </w:r>
      <w:r>
        <w:rPr>
          <w:noProof/>
        </w:rPr>
        <w:drawing>
          <wp:inline distT="0" distB="0" distL="0" distR="0" wp14:anchorId="48E670F0" wp14:editId="317B5123">
            <wp:extent cx="5752465" cy="5752465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575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B28BE" w14:textId="77777777" w:rsidR="00F65293" w:rsidRDefault="00F6529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4545786" w14:textId="74904E0E" w:rsidR="00624DC3" w:rsidRDefault="006D22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Supplemental Figure 2:</w:t>
      </w:r>
      <w:r w:rsidR="00C81C9D">
        <w:rPr>
          <w:rFonts w:ascii="Arial" w:hAnsi="Arial" w:cs="Arial"/>
          <w:sz w:val="20"/>
          <w:szCs w:val="20"/>
        </w:rPr>
        <w:t xml:space="preserve">  Average AIS scores and 95% Cis for the immediate (orange) and delayed (blue) </w:t>
      </w:r>
      <w:r w:rsidR="000F6DC7">
        <w:rPr>
          <w:rFonts w:ascii="Arial" w:hAnsi="Arial" w:cs="Arial"/>
          <w:sz w:val="20"/>
          <w:szCs w:val="20"/>
        </w:rPr>
        <w:t>card acquisition groups across the follow-up period.</w:t>
      </w:r>
    </w:p>
    <w:p w14:paraId="0D5287AC" w14:textId="322B8975" w:rsidR="006D2268" w:rsidRDefault="006D2268">
      <w:pPr>
        <w:rPr>
          <w:rFonts w:ascii="Arial" w:hAnsi="Arial" w:cs="Arial"/>
          <w:sz w:val="20"/>
          <w:szCs w:val="20"/>
        </w:rPr>
      </w:pPr>
    </w:p>
    <w:p w14:paraId="4B451B47" w14:textId="35346177" w:rsidR="006D2268" w:rsidRDefault="006D2268">
      <w:pPr>
        <w:rPr>
          <w:rFonts w:ascii="Arial" w:hAnsi="Arial" w:cs="Arial"/>
          <w:sz w:val="20"/>
          <w:szCs w:val="20"/>
        </w:rPr>
      </w:pPr>
    </w:p>
    <w:p w14:paraId="358BD092" w14:textId="5E3686F8" w:rsidR="006D2268" w:rsidRPr="006D2268" w:rsidRDefault="006D22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CE4CF01" wp14:editId="3BCB3241">
            <wp:extent cx="4572000" cy="4572000"/>
            <wp:effectExtent l="0" t="0" r="0" b="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2268" w:rsidRPr="006D2268" w:rsidSect="00624DC3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1085701">
    <w:abstractNumId w:val="1"/>
  </w:num>
  <w:num w:numId="2" w16cid:durableId="958606206">
    <w:abstractNumId w:val="2"/>
  </w:num>
  <w:num w:numId="3" w16cid:durableId="1837568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9D"/>
    <w:rsid w:val="00036527"/>
    <w:rsid w:val="00073835"/>
    <w:rsid w:val="000C3C4B"/>
    <w:rsid w:val="000F6DC7"/>
    <w:rsid w:val="001379FE"/>
    <w:rsid w:val="001C0A13"/>
    <w:rsid w:val="001D75AB"/>
    <w:rsid w:val="00223167"/>
    <w:rsid w:val="00233D73"/>
    <w:rsid w:val="0035500D"/>
    <w:rsid w:val="00362E65"/>
    <w:rsid w:val="003D6D85"/>
    <w:rsid w:val="004158F9"/>
    <w:rsid w:val="00457CF1"/>
    <w:rsid w:val="00624DC3"/>
    <w:rsid w:val="006D2268"/>
    <w:rsid w:val="006F5104"/>
    <w:rsid w:val="00747CCE"/>
    <w:rsid w:val="00773F98"/>
    <w:rsid w:val="007B3E96"/>
    <w:rsid w:val="00844888"/>
    <w:rsid w:val="008962EA"/>
    <w:rsid w:val="008F1F48"/>
    <w:rsid w:val="00900731"/>
    <w:rsid w:val="00901463"/>
    <w:rsid w:val="00942770"/>
    <w:rsid w:val="00946CB3"/>
    <w:rsid w:val="009A2A22"/>
    <w:rsid w:val="00A0475C"/>
    <w:rsid w:val="00A12796"/>
    <w:rsid w:val="00AE18EF"/>
    <w:rsid w:val="00AE1BDD"/>
    <w:rsid w:val="00B22098"/>
    <w:rsid w:val="00B3547C"/>
    <w:rsid w:val="00B4379D"/>
    <w:rsid w:val="00C058F6"/>
    <w:rsid w:val="00C23DDD"/>
    <w:rsid w:val="00C27329"/>
    <w:rsid w:val="00C31EEB"/>
    <w:rsid w:val="00C32F27"/>
    <w:rsid w:val="00C81C9D"/>
    <w:rsid w:val="00CA08B4"/>
    <w:rsid w:val="00E35B29"/>
    <w:rsid w:val="00ED2EB7"/>
    <w:rsid w:val="00ED692A"/>
    <w:rsid w:val="00F12158"/>
    <w:rsid w:val="00F65293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70C94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character" w:styleId="CommentReference">
    <w:name w:val="annotation reference"/>
    <w:basedOn w:val="DefaultParagraphFont"/>
    <w:uiPriority w:val="99"/>
    <w:semiHidden/>
    <w:unhideWhenUsed/>
    <w:rsid w:val="00E35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5B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5B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B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Cooke, Megan</dc:creator>
  <cp:keywords/>
  <dc:description/>
  <cp:lastModifiedBy>Lorn Fraser</cp:lastModifiedBy>
  <cp:revision>2</cp:revision>
  <dcterms:created xsi:type="dcterms:W3CDTF">2023-02-20T08:40:00Z</dcterms:created>
  <dcterms:modified xsi:type="dcterms:W3CDTF">2023-02-20T08:40:00Z</dcterms:modified>
  <cp:category/>
</cp:coreProperties>
</file>