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A24E77" w14:textId="223F50A2" w:rsidR="00533881" w:rsidRDefault="00F00B15">
      <w:r>
        <w:t>Supplemental Figure 1.</w:t>
      </w:r>
    </w:p>
    <w:p w14:paraId="72052C91" w14:textId="4B8BAF16" w:rsidR="00F00B15" w:rsidRDefault="00F00B15"/>
    <w:p w14:paraId="48C8B4EF" w14:textId="18031759" w:rsidR="00F00B15" w:rsidRDefault="00F00B15">
      <w:r>
        <w:t>Panel A) A cartoon image of one monomer of a TRP channel. S1 is shown in red, S2 in orange, S3 in yellow, S4 in light green, the S4-5 linker in dark green, S5 in light blue, S6 in dark blue, and the TRP domain (present in TRPV1-4 and TRPM8, comparable to TRP-like domain present in TRPA1). Panel B displays the same monomer with CBD, shown as a pink oval, in one-half of the putative binding site. Panel C displays a second monomer, with the same color-coding as panels A and B, pivoted at a 90°-degree angle to complete the putative binding site of CBD with S6 of the first monomer (Panel B) shown “behind” the CBD molecule and S5 of the second monomer (Panel C) shown “in front” of the CBD molecule, forming the putative binding site.</w:t>
      </w:r>
    </w:p>
    <w:sectPr w:rsidR="00F00B15" w:rsidSect="00D14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B15"/>
    <w:rsid w:val="00533881"/>
    <w:rsid w:val="00D14635"/>
    <w:rsid w:val="00F0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FDB7AB"/>
  <w14:defaultImageDpi w14:val="32767"/>
  <w15:chartTrackingRefBased/>
  <w15:docId w15:val="{34D79F91-6350-AF45-A525-2270F866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0B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00B1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113</Words>
  <Characters>648</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Chanté Muller</dc:creator>
  <cp:keywords/>
  <dc:description/>
  <cp:lastModifiedBy>Chanté Muller</cp:lastModifiedBy>
  <cp:revision>1</cp:revision>
  <dcterms:created xsi:type="dcterms:W3CDTF">2020-11-17T19:59:00Z</dcterms:created>
  <dcterms:modified xsi:type="dcterms:W3CDTF">2020-11-17T20:22:00Z</dcterms:modified>
</cp:coreProperties>
</file>