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b w:val="1"/>
          <w:bCs w:val="1"/>
          <w:sz w:val="28"/>
          <w:szCs w:val="28"/>
        </w:rPr>
      </w:pPr>
      <w:bookmarkStart w:colFirst="0" w:colLast="0" w:name="_j42rusz00h4" w:id="0"/>
      <w:bookmarkEnd w:id="0"/>
      <w:r w:rsidDel="00000000" w:rsidR="00000000" w:rsidRPr="00000000">
        <w:rPr>
          <w:b w:val="1"/>
          <w:bCs w:val="1"/>
          <w:sz w:val="28"/>
          <w:szCs w:val="28"/>
          <w:rtl w:val="0"/>
        </w:rPr>
        <w:t xml:space="preserve">Table of Contents </w:t>
      </w:r>
    </w:p>
    <w:p w:rsidR="00000000" w:rsidDel="00000000" w:rsidP="00000000" w:rsidRDefault="00000000" w:rsidRPr="00000000" w14:paraId="00000002">
      <w:pPr>
        <w:rPr>
          <w:b w:val="1"/>
          <w:bCs w:val="1"/>
          <w:sz w:val="20"/>
          <w:szCs w:val="20"/>
        </w:rPr>
      </w:pPr>
      <w:r w:rsidDel="00000000" w:rsidR="00000000" w:rsidRPr="00000000">
        <w:rPr>
          <w:b w:val="1"/>
          <w:bCs w:val="1"/>
          <w:sz w:val="20"/>
          <w:szCs w:val="20"/>
          <w:rtl w:val="0"/>
        </w:rPr>
        <w:t xml:space="preserve">Supplementary Tables </w:t>
      </w:r>
    </w:p>
    <w:p w:rsidR="00000000" w:rsidDel="00000000" w:rsidP="00000000" w:rsidRDefault="00000000" w:rsidRPr="00000000" w14:paraId="00000003">
      <w:pPr>
        <w:rPr>
          <w:sz w:val="20"/>
          <w:szCs w:val="20"/>
        </w:rPr>
      </w:pPr>
      <w:r w:rsidDel="00000000" w:rsidR="00000000" w:rsidRPr="00000000">
        <w:rPr>
          <w:sz w:val="20"/>
          <w:szCs w:val="20"/>
          <w:rtl w:val="0"/>
        </w:rPr>
        <w:t xml:space="preserve">Table S1 ICD diagnostic codes for post-surgical delirium phenotype identification </w:t>
      </w:r>
    </w:p>
    <w:p w:rsidR="00000000" w:rsidDel="00000000" w:rsidP="00000000" w:rsidRDefault="00000000" w:rsidRPr="00000000" w14:paraId="00000004">
      <w:pPr>
        <w:rPr>
          <w:sz w:val="20"/>
          <w:szCs w:val="20"/>
        </w:rPr>
      </w:pPr>
      <w:r w:rsidDel="00000000" w:rsidR="00000000" w:rsidRPr="00000000">
        <w:rPr>
          <w:sz w:val="20"/>
          <w:szCs w:val="20"/>
          <w:rtl w:val="0"/>
        </w:rPr>
        <w:t xml:space="preserve">Table S2 Descriptive statistics of post-surgical patients </w:t>
      </w:r>
    </w:p>
    <w:p w:rsidR="00000000" w:rsidDel="00000000" w:rsidP="00000000" w:rsidRDefault="00000000" w:rsidRPr="00000000" w14:paraId="00000005">
      <w:pPr>
        <w:rPr>
          <w:sz w:val="20"/>
          <w:szCs w:val="20"/>
        </w:rPr>
      </w:pPr>
      <w:r w:rsidDel="00000000" w:rsidR="00000000" w:rsidRPr="00000000">
        <w:rPr>
          <w:sz w:val="20"/>
          <w:szCs w:val="20"/>
          <w:rtl w:val="0"/>
        </w:rPr>
        <w:t xml:space="preserve">Table S3 Postoperative delirium and 30 day readmission prediction model performance </w:t>
      </w:r>
    </w:p>
    <w:p w:rsidR="00000000" w:rsidDel="00000000" w:rsidP="00000000" w:rsidRDefault="00000000" w:rsidRPr="00000000" w14:paraId="00000006">
      <w:pPr>
        <w:rPr>
          <w:sz w:val="20"/>
          <w:szCs w:val="20"/>
        </w:rPr>
      </w:pPr>
      <w:r w:rsidDel="00000000" w:rsidR="00000000" w:rsidRPr="00000000">
        <w:rPr>
          <w:sz w:val="20"/>
          <w:szCs w:val="20"/>
          <w:rtl w:val="0"/>
        </w:rPr>
        <w:t xml:space="preserve">Table S4 Regex string patterns used in Method S1 </w:t>
      </w:r>
    </w:p>
    <w:p w:rsidR="00000000" w:rsidDel="00000000" w:rsidP="00000000" w:rsidRDefault="00000000" w:rsidRPr="00000000" w14:paraId="00000007">
      <w:pPr>
        <w:rPr>
          <w:b w:val="1"/>
          <w:bCs w:val="1"/>
          <w:sz w:val="20"/>
          <w:szCs w:val="20"/>
        </w:rPr>
      </w:pPr>
      <w:r w:rsidDel="00000000" w:rsidR="00000000" w:rsidRPr="00000000">
        <w:rPr>
          <w:b w:val="1"/>
          <w:bCs w:val="1"/>
          <w:sz w:val="20"/>
          <w:szCs w:val="20"/>
          <w:rtl w:val="0"/>
        </w:rPr>
        <w:t xml:space="preserve">Supplementary Figures</w:t>
      </w:r>
    </w:p>
    <w:p w:rsidR="00000000" w:rsidDel="00000000" w:rsidP="00000000" w:rsidRDefault="00000000" w:rsidRPr="00000000" w14:paraId="00000008">
      <w:pPr>
        <w:rPr>
          <w:sz w:val="20"/>
          <w:szCs w:val="20"/>
        </w:rPr>
      </w:pPr>
      <w:r w:rsidDel="00000000" w:rsidR="00000000" w:rsidRPr="00000000">
        <w:rPr>
          <w:sz w:val="20"/>
          <w:szCs w:val="20"/>
          <w:rtl w:val="0"/>
        </w:rPr>
        <w:t xml:space="preserve">Figure S1 Cohort selection figure adapted from prior work </w:t>
      </w:r>
    </w:p>
    <w:p w:rsidR="00000000" w:rsidDel="00000000" w:rsidP="00000000" w:rsidRDefault="00000000" w:rsidRPr="00000000" w14:paraId="00000009">
      <w:pPr>
        <w:rPr>
          <w:sz w:val="20"/>
          <w:szCs w:val="20"/>
        </w:rPr>
      </w:pPr>
      <w:r w:rsidDel="00000000" w:rsidR="00000000" w:rsidRPr="00000000">
        <w:rPr>
          <w:sz w:val="20"/>
          <w:szCs w:val="20"/>
          <w:rtl w:val="0"/>
        </w:rPr>
        <w:t xml:space="preserve">Figure S2 Feature importance of XGBoost Model for postoperative delirium prediction </w:t>
      </w:r>
    </w:p>
    <w:p w:rsidR="00000000" w:rsidDel="00000000" w:rsidP="00000000" w:rsidRDefault="00000000" w:rsidRPr="00000000" w14:paraId="0000000A">
      <w:pPr>
        <w:rPr>
          <w:sz w:val="20"/>
          <w:szCs w:val="20"/>
        </w:rPr>
      </w:pPr>
      <w:r w:rsidDel="00000000" w:rsidR="00000000" w:rsidRPr="00000000">
        <w:rPr>
          <w:sz w:val="20"/>
          <w:szCs w:val="20"/>
          <w:rtl w:val="0"/>
        </w:rPr>
        <w:t xml:space="preserve">Figure S3 Feature importance of XGBoost Model for postoperative 30 day readmission prediction model </w:t>
      </w:r>
    </w:p>
    <w:p w:rsidR="00000000" w:rsidDel="00000000" w:rsidP="00000000" w:rsidRDefault="00000000" w:rsidRPr="00000000" w14:paraId="0000000B">
      <w:pPr>
        <w:rPr>
          <w:sz w:val="20"/>
          <w:szCs w:val="20"/>
        </w:rPr>
      </w:pPr>
      <w:r w:rsidDel="00000000" w:rsidR="00000000" w:rsidRPr="00000000">
        <w:rPr>
          <w:sz w:val="20"/>
          <w:szCs w:val="20"/>
          <w:rtl w:val="0"/>
        </w:rPr>
        <w:t xml:space="preserve">Figure S4 Reference-based MPPD after Excluding Sensitive Attributes from Model Training</w:t>
      </w:r>
    </w:p>
    <w:p w:rsidR="00000000" w:rsidDel="00000000" w:rsidP="00000000" w:rsidRDefault="00000000" w:rsidRPr="00000000" w14:paraId="0000000C">
      <w:pPr>
        <w:rPr>
          <w:sz w:val="20"/>
          <w:szCs w:val="20"/>
        </w:rPr>
      </w:pPr>
      <w:r w:rsidDel="00000000" w:rsidR="00000000" w:rsidRPr="00000000">
        <w:rPr>
          <w:sz w:val="20"/>
          <w:szCs w:val="20"/>
          <w:rtl w:val="0"/>
        </w:rPr>
        <w:t xml:space="preserve">Figure S5 Pairwise MPPD after Excluding Sensitive Attributes from Model Training</w:t>
      </w:r>
    </w:p>
    <w:p w:rsidR="00000000" w:rsidDel="00000000" w:rsidP="00000000" w:rsidRDefault="00000000" w:rsidRPr="00000000" w14:paraId="0000000D">
      <w:pPr>
        <w:rPr>
          <w:sz w:val="20"/>
          <w:szCs w:val="20"/>
        </w:rPr>
      </w:pPr>
      <w:r w:rsidDel="00000000" w:rsidR="00000000" w:rsidRPr="00000000">
        <w:rPr>
          <w:b w:val="1"/>
          <w:bCs w:val="1"/>
          <w:sz w:val="20"/>
          <w:szCs w:val="20"/>
          <w:rtl w:val="0"/>
        </w:rPr>
        <w:t xml:space="preserve">Supplementary Methods </w:t>
        <w:br w:type="textWrapping"/>
      </w:r>
      <w:r w:rsidDel="00000000" w:rsidR="00000000" w:rsidRPr="00000000">
        <w:rPr>
          <w:sz w:val="20"/>
          <w:szCs w:val="20"/>
          <w:rtl w:val="0"/>
        </w:rPr>
        <w:t xml:space="preserve">Method S1 Delirium phenotyping via NLP model development</w:t>
      </w:r>
    </w:p>
    <w:p w:rsidR="00000000" w:rsidDel="00000000" w:rsidP="00000000" w:rsidRDefault="00000000" w:rsidRPr="00000000" w14:paraId="0000000E">
      <w:pPr>
        <w:rPr>
          <w:b w:val="1"/>
          <w:bCs w:val="1"/>
          <w:sz w:val="24"/>
          <w:szCs w:val="24"/>
        </w:rPr>
      </w:pPr>
      <w:r w:rsidDel="00000000" w:rsidR="00000000" w:rsidRPr="00000000">
        <w:rPr>
          <w:sz w:val="20"/>
          <w:szCs w:val="20"/>
          <w:rtl w:val="0"/>
        </w:rPr>
        <w:t xml:space="preserve">Method S2 List of surgical types</w:t>
      </w:r>
      <w:r w:rsidDel="00000000" w:rsidR="00000000" w:rsidRPr="00000000">
        <w:rPr>
          <w:rtl w:val="0"/>
        </w:rPr>
      </w:r>
    </w:p>
    <w:p w:rsidR="00000000" w:rsidDel="00000000" w:rsidP="00000000" w:rsidRDefault="00000000" w:rsidRPr="00000000" w14:paraId="0000000F">
      <w:pPr>
        <w:pStyle w:val="Heading1"/>
        <w:rPr>
          <w:b w:val="1"/>
          <w:bCs w:val="1"/>
          <w:sz w:val="28"/>
          <w:szCs w:val="28"/>
        </w:rPr>
      </w:pPr>
      <w:bookmarkStart w:colFirst="0" w:colLast="0" w:name="_o3f0euhg9bfq" w:id="1"/>
      <w:bookmarkEnd w:id="1"/>
      <w:r w:rsidDel="00000000" w:rsidR="00000000" w:rsidRPr="00000000">
        <w:rPr>
          <w:b w:val="1"/>
          <w:bCs w:val="1"/>
          <w:sz w:val="28"/>
          <w:szCs w:val="28"/>
          <w:rtl w:val="0"/>
        </w:rPr>
        <w:t xml:space="preserve">Supplementary Tables </w:t>
      </w:r>
    </w:p>
    <w:p w:rsidR="00000000" w:rsidDel="00000000" w:rsidP="00000000" w:rsidRDefault="00000000" w:rsidRPr="00000000" w14:paraId="00000010">
      <w:pPr>
        <w:spacing w:line="480" w:lineRule="auto"/>
        <w:rPr>
          <w:sz w:val="20"/>
          <w:szCs w:val="20"/>
        </w:rPr>
      </w:pPr>
      <w:r w:rsidDel="00000000" w:rsidR="00000000" w:rsidRPr="00000000">
        <w:rPr>
          <w:rtl w:val="0"/>
        </w:rPr>
      </w:r>
    </w:p>
    <w:p w:rsidR="00000000" w:rsidDel="00000000" w:rsidP="00000000" w:rsidRDefault="00000000" w:rsidRPr="00000000" w14:paraId="00000011">
      <w:pPr>
        <w:spacing w:line="480" w:lineRule="auto"/>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Table S1 ICD diagnostic codes for post-surgical delirium phenotype identification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8070"/>
        <w:tblGridChange w:id="0">
          <w:tblGrid>
            <w:gridCol w:w="840"/>
            <w:gridCol w:w="8070"/>
          </w:tblGrid>
        </w:tblGridChange>
      </w:tblGrid>
      <w:tr>
        <w:trPr>
          <w:cantSplit w:val="0"/>
          <w:trHeight w:val="720" w:hRule="atLeast"/>
          <w:tblHeader w:val="0"/>
        </w:trPr>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3">
            <w:pPr>
              <w:rPr>
                <w:b w:val="1"/>
                <w:bCs w:val="1"/>
                <w:sz w:val="20"/>
                <w:szCs w:val="20"/>
              </w:rPr>
            </w:pPr>
            <w:r w:rsidDel="00000000" w:rsidR="00000000" w:rsidRPr="00000000">
              <w:rPr>
                <w:b w:val="1"/>
                <w:bCs w:val="1"/>
                <w:sz w:val="20"/>
                <w:szCs w:val="20"/>
                <w:rtl w:val="0"/>
              </w:rPr>
              <w:t xml:space="preserve">ICD9</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spacing w:line="240" w:lineRule="auto"/>
              <w:rPr>
                <w:sz w:val="20"/>
                <w:szCs w:val="20"/>
              </w:rPr>
            </w:pPr>
            <w:r w:rsidDel="00000000" w:rsidR="00000000" w:rsidRPr="00000000">
              <w:rPr>
                <w:sz w:val="20"/>
                <w:szCs w:val="20"/>
                <w:rtl w:val="0"/>
              </w:rPr>
              <w:t xml:space="preserve">293, 293.1, 292.81, 290.11, 290.3, 290.41, 293.9, 780.09, 293.81, 293.82, 293.83, 293.89, 290.12, 290.13, 290.43, 292.11, 292.12, 292.2, 780.02, 290.2, 290.42, 290.8, 290.9, 292, 292.82, 348.31, 348.39, 349.82, 780.97</w:t>
            </w:r>
          </w:p>
        </w:tc>
      </w:tr>
      <w:tr>
        <w:trPr>
          <w:cantSplit w:val="0"/>
          <w:trHeight w:val="778.4326171874999"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rPr>
                <w:b w:val="1"/>
                <w:bCs w:val="1"/>
                <w:sz w:val="20"/>
                <w:szCs w:val="20"/>
              </w:rPr>
            </w:pPr>
            <w:r w:rsidDel="00000000" w:rsidR="00000000" w:rsidRPr="00000000">
              <w:rPr>
                <w:b w:val="1"/>
                <w:bCs w:val="1"/>
                <w:sz w:val="20"/>
                <w:szCs w:val="20"/>
                <w:rtl w:val="0"/>
              </w:rPr>
              <w:t xml:space="preserve">ICD10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6">
            <w:pPr>
              <w:shd w:fill="ffffff" w:val="clear"/>
              <w:spacing w:line="240" w:lineRule="auto"/>
              <w:rPr>
                <w:sz w:val="20"/>
                <w:szCs w:val="20"/>
              </w:rPr>
            </w:pPr>
            <w:r w:rsidDel="00000000" w:rsidR="00000000" w:rsidRPr="00000000">
              <w:rPr>
                <w:sz w:val="20"/>
                <w:szCs w:val="20"/>
                <w:rtl w:val="0"/>
              </w:rPr>
              <w:t xml:space="preserve">F05, F11.121, F11.221, F13.121, F13.221, F13.231, F11.921, F13.921, R41.0. F19.921, F03.90, F01.51, F06.8, R40.0, F06.2, F06.0, F06.30, F03.90, F19.950, F19.951, R40.4, F19.97, G93.49, G92, R41.82. </w:t>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highlight w:val="white"/>
        </w:rPr>
      </w:pPr>
      <w:r w:rsidDel="00000000" w:rsidR="00000000" w:rsidRPr="00000000">
        <w:rPr>
          <w:sz w:val="20"/>
          <w:szCs w:val="20"/>
          <w:rtl w:val="0"/>
        </w:rPr>
        <w:t xml:space="preserve">Table S2 Postoperative delirium and 30 day readmission prediction model performance </w:t>
      </w:r>
      <w:r w:rsidDel="00000000" w:rsidR="00000000" w:rsidRPr="00000000">
        <w:rPr>
          <w:rtl w:val="0"/>
        </w:rPr>
      </w:r>
    </w:p>
    <w:tbl>
      <w:tblPr>
        <w:tblStyle w:val="Table2"/>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8.7598944591027"/>
        <w:gridCol w:w="2494.3535620052767"/>
        <w:gridCol w:w="1247.1767810026383"/>
        <w:gridCol w:w="1395.3562005277045"/>
        <w:gridCol w:w="1247.1767810026383"/>
        <w:gridCol w:w="1247.1767810026383"/>
        <w:tblGridChange w:id="0">
          <w:tblGrid>
            <w:gridCol w:w="1728.7598944591027"/>
            <w:gridCol w:w="2494.3535620052767"/>
            <w:gridCol w:w="1247.1767810026383"/>
            <w:gridCol w:w="1395.3562005277045"/>
            <w:gridCol w:w="1247.1767810026383"/>
            <w:gridCol w:w="1247.1767810026383"/>
          </w:tblGrid>
        </w:tblGridChange>
      </w:tblGrid>
      <w:tr>
        <w:trPr>
          <w:cantSplit w:val="0"/>
          <w:trHeight w:val="144" w:hRule="atLeast"/>
          <w:tblHeader w:val="0"/>
        </w:trPr>
        <w:tc>
          <w:tcPr>
            <w:tcBorders>
              <w:top w:color="666666" w:space="0" w:sz="6" w:val="single"/>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A">
            <w:pPr>
              <w:spacing w:line="240" w:lineRule="auto"/>
              <w:rPr>
                <w:b w:val="1"/>
                <w:bCs w:val="1"/>
                <w:sz w:val="20"/>
                <w:szCs w:val="20"/>
                <w:highlight w:val="white"/>
              </w:rPr>
            </w:pPr>
            <w:r w:rsidDel="00000000" w:rsidR="00000000" w:rsidRPr="00000000">
              <w:rPr>
                <w:b w:val="1"/>
                <w:bCs w:val="1"/>
                <w:sz w:val="20"/>
                <w:szCs w:val="20"/>
                <w:highlight w:val="white"/>
                <w:rtl w:val="0"/>
              </w:rPr>
              <w:t xml:space="preserve">Task</w:t>
            </w:r>
          </w:p>
        </w:tc>
        <w:tc>
          <w:tcPr>
            <w:tcBorders>
              <w:top w:color="666666" w:space="0" w:sz="6" w:val="single"/>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B">
            <w:pPr>
              <w:spacing w:line="240" w:lineRule="auto"/>
              <w:rPr>
                <w:b w:val="1"/>
                <w:bCs w:val="1"/>
                <w:sz w:val="20"/>
                <w:szCs w:val="20"/>
                <w:highlight w:val="white"/>
              </w:rPr>
            </w:pPr>
            <w:r w:rsidDel="00000000" w:rsidR="00000000" w:rsidRPr="00000000">
              <w:rPr>
                <w:b w:val="1"/>
                <w:bCs w:val="1"/>
                <w:sz w:val="20"/>
                <w:szCs w:val="20"/>
                <w:highlight w:val="white"/>
                <w:rtl w:val="0"/>
              </w:rPr>
              <w:t xml:space="preserve">Model</w:t>
            </w:r>
          </w:p>
        </w:tc>
        <w:tc>
          <w:tcPr>
            <w:tcBorders>
              <w:top w:color="666666" w:space="0" w:sz="6" w:val="single"/>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C">
            <w:pPr>
              <w:spacing w:line="240" w:lineRule="auto"/>
              <w:rPr>
                <w:b w:val="1"/>
                <w:bCs w:val="1"/>
                <w:sz w:val="20"/>
                <w:szCs w:val="20"/>
                <w:highlight w:val="white"/>
              </w:rPr>
            </w:pPr>
            <w:r w:rsidDel="00000000" w:rsidR="00000000" w:rsidRPr="00000000">
              <w:rPr>
                <w:b w:val="1"/>
                <w:bCs w:val="1"/>
                <w:sz w:val="20"/>
                <w:szCs w:val="20"/>
                <w:highlight w:val="white"/>
                <w:rtl w:val="0"/>
              </w:rPr>
              <w:t xml:space="preserve">Accuracy</w:t>
            </w:r>
          </w:p>
        </w:tc>
        <w:tc>
          <w:tcPr>
            <w:tcBorders>
              <w:top w:color="666666" w:space="0" w:sz="6" w:val="single"/>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D">
            <w:pPr>
              <w:spacing w:line="240" w:lineRule="auto"/>
              <w:rPr>
                <w:b w:val="1"/>
                <w:bCs w:val="1"/>
                <w:sz w:val="20"/>
                <w:szCs w:val="20"/>
                <w:highlight w:val="white"/>
              </w:rPr>
            </w:pPr>
            <w:r w:rsidDel="00000000" w:rsidR="00000000" w:rsidRPr="00000000">
              <w:rPr>
                <w:b w:val="1"/>
                <w:bCs w:val="1"/>
                <w:sz w:val="20"/>
                <w:szCs w:val="20"/>
                <w:highlight w:val="white"/>
                <w:rtl w:val="0"/>
              </w:rPr>
              <w:t xml:space="preserve">Precision</w:t>
            </w:r>
          </w:p>
        </w:tc>
        <w:tc>
          <w:tcPr>
            <w:tcBorders>
              <w:top w:color="666666" w:space="0" w:sz="6" w:val="single"/>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E">
            <w:pPr>
              <w:spacing w:line="240" w:lineRule="auto"/>
              <w:rPr>
                <w:b w:val="1"/>
                <w:bCs w:val="1"/>
                <w:sz w:val="20"/>
                <w:szCs w:val="20"/>
                <w:highlight w:val="white"/>
              </w:rPr>
            </w:pPr>
            <w:r w:rsidDel="00000000" w:rsidR="00000000" w:rsidRPr="00000000">
              <w:rPr>
                <w:b w:val="1"/>
                <w:bCs w:val="1"/>
                <w:sz w:val="20"/>
                <w:szCs w:val="20"/>
                <w:highlight w:val="white"/>
                <w:rtl w:val="0"/>
              </w:rPr>
              <w:t xml:space="preserve">Recall</w:t>
            </w:r>
          </w:p>
        </w:tc>
        <w:tc>
          <w:tcPr>
            <w:tcBorders>
              <w:top w:color="666666" w:space="0" w:sz="6" w:val="single"/>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F">
            <w:pPr>
              <w:spacing w:line="240" w:lineRule="auto"/>
              <w:rPr>
                <w:b w:val="1"/>
                <w:bCs w:val="1"/>
                <w:sz w:val="20"/>
                <w:szCs w:val="20"/>
                <w:highlight w:val="white"/>
              </w:rPr>
            </w:pPr>
            <w:r w:rsidDel="00000000" w:rsidR="00000000" w:rsidRPr="00000000">
              <w:rPr>
                <w:b w:val="1"/>
                <w:bCs w:val="1"/>
                <w:sz w:val="20"/>
                <w:szCs w:val="20"/>
                <w:highlight w:val="white"/>
                <w:rtl w:val="0"/>
              </w:rPr>
              <w:t xml:space="preserve">AUROC</w:t>
            </w: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0">
            <w:pPr>
              <w:spacing w:line="240" w:lineRule="auto"/>
              <w:rPr>
                <w:b w:val="1"/>
                <w:bCs w:val="1"/>
                <w:sz w:val="20"/>
                <w:szCs w:val="20"/>
                <w:highlight w:val="white"/>
              </w:rPr>
            </w:pPr>
            <w:r w:rsidDel="00000000" w:rsidR="00000000" w:rsidRPr="00000000">
              <w:rPr>
                <w:b w:val="1"/>
                <w:bCs w:val="1"/>
                <w:sz w:val="20"/>
                <w:szCs w:val="20"/>
                <w:highlight w:val="white"/>
                <w:rtl w:val="0"/>
              </w:rPr>
              <w:t xml:space="preserve">Delirium</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1">
            <w:pPr>
              <w:spacing w:line="240" w:lineRule="auto"/>
              <w:rPr>
                <w:sz w:val="20"/>
                <w:szCs w:val="20"/>
                <w:highlight w:val="white"/>
              </w:rPr>
            </w:pPr>
            <w:r w:rsidDel="00000000" w:rsidR="00000000" w:rsidRPr="00000000">
              <w:rPr>
                <w:sz w:val="20"/>
                <w:szCs w:val="20"/>
                <w:highlight w:val="white"/>
                <w:rtl w:val="0"/>
              </w:rPr>
              <w:t xml:space="preserve">Original</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2">
            <w:pPr>
              <w:spacing w:line="240" w:lineRule="auto"/>
              <w:rPr>
                <w:sz w:val="20"/>
                <w:szCs w:val="20"/>
                <w:highlight w:val="white"/>
              </w:rPr>
            </w:pPr>
            <w:r w:rsidDel="00000000" w:rsidR="00000000" w:rsidRPr="00000000">
              <w:rPr>
                <w:sz w:val="20"/>
                <w:szCs w:val="20"/>
                <w:highlight w:val="white"/>
                <w:rtl w:val="0"/>
              </w:rPr>
              <w:t xml:space="preserve">0.84</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3">
            <w:pPr>
              <w:spacing w:line="240" w:lineRule="auto"/>
              <w:rPr>
                <w:sz w:val="20"/>
                <w:szCs w:val="20"/>
                <w:highlight w:val="white"/>
              </w:rPr>
            </w:pPr>
            <w:r w:rsidDel="00000000" w:rsidR="00000000" w:rsidRPr="00000000">
              <w:rPr>
                <w:sz w:val="20"/>
                <w:szCs w:val="20"/>
                <w:highlight w:val="white"/>
                <w:rtl w:val="0"/>
              </w:rPr>
              <w:t xml:space="preserve">0.45</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24">
            <w:pPr>
              <w:spacing w:line="240" w:lineRule="auto"/>
              <w:rPr>
                <w:sz w:val="20"/>
                <w:szCs w:val="20"/>
                <w:highlight w:val="white"/>
              </w:rPr>
            </w:pPr>
            <w:r w:rsidDel="00000000" w:rsidR="00000000" w:rsidRPr="00000000">
              <w:rPr>
                <w:sz w:val="20"/>
                <w:szCs w:val="20"/>
                <w:highlight w:val="white"/>
                <w:rtl w:val="0"/>
              </w:rPr>
              <w:t xml:space="preserve">0.29</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5">
            <w:pPr>
              <w:spacing w:line="240" w:lineRule="auto"/>
              <w:rPr>
                <w:sz w:val="20"/>
                <w:szCs w:val="20"/>
                <w:highlight w:val="white"/>
              </w:rPr>
            </w:pPr>
            <w:r w:rsidDel="00000000" w:rsidR="00000000" w:rsidRPr="00000000">
              <w:rPr>
                <w:sz w:val="20"/>
                <w:szCs w:val="20"/>
                <w:highlight w:val="white"/>
                <w:rtl w:val="0"/>
              </w:rPr>
              <w:t xml:space="preserve">0.78</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6">
            <w:pPr>
              <w:spacing w:line="240" w:lineRule="auto"/>
              <w:rPr>
                <w:b w:val="1"/>
                <w:bCs w:val="1"/>
                <w:sz w:val="20"/>
                <w:szCs w:val="20"/>
                <w:highlight w:val="white"/>
              </w:rPr>
            </w:pPr>
            <w:r w:rsidDel="00000000" w:rsidR="00000000" w:rsidRPr="00000000">
              <w:rPr>
                <w:b w:val="1"/>
                <w:bCs w:val="1"/>
                <w:sz w:val="20"/>
                <w:szCs w:val="20"/>
                <w:highlight w:val="white"/>
                <w:rtl w:val="0"/>
              </w:rPr>
              <w:t xml:space="preserve">Delirium</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7">
            <w:pPr>
              <w:spacing w:line="240" w:lineRule="auto"/>
              <w:rPr>
                <w:sz w:val="20"/>
                <w:szCs w:val="20"/>
                <w:highlight w:val="white"/>
              </w:rPr>
            </w:pPr>
            <w:r w:rsidDel="00000000" w:rsidR="00000000" w:rsidRPr="00000000">
              <w:rPr>
                <w:sz w:val="20"/>
                <w:szCs w:val="20"/>
                <w:highlight w:val="white"/>
                <w:rtl w:val="0"/>
              </w:rPr>
              <w:t xml:space="preserve">No race and ethnicity</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8">
            <w:pPr>
              <w:spacing w:line="240" w:lineRule="auto"/>
              <w:rPr>
                <w:sz w:val="20"/>
                <w:szCs w:val="20"/>
                <w:highlight w:val="white"/>
              </w:rPr>
            </w:pPr>
            <w:r w:rsidDel="00000000" w:rsidR="00000000" w:rsidRPr="00000000">
              <w:rPr>
                <w:sz w:val="20"/>
                <w:szCs w:val="20"/>
                <w:highlight w:val="white"/>
                <w:rtl w:val="0"/>
              </w:rPr>
              <w:t xml:space="preserve">0.83</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9">
            <w:pPr>
              <w:spacing w:line="240" w:lineRule="auto"/>
              <w:rPr>
                <w:sz w:val="20"/>
                <w:szCs w:val="20"/>
                <w:highlight w:val="white"/>
              </w:rPr>
            </w:pPr>
            <w:r w:rsidDel="00000000" w:rsidR="00000000" w:rsidRPr="00000000">
              <w:rPr>
                <w:sz w:val="20"/>
                <w:szCs w:val="20"/>
                <w:highlight w:val="white"/>
                <w:rtl w:val="0"/>
              </w:rPr>
              <w:t xml:space="preserve">0.42</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2A">
            <w:pPr>
              <w:spacing w:line="240" w:lineRule="auto"/>
              <w:rPr>
                <w:sz w:val="20"/>
                <w:szCs w:val="20"/>
                <w:highlight w:val="white"/>
              </w:rPr>
            </w:pPr>
            <w:r w:rsidDel="00000000" w:rsidR="00000000" w:rsidRPr="00000000">
              <w:rPr>
                <w:sz w:val="20"/>
                <w:szCs w:val="20"/>
                <w:highlight w:val="white"/>
                <w:rtl w:val="0"/>
              </w:rPr>
              <w:t xml:space="preserve">0.28</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B">
            <w:pPr>
              <w:spacing w:line="240" w:lineRule="auto"/>
              <w:rPr>
                <w:sz w:val="20"/>
                <w:szCs w:val="20"/>
                <w:highlight w:val="white"/>
              </w:rPr>
            </w:pPr>
            <w:r w:rsidDel="00000000" w:rsidR="00000000" w:rsidRPr="00000000">
              <w:rPr>
                <w:sz w:val="20"/>
                <w:szCs w:val="20"/>
                <w:highlight w:val="white"/>
                <w:rtl w:val="0"/>
              </w:rPr>
              <w:t xml:space="preserve">0.77</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C">
            <w:pPr>
              <w:spacing w:line="240" w:lineRule="auto"/>
              <w:rPr>
                <w:b w:val="1"/>
                <w:bCs w:val="1"/>
                <w:sz w:val="20"/>
                <w:szCs w:val="20"/>
                <w:highlight w:val="white"/>
              </w:rPr>
            </w:pPr>
            <w:r w:rsidDel="00000000" w:rsidR="00000000" w:rsidRPr="00000000">
              <w:rPr>
                <w:b w:val="1"/>
                <w:bCs w:val="1"/>
                <w:sz w:val="20"/>
                <w:szCs w:val="20"/>
                <w:highlight w:val="white"/>
                <w:rtl w:val="0"/>
              </w:rPr>
              <w:t xml:space="preserve">Delirium</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D">
            <w:pPr>
              <w:spacing w:line="240" w:lineRule="auto"/>
              <w:rPr>
                <w:sz w:val="20"/>
                <w:szCs w:val="20"/>
                <w:highlight w:val="white"/>
              </w:rPr>
            </w:pPr>
            <w:r w:rsidDel="00000000" w:rsidR="00000000" w:rsidRPr="00000000">
              <w:rPr>
                <w:sz w:val="20"/>
                <w:szCs w:val="20"/>
                <w:highlight w:val="white"/>
                <w:rtl w:val="0"/>
              </w:rPr>
              <w:t xml:space="preserve">No sex</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E">
            <w:pPr>
              <w:spacing w:line="240" w:lineRule="auto"/>
              <w:rPr>
                <w:sz w:val="20"/>
                <w:szCs w:val="20"/>
                <w:highlight w:val="white"/>
              </w:rPr>
            </w:pPr>
            <w:r w:rsidDel="00000000" w:rsidR="00000000" w:rsidRPr="00000000">
              <w:rPr>
                <w:sz w:val="20"/>
                <w:szCs w:val="20"/>
                <w:highlight w:val="white"/>
                <w:rtl w:val="0"/>
              </w:rPr>
              <w:t xml:space="preserve">0.84</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F">
            <w:pPr>
              <w:spacing w:line="240" w:lineRule="auto"/>
              <w:rPr>
                <w:sz w:val="20"/>
                <w:szCs w:val="20"/>
                <w:highlight w:val="white"/>
              </w:rPr>
            </w:pPr>
            <w:r w:rsidDel="00000000" w:rsidR="00000000" w:rsidRPr="00000000">
              <w:rPr>
                <w:sz w:val="20"/>
                <w:szCs w:val="20"/>
                <w:highlight w:val="white"/>
                <w:rtl w:val="0"/>
              </w:rPr>
              <w:t xml:space="preserve">0.43</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30">
            <w:pPr>
              <w:spacing w:line="240" w:lineRule="auto"/>
              <w:rPr>
                <w:sz w:val="20"/>
                <w:szCs w:val="20"/>
                <w:highlight w:val="white"/>
              </w:rPr>
            </w:pPr>
            <w:r w:rsidDel="00000000" w:rsidR="00000000" w:rsidRPr="00000000">
              <w:rPr>
                <w:sz w:val="20"/>
                <w:szCs w:val="20"/>
                <w:highlight w:val="white"/>
                <w:rtl w:val="0"/>
              </w:rPr>
              <w:t xml:space="preserve">0.27</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1">
            <w:pPr>
              <w:spacing w:line="240" w:lineRule="auto"/>
              <w:rPr>
                <w:sz w:val="20"/>
                <w:szCs w:val="20"/>
                <w:highlight w:val="white"/>
              </w:rPr>
            </w:pPr>
            <w:r w:rsidDel="00000000" w:rsidR="00000000" w:rsidRPr="00000000">
              <w:rPr>
                <w:sz w:val="20"/>
                <w:szCs w:val="20"/>
                <w:highlight w:val="white"/>
                <w:rtl w:val="0"/>
              </w:rPr>
              <w:t xml:space="preserve">0.77</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2">
            <w:pPr>
              <w:spacing w:line="240" w:lineRule="auto"/>
              <w:rPr>
                <w:b w:val="1"/>
                <w:bCs w:val="1"/>
                <w:sz w:val="20"/>
                <w:szCs w:val="20"/>
                <w:highlight w:val="white"/>
              </w:rPr>
            </w:pPr>
            <w:r w:rsidDel="00000000" w:rsidR="00000000" w:rsidRPr="00000000">
              <w:rPr>
                <w:b w:val="1"/>
                <w:bCs w:val="1"/>
                <w:sz w:val="20"/>
                <w:szCs w:val="20"/>
                <w:highlight w:val="white"/>
                <w:rtl w:val="0"/>
              </w:rPr>
              <w:t xml:space="preserve">Delirium</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3">
            <w:pPr>
              <w:spacing w:line="240" w:lineRule="auto"/>
              <w:rPr>
                <w:sz w:val="20"/>
                <w:szCs w:val="20"/>
                <w:highlight w:val="white"/>
              </w:rPr>
            </w:pPr>
            <w:r w:rsidDel="00000000" w:rsidR="00000000" w:rsidRPr="00000000">
              <w:rPr>
                <w:sz w:val="20"/>
                <w:szCs w:val="20"/>
                <w:highlight w:val="white"/>
                <w:rtl w:val="0"/>
              </w:rPr>
              <w:t xml:space="preserve">No insurance</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4">
            <w:pPr>
              <w:spacing w:line="240" w:lineRule="auto"/>
              <w:rPr>
                <w:sz w:val="20"/>
                <w:szCs w:val="20"/>
                <w:highlight w:val="white"/>
              </w:rPr>
            </w:pPr>
            <w:r w:rsidDel="00000000" w:rsidR="00000000" w:rsidRPr="00000000">
              <w:rPr>
                <w:sz w:val="20"/>
                <w:szCs w:val="20"/>
                <w:highlight w:val="white"/>
                <w:rtl w:val="0"/>
              </w:rPr>
              <w:t xml:space="preserve">0.83</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5">
            <w:pPr>
              <w:spacing w:line="240" w:lineRule="auto"/>
              <w:rPr>
                <w:sz w:val="20"/>
                <w:szCs w:val="20"/>
                <w:highlight w:val="white"/>
              </w:rPr>
            </w:pPr>
            <w:r w:rsidDel="00000000" w:rsidR="00000000" w:rsidRPr="00000000">
              <w:rPr>
                <w:sz w:val="20"/>
                <w:szCs w:val="20"/>
                <w:highlight w:val="white"/>
                <w:rtl w:val="0"/>
              </w:rPr>
              <w:t xml:space="preserve">0.40</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36">
            <w:pPr>
              <w:spacing w:line="240" w:lineRule="auto"/>
              <w:rPr>
                <w:sz w:val="20"/>
                <w:szCs w:val="20"/>
                <w:highlight w:val="white"/>
              </w:rPr>
            </w:pPr>
            <w:r w:rsidDel="00000000" w:rsidR="00000000" w:rsidRPr="00000000">
              <w:rPr>
                <w:sz w:val="20"/>
                <w:szCs w:val="20"/>
                <w:highlight w:val="white"/>
                <w:rtl w:val="0"/>
              </w:rPr>
              <w:t xml:space="preserve">0.02</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7">
            <w:pPr>
              <w:spacing w:line="240" w:lineRule="auto"/>
              <w:rPr>
                <w:sz w:val="20"/>
                <w:szCs w:val="20"/>
                <w:highlight w:val="white"/>
              </w:rPr>
            </w:pPr>
            <w:r w:rsidDel="00000000" w:rsidR="00000000" w:rsidRPr="00000000">
              <w:rPr>
                <w:sz w:val="20"/>
                <w:szCs w:val="20"/>
                <w:highlight w:val="white"/>
                <w:rtl w:val="0"/>
              </w:rPr>
              <w:t xml:space="preserve">0.77</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8">
            <w:pPr>
              <w:spacing w:line="240" w:lineRule="auto"/>
              <w:rPr>
                <w:b w:val="1"/>
                <w:bCs w:val="1"/>
                <w:sz w:val="20"/>
                <w:szCs w:val="20"/>
                <w:highlight w:val="white"/>
              </w:rPr>
            </w:pPr>
            <w:r w:rsidDel="00000000" w:rsidR="00000000" w:rsidRPr="00000000">
              <w:rPr>
                <w:b w:val="1"/>
                <w:bCs w:val="1"/>
                <w:sz w:val="20"/>
                <w:szCs w:val="20"/>
                <w:highlight w:val="white"/>
                <w:rtl w:val="0"/>
              </w:rPr>
              <w:t xml:space="preserve">Readmission</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9">
            <w:pPr>
              <w:spacing w:line="240" w:lineRule="auto"/>
              <w:rPr>
                <w:sz w:val="20"/>
                <w:szCs w:val="20"/>
                <w:highlight w:val="white"/>
              </w:rPr>
            </w:pPr>
            <w:r w:rsidDel="00000000" w:rsidR="00000000" w:rsidRPr="00000000">
              <w:rPr>
                <w:sz w:val="20"/>
                <w:szCs w:val="20"/>
                <w:highlight w:val="white"/>
                <w:rtl w:val="0"/>
              </w:rPr>
              <w:t xml:space="preserve">Original</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A">
            <w:pPr>
              <w:spacing w:line="240" w:lineRule="auto"/>
              <w:rPr>
                <w:sz w:val="20"/>
                <w:szCs w:val="20"/>
                <w:highlight w:val="white"/>
              </w:rPr>
            </w:pPr>
            <w:r w:rsidDel="00000000" w:rsidR="00000000" w:rsidRPr="00000000">
              <w:rPr>
                <w:sz w:val="20"/>
                <w:szCs w:val="20"/>
                <w:highlight w:val="white"/>
                <w:rtl w:val="0"/>
              </w:rPr>
              <w:t xml:space="preserve">0.91</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B">
            <w:pPr>
              <w:spacing w:line="240" w:lineRule="auto"/>
              <w:rPr>
                <w:sz w:val="20"/>
                <w:szCs w:val="20"/>
                <w:highlight w:val="white"/>
              </w:rPr>
            </w:pPr>
            <w:r w:rsidDel="00000000" w:rsidR="00000000" w:rsidRPr="00000000">
              <w:rPr>
                <w:sz w:val="20"/>
                <w:szCs w:val="20"/>
                <w:highlight w:val="white"/>
                <w:rtl w:val="0"/>
              </w:rPr>
              <w:t xml:space="preserve">0.17</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3C">
            <w:pPr>
              <w:spacing w:line="240" w:lineRule="auto"/>
              <w:rPr>
                <w:sz w:val="20"/>
                <w:szCs w:val="20"/>
                <w:highlight w:val="white"/>
              </w:rPr>
            </w:pPr>
            <w:r w:rsidDel="00000000" w:rsidR="00000000" w:rsidRPr="00000000">
              <w:rPr>
                <w:sz w:val="20"/>
                <w:szCs w:val="20"/>
                <w:highlight w:val="white"/>
                <w:rtl w:val="0"/>
              </w:rPr>
              <w:t xml:space="preserve">0.03</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D">
            <w:pPr>
              <w:spacing w:line="240" w:lineRule="auto"/>
              <w:rPr>
                <w:sz w:val="20"/>
                <w:szCs w:val="20"/>
                <w:highlight w:val="white"/>
              </w:rPr>
            </w:pPr>
            <w:r w:rsidDel="00000000" w:rsidR="00000000" w:rsidRPr="00000000">
              <w:rPr>
                <w:sz w:val="20"/>
                <w:szCs w:val="20"/>
                <w:highlight w:val="white"/>
                <w:rtl w:val="0"/>
              </w:rPr>
              <w:t xml:space="preserve">0.60</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E">
            <w:pPr>
              <w:spacing w:line="240" w:lineRule="auto"/>
              <w:rPr>
                <w:b w:val="1"/>
                <w:bCs w:val="1"/>
                <w:sz w:val="20"/>
                <w:szCs w:val="20"/>
                <w:highlight w:val="white"/>
              </w:rPr>
            </w:pPr>
            <w:r w:rsidDel="00000000" w:rsidR="00000000" w:rsidRPr="00000000">
              <w:rPr>
                <w:b w:val="1"/>
                <w:bCs w:val="1"/>
                <w:sz w:val="20"/>
                <w:szCs w:val="20"/>
                <w:highlight w:val="white"/>
                <w:rtl w:val="0"/>
              </w:rPr>
              <w:t xml:space="preserve">Readmission</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F">
            <w:pPr>
              <w:spacing w:line="240" w:lineRule="auto"/>
              <w:rPr>
                <w:sz w:val="20"/>
                <w:szCs w:val="20"/>
                <w:highlight w:val="white"/>
              </w:rPr>
            </w:pPr>
            <w:r w:rsidDel="00000000" w:rsidR="00000000" w:rsidRPr="00000000">
              <w:rPr>
                <w:sz w:val="20"/>
                <w:szCs w:val="20"/>
                <w:highlight w:val="white"/>
                <w:rtl w:val="0"/>
              </w:rPr>
              <w:t xml:space="preserve">No race and ethnicity</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0">
            <w:pPr>
              <w:spacing w:line="240" w:lineRule="auto"/>
              <w:rPr>
                <w:sz w:val="20"/>
                <w:szCs w:val="20"/>
                <w:highlight w:val="white"/>
              </w:rPr>
            </w:pPr>
            <w:r w:rsidDel="00000000" w:rsidR="00000000" w:rsidRPr="00000000">
              <w:rPr>
                <w:sz w:val="20"/>
                <w:szCs w:val="20"/>
                <w:highlight w:val="white"/>
                <w:rtl w:val="0"/>
              </w:rPr>
              <w:t xml:space="preserve">0.91</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1">
            <w:pPr>
              <w:spacing w:line="240" w:lineRule="auto"/>
              <w:rPr>
                <w:sz w:val="20"/>
                <w:szCs w:val="20"/>
                <w:highlight w:val="white"/>
              </w:rPr>
            </w:pPr>
            <w:r w:rsidDel="00000000" w:rsidR="00000000" w:rsidRPr="00000000">
              <w:rPr>
                <w:sz w:val="20"/>
                <w:szCs w:val="20"/>
                <w:highlight w:val="white"/>
                <w:rtl w:val="0"/>
              </w:rPr>
              <w:t xml:space="preserve">0.19</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42">
            <w:pPr>
              <w:spacing w:line="240" w:lineRule="auto"/>
              <w:rPr>
                <w:sz w:val="20"/>
                <w:szCs w:val="20"/>
                <w:highlight w:val="white"/>
              </w:rPr>
            </w:pPr>
            <w:r w:rsidDel="00000000" w:rsidR="00000000" w:rsidRPr="00000000">
              <w:rPr>
                <w:sz w:val="20"/>
                <w:szCs w:val="20"/>
                <w:highlight w:val="white"/>
                <w:rtl w:val="0"/>
              </w:rPr>
              <w:t xml:space="preserve">0.02</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3">
            <w:pPr>
              <w:spacing w:line="240" w:lineRule="auto"/>
              <w:rPr>
                <w:sz w:val="20"/>
                <w:szCs w:val="20"/>
                <w:highlight w:val="white"/>
              </w:rPr>
            </w:pPr>
            <w:r w:rsidDel="00000000" w:rsidR="00000000" w:rsidRPr="00000000">
              <w:rPr>
                <w:sz w:val="20"/>
                <w:szCs w:val="20"/>
                <w:highlight w:val="white"/>
                <w:rtl w:val="0"/>
              </w:rPr>
              <w:t xml:space="preserve">0.60</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4">
            <w:pPr>
              <w:spacing w:line="240" w:lineRule="auto"/>
              <w:rPr>
                <w:b w:val="1"/>
                <w:bCs w:val="1"/>
                <w:sz w:val="20"/>
                <w:szCs w:val="20"/>
                <w:highlight w:val="white"/>
              </w:rPr>
            </w:pPr>
            <w:r w:rsidDel="00000000" w:rsidR="00000000" w:rsidRPr="00000000">
              <w:rPr>
                <w:b w:val="1"/>
                <w:bCs w:val="1"/>
                <w:sz w:val="20"/>
                <w:szCs w:val="20"/>
                <w:highlight w:val="white"/>
                <w:rtl w:val="0"/>
              </w:rPr>
              <w:t xml:space="preserve">Readmission</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5">
            <w:pPr>
              <w:spacing w:line="240" w:lineRule="auto"/>
              <w:rPr>
                <w:sz w:val="20"/>
                <w:szCs w:val="20"/>
                <w:highlight w:val="white"/>
              </w:rPr>
            </w:pPr>
            <w:r w:rsidDel="00000000" w:rsidR="00000000" w:rsidRPr="00000000">
              <w:rPr>
                <w:sz w:val="20"/>
                <w:szCs w:val="20"/>
                <w:highlight w:val="white"/>
                <w:rtl w:val="0"/>
              </w:rPr>
              <w:t xml:space="preserve">No sex</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6">
            <w:pPr>
              <w:spacing w:line="240" w:lineRule="auto"/>
              <w:rPr>
                <w:sz w:val="20"/>
                <w:szCs w:val="20"/>
                <w:highlight w:val="white"/>
              </w:rPr>
            </w:pPr>
            <w:r w:rsidDel="00000000" w:rsidR="00000000" w:rsidRPr="00000000">
              <w:rPr>
                <w:sz w:val="20"/>
                <w:szCs w:val="20"/>
                <w:highlight w:val="white"/>
                <w:rtl w:val="0"/>
              </w:rPr>
              <w:t xml:space="preserve">0.91</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7">
            <w:pPr>
              <w:spacing w:line="240" w:lineRule="auto"/>
              <w:rPr>
                <w:sz w:val="20"/>
                <w:szCs w:val="20"/>
                <w:highlight w:val="white"/>
              </w:rPr>
            </w:pPr>
            <w:r w:rsidDel="00000000" w:rsidR="00000000" w:rsidRPr="00000000">
              <w:rPr>
                <w:sz w:val="20"/>
                <w:szCs w:val="20"/>
                <w:highlight w:val="white"/>
                <w:rtl w:val="0"/>
              </w:rPr>
              <w:t xml:space="preserve">0.17</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48">
            <w:pPr>
              <w:spacing w:line="240" w:lineRule="auto"/>
              <w:rPr>
                <w:sz w:val="20"/>
                <w:szCs w:val="20"/>
                <w:highlight w:val="white"/>
              </w:rPr>
            </w:pPr>
            <w:r w:rsidDel="00000000" w:rsidR="00000000" w:rsidRPr="00000000">
              <w:rPr>
                <w:sz w:val="20"/>
                <w:szCs w:val="20"/>
                <w:highlight w:val="white"/>
                <w:rtl w:val="0"/>
              </w:rPr>
              <w:t xml:space="preserve">0.02</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9">
            <w:pPr>
              <w:spacing w:line="240" w:lineRule="auto"/>
              <w:rPr>
                <w:sz w:val="20"/>
                <w:szCs w:val="20"/>
                <w:highlight w:val="white"/>
              </w:rPr>
            </w:pPr>
            <w:r w:rsidDel="00000000" w:rsidR="00000000" w:rsidRPr="00000000">
              <w:rPr>
                <w:sz w:val="20"/>
                <w:szCs w:val="20"/>
                <w:highlight w:val="white"/>
                <w:rtl w:val="0"/>
              </w:rPr>
              <w:t xml:space="preserve">0.59</w:t>
            </w:r>
          </w:p>
        </w:tc>
      </w:tr>
      <w:tr>
        <w:trPr>
          <w:cantSplit w:val="0"/>
          <w:trHeight w:val="144" w:hRule="atLeast"/>
          <w:tblHeader w:val="0"/>
        </w:trPr>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A">
            <w:pPr>
              <w:spacing w:line="240" w:lineRule="auto"/>
              <w:rPr>
                <w:b w:val="1"/>
                <w:bCs w:val="1"/>
                <w:sz w:val="20"/>
                <w:szCs w:val="20"/>
                <w:highlight w:val="white"/>
              </w:rPr>
            </w:pPr>
            <w:r w:rsidDel="00000000" w:rsidR="00000000" w:rsidRPr="00000000">
              <w:rPr>
                <w:b w:val="1"/>
                <w:bCs w:val="1"/>
                <w:sz w:val="20"/>
                <w:szCs w:val="20"/>
                <w:highlight w:val="white"/>
                <w:rtl w:val="0"/>
              </w:rPr>
              <w:t xml:space="preserve">Readmission</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B">
            <w:pPr>
              <w:spacing w:line="240" w:lineRule="auto"/>
              <w:rPr>
                <w:sz w:val="20"/>
                <w:szCs w:val="20"/>
                <w:highlight w:val="white"/>
              </w:rPr>
            </w:pPr>
            <w:r w:rsidDel="00000000" w:rsidR="00000000" w:rsidRPr="00000000">
              <w:rPr>
                <w:sz w:val="20"/>
                <w:szCs w:val="20"/>
                <w:highlight w:val="white"/>
                <w:rtl w:val="0"/>
              </w:rPr>
              <w:t xml:space="preserve">No insurance</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C">
            <w:pPr>
              <w:spacing w:line="240" w:lineRule="auto"/>
              <w:rPr>
                <w:sz w:val="20"/>
                <w:szCs w:val="20"/>
                <w:highlight w:val="white"/>
              </w:rPr>
            </w:pPr>
            <w:r w:rsidDel="00000000" w:rsidR="00000000" w:rsidRPr="00000000">
              <w:rPr>
                <w:sz w:val="20"/>
                <w:szCs w:val="20"/>
                <w:highlight w:val="white"/>
                <w:rtl w:val="0"/>
              </w:rPr>
              <w:t xml:space="preserve">0.91</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D">
            <w:pPr>
              <w:spacing w:line="240" w:lineRule="auto"/>
              <w:rPr>
                <w:sz w:val="20"/>
                <w:szCs w:val="20"/>
                <w:highlight w:val="white"/>
              </w:rPr>
            </w:pPr>
            <w:r w:rsidDel="00000000" w:rsidR="00000000" w:rsidRPr="00000000">
              <w:rPr>
                <w:sz w:val="20"/>
                <w:szCs w:val="20"/>
                <w:highlight w:val="white"/>
                <w:rtl w:val="0"/>
              </w:rPr>
              <w:t xml:space="preserve">0.21</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bottom"/>
          </w:tcPr>
          <w:p w:rsidR="00000000" w:rsidDel="00000000" w:rsidP="00000000" w:rsidRDefault="00000000" w:rsidRPr="00000000" w14:paraId="0000004E">
            <w:pPr>
              <w:spacing w:line="240" w:lineRule="auto"/>
              <w:rPr>
                <w:sz w:val="20"/>
                <w:szCs w:val="20"/>
                <w:highlight w:val="white"/>
              </w:rPr>
            </w:pPr>
            <w:r w:rsidDel="00000000" w:rsidR="00000000" w:rsidRPr="00000000">
              <w:rPr>
                <w:sz w:val="20"/>
                <w:szCs w:val="20"/>
                <w:highlight w:val="white"/>
                <w:rtl w:val="0"/>
              </w:rPr>
              <w:t xml:space="preserve">0.29</w:t>
            </w:r>
          </w:p>
        </w:tc>
        <w:tc>
          <w:tcPr>
            <w:tcBorders>
              <w:top w:color="000000" w:space="0" w:sz="0" w:val="nil"/>
              <w:left w:color="000000" w:space="0" w:sz="0" w:val="nil"/>
              <w:bottom w:color="666666"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F">
            <w:pPr>
              <w:spacing w:line="240" w:lineRule="auto"/>
              <w:rPr>
                <w:sz w:val="20"/>
                <w:szCs w:val="20"/>
                <w:highlight w:val="white"/>
              </w:rPr>
            </w:pPr>
            <w:r w:rsidDel="00000000" w:rsidR="00000000" w:rsidRPr="00000000">
              <w:rPr>
                <w:sz w:val="20"/>
                <w:szCs w:val="20"/>
                <w:highlight w:val="white"/>
                <w:rtl w:val="0"/>
              </w:rPr>
              <w:t xml:space="preserve">0.58</w:t>
            </w:r>
          </w:p>
        </w:tc>
      </w:tr>
    </w:tbl>
    <w:p w:rsidR="00000000" w:rsidDel="00000000" w:rsidP="00000000" w:rsidRDefault="00000000" w:rsidRPr="00000000" w14:paraId="00000050">
      <w:pPr>
        <w:spacing w:line="240" w:lineRule="auto"/>
        <w:rPr>
          <w:sz w:val="20"/>
          <w:szCs w:val="20"/>
          <w:highlight w:val="white"/>
        </w:rPr>
      </w:pPr>
      <w:r w:rsidDel="00000000" w:rsidR="00000000" w:rsidRPr="00000000">
        <w:rPr>
          <w:rtl w:val="0"/>
        </w:rPr>
      </w:r>
    </w:p>
    <w:p w:rsidR="00000000" w:rsidDel="00000000" w:rsidP="00000000" w:rsidRDefault="00000000" w:rsidRPr="00000000" w14:paraId="00000051">
      <w:pPr>
        <w:rPr>
          <w:sz w:val="20"/>
          <w:szCs w:val="20"/>
        </w:rPr>
      </w:pPr>
      <w:r w:rsidDel="00000000" w:rsidR="00000000" w:rsidRPr="00000000">
        <w:rPr>
          <w:sz w:val="20"/>
          <w:szCs w:val="20"/>
          <w:rtl w:val="0"/>
        </w:rPr>
        <w:t xml:space="preserve">Table S3 Regex string patterns used in Method S1 </w:t>
      </w:r>
    </w:p>
    <w:tbl>
      <w:tblPr>
        <w:tblStyle w:val="Table3"/>
        <w:tblW w:w="82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6855"/>
        <w:tblGridChange w:id="0">
          <w:tblGrid>
            <w:gridCol w:w="1380"/>
            <w:gridCol w:w="6855"/>
          </w:tblGrid>
        </w:tblGridChange>
      </w:tblGrid>
      <w:tr>
        <w:trPr>
          <w:cantSplit w:val="0"/>
          <w:trHeight w:val="255" w:hRule="atLeast"/>
          <w:tblHeader w:val="0"/>
        </w:trPr>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2">
            <w:pPr>
              <w:spacing w:line="240" w:lineRule="auto"/>
              <w:rPr>
                <w:b w:val="1"/>
                <w:bCs w:val="1"/>
                <w:sz w:val="20"/>
                <w:szCs w:val="20"/>
              </w:rPr>
            </w:pPr>
            <w:r w:rsidDel="00000000" w:rsidR="00000000" w:rsidRPr="00000000">
              <w:rPr>
                <w:b w:val="1"/>
                <w:bCs w:val="1"/>
                <w:sz w:val="20"/>
                <w:szCs w:val="20"/>
                <w:rtl w:val="0"/>
              </w:rPr>
              <w:t xml:space="preserve">Component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line="240" w:lineRule="auto"/>
              <w:rPr>
                <w:b w:val="1"/>
                <w:bCs w:val="1"/>
                <w:sz w:val="20"/>
                <w:szCs w:val="20"/>
              </w:rPr>
            </w:pPr>
            <w:r w:rsidDel="00000000" w:rsidR="00000000" w:rsidRPr="00000000">
              <w:rPr>
                <w:b w:val="1"/>
                <w:bCs w:val="1"/>
                <w:sz w:val="20"/>
                <w:szCs w:val="20"/>
                <w:rtl w:val="0"/>
              </w:rPr>
              <w:t xml:space="preserve">Terms/Patterns </w:t>
            </w:r>
          </w:p>
        </w:tc>
      </w:tr>
      <w:tr>
        <w:trPr>
          <w:cantSplit w:val="0"/>
          <w:trHeight w:val="1665"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Inclusion</w:t>
            </w:r>
          </w:p>
          <w:p w:rsidR="00000000" w:rsidDel="00000000" w:rsidP="00000000" w:rsidRDefault="00000000" w:rsidRPr="00000000" w14:paraId="00000055">
            <w:pPr>
              <w:spacing w:line="240" w:lineRule="auto"/>
              <w:rPr>
                <w:b w:val="1"/>
                <w:bCs w:val="1"/>
                <w:sz w:val="20"/>
                <w:szCs w:val="20"/>
              </w:rPr>
            </w:pPr>
            <w:r w:rsidDel="00000000" w:rsidR="00000000" w:rsidRPr="00000000">
              <w:rPr>
                <w:b w:val="1"/>
                <w:bCs w:val="1"/>
                <w:sz w:val="20"/>
                <w:szCs w:val="20"/>
                <w:rtl w:val="0"/>
              </w:rPr>
              <w:t xml:space="preserve">  terms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 Score Yes', 'CAM Score Positive','delir(ium|ious|ation)?', 'delirium state','(acute (onset|change in mental status)|mental status change|fluctuating mental status|(altered|waxing and waning) mental st</w:t>
            </w:r>
            <w:r w:rsidDel="00000000" w:rsidR="00000000" w:rsidRPr="00000000">
              <w:rPr>
                <w:sz w:val="20"/>
                <w:szCs w:val="20"/>
                <w:rtl w:val="0"/>
              </w:rPr>
              <w:t xml:space="preserve">atus)\ (inatten(tive|tion)|distract(ed|ion)|confus(ed|ion)|disorient.*)\ (disorganized thinking|altered level of consciousness|letharg(y|ic)|fluctuating</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arousal|agitat(ed|ion)|encephalopathy)']</w:t>
            </w:r>
            <w:r w:rsidDel="00000000" w:rsidR="00000000" w:rsidRPr="00000000">
              <w:rPr>
                <w:rtl w:val="0"/>
              </w:rPr>
            </w:r>
          </w:p>
        </w:tc>
      </w:tr>
      <w:tr>
        <w:trPr>
          <w:cantSplit w:val="0"/>
          <w:trHeight w:val="555"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Exclusion</w:t>
            </w:r>
          </w:p>
          <w:p w:rsidR="00000000" w:rsidDel="00000000" w:rsidP="00000000" w:rsidRDefault="00000000" w:rsidRPr="00000000" w14:paraId="00000059">
            <w:pPr>
              <w:spacing w:line="240" w:lineRule="auto"/>
              <w:rPr>
                <w:b w:val="1"/>
                <w:bCs w:val="1"/>
                <w:sz w:val="20"/>
                <w:szCs w:val="20"/>
              </w:rPr>
            </w:pPr>
            <w:r w:rsidDel="00000000" w:rsidR="00000000" w:rsidRPr="00000000">
              <w:rPr>
                <w:b w:val="1"/>
                <w:bCs w:val="1"/>
                <w:sz w:val="20"/>
                <w:szCs w:val="20"/>
                <w:rtl w:val="0"/>
              </w:rPr>
              <w:t xml:space="preserve">  terms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['Dementia','alzheimer', 'schizophrenia', 'bipolar disorder', 'CAM score no', 'CAM score negative']</w:t>
            </w:r>
          </w:p>
        </w:tc>
      </w:tr>
      <w:tr>
        <w:trPr>
          <w:cantSplit w:val="0"/>
          <w:trHeight w:val="54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Negation</w:t>
            </w:r>
          </w:p>
          <w:p w:rsidR="00000000" w:rsidDel="00000000" w:rsidP="00000000" w:rsidRDefault="00000000" w:rsidRPr="00000000" w14:paraId="0000005C">
            <w:pPr>
              <w:spacing w:line="240" w:lineRule="auto"/>
              <w:rPr>
                <w:b w:val="1"/>
                <w:bCs w:val="1"/>
                <w:sz w:val="20"/>
                <w:szCs w:val="20"/>
              </w:rPr>
            </w:pPr>
            <w:r w:rsidDel="00000000" w:rsidR="00000000" w:rsidRPr="00000000">
              <w:rPr>
                <w:b w:val="1"/>
                <w:bCs w:val="1"/>
                <w:sz w:val="20"/>
                <w:szCs w:val="20"/>
                <w:rtl w:val="0"/>
              </w:rPr>
              <w:t xml:space="preserve">  cues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','not ', "n't", 'negative', 'never', 'denies', 'deny', 'risk','assessment', 'prevention']</w:t>
            </w:r>
          </w:p>
        </w:tc>
      </w:tr>
    </w:tbl>
    <w:p w:rsidR="00000000" w:rsidDel="00000000" w:rsidP="00000000" w:rsidRDefault="00000000" w:rsidRPr="00000000" w14:paraId="0000005E">
      <w:pPr>
        <w:spacing w:line="240" w:lineRule="auto"/>
        <w:rPr/>
      </w:pPr>
      <w:r w:rsidDel="00000000" w:rsidR="00000000" w:rsidRPr="00000000">
        <w:rPr>
          <w:rtl w:val="0"/>
        </w:rPr>
      </w:r>
    </w:p>
    <w:p w:rsidR="00000000" w:rsidDel="00000000" w:rsidP="00000000" w:rsidRDefault="00000000" w:rsidRPr="00000000" w14:paraId="0000005F">
      <w:pPr>
        <w:pStyle w:val="Heading1"/>
        <w:rPr/>
      </w:pPr>
      <w:bookmarkStart w:colFirst="0" w:colLast="0" w:name="_okvc1ofyp2v0" w:id="2"/>
      <w:bookmarkEnd w:id="2"/>
      <w:r w:rsidDel="00000000" w:rsidR="00000000" w:rsidRPr="00000000">
        <w:rPr>
          <w:b w:val="1"/>
          <w:bCs w:val="1"/>
          <w:sz w:val="28"/>
          <w:szCs w:val="28"/>
          <w:rtl w:val="0"/>
        </w:rPr>
        <w:t xml:space="preserve">Supplementary Figures </w:t>
      </w:r>
      <w:r w:rsidDel="00000000" w:rsidR="00000000" w:rsidRPr="00000000">
        <w:rPr>
          <w:rtl w:val="0"/>
        </w:rPr>
      </w:r>
    </w:p>
    <w:p w:rsidR="00000000" w:rsidDel="00000000" w:rsidP="00000000" w:rsidRDefault="00000000" w:rsidRPr="00000000" w14:paraId="00000060">
      <w:pPr>
        <w:rPr/>
      </w:pPr>
      <w:r w:rsidDel="00000000" w:rsidR="00000000" w:rsidRPr="00000000">
        <w:rPr/>
        <w:drawing>
          <wp:inline distB="114300" distT="114300" distL="114300" distR="114300">
            <wp:extent cx="4376738" cy="5218418"/>
            <wp:effectExtent b="0" l="0" r="0" t="0"/>
            <wp:docPr id="5"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376738" cy="5218418"/>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sz w:val="20"/>
          <w:szCs w:val="20"/>
          <w:rtl w:val="0"/>
        </w:rPr>
        <w:t xml:space="preserve">Figure S1 Cohort selection figure adapted from prior work (citation will be provided for camera-ready version) </w:t>
      </w:r>
    </w:p>
    <w:p w:rsidR="00000000" w:rsidDel="00000000" w:rsidP="00000000" w:rsidRDefault="00000000" w:rsidRPr="00000000" w14:paraId="00000062">
      <w:pPr>
        <w:rPr/>
      </w:pPr>
      <w:r w:rsidDel="00000000" w:rsidR="00000000" w:rsidRPr="00000000">
        <w:rPr/>
        <w:drawing>
          <wp:inline distB="114300" distT="114300" distL="114300" distR="114300">
            <wp:extent cx="4538663" cy="5506038"/>
            <wp:effectExtent b="0" l="0" r="0" t="0"/>
            <wp:docPr id="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4538663" cy="5506038"/>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rPr>
          <w:sz w:val="20"/>
          <w:szCs w:val="20"/>
          <w:highlight w:val="white"/>
        </w:rPr>
      </w:pPr>
      <w:r w:rsidDel="00000000" w:rsidR="00000000" w:rsidRPr="00000000">
        <w:rPr>
          <w:rtl w:val="0"/>
        </w:rPr>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sz w:val="20"/>
          <w:szCs w:val="20"/>
          <w:highlight w:val="white"/>
        </w:rPr>
      </w:pPr>
      <w:r w:rsidDel="00000000" w:rsidR="00000000" w:rsidRPr="00000000">
        <w:rPr>
          <w:sz w:val="20"/>
          <w:szCs w:val="20"/>
          <w:highlight w:val="white"/>
          <w:rtl w:val="0"/>
        </w:rPr>
        <w:t xml:space="preserve">Figure S2 </w:t>
      </w:r>
      <w:r w:rsidDel="00000000" w:rsidR="00000000" w:rsidRPr="00000000">
        <w:rPr>
          <w:sz w:val="20"/>
          <w:szCs w:val="20"/>
          <w:rtl w:val="0"/>
        </w:rPr>
        <w:t xml:space="preserve">Feature importance of XGBoost Model for postoperative delirium prediction</w:t>
      </w:r>
      <w:r w:rsidDel="00000000" w:rsidR="00000000" w:rsidRPr="00000000">
        <w:rPr>
          <w:rtl w:val="0"/>
        </w:rPr>
      </w:r>
    </w:p>
    <w:p w:rsidR="00000000" w:rsidDel="00000000" w:rsidP="00000000" w:rsidRDefault="00000000" w:rsidRPr="00000000" w14:paraId="00000065">
      <w:pPr>
        <w:spacing w:line="240" w:lineRule="auto"/>
        <w:rPr>
          <w:sz w:val="20"/>
          <w:szCs w:val="20"/>
        </w:rPr>
      </w:pPr>
      <w:r w:rsidDel="00000000" w:rsidR="00000000" w:rsidRPr="00000000">
        <w:rPr>
          <w:rtl w:val="0"/>
        </w:rPr>
      </w:r>
    </w:p>
    <w:p w:rsidR="00000000" w:rsidDel="00000000" w:rsidP="00000000" w:rsidRDefault="00000000" w:rsidRPr="00000000" w14:paraId="00000066">
      <w:pPr>
        <w:spacing w:line="240" w:lineRule="auto"/>
        <w:rPr>
          <w:sz w:val="20"/>
          <w:szCs w:val="20"/>
        </w:rPr>
      </w:pPr>
      <w:r w:rsidDel="00000000" w:rsidR="00000000" w:rsidRPr="00000000">
        <w:rPr>
          <w:sz w:val="20"/>
          <w:szCs w:val="20"/>
          <w:rtl w:val="0"/>
        </w:rPr>
        <w:t xml:space="preserve">This figure shows the relative importance of features used in the delirium prediction model. Clinical predictors such as Charlson Comorbidity Index (CCI), mental and behavioral disorders, pre-operative pain scores, and specific surgical procedures (e.g., CABG, hernia repair, prostatectomy) were among the most important features. Sensitive attributes such as race/ethnicity and insurance type had low importance in this model. </w:t>
      </w:r>
    </w:p>
    <w:p w:rsidR="00000000" w:rsidDel="00000000" w:rsidP="00000000" w:rsidRDefault="00000000" w:rsidRPr="00000000" w14:paraId="00000067">
      <w:pPr>
        <w:rPr>
          <w:sz w:val="20"/>
          <w:szCs w:val="20"/>
        </w:rPr>
      </w:pPr>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rPr>
          <w:sz w:val="20"/>
          <w:szCs w:val="20"/>
          <w:highlight w:val="white"/>
        </w:rPr>
      </w:pPr>
      <w:r w:rsidDel="00000000" w:rsidR="00000000" w:rsidRPr="00000000">
        <w:rPr>
          <w:sz w:val="20"/>
          <w:szCs w:val="20"/>
          <w:highlight w:val="white"/>
        </w:rPr>
        <w:drawing>
          <wp:inline distB="114300" distT="114300" distL="114300" distR="114300">
            <wp:extent cx="5943600" cy="7150100"/>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943600" cy="71501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line="240" w:lineRule="auto"/>
        <w:rPr>
          <w:sz w:val="20"/>
          <w:szCs w:val="20"/>
        </w:rPr>
      </w:pPr>
      <w:r w:rsidDel="00000000" w:rsidR="00000000" w:rsidRPr="00000000">
        <w:rPr>
          <w:sz w:val="20"/>
          <w:szCs w:val="20"/>
          <w:rtl w:val="0"/>
        </w:rPr>
        <w:t xml:space="preserve">Figure S3 Feature importance of XGBoost Model for postoperative 30 day readmission prediction model </w:t>
      </w:r>
    </w:p>
    <w:p w:rsidR="00000000" w:rsidDel="00000000" w:rsidP="00000000" w:rsidRDefault="00000000" w:rsidRPr="00000000" w14:paraId="0000006A">
      <w:pPr>
        <w:spacing w:line="240" w:lineRule="auto"/>
        <w:rPr>
          <w:sz w:val="20"/>
          <w:szCs w:val="20"/>
        </w:rPr>
      </w:pPr>
      <w:r w:rsidDel="00000000" w:rsidR="00000000" w:rsidRPr="00000000">
        <w:rPr>
          <w:rtl w:val="0"/>
        </w:rPr>
      </w:r>
    </w:p>
    <w:p w:rsidR="00000000" w:rsidDel="00000000" w:rsidP="00000000" w:rsidRDefault="00000000" w:rsidRPr="00000000" w14:paraId="0000006B">
      <w:pPr>
        <w:spacing w:line="240" w:lineRule="auto"/>
        <w:rPr>
          <w:sz w:val="20"/>
          <w:szCs w:val="20"/>
        </w:rPr>
      </w:pPr>
      <w:r w:rsidDel="00000000" w:rsidR="00000000" w:rsidRPr="00000000">
        <w:rPr>
          <w:sz w:val="20"/>
          <w:szCs w:val="20"/>
          <w:rtl w:val="0"/>
        </w:rPr>
        <w:t xml:space="preserve">This figure displays the relative importance of features used in the readmission classification model. Key predictors included Charlson Comorbidity Index (CCI), anesthesia type and pre-existing mental health conditions. Sex showed moderate importance, while other sensitive features such as race/ethnicity and insurance type had low influence on model predictions. </w:t>
      </w:r>
    </w:p>
    <w:p w:rsidR="00000000" w:rsidDel="00000000" w:rsidP="00000000" w:rsidRDefault="00000000" w:rsidRPr="00000000" w14:paraId="0000006C">
      <w:pPr>
        <w:rPr>
          <w:sz w:val="20"/>
          <w:szCs w:val="20"/>
        </w:rPr>
      </w:pPr>
      <w:r w:rsidDel="00000000" w:rsidR="00000000" w:rsidRPr="00000000">
        <w:rPr>
          <w:sz w:val="20"/>
          <w:szCs w:val="20"/>
        </w:rPr>
        <w:drawing>
          <wp:inline distB="114300" distT="114300" distL="114300" distR="114300">
            <wp:extent cx="5943600" cy="368300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rtl w:val="0"/>
        </w:rPr>
      </w:r>
    </w:p>
    <w:p w:rsidR="00000000" w:rsidDel="00000000" w:rsidP="00000000" w:rsidRDefault="00000000" w:rsidRPr="00000000" w14:paraId="0000006E">
      <w:pPr>
        <w:rPr>
          <w:sz w:val="20"/>
          <w:szCs w:val="20"/>
        </w:rPr>
      </w:pPr>
      <w:r w:rsidDel="00000000" w:rsidR="00000000" w:rsidRPr="00000000">
        <w:rPr>
          <w:sz w:val="20"/>
          <w:szCs w:val="20"/>
          <w:rtl w:val="0"/>
        </w:rPr>
        <w:t xml:space="preserve">Figure S4 Reference-based MPPD after Excluding Sensitive Attributes from Model Training</w:t>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spacing w:line="240" w:lineRule="auto"/>
        <w:rPr>
          <w:sz w:val="20"/>
          <w:szCs w:val="20"/>
        </w:rPr>
      </w:pPr>
      <w:r w:rsidDel="00000000" w:rsidR="00000000" w:rsidRPr="00000000">
        <w:rPr>
          <w:sz w:val="20"/>
          <w:szCs w:val="20"/>
          <w:rtl w:val="0"/>
        </w:rPr>
        <w:t xml:space="preserve">Reference-based mean predicted probability differences (MPPD) across sensitive attributes </w:t>
      </w:r>
    </w:p>
    <w:p w:rsidR="00000000" w:rsidDel="00000000" w:rsidP="00000000" w:rsidRDefault="00000000" w:rsidRPr="00000000" w14:paraId="00000071">
      <w:pPr>
        <w:rPr>
          <w:sz w:val="20"/>
          <w:szCs w:val="20"/>
        </w:rPr>
      </w:pPr>
      <w:r w:rsidDel="00000000" w:rsidR="00000000" w:rsidRPr="00000000">
        <w:rPr>
          <w:sz w:val="20"/>
          <w:szCs w:val="20"/>
        </w:rPr>
        <w:drawing>
          <wp:inline distB="114300" distT="114300" distL="114300" distR="114300">
            <wp:extent cx="5943600" cy="4114800"/>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pacing w:line="240" w:lineRule="auto"/>
        <w:rPr>
          <w:sz w:val="20"/>
          <w:szCs w:val="20"/>
        </w:rPr>
      </w:pPr>
      <w:r w:rsidDel="00000000" w:rsidR="00000000" w:rsidRPr="00000000">
        <w:rPr>
          <w:sz w:val="20"/>
          <w:szCs w:val="20"/>
          <w:rtl w:val="0"/>
        </w:rPr>
        <w:t xml:space="preserve">Figure S5 Pairwise MPPD after Excluding Sensitive Attributes from Model Training</w:t>
      </w:r>
    </w:p>
    <w:p w:rsidR="00000000" w:rsidDel="00000000" w:rsidP="00000000" w:rsidRDefault="00000000" w:rsidRPr="00000000" w14:paraId="00000073">
      <w:pPr>
        <w:spacing w:line="240" w:lineRule="auto"/>
        <w:rPr>
          <w:sz w:val="20"/>
          <w:szCs w:val="20"/>
        </w:rPr>
      </w:pPr>
      <w:r w:rsidDel="00000000" w:rsidR="00000000" w:rsidRPr="00000000">
        <w:rPr>
          <w:rtl w:val="0"/>
        </w:rPr>
      </w:r>
    </w:p>
    <w:p w:rsidR="00000000" w:rsidDel="00000000" w:rsidP="00000000" w:rsidRDefault="00000000" w:rsidRPr="00000000" w14:paraId="00000074">
      <w:pPr>
        <w:spacing w:line="240" w:lineRule="auto"/>
        <w:rPr>
          <w:sz w:val="20"/>
          <w:szCs w:val="20"/>
        </w:rPr>
      </w:pPr>
      <w:r w:rsidDel="00000000" w:rsidR="00000000" w:rsidRPr="00000000">
        <w:rPr>
          <w:sz w:val="20"/>
          <w:szCs w:val="20"/>
          <w:rtl w:val="0"/>
        </w:rPr>
        <w:t xml:space="preserve">(A) Pairwise mean predicted probability differences (MPPD) across racial and ethnic groups in the original model (left) and after excluding race/ethnicity from the training features (right). (B) Pairwise MPPD across insurance groups in the original model (left) and after excluding insurance type from the training features (right). Each cell represents the average difference in predicted probabilities between clinically similar patients from different groups. Excluding sensitive attributes reduced most group-level disparities in predicted probabilities.</w:t>
      </w:r>
    </w:p>
    <w:p w:rsidR="00000000" w:rsidDel="00000000" w:rsidP="00000000" w:rsidRDefault="00000000" w:rsidRPr="00000000" w14:paraId="00000075">
      <w:pPr>
        <w:rPr>
          <w:sz w:val="20"/>
          <w:szCs w:val="20"/>
        </w:rPr>
      </w:pPr>
      <w:r w:rsidDel="00000000" w:rsidR="00000000" w:rsidRPr="00000000">
        <w:rPr>
          <w:rtl w:val="0"/>
        </w:rPr>
      </w:r>
    </w:p>
    <w:p w:rsidR="00000000" w:rsidDel="00000000" w:rsidP="00000000" w:rsidRDefault="00000000" w:rsidRPr="00000000" w14:paraId="00000076">
      <w:pPr>
        <w:pStyle w:val="Heading1"/>
        <w:rPr/>
      </w:pPr>
      <w:bookmarkStart w:colFirst="0" w:colLast="0" w:name="_wk3fw4vibmmd" w:id="3"/>
      <w:bookmarkEnd w:id="3"/>
      <w:r w:rsidDel="00000000" w:rsidR="00000000" w:rsidRPr="00000000">
        <w:rPr>
          <w:b w:val="1"/>
          <w:bCs w:val="1"/>
          <w:sz w:val="28"/>
          <w:szCs w:val="28"/>
          <w:rtl w:val="0"/>
        </w:rPr>
        <w:t xml:space="preserve">Supplementary Methods </w:t>
      </w:r>
      <w:r w:rsidDel="00000000" w:rsidR="00000000" w:rsidRPr="00000000">
        <w:rPr>
          <w:rtl w:val="0"/>
        </w:rPr>
      </w:r>
    </w:p>
    <w:p w:rsidR="00000000" w:rsidDel="00000000" w:rsidP="00000000" w:rsidRDefault="00000000" w:rsidRPr="00000000" w14:paraId="00000077">
      <w:pPr>
        <w:rPr>
          <w:sz w:val="20"/>
          <w:szCs w:val="20"/>
        </w:rPr>
      </w:pPr>
      <w:r w:rsidDel="00000000" w:rsidR="00000000" w:rsidRPr="00000000">
        <w:rPr>
          <w:sz w:val="20"/>
          <w:szCs w:val="20"/>
          <w:rtl w:val="0"/>
        </w:rPr>
        <w:t xml:space="preserve">Method S1 </w:t>
      </w:r>
      <w:r w:rsidDel="00000000" w:rsidR="00000000" w:rsidRPr="00000000">
        <w:rPr>
          <w:sz w:val="20"/>
          <w:szCs w:val="20"/>
          <w:rtl w:val="0"/>
        </w:rPr>
        <w:t xml:space="preserve">Delirium phenotyping via NLP model development</w:t>
      </w:r>
      <w:r w:rsidDel="00000000" w:rsidR="00000000" w:rsidRPr="00000000">
        <w:rPr>
          <w:rtl w:val="0"/>
        </w:rPr>
      </w:r>
    </w:p>
    <w:p w:rsidR="00000000" w:rsidDel="00000000" w:rsidP="00000000" w:rsidRDefault="00000000" w:rsidRPr="00000000" w14:paraId="00000078">
      <w:pPr>
        <w:rPr>
          <w:sz w:val="20"/>
          <w:szCs w:val="20"/>
        </w:rPr>
      </w:pPr>
      <w:r w:rsidDel="00000000" w:rsidR="00000000" w:rsidRPr="00000000">
        <w:rPr>
          <w:rtl w:val="0"/>
        </w:rPr>
      </w:r>
    </w:p>
    <w:p w:rsidR="00000000" w:rsidDel="00000000" w:rsidP="00000000" w:rsidRDefault="00000000" w:rsidRPr="00000000" w14:paraId="00000079">
      <w:pPr>
        <w:spacing w:line="240" w:lineRule="auto"/>
        <w:ind w:left="0" w:firstLine="0"/>
        <w:rPr>
          <w:sz w:val="20"/>
          <w:szCs w:val="20"/>
        </w:rPr>
      </w:pPr>
      <w:r w:rsidDel="00000000" w:rsidR="00000000" w:rsidRPr="00000000">
        <w:rPr>
          <w:sz w:val="20"/>
          <w:szCs w:val="20"/>
          <w:rtl w:val="0"/>
        </w:rPr>
        <w:t xml:space="preserve">To train and evaluate our NLP model for delirium detection, we first constructed a labeled dataset using structured and unstructured EHR data. Patients were included if they met at least one of three criteria: presence of delirium-related ICD codes, positive CAM assessments in flowsheets, or keyword matches based on a regular expression (regex) search in clinical notes. Patients were labeled as positive  if they were regex-positive and either ICD- or flowsheet-positive. From these patients, notes containing regex matches were extracted and filtered to include only those documented within a three-day window following the initial regex match. These were labeled as positive notes. Negative notes were sampled from patients who were negative for all three indicators to achieve a 40/60 positive-to-negative balance for model training and validation. For testing, a separate set of regex- and code-positive patients was sampled, along with a set of patients negative for all criteria, targeting a 20/80 positive-to-negative balance. Clinical experts manually annotated a subset of test notes into four categories: postoperative delirium, delirium risk, no delirium, and other (e.g., documentation of management or precautions). These labels were used to evaluate model performance. Multiple BERT-based models were trained using combinations of positive notes, hard negatives (e.g., notes with negated mentions), and easy negatives (notes with no relevant terms). </w:t>
      </w:r>
      <w:r w:rsidDel="00000000" w:rsidR="00000000" w:rsidRPr="00000000">
        <w:rPr>
          <w:sz w:val="20"/>
          <w:szCs w:val="20"/>
          <w:rtl w:val="0"/>
        </w:rPr>
        <w:t xml:space="preserve">The final model</w:t>
      </w:r>
      <w:r w:rsidDel="00000000" w:rsidR="00000000" w:rsidRPr="00000000">
        <w:rPr>
          <w:sz w:val="20"/>
          <w:szCs w:val="20"/>
          <w:rtl w:val="0"/>
        </w:rPr>
        <w:t xml:space="preserve"> was applied to unstructured notes in the full cohort to identify additional delirium-positive documentation not captured by structured data or keyword searches alone.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sz w:val="20"/>
          <w:szCs w:val="20"/>
          <w:rtl w:val="0"/>
        </w:rPr>
        <w:t xml:space="preserve">Method S2 List of surgical types</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sz w:val="20"/>
          <w:szCs w:val="20"/>
          <w:highlight w:val="white"/>
        </w:rPr>
      </w:pPr>
      <w:r w:rsidDel="00000000" w:rsidR="00000000" w:rsidRPr="00000000">
        <w:rPr>
          <w:sz w:val="20"/>
          <w:szCs w:val="20"/>
          <w:highlight w:val="white"/>
          <w:rtl w:val="0"/>
        </w:rPr>
        <w:t xml:space="preserve">Appendectomy, CABG, Colorectal Resection, Excision/Lysis Peritubal Adhesions, Hysterectomy (Vaginal/Abdominal), Inguinal Hernia Repair, Knee Replacement, Oophorectomy, Partial Excision of Bone, Spinal Fusion, Fracture Hip or Femur, Fracture Lower Extremity, Colecystectomy, Laminectomy, Mastectomy, Prostatectomy, Thoracotomy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sz w:val="20"/>
          <w:szCs w:val="20"/>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5.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