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EBC43" w14:textId="5DF9E027" w:rsidR="00C71433" w:rsidRPr="00A77E70" w:rsidRDefault="00C71433" w:rsidP="00A77E70">
      <w:pPr>
        <w:jc w:val="center"/>
        <w:rPr>
          <w:rFonts w:ascii="Palatino Linotype" w:hAnsi="Palatino Linotype"/>
          <w:b/>
          <w:sz w:val="18"/>
          <w:szCs w:val="18"/>
        </w:rPr>
      </w:pPr>
      <w:r w:rsidRPr="00A77E70">
        <w:rPr>
          <w:rFonts w:ascii="Palatino Linotype" w:hAnsi="Palatino Linotype"/>
          <w:b/>
          <w:sz w:val="18"/>
          <w:szCs w:val="18"/>
        </w:rPr>
        <w:t>Supplementary table 1. Functional animal studies in models of tardive dyskinesia in the last ten years.</w:t>
      </w:r>
    </w:p>
    <w:p w14:paraId="4A955565" w14:textId="77777777" w:rsidR="00C71433" w:rsidRDefault="00C71433" w:rsidP="00C71433">
      <w:pPr>
        <w:rPr>
          <w:b/>
        </w:rPr>
      </w:pPr>
    </w:p>
    <w:tbl>
      <w:tblPr>
        <w:tblStyle w:val="TableGrid"/>
        <w:tblW w:w="14029" w:type="dxa"/>
        <w:tblLayout w:type="fixed"/>
        <w:tblLook w:val="04A0" w:firstRow="1" w:lastRow="0" w:firstColumn="1" w:lastColumn="0" w:noHBand="0" w:noVBand="1"/>
      </w:tblPr>
      <w:tblGrid>
        <w:gridCol w:w="1560"/>
        <w:gridCol w:w="1559"/>
        <w:gridCol w:w="1701"/>
        <w:gridCol w:w="1417"/>
        <w:gridCol w:w="1985"/>
        <w:gridCol w:w="1843"/>
        <w:gridCol w:w="1984"/>
        <w:gridCol w:w="1980"/>
      </w:tblGrid>
      <w:tr w:rsidR="00C71433" w:rsidRPr="00A77E70" w14:paraId="5EC54B5E" w14:textId="77777777" w:rsidTr="00A77E70">
        <w:tc>
          <w:tcPr>
            <w:tcW w:w="1560" w:type="dxa"/>
            <w:vAlign w:val="center"/>
          </w:tcPr>
          <w:p w14:paraId="79992C94"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Gene/protein</w:t>
            </w:r>
          </w:p>
        </w:tc>
        <w:tc>
          <w:tcPr>
            <w:tcW w:w="1559" w:type="dxa"/>
            <w:vAlign w:val="center"/>
          </w:tcPr>
          <w:p w14:paraId="04502C98"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Effect in TD</w:t>
            </w:r>
          </w:p>
        </w:tc>
        <w:tc>
          <w:tcPr>
            <w:tcW w:w="1701" w:type="dxa"/>
            <w:vAlign w:val="center"/>
          </w:tcPr>
          <w:p w14:paraId="12CB7C64"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Study model</w:t>
            </w:r>
          </w:p>
        </w:tc>
        <w:tc>
          <w:tcPr>
            <w:tcW w:w="1417" w:type="dxa"/>
            <w:vAlign w:val="center"/>
          </w:tcPr>
          <w:p w14:paraId="236FD282"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Drug</w:t>
            </w:r>
          </w:p>
        </w:tc>
        <w:tc>
          <w:tcPr>
            <w:tcW w:w="1985" w:type="dxa"/>
            <w:vAlign w:val="center"/>
          </w:tcPr>
          <w:p w14:paraId="13EB9853"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Phenotype</w:t>
            </w:r>
          </w:p>
        </w:tc>
        <w:tc>
          <w:tcPr>
            <w:tcW w:w="1843" w:type="dxa"/>
            <w:vAlign w:val="center"/>
          </w:tcPr>
          <w:p w14:paraId="503F6C7C"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Intervention</w:t>
            </w:r>
          </w:p>
        </w:tc>
        <w:tc>
          <w:tcPr>
            <w:tcW w:w="1984" w:type="dxa"/>
            <w:vAlign w:val="center"/>
          </w:tcPr>
          <w:p w14:paraId="2C31C410"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Effect of the intervention</w:t>
            </w:r>
          </w:p>
        </w:tc>
        <w:tc>
          <w:tcPr>
            <w:tcW w:w="1980" w:type="dxa"/>
            <w:vAlign w:val="center"/>
          </w:tcPr>
          <w:p w14:paraId="0C3B6CB0"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b/>
                <w:sz w:val="18"/>
                <w:szCs w:val="18"/>
              </w:rPr>
              <w:t>Reference</w:t>
            </w:r>
          </w:p>
        </w:tc>
      </w:tr>
      <w:tr w:rsidR="00C71433" w:rsidRPr="00A77E70" w14:paraId="3AF98E5A" w14:textId="77777777" w:rsidTr="00A77E70">
        <w:tc>
          <w:tcPr>
            <w:tcW w:w="1560" w:type="dxa"/>
            <w:vAlign w:val="center"/>
          </w:tcPr>
          <w:p w14:paraId="51E92E2A"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CASP3</w:t>
            </w:r>
          </w:p>
          <w:p w14:paraId="799CD300"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sz w:val="18"/>
                <w:szCs w:val="18"/>
              </w:rPr>
              <w:t>TNFα</w:t>
            </w:r>
          </w:p>
        </w:tc>
        <w:tc>
          <w:tcPr>
            <w:tcW w:w="1559" w:type="dxa"/>
            <w:vAlign w:val="center"/>
          </w:tcPr>
          <w:p w14:paraId="1057ADB9"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Align w:val="center"/>
          </w:tcPr>
          <w:p w14:paraId="0EB05C7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Male Wistar rats </w:t>
            </w:r>
          </w:p>
        </w:tc>
        <w:tc>
          <w:tcPr>
            <w:tcW w:w="1417" w:type="dxa"/>
            <w:vAlign w:val="center"/>
          </w:tcPr>
          <w:p w14:paraId="1ED7F4EF"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p w14:paraId="5DDC350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Clozapine</w:t>
            </w:r>
          </w:p>
          <w:p w14:paraId="63EB8DA8"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U74500A</w:t>
            </w:r>
          </w:p>
        </w:tc>
        <w:tc>
          <w:tcPr>
            <w:tcW w:w="1985" w:type="dxa"/>
            <w:vAlign w:val="center"/>
          </w:tcPr>
          <w:p w14:paraId="5EA65BBE"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p w14:paraId="2F1A6F93"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Enhanced oxidative stress</w:t>
            </w:r>
          </w:p>
        </w:tc>
        <w:tc>
          <w:tcPr>
            <w:tcW w:w="1843" w:type="dxa"/>
            <w:vAlign w:val="center"/>
          </w:tcPr>
          <w:p w14:paraId="2437354B"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4" w:type="dxa"/>
            <w:vAlign w:val="center"/>
          </w:tcPr>
          <w:p w14:paraId="75043E6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0" w:type="dxa"/>
            <w:vAlign w:val="center"/>
          </w:tcPr>
          <w:p w14:paraId="515813B9" w14:textId="762AB760" w:rsidR="00C71433" w:rsidRPr="00A77E70" w:rsidRDefault="00200398" w:rsidP="00200398">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{"citationItems":[{"id":"ITEM-1","itemData":{"DOI":"10.1007/978-1-61779-458-2_12","ISSN":"1940-6029","PMID":"22231815","abstract":"Long-term treatment with haloperidol is associated with a number of extrapyramidal side effects. This limitation presents a marked therapeutic challenge. The present method (21 days administration of haloperidol, 5 mg/kg, i.p.) has been established to gain deeper insight into the molecular etiology (inflammation and apoptosis) of haloperidol-induced cellular death. In the present model, besides the corresponding increase in the vacuous chewing movements (VCMs), enhanced oxidative stress, there was a significant increase in cellular markers of inflammation and apoptotic protein (caspase-3), leading to cellular death. We also suggest that this model will be effective in preclinical testing of new chemical entities for the treatment of haloperidol induced tardive dyskinesia and related symptoms.","author":[{"dropping-particle":"","family":"Bishnoi","given":"Mahendra","non-dropping-particle":"","parse-names":false,"suffix":""},{"dropping-particle":"","family":"Boparai","given":"Ravneet K","non-dropping-particle":"","parse-names":false,"suffix":""}],"container-title":"Methods in molecular biology (Clifton, N.J.)","id":"ITEM-1","issued":{"date-parts":[["2012"]]},"page":"193-201","publisher":"Methods Mol Biol","title":"An animal model to study the molecular basis of tardive dyskinesia.","type":"article-journal","volume":"829"},"uris":["http://www.mendeley.com/documents/?uuid=eb9bfbd4-e8d0-3a9a-b64a-5317a8cb7c13"]}],"mendeley":{"formattedCitation":"(Bishnoi and Boparai 2012)","plainTextFormattedCitation":"(Bishnoi and Boparai 2012)","previouslyFormattedCitation":"(Bishnoi and Boparai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(Bishnoi and Boparai 2012)</w:t>
            </w:r>
            <w:r>
              <w:rPr>
                <w:rFonts w:ascii="Palatino Linotype" w:hAnsi="Palatino Linotype" w:cstheme="minorHAnsi"/>
                <w:sz w:val="18"/>
                <w:szCs w:val="18"/>
              </w:rPr>
              <w:fldChar w:fldCharType="end"/>
            </w:r>
          </w:p>
        </w:tc>
      </w:tr>
      <w:tr w:rsidR="00C71433" w:rsidRPr="00A77E70" w14:paraId="7504EE5B" w14:textId="77777777" w:rsidTr="00A77E70">
        <w:tc>
          <w:tcPr>
            <w:tcW w:w="1560" w:type="dxa"/>
            <w:vAlign w:val="center"/>
          </w:tcPr>
          <w:p w14:paraId="12D6ECFD"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SLC6A3 </w:t>
            </w:r>
          </w:p>
          <w:p w14:paraId="5A4E54AA"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CHRNA4 </w:t>
            </w:r>
          </w:p>
          <w:p w14:paraId="0A12E4CA" w14:textId="77777777" w:rsidR="00C71433" w:rsidRPr="00A77E70" w:rsidRDefault="00C71433" w:rsidP="009A3199">
            <w:pPr>
              <w:jc w:val="center"/>
              <w:rPr>
                <w:rStyle w:val="mim-text-font"/>
                <w:rFonts w:ascii="Palatino Linotype" w:hAnsi="Palatino Linotype" w:cstheme="minorHAnsi"/>
                <w:sz w:val="18"/>
                <w:szCs w:val="18"/>
              </w:rPr>
            </w:pPr>
            <w:r w:rsidRPr="00A77E70">
              <w:rPr>
                <w:rStyle w:val="mim-text-font"/>
                <w:rFonts w:ascii="Palatino Linotype" w:hAnsi="Palatino Linotype" w:cstheme="minorHAnsi"/>
                <w:sz w:val="18"/>
                <w:szCs w:val="18"/>
              </w:rPr>
              <w:t xml:space="preserve">CHRNB2 </w:t>
            </w:r>
          </w:p>
          <w:p w14:paraId="11DFC37F" w14:textId="77777777" w:rsidR="00C71433" w:rsidRPr="00A77E70" w:rsidRDefault="00C71433" w:rsidP="009A3199">
            <w:pPr>
              <w:jc w:val="center"/>
              <w:rPr>
                <w:rFonts w:ascii="Palatino Linotype" w:hAnsi="Palatino Linotype" w:cstheme="minorHAnsi"/>
                <w:b/>
                <w:i/>
                <w:sz w:val="18"/>
                <w:szCs w:val="18"/>
              </w:rPr>
            </w:pPr>
            <w:r w:rsidRPr="00A77E70">
              <w:rPr>
                <w:rFonts w:ascii="Palatino Linotype" w:hAnsi="Palatino Linotype" w:cstheme="minorHAnsi"/>
                <w:sz w:val="18"/>
                <w:szCs w:val="18"/>
              </w:rPr>
              <w:t>CHRNA6</w:t>
            </w:r>
            <w:r w:rsidRPr="00A77E70">
              <w:rPr>
                <w:rFonts w:ascii="Palatino Linotype" w:hAnsi="Palatino Linotype" w:cstheme="minorHAnsi"/>
                <w:i/>
                <w:sz w:val="18"/>
                <w:szCs w:val="18"/>
              </w:rPr>
              <w:t xml:space="preserve"> </w:t>
            </w:r>
          </w:p>
        </w:tc>
        <w:tc>
          <w:tcPr>
            <w:tcW w:w="1559" w:type="dxa"/>
            <w:vAlign w:val="center"/>
          </w:tcPr>
          <w:p w14:paraId="505B95C2"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p w14:paraId="648D1D46" w14:textId="77777777" w:rsidR="00C71433" w:rsidRPr="00A77E70" w:rsidRDefault="00C71433" w:rsidP="009A3199">
            <w:pPr>
              <w:jc w:val="center"/>
              <w:rPr>
                <w:rFonts w:ascii="Palatino Linotype" w:hAnsi="Palatino Linotype" w:cstheme="minorHAnsi"/>
                <w:sz w:val="18"/>
                <w:szCs w:val="18"/>
              </w:rPr>
            </w:pPr>
          </w:p>
        </w:tc>
        <w:tc>
          <w:tcPr>
            <w:tcW w:w="1701" w:type="dxa"/>
            <w:vAlign w:val="center"/>
          </w:tcPr>
          <w:p w14:paraId="14A8F28E" w14:textId="77777777" w:rsidR="00C71433" w:rsidRPr="00A77E70" w:rsidRDefault="00C71433" w:rsidP="009A3199">
            <w:pPr>
              <w:jc w:val="center"/>
              <w:rPr>
                <w:rFonts w:ascii="Palatino Linotype" w:hAnsi="Palatino Linotype" w:cstheme="minorHAnsi"/>
                <w:b/>
                <w:sz w:val="18"/>
                <w:szCs w:val="18"/>
              </w:rPr>
            </w:pPr>
            <w:r w:rsidRPr="00A77E70">
              <w:rPr>
                <w:rFonts w:ascii="Palatino Linotype" w:hAnsi="Palatino Linotype" w:cstheme="minorHAnsi"/>
                <w:sz w:val="18"/>
                <w:szCs w:val="18"/>
              </w:rPr>
              <w:t>Adult male Sprague-Dawley rats</w:t>
            </w:r>
          </w:p>
        </w:tc>
        <w:tc>
          <w:tcPr>
            <w:tcW w:w="1417" w:type="dxa"/>
            <w:vAlign w:val="center"/>
          </w:tcPr>
          <w:p w14:paraId="306DE92F"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p w14:paraId="0397816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Nicotine</w:t>
            </w:r>
          </w:p>
        </w:tc>
        <w:tc>
          <w:tcPr>
            <w:tcW w:w="1985" w:type="dxa"/>
            <w:vAlign w:val="center"/>
          </w:tcPr>
          <w:p w14:paraId="664AF66C"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tc>
        <w:tc>
          <w:tcPr>
            <w:tcW w:w="1843" w:type="dxa"/>
            <w:vAlign w:val="center"/>
          </w:tcPr>
          <w:p w14:paraId="64DC701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4" w:type="dxa"/>
            <w:vAlign w:val="center"/>
          </w:tcPr>
          <w:p w14:paraId="77C4060D"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0" w:type="dxa"/>
            <w:vAlign w:val="center"/>
          </w:tcPr>
          <w:p w14:paraId="6370AF60" w14:textId="2A6FFA1B" w:rsidR="00C71433" w:rsidRPr="00A77E70" w:rsidRDefault="00200398" w:rsidP="00200398">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 xml:space="preserve">ADDIN CSL_CITATION {"citationItems":[{"id":"ITEM-1","itemData":{"DOI":"10.1124/jpet.111.189100","ISSN":"1521-0103","PMID":"22144565","abstract":"Antipsychotics are an important class of drugs for the management of schizophrenia and other psychotic disorders. They act by blocking dopamine receptors; however, because these receptors are present throughout the brain, prolonged antipsychotic use also leads to serious side effects. These include tardive dyskinesia, repetitive abnormal involuntary movements of the face and limbs for which there is little treatment. In this study, we investigated whether nicotine administration could reduce tardive dyskinesia because nicotine attenuates other drug-induced abnormal movements. We used a well established model of tardive dyskinesia in which rats injected with the commonly used antipsychotic haloperidol develop vacuous chewing movements (VCMs) that resemble human orofacial dyskinesias. Rats were first administered nicotine (minipump; 2 mg/kg per day). Two weeks later, they were given haloperidol (1 mg/kg s.c.) once daily. Nicotine treatment reduced haloperidol-induced VCMs by </w:instrText>
            </w:r>
            <w:r w:rsidR="005E78F7">
              <w:rPr>
                <w:rFonts w:ascii="Cambria Math" w:hAnsi="Cambria Math" w:cs="Cambria Math"/>
                <w:sz w:val="18"/>
                <w:szCs w:val="18"/>
              </w:rPr>
              <w:instrText>∼</w:instrText>
            </w:r>
            <w:r w:rsidR="005E78F7">
              <w:rPr>
                <w:rFonts w:ascii="Palatino Linotype" w:hAnsi="Palatino Linotype" w:cstheme="minorHAnsi"/>
                <w:sz w:val="18"/>
                <w:szCs w:val="18"/>
              </w:rPr>
              <w:instrText xml:space="preserve">20% after 5 weeks, with a significant </w:instrText>
            </w:r>
            <w:r w:rsidR="005E78F7">
              <w:rPr>
                <w:rFonts w:ascii="Cambria Math" w:hAnsi="Cambria Math" w:cs="Cambria Math"/>
                <w:sz w:val="18"/>
                <w:szCs w:val="18"/>
              </w:rPr>
              <w:instrText>∼</w:instrText>
            </w:r>
            <w:r w:rsidR="005E78F7">
              <w:rPr>
                <w:rFonts w:ascii="Palatino Linotype" w:hAnsi="Palatino Linotype" w:cstheme="minorHAnsi"/>
                <w:sz w:val="18"/>
                <w:szCs w:val="18"/>
              </w:rPr>
              <w:instrText>60% decline after 13 weeks. There was no worsening of haloperidol-induced catalepsy. To understand the molecular basis for this improvement, we measured the striatal dopamine transporter and nicotinic acetylcholine receptors (nAChRs). Both haloperidol and nicotine treatment decreased the transporter and α6β2* nAChRs (the asterisk indicates the possible presence of other nicotinic subunits in the receptor complex) when given alone, with no further decline with combined drug treatment. By contrast, nicotine alone increased, while haloperidol reduced α4β2* nAChRs in both vehicle and haloperidol-treated rats. These data suggest that molecular mechanisms other than those directly linked to the transporter and nAChRs underlie the nicotine-mediated improvement in haloperidol-induced VCMs in rats. The present results are the first to suggest that nicotine may be useful for improving the tardive dyskinesia associated with antipsychotic use.","author":[{"dropping-particle":"","family":"Bordia","given":"Tanuja","non-dropping-particle":"","parse-names":false,"suffix":""},{"dropping-particle":"","family":"McIntosh","given":"J Michael","non-dropping-particle":"","parse-names":false,"suffix":""},{"dropping-particle":"","family":"Quik","given":"Maryka","non-dropping-particle":"","parse-names":false,"suffix":""}],"container-title":"The Journal of pharmacology and experimental therapeutics","id":"ITEM-1","issue":"3","issued":{"date-parts":[["2012","3"]]},"page":"612-9","publisher":"J Pharmacol Exp Ther","title":"Nicotine reduces antipsychotic-induced orofacial dyskinesia in rats.","type":"article-journal","volume":"340"},"uris":["http://www.mendeley.com/documents/?uuid=101e60d8-395a-3e1a-b76e-6cac23d030b3"]}],"mendeley":{"formattedCitation":"(Bordia et al. 2012)","plainTextFormattedCitation":"(Bordia et al. 2012)","previouslyFormattedCitation":"(Bordia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(Bordia et al. 2012)</w:t>
            </w:r>
            <w:r>
              <w:rPr>
                <w:rFonts w:ascii="Palatino Linotype" w:hAnsi="Palatino Linotype" w:cstheme="minorHAnsi"/>
                <w:sz w:val="18"/>
                <w:szCs w:val="18"/>
              </w:rPr>
              <w:fldChar w:fldCharType="end"/>
            </w:r>
            <w:r>
              <w:rPr>
                <w:rFonts w:ascii="Palatino Linotype" w:hAnsi="Palatino Linotype" w:cstheme="minorHAnsi"/>
                <w:sz w:val="18"/>
                <w:szCs w:val="18"/>
              </w:rPr>
              <w:t xml:space="preserve"> </w:t>
            </w:r>
          </w:p>
        </w:tc>
      </w:tr>
      <w:tr w:rsidR="00C71433" w:rsidRPr="00A77E70" w14:paraId="0A650E80" w14:textId="77777777" w:rsidTr="00A77E70">
        <w:tc>
          <w:tcPr>
            <w:tcW w:w="1560" w:type="dxa"/>
            <w:shd w:val="clear" w:color="auto" w:fill="auto"/>
            <w:vAlign w:val="center"/>
          </w:tcPr>
          <w:p w14:paraId="59391C4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559" w:type="dxa"/>
            <w:shd w:val="clear" w:color="auto" w:fill="auto"/>
            <w:vAlign w:val="center"/>
          </w:tcPr>
          <w:p w14:paraId="7EFDEBE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701" w:type="dxa"/>
            <w:shd w:val="clear" w:color="auto" w:fill="auto"/>
            <w:vAlign w:val="center"/>
          </w:tcPr>
          <w:p w14:paraId="6E5044F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Male mice from 27 inbred strains </w:t>
            </w:r>
          </w:p>
        </w:tc>
        <w:tc>
          <w:tcPr>
            <w:tcW w:w="1417" w:type="dxa"/>
            <w:shd w:val="clear" w:color="auto" w:fill="auto"/>
            <w:vAlign w:val="center"/>
          </w:tcPr>
          <w:p w14:paraId="1873041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tc>
        <w:tc>
          <w:tcPr>
            <w:tcW w:w="1985" w:type="dxa"/>
            <w:shd w:val="clear" w:color="auto" w:fill="auto"/>
            <w:vAlign w:val="center"/>
          </w:tcPr>
          <w:p w14:paraId="0F6F9A2E"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 and other movement phenotypes</w:t>
            </w:r>
          </w:p>
        </w:tc>
        <w:tc>
          <w:tcPr>
            <w:tcW w:w="1843" w:type="dxa"/>
            <w:shd w:val="clear" w:color="auto" w:fill="auto"/>
            <w:vAlign w:val="center"/>
          </w:tcPr>
          <w:p w14:paraId="477A8B4F"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4" w:type="dxa"/>
            <w:shd w:val="clear" w:color="auto" w:fill="auto"/>
            <w:vAlign w:val="center"/>
          </w:tcPr>
          <w:p w14:paraId="433F432B"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0" w:type="dxa"/>
            <w:shd w:val="clear" w:color="auto" w:fill="auto"/>
            <w:vAlign w:val="center"/>
          </w:tcPr>
          <w:p w14:paraId="4E902194" w14:textId="7BF19513" w:rsidR="00252397" w:rsidRPr="00A77E70" w:rsidRDefault="0025239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 xml:space="preserve">ADDIN CSL_CITATION {"citationItems":[{"id":"ITEM-1","itemData":{"DOI":"10.1038/tpj.2010.82","ISSN":"1473-1150","PMID":"21079646","abstract":"Pharmacogenomics is yet to fulfill its promise of manifestly altering clinical medicine. As one example, a predictive test for tardive dyskinesia (TD) (an adverse drug reaction consequent to antipsychotic exposure) could greatly improve the clinical treatment of schizophrenia but human studies are equivocal. A complementary approach is the mouse-then-human design in which a valid mouse model is used to identify susceptibility loci, which are subsequently tested in human samples. We used inbred mouse strains from the Mouse Phenome Project to estimate the heritability of haloperidol-induced activity and orofacial phenotypes. In all, 159 mice from 27 inbred strains were chronically treated with haloperidol (3 mg kg(-1) per day via subdermal slow-release pellets) and monitored for the development of vacuous chewing movements (VCMs; the mouse analog of TD) and other movement phenotypes derived from open-field activity and the inclined screen test. The test battery was assessed at 0, 30, 60, 90 and 120 days in relation to haloperidol exposure. As expected, haloperidol caused marked changes in VCMs, activity in the open field and extrapyramidal symptoms (EPS). Unexpectedly, factor analysis demonstrated that these measures were imprecise assessments of a latent construct rather than discrete constructs. The heritability of a composite phenotype was </w:instrText>
            </w:r>
            <w:r w:rsidR="005E78F7">
              <w:rPr>
                <w:rFonts w:ascii="Cambria Math" w:hAnsi="Cambria Math" w:cs="Cambria Math"/>
                <w:sz w:val="18"/>
                <w:szCs w:val="18"/>
              </w:rPr>
              <w:instrText>∼</w:instrText>
            </w:r>
            <w:r w:rsidR="005E78F7">
              <w:rPr>
                <w:rFonts w:ascii="Palatino Linotype" w:hAnsi="Palatino Linotype" w:cstheme="minorHAnsi"/>
                <w:sz w:val="18"/>
                <w:szCs w:val="18"/>
              </w:rPr>
              <w:instrText>0.9 after incorporation of the longitudinal nature of the design. Murine VCMs are a face valid animal model of antipsychotic-induced TD, and heritability estimates from this study support the feasibility of mapping of susceptibility loci for VCMs.","author":[{"dropping-particle":"","family":"Crowley","given":"J J","non-dropping-particle":"","parse-names":false,"suffix":""},{"dropping-particle":"","family":"Adkins","given":"D E","non-dropping-particle":"","parse-names":false,"suffix":""},{"dropping-particle":"","family":"Pratt","given":"A L","non-dropping-particle":"","parse-names":false,"suffix":""},{"dropping-particle":"","family":"Quackenbush","given":"C R","non-dropping-particle":"","parse-names":false,"suffix":""},{"dropping-particle":"","family":"Oord","given":"E J","non-dropping-particle":"van den","parse-names":false,"suffix":""},{"dropping-particle":"","family":"Moy","given":"S S","non-dropping-particle":"","parse-names":false,"suffix":""},{"dropping-particle":"","family":"Wilhelmsen","given":"K C","non-dropping-particle":"","parse-names":false,"suffix":""},{"dropping-particle":"","family":"Cooper","given":"T B","non-dropping-particle":"","parse-names":false,"suffix":""},{"dropping-particle":"","family":"Bogue","given":"M A","non-dropping-particle":"","parse-names":false,"suffix":""},{"dropping-particle":"","family":"McLeod","given":"H L","non-dropping-particle":"","parse-names":false,"suffix":""},{"dropping-particle":"","family":"Sullivan","given":"P F","non-dropping-particle":"","parse-names":false,"suffix":""}],"container-title":"The pharmacogenomics journal","id":"ITEM-1","issue":"2","issued":{"date-parts":[["2012","4"]]},"page":"147-55","publisher":"Pharmacogenomics J","title":"Antipsychotic-induced vacuous chewing movements and extrapyramidal side effects are highly heritable in mice.","type":"article-journal","volume":"12"},"uris":["http://www.mendeley.com/documents/?uuid=78b9f811-7f06-32bf-b5c2-a158d2ad059b"]}],"mendeley":{"formattedCitation":"(Crowley et al. 2012a)","plainTextFormattedCitation":"(Crowley et al. 2012a)","previouslyFormattedCitation":"(Crowley et al. 2012a)"},"properties":{"noteIndex":0},"schema":"https://github.com/citation-style-language/schema/raw/master/csl-citation.json"}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(Crowley et al. 2012a)</w:t>
            </w:r>
            <w:r>
              <w:rPr>
                <w:rFonts w:ascii="Palatino Linotype" w:hAnsi="Palatino Linotype" w:cstheme="minorHAnsi"/>
                <w:sz w:val="18"/>
                <w:szCs w:val="18"/>
              </w:rPr>
              <w:fldChar w:fldCharType="end"/>
            </w:r>
          </w:p>
        </w:tc>
      </w:tr>
      <w:tr w:rsidR="00C71433" w:rsidRPr="00A77E70" w14:paraId="0DC81401" w14:textId="77777777" w:rsidTr="00A77E70">
        <w:tc>
          <w:tcPr>
            <w:tcW w:w="1560" w:type="dxa"/>
            <w:vAlign w:val="center"/>
          </w:tcPr>
          <w:p w14:paraId="61E9EEE8"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559" w:type="dxa"/>
            <w:vAlign w:val="center"/>
          </w:tcPr>
          <w:p w14:paraId="667F3323"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701" w:type="dxa"/>
            <w:vAlign w:val="center"/>
          </w:tcPr>
          <w:p w14:paraId="38D9C56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Wistar rats</w:t>
            </w:r>
          </w:p>
        </w:tc>
        <w:tc>
          <w:tcPr>
            <w:tcW w:w="1417" w:type="dxa"/>
            <w:vAlign w:val="center"/>
          </w:tcPr>
          <w:p w14:paraId="15767AF3"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Fluphenazine </w:t>
            </w:r>
            <w:proofErr w:type="spellStart"/>
            <w:r w:rsidRPr="00A77E70">
              <w:rPr>
                <w:rFonts w:ascii="Palatino Linotype" w:hAnsi="Palatino Linotype" w:cstheme="minorHAnsi"/>
                <w:sz w:val="18"/>
                <w:szCs w:val="18"/>
              </w:rPr>
              <w:t>enantate</w:t>
            </w:r>
            <w:proofErr w:type="spellEnd"/>
          </w:p>
        </w:tc>
        <w:tc>
          <w:tcPr>
            <w:tcW w:w="1985" w:type="dxa"/>
            <w:vAlign w:val="center"/>
          </w:tcPr>
          <w:p w14:paraId="7D578C26"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p w14:paraId="22A87FC6"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Orofacial dyskinesia</w:t>
            </w:r>
          </w:p>
        </w:tc>
        <w:tc>
          <w:tcPr>
            <w:tcW w:w="1843" w:type="dxa"/>
            <w:vAlign w:val="center"/>
          </w:tcPr>
          <w:p w14:paraId="353A8D0C"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Resveratrol</w:t>
            </w:r>
          </w:p>
        </w:tc>
        <w:tc>
          <w:tcPr>
            <w:tcW w:w="1984" w:type="dxa"/>
            <w:vAlign w:val="center"/>
          </w:tcPr>
          <w:p w14:paraId="2241CF1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Reduced VCM, but did not modify the intensity </w:t>
            </w:r>
          </w:p>
        </w:tc>
        <w:tc>
          <w:tcPr>
            <w:tcW w:w="1980" w:type="dxa"/>
            <w:vAlign w:val="center"/>
          </w:tcPr>
          <w:p w14:paraId="463F846D" w14:textId="72721031"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{"citationItems":[{"id":"ITEM-1","itemData":{"DOI":"10.1016/j.pbb.2012.01.007","ISSN":"1873-5177","PMID":"22266770","abstract":"Treatment with classical neuroleptics in humans can produce a serious side effect, known as tardive dyskinesia (TD). Here, we examined the possible neuroprotective effects of resveratrol, a polyphenol compound contained in red grapes and red wine, in an animal model of orofacial dyskinesia (OD) induced by acute treatment with fluphenazine. Adult male rats were treated during 3 weeks with fluphenazine enantate (25 mg/kg, i.m., single administration) and/or resveratrol (1 mg/kg, s.c., 3 times a week). Vacuous chewing movements (VCMs), locomotor and exploratory performance were evaluated. Fluphenazine treatment produced VCM in 70% of rats and the concomitant treatment with resveratrol decreased the prevalence to 30%, but did not modify the intensity of VCMs. Furthermore, the fluphenazine administration reduced the locomotor and exploratory activity of animals in the open field test. Resveratrol co-treatment was able to protect the reduction of both parameters. Taken together, our data suggest that resveratrol could be considered a potential neuroprotective agent by reducing motor disorders induced by fluphenazine treatment.","author":[{"dropping-particle":"","family":"Busanello","given":"Alcindo","non-dropping-particle":"","parse-names":false,"suffix":""},{"dropping-particle":"","family":"Peroza","given":"Luis R","non-dropping-particle":"","parse-names":false,"suffix":""},{"dropping-particle":"","family":"Wagner","given":"Caroline","non-dropping-particle":"","parse-names":false,"suffix":""},{"dropping-particle":"","family":"Sudati","given":"Jéssie H","non-dropping-particle":"","parse-names":false,"suffix":""},{"dropping-particle":"","family":"Pereira","given":"Romaiana P","non-dropping-particle":"","parse-names":false,"suffix":""},{"dropping-particle":"","family":"Prestes","given":"Alessandro de S","non-dropping-particle":"","parse-names":false,"suffix":""},{"dropping-particle":"","family":"Rocha","given":"João B T","non-dropping-particle":"","parse-names":false,"suffix":""},{"dropping-particle":"","family":"Fachinetto","given":"Roselei","non-dropping-particle":"","parse-names":false,"suffix":""},{"dropping-particle":"V","family":"Barbosa","given":"Nilda B","non-dropping-particle":"","parse-names":false,"suffix":""}],"container-title":"Pharmacology, biochemistry, and behavior","id":"ITEM-1","issue":"2","issued":{"date-parts":[["2012","4"]]},"page":"307-10","publisher":"Pharmacol Biochem Behav","title":"Resveratrol reduces vacuous chewing movements induced by acute treatment with fluphenazine.","type":"article-journal","volume":"101"},"uris":["http://www.mendeley.com/documents/?uuid=cd3c7298-047a-311f-bd9b-6af92103b5dd"]}],"mendeley":{"formattedCitation":"(Busanello et al. 2012)","plainTextFormattedCitation":"(Busanello et al. 2012)","previouslyFormattedCitation":"(Busanello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(Busanello et al. 2012)</w:t>
            </w:r>
            <w:r>
              <w:rPr>
                <w:rFonts w:ascii="Palatino Linotype" w:hAnsi="Palatino Linotype" w:cstheme="minorHAnsi"/>
                <w:sz w:val="18"/>
                <w:szCs w:val="18"/>
              </w:rPr>
              <w:fldChar w:fldCharType="end"/>
            </w:r>
          </w:p>
        </w:tc>
      </w:tr>
      <w:tr w:rsidR="00C71433" w:rsidRPr="00A77E70" w14:paraId="4E931F8C" w14:textId="77777777" w:rsidTr="00A77E70">
        <w:tc>
          <w:tcPr>
            <w:tcW w:w="1560" w:type="dxa"/>
            <w:vAlign w:val="center"/>
          </w:tcPr>
          <w:p w14:paraId="4FB42C0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SOD </w:t>
            </w:r>
          </w:p>
          <w:p w14:paraId="4E08DA56"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CAT</w:t>
            </w:r>
          </w:p>
          <w:p w14:paraId="44ACE30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GSH</w:t>
            </w:r>
          </w:p>
        </w:tc>
        <w:tc>
          <w:tcPr>
            <w:tcW w:w="1559" w:type="dxa"/>
            <w:vAlign w:val="center"/>
          </w:tcPr>
          <w:p w14:paraId="378DFF20"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Align w:val="center"/>
          </w:tcPr>
          <w:p w14:paraId="5D812CF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Wistar rats</w:t>
            </w:r>
          </w:p>
        </w:tc>
        <w:tc>
          <w:tcPr>
            <w:tcW w:w="1417" w:type="dxa"/>
            <w:vAlign w:val="center"/>
          </w:tcPr>
          <w:p w14:paraId="3FA6DE5E"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Reserpine</w:t>
            </w:r>
          </w:p>
        </w:tc>
        <w:tc>
          <w:tcPr>
            <w:tcW w:w="1985" w:type="dxa"/>
            <w:vAlign w:val="center"/>
          </w:tcPr>
          <w:p w14:paraId="7FAD7F6E"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p w14:paraId="3DFEA38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Tongue protrusions</w:t>
            </w:r>
          </w:p>
        </w:tc>
        <w:tc>
          <w:tcPr>
            <w:tcW w:w="1843" w:type="dxa"/>
            <w:vAlign w:val="center"/>
          </w:tcPr>
          <w:p w14:paraId="6CD3988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Roots and rhizomes of </w:t>
            </w:r>
            <w:proofErr w:type="spellStart"/>
            <w:r w:rsidRPr="00A77E70">
              <w:rPr>
                <w:rFonts w:ascii="Palatino Linotype" w:hAnsi="Palatino Linotype" w:cstheme="minorHAnsi"/>
                <w:sz w:val="18"/>
                <w:szCs w:val="18"/>
              </w:rPr>
              <w:t>Nardostachys</w:t>
            </w:r>
            <w:proofErr w:type="spellEnd"/>
            <w:r w:rsidRPr="00A77E70">
              <w:rPr>
                <w:rFonts w:ascii="Palatino Linotype" w:hAnsi="Palatino Linotype" w:cstheme="minorHAnsi"/>
                <w:sz w:val="18"/>
                <w:szCs w:val="18"/>
              </w:rPr>
              <w:t xml:space="preserve"> </w:t>
            </w:r>
            <w:proofErr w:type="spellStart"/>
            <w:r w:rsidRPr="00A77E70">
              <w:rPr>
                <w:rFonts w:ascii="Palatino Linotype" w:hAnsi="Palatino Linotype" w:cstheme="minorHAnsi"/>
                <w:sz w:val="18"/>
                <w:szCs w:val="18"/>
              </w:rPr>
              <w:t>jatamansi</w:t>
            </w:r>
            <w:proofErr w:type="spellEnd"/>
            <w:r w:rsidRPr="00A77E70">
              <w:rPr>
                <w:rFonts w:ascii="Palatino Linotype" w:hAnsi="Palatino Linotype" w:cstheme="minorHAnsi"/>
                <w:sz w:val="18"/>
                <w:szCs w:val="18"/>
              </w:rPr>
              <w:t xml:space="preserve"> and its triterpenes</w:t>
            </w:r>
          </w:p>
        </w:tc>
        <w:tc>
          <w:tcPr>
            <w:tcW w:w="1984" w:type="dxa"/>
            <w:vAlign w:val="center"/>
          </w:tcPr>
          <w:p w14:paraId="0C8E6462"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Elevation in the levels of SOD, CAT, and GSH</w:t>
            </w:r>
          </w:p>
          <w:p w14:paraId="4DADBD12" w14:textId="77777777" w:rsidR="00C71433" w:rsidRPr="00A77E70" w:rsidRDefault="00C71433" w:rsidP="009A3199">
            <w:pPr>
              <w:jc w:val="center"/>
              <w:rPr>
                <w:rStyle w:val="id-label"/>
                <w:rFonts w:ascii="Palatino Linotype" w:hAnsi="Palatino Linotype" w:cstheme="minorHAnsi"/>
                <w:sz w:val="18"/>
                <w:szCs w:val="18"/>
              </w:rPr>
            </w:pPr>
          </w:p>
          <w:p w14:paraId="1D3B4198"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 xml:space="preserve">Inhibition of lipid peroxidation </w:t>
            </w:r>
          </w:p>
        </w:tc>
        <w:tc>
          <w:tcPr>
            <w:tcW w:w="1980" w:type="dxa"/>
            <w:vAlign w:val="center"/>
          </w:tcPr>
          <w:p w14:paraId="6EEE7F36" w14:textId="4B582AF7"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{"citationItems":[{"id":"ITEM-1","itemData":{"DOI":"10.4103/0253-7613.96307","ISSN":"1998-3751","PMID":"22701243","abstract":"CONTEXT Reserpine-induced orofacial dyskinesia is an animal model of tardive dyskinesia which may be associated with neurodegeneration and free radical damage. AIM The aim was to assess the neuroprotective potential and in vivo antioxidant status of alcoholic extract of roots and rhizomes of Nardostachys jatamansi (ANJ) and its triterpenes (TNJ) in reserpine-induced orofacial dyskinesia. MATERIALS AND METHODS In the present study, repeated treatment with reserpine (1.0 mg/kg) on each other day for a period of 5 days (days 1, 3, and 5) significantly induced vacuous chewing movements (VCMs) and tongue protrusions (TPs) in rats. The effect on reserpine-induced catalepsy was also studied. The effect of ANJ and TNJ on levels of superoxide dismutase (SOD), catalase (CAT), and glutathione reductase (GSH) and inhibition of lipid peroxidation (LPO) in the forebrain region was assessed. STATISTICAL ANALYSIS All observations were expressed as mean ± SEM. Statistical analysis was performed by the one-way ANOVA followed by Dunnett's test. P&lt;0.05 was regarded as statistically significant. RESULTS At the end of the treatment schedule, ANJ and TNJ significantly inhibited reserpine-induced VCM, TP, and catalepsy, and significantly increased the locomotion and rearing in the open-field test. Treatment with ANJ and TNJ exhibited significant elevation in the levels of superoxide dismutase (SOD), catalase (CAT), and glutathione reductase (GSH) and inhibition of lipid peroxidation (LPO) in forebrain region compared to the reserpine treated group. CONCLUSIONS The study concludes that ANJ and TNJ significantly protected animals against reserpine-induced orofacial dyskinesia as well as catalepsy suggesting its potential value in the treatment of neuroleptic-induced orofacial dyskinesia and Parkinson's disease.","author":[{"dropping-particle":"","family":"Patil","given":"Rupali A","non-dropping-particle":"","parse-names":false,"suffix":""},{"dropping-particle":"","family":"Hiray","given":"Yogesh A","non-dropping-particle":"","parse-names":false,"suffix":""},{"dropping-particle":"","family":"Kasture","given":"Sanjay B","non-dropping-particle":"","parse-names":false,"suffix":""}],"container-title":"Indian journal of pharmacology","id":"ITEM-1","issue":"3","issued":{"date-parts":[["2012","5"]]},"page":"340-4","publisher":"Indian J Pharmacol","title":"Reversal of reserpine-induced orofacial dyskinesia and catalepsy by Nardostachys jatamansi.","type":"article-journal","volume":"44"},"uris":["http://www.mendeley.com/documents/?uuid=a92541f7-f8a8-3ce2-89f2-b233bdd956fb"]}],"mendeley":{"formattedCitation":"(Patil et al. 2012)","plainTextFormattedCitation":"(Patil et al. 2012)","previouslyFormattedCitation":"(Patil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(Patil et al. 2012)</w:t>
            </w:r>
            <w:r>
              <w:rPr>
                <w:rFonts w:ascii="Palatino Linotype" w:hAnsi="Palatino Linotype" w:cstheme="minorHAnsi"/>
                <w:sz w:val="18"/>
                <w:szCs w:val="18"/>
              </w:rPr>
              <w:fldChar w:fldCharType="end"/>
            </w:r>
          </w:p>
        </w:tc>
      </w:tr>
      <w:tr w:rsidR="00C71433" w:rsidRPr="00A77E70" w14:paraId="6AE16F7A" w14:textId="77777777" w:rsidTr="00A77E70">
        <w:tc>
          <w:tcPr>
            <w:tcW w:w="1560" w:type="dxa"/>
            <w:shd w:val="clear" w:color="auto" w:fill="auto"/>
            <w:vAlign w:val="center"/>
          </w:tcPr>
          <w:p w14:paraId="7D2E0B1B" w14:textId="77777777" w:rsidR="00C71433" w:rsidRPr="00A77E70" w:rsidRDefault="00C71433" w:rsidP="009A3199">
            <w:pPr>
              <w:jc w:val="center"/>
              <w:rPr>
                <w:rFonts w:ascii="Palatino Linotype" w:hAnsi="Palatino Linotype" w:cstheme="minorHAnsi"/>
                <w:b/>
                <w:i/>
                <w:sz w:val="18"/>
                <w:szCs w:val="18"/>
              </w:rPr>
            </w:pPr>
            <w:r w:rsidRPr="00A77E70">
              <w:rPr>
                <w:rFonts w:ascii="Palatino Linotype" w:hAnsi="Palatino Linotype" w:cstheme="minorHAnsi"/>
                <w:b/>
                <w:i/>
                <w:sz w:val="18"/>
                <w:szCs w:val="18"/>
              </w:rPr>
              <w:t>GWAS study</w:t>
            </w:r>
          </w:p>
          <w:p w14:paraId="6A6D156C"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CPEB2</w:t>
            </w:r>
          </w:p>
          <w:p w14:paraId="75DBD1EF"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BST1</w:t>
            </w:r>
          </w:p>
          <w:p w14:paraId="0D11A7C7"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PIT2</w:t>
            </w:r>
          </w:p>
          <w:p w14:paraId="795E2AC5"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 xml:space="preserve">ZIC4 </w:t>
            </w:r>
          </w:p>
          <w:p w14:paraId="2C9BD196"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PLSCR1</w:t>
            </w:r>
          </w:p>
          <w:p w14:paraId="70C43172"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DRD1A</w:t>
            </w:r>
          </w:p>
        </w:tc>
        <w:tc>
          <w:tcPr>
            <w:tcW w:w="1559" w:type="dxa"/>
            <w:shd w:val="clear" w:color="auto" w:fill="auto"/>
            <w:vAlign w:val="center"/>
          </w:tcPr>
          <w:p w14:paraId="31A9C6F8"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701" w:type="dxa"/>
            <w:shd w:val="clear" w:color="auto" w:fill="auto"/>
            <w:vAlign w:val="center"/>
          </w:tcPr>
          <w:p w14:paraId="5942E8F1"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mice from 27 inbred strains</w:t>
            </w:r>
          </w:p>
        </w:tc>
        <w:tc>
          <w:tcPr>
            <w:tcW w:w="1417" w:type="dxa"/>
            <w:shd w:val="clear" w:color="auto" w:fill="auto"/>
            <w:vAlign w:val="center"/>
          </w:tcPr>
          <w:p w14:paraId="76EF3F03"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tc>
        <w:tc>
          <w:tcPr>
            <w:tcW w:w="1985" w:type="dxa"/>
            <w:shd w:val="clear" w:color="auto" w:fill="auto"/>
            <w:vAlign w:val="center"/>
          </w:tcPr>
          <w:p w14:paraId="535151A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 and other movement phenotypes</w:t>
            </w:r>
          </w:p>
        </w:tc>
        <w:tc>
          <w:tcPr>
            <w:tcW w:w="1843" w:type="dxa"/>
            <w:shd w:val="clear" w:color="auto" w:fill="auto"/>
            <w:vAlign w:val="center"/>
          </w:tcPr>
          <w:p w14:paraId="71B6150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4" w:type="dxa"/>
            <w:shd w:val="clear" w:color="auto" w:fill="auto"/>
            <w:vAlign w:val="center"/>
          </w:tcPr>
          <w:p w14:paraId="7150E768"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w:t>
            </w:r>
          </w:p>
        </w:tc>
        <w:tc>
          <w:tcPr>
            <w:tcW w:w="1980" w:type="dxa"/>
            <w:shd w:val="clear" w:color="auto" w:fill="auto"/>
            <w:vAlign w:val="center"/>
          </w:tcPr>
          <w:p w14:paraId="3EAC1654" w14:textId="66D3A4C1"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{"citationItems":[{"id":"ITEM-1","itemData":{"DOI":"10.1007/s00335-011-9385-8","ISSN":"1432-1777","PMID":"22207321","abstract":"Tardive dyskinesia (TD) is a debilitating, unpredictable, and often irreversible side effect resulting from chronic treatment with typical antipsychotic agents such as haloperidol. TD is characterized by repetitive, involuntary, purposeless movements primarily of the orofacial region. In order to investigate genetic susceptibility to TD, we used a validated mouse model for a systems genetics analysis geared toward detecting genetic predictors of TD in human patients. Phenotypic data from 27 inbred strains chronically treated with haloperidol and phenotyped for vacuous chewing movements were subject to a comprehensive genomic analysis involving 426,493 SNPs, 4,047 CNVs, brain gene expression, along with gene network and bioinformatic analysis. Our results identified ~50 genes that we expect to have high prior probabilities for association with haloperidol-induced TD, most of which have never been tested for association with human TD. Among our top candidates were genes regulating the development of brain motor control regions (Zic4 and Nkx6-1), glutamate receptors (Grin1 and Grin2a), and an indirect target of haloperidol (Drd1a) that has not been studied as well as the direct target, Drd2.","author":[{"dropping-particle":"","family":"Crowley","given":"James J","non-dropping-particle":"","parse-names":false,"suffix":""},{"dropping-particle":"","family":"Kim","given":"Yunjung","non-dropping-particle":"","parse-names":false,"suffix":""},{"dropping-particle":"","family":"Szatkiewicz","given":"Jin Peng","non-dropping-particle":"","parse-names":false,"suffix":""},{"dropping-particle":"","family":"Pratt","given":"Amanda L","non-dropping-particle":"","parse-names":false,"suffix":""},{"dropping-particle":"","family":"Quackenbush","given":"Corey R","non-dropping-particle":"","parse-names":false,"suffix":""},{"dropping-particle":"","family":"Adkins","given":"Daniel E","non-dropping-particle":"","parse-names":false,"suffix":""},{"dropping-particle":"","family":"Oord","given":"Edwin","non-dropping-particle":"van den","parse-names":false,"suffix":""},{"dropping-particle":"","family":"Bogue","given":"Molly A","non-dropping-particle":"","parse-names":false,"suffix":""},{"dropping-particle":"","family":"Yang","given":"Hyuna","non-dropping-particle":"","parse-names":false,"suffix":""},{"dropping-particle":"","family":"Wang","given":"Wei","non-dropping-particle":"","parse-names":false,"suffix":""},{"dropping-particle":"","family":"Threadgill","given":"David W","non-dropping-particle":"","parse-names":false,"suffix":""},{"dropping-particle":"","family":"Villena","given":"Fernando Pardo-Manuel","non-dropping-particle":"de","parse-names":false,"suffix":""},{"dropping-particle":"","family":"McLeod","given":"Howard L","non-dropping-particle":"","parse-names":false,"suffix":""},{"dropping-particle":"","family":"Sullivan","given":"Patrick F","non-dropping-particle":"","parse-names":false,"suffix":""}],"container-title":"Mammalian genome : official journal of the International Mammalian Genome Society","id":"ITEM-1","issue":"5-6","issued":{"date-parts":[["2012","6"]]},"page":"322-35","publisher":"Mamm Genome","title":"Genome-wide association mapping of loci for antipsychotic-induced extrapyramidal symptoms in mice.","type":"article-journal","volume":"23"},"uris":["http://www.mendeley.com/documents/?uuid=78599320-9c19-3496-b6bd-fc9576f44733"]}],"mendeley":{"formattedCitation":"(Crowley et al. 2012b)","plainTextFormattedCitation":"(Crowley et al. 2012b)","previouslyFormattedCitation":"(Crowley et al. 2012b)"},"properties":{"noteIndex":0},"schema":"https://github.com/citation-style-language/schema/raw/master/csl-citation.json"}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(Crowley et al. 2012b)</w:t>
            </w:r>
            <w:r>
              <w:rPr>
                <w:rFonts w:ascii="Palatino Linotype" w:hAnsi="Palatino Linotype" w:cstheme="minorHAnsi"/>
                <w:sz w:val="18"/>
                <w:szCs w:val="18"/>
              </w:rPr>
              <w:fldChar w:fldCharType="end"/>
            </w:r>
          </w:p>
        </w:tc>
      </w:tr>
      <w:tr w:rsidR="00C71433" w:rsidRPr="00A77E70" w14:paraId="6FA8FC67" w14:textId="77777777" w:rsidTr="00A77E70">
        <w:tc>
          <w:tcPr>
            <w:tcW w:w="1560" w:type="dxa"/>
            <w:shd w:val="clear" w:color="auto" w:fill="auto"/>
            <w:vAlign w:val="center"/>
          </w:tcPr>
          <w:p w14:paraId="657E88CA"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559" w:type="dxa"/>
            <w:shd w:val="clear" w:color="auto" w:fill="auto"/>
            <w:vAlign w:val="center"/>
          </w:tcPr>
          <w:p w14:paraId="425295C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701" w:type="dxa"/>
            <w:shd w:val="clear" w:color="auto" w:fill="auto"/>
            <w:vAlign w:val="center"/>
          </w:tcPr>
          <w:p w14:paraId="75480E4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Sprague–Dawley rats</w:t>
            </w:r>
          </w:p>
        </w:tc>
        <w:tc>
          <w:tcPr>
            <w:tcW w:w="1417" w:type="dxa"/>
            <w:shd w:val="clear" w:color="auto" w:fill="auto"/>
            <w:vAlign w:val="center"/>
          </w:tcPr>
          <w:p w14:paraId="68590C6A"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Haloperidol </w:t>
            </w:r>
          </w:p>
        </w:tc>
        <w:tc>
          <w:tcPr>
            <w:tcW w:w="1985" w:type="dxa"/>
            <w:shd w:val="clear" w:color="auto" w:fill="auto"/>
            <w:vAlign w:val="center"/>
          </w:tcPr>
          <w:p w14:paraId="3B3E2F2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tc>
        <w:tc>
          <w:tcPr>
            <w:tcW w:w="1843" w:type="dxa"/>
            <w:shd w:val="clear" w:color="auto" w:fill="auto"/>
            <w:vAlign w:val="center"/>
          </w:tcPr>
          <w:p w14:paraId="5BA2B8B0"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Deep brain stimulation</w:t>
            </w:r>
          </w:p>
          <w:p w14:paraId="0C941E85" w14:textId="77777777" w:rsidR="00C71433" w:rsidRPr="00A77E70" w:rsidRDefault="00C71433" w:rsidP="009A3199">
            <w:pPr>
              <w:jc w:val="center"/>
              <w:rPr>
                <w:rFonts w:ascii="Palatino Linotype" w:hAnsi="Palatino Linotype" w:cstheme="minorHAnsi"/>
                <w:sz w:val="18"/>
                <w:szCs w:val="18"/>
              </w:rPr>
            </w:pPr>
          </w:p>
          <w:p w14:paraId="29637AFB" w14:textId="77777777" w:rsidR="00C71433" w:rsidRPr="00A77E70" w:rsidRDefault="00C71433" w:rsidP="009A3199">
            <w:pPr>
              <w:jc w:val="center"/>
              <w:rPr>
                <w:rFonts w:ascii="Palatino Linotype" w:hAnsi="Palatino Linotype" w:cstheme="minorHAnsi"/>
                <w:sz w:val="18"/>
                <w:szCs w:val="18"/>
              </w:rPr>
            </w:pPr>
            <w:proofErr w:type="spellStart"/>
            <w:r w:rsidRPr="00A77E70">
              <w:rPr>
                <w:rFonts w:ascii="Palatino Linotype" w:hAnsi="Palatino Linotype" w:cstheme="minorHAnsi"/>
                <w:sz w:val="18"/>
                <w:szCs w:val="18"/>
              </w:rPr>
              <w:lastRenderedPageBreak/>
              <w:t>Muscimol</w:t>
            </w:r>
            <w:proofErr w:type="spellEnd"/>
          </w:p>
        </w:tc>
        <w:tc>
          <w:tcPr>
            <w:tcW w:w="1984" w:type="dxa"/>
            <w:shd w:val="clear" w:color="auto" w:fill="auto"/>
            <w:vAlign w:val="center"/>
          </w:tcPr>
          <w:p w14:paraId="6871BE88"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lastRenderedPageBreak/>
              <w:t>Decrease haloperidol induced VCMs</w:t>
            </w:r>
          </w:p>
        </w:tc>
        <w:tc>
          <w:tcPr>
            <w:tcW w:w="1980" w:type="dxa"/>
            <w:shd w:val="clear" w:color="auto" w:fill="auto"/>
            <w:vAlign w:val="center"/>
          </w:tcPr>
          <w:p w14:paraId="238CE7E5" w14:textId="7F61BE07" w:rsidR="00252397" w:rsidRPr="00A77E70" w:rsidRDefault="0025239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{"citationItems":[{"id":"ITEM-1","itemData":{"DOI":"10.1016/j.euroneuro.2011.11.004","ISSN":"1873-7862","PMID":"22153973","abstract":"Deep brain stimulation (DBS) has been extensively used in Parkinson's disease and is also currently being investigated in tardive dyskinesia (TD), a movement disorder induced by chronic treatment with antipsychotic drugs such as haloperidol (HAL). In rodents, vacuous chewing movements (VCMs) following chronic HAL administration are suggested to model orofacial dyskinesias in TD. We show that 60 min of DBS (100 μA, 90 μs, 130 Hz) applied to the entopeduncular (EPN) or subthalamic (STN) nuclei significantly decreases HAL-induced VCMs. Using zif268 as a neural activity marker, we found that in HAL-treated animals EPN stimulation increased zif268 mRNA levels in the globus pallidus (+65%) and substantia nigra compacta (+62%) and reticulata (+76%), while decreasing levels in the motor cortex and throughout the thalamus. In contrast, after STN DBS zif268 levels in HAL-treated animals decreased in all basal ganglia structures, thalamus and motor cortex (range: 29% in the ventrolateral caudate-putamen to 100% in the EPN). Local tissue inactivation by muscimol injections into the STN or EPN also reduced VCMs, but to a lesser degree than DBS. When applied to the EPN muscimol decreased zif268 levels in substantia nigra (-29%), whereas STN infusions did not result in significant zif268 changes in any brain area. These results confirm the effectiveness of DBS in reducing VCMs and suggest that tissue inactivation does not fully account for DBS effects in this preparation. The divergent effects of STN vs. EPN manipulations on HAL-induced zif268 changes suggest that similar behavioral outcomes of DBS in these two areas may involve different neuroanatomical mechanisms.","author":[{"dropping-particle":"","family":"Creed","given":"Meaghan C","non-dropping-particle":"","parse-names":false,"suffix":""},{"dropping-particle":"","family":"Hamani","given":"Clement","non-dropping-particle":"","parse-names":false,"suffix":""},{"dropping-particle":"","family":"Nobrega","given":"José N","non-dropping-particle":"","parse-names":false,"suffix":""}],"container-title":"European neuropsychopharmacology : the journal of the European College of Neuropsychopharmacology","id":"ITEM-1","issue":"7","issued":{"date-parts":[["2012","7"]]},"page":"506-17","publisher":"Eur Neuropsychopharmacol","title":"Early gene mapping after deep brain stimulation in a rat model of tardive dyskinesia: comparison with transient local inactivation.","type":"article-journal","volume":"22"},"uris":["http://www.mendeley.com/documents/?uuid=01440013-7bdb-3ffd-840c-a157e885a7c2"]}],"mendeley":{"formattedCitation":"(Creed et al. 2012)","plainTextFormattedCitation":"(Creed et al. 2012)","previouslyFormattedCitation":"(Creed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(Creed et al. 2012)</w:t>
            </w:r>
            <w:r>
              <w:rPr>
                <w:rFonts w:ascii="Palatino Linotype" w:hAnsi="Palatino Linotype" w:cstheme="minorHAnsi"/>
                <w:sz w:val="18"/>
                <w:szCs w:val="18"/>
              </w:rPr>
              <w:fldChar w:fldCharType="end"/>
            </w:r>
          </w:p>
        </w:tc>
      </w:tr>
      <w:tr w:rsidR="00C71433" w:rsidRPr="00A77E70" w14:paraId="5F85DCF3" w14:textId="77777777" w:rsidTr="00A77E70">
        <w:tc>
          <w:tcPr>
            <w:tcW w:w="1560" w:type="dxa"/>
            <w:vAlign w:val="center"/>
          </w:tcPr>
          <w:p w14:paraId="40E7EECF" w14:textId="77777777" w:rsidR="00C71433" w:rsidRPr="00A77E70" w:rsidRDefault="00C71433" w:rsidP="009A3199">
            <w:pPr>
              <w:jc w:val="center"/>
              <w:rPr>
                <w:rFonts w:ascii="Palatino Linotype" w:hAnsi="Palatino Linotype" w:cstheme="minorHAnsi"/>
                <w:i/>
                <w:sz w:val="18"/>
                <w:szCs w:val="18"/>
              </w:rPr>
            </w:pPr>
            <w:r w:rsidRPr="00A77E70">
              <w:rPr>
                <w:rFonts w:ascii="Palatino Linotype" w:hAnsi="Palatino Linotype" w:cstheme="minorHAnsi"/>
                <w:i/>
                <w:sz w:val="18"/>
                <w:szCs w:val="18"/>
              </w:rPr>
              <w:t>SLC1A2</w:t>
            </w:r>
          </w:p>
        </w:tc>
        <w:tc>
          <w:tcPr>
            <w:tcW w:w="1559" w:type="dxa"/>
            <w:vAlign w:val="center"/>
          </w:tcPr>
          <w:p w14:paraId="1CC14A8D"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Align w:val="center"/>
          </w:tcPr>
          <w:p w14:paraId="3E55C46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Wistar rats</w:t>
            </w:r>
          </w:p>
        </w:tc>
        <w:tc>
          <w:tcPr>
            <w:tcW w:w="1417" w:type="dxa"/>
            <w:vAlign w:val="center"/>
          </w:tcPr>
          <w:p w14:paraId="7B5CCB0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 decanoate</w:t>
            </w:r>
          </w:p>
        </w:tc>
        <w:tc>
          <w:tcPr>
            <w:tcW w:w="1985" w:type="dxa"/>
            <w:vAlign w:val="center"/>
          </w:tcPr>
          <w:p w14:paraId="31E5D86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w:t>
            </w:r>
          </w:p>
        </w:tc>
        <w:tc>
          <w:tcPr>
            <w:tcW w:w="1843" w:type="dxa"/>
            <w:vAlign w:val="center"/>
          </w:tcPr>
          <w:p w14:paraId="59ABFA34"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Yokukansan</w:t>
            </w:r>
          </w:p>
        </w:tc>
        <w:tc>
          <w:tcPr>
            <w:tcW w:w="1984" w:type="dxa"/>
            <w:vAlign w:val="center"/>
          </w:tcPr>
          <w:p w14:paraId="35AA705D"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VCM were ameliorated</w:t>
            </w:r>
          </w:p>
          <w:p w14:paraId="66A56099" w14:textId="77777777" w:rsidR="00C71433" w:rsidRPr="00A77E70" w:rsidRDefault="00C71433" w:rsidP="009A3199">
            <w:pPr>
              <w:jc w:val="center"/>
              <w:rPr>
                <w:rStyle w:val="id-label"/>
                <w:rFonts w:ascii="Palatino Linotype" w:hAnsi="Palatino Linotype" w:cstheme="minorHAnsi"/>
                <w:sz w:val="18"/>
                <w:szCs w:val="18"/>
              </w:rPr>
            </w:pPr>
          </w:p>
          <w:p w14:paraId="7177ABFD"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SLC1A2 expression was increased</w:t>
            </w:r>
          </w:p>
        </w:tc>
        <w:tc>
          <w:tcPr>
            <w:tcW w:w="1980" w:type="dxa"/>
            <w:vAlign w:val="center"/>
          </w:tcPr>
          <w:p w14:paraId="0FBCF814" w14:textId="0317CEA7"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{"citationItems":[{"id":"ITEM-1","itemData":{"DOI":"10.1016/j.brainresbull.2012.08.008","ISSN":"1873-2747","PMID":"22982367","abstract":"Effects of yokukansan (YKS) on vacuous chewing movement (VCM), which is an index for tardive dyskinesia, were investigated in haloperidol decanoate-treated rats. Haloperidol decanoate was injected to a thigh muscle once every four weeks for 18 weeks. The rats which exhibited VCM eight times or more in 3min were selected on the 12th week, and examined. A significant increase in VCM on the 12th week continued until the 18th week. Oral administration of YKS (0.1 and 0.5g/kg) once a day for three weeks (21 days) from the 12th week to 15th week ameliorated the haloperidol decanoate-induced increase in VCM in a dose-dependent manner. The significant ameliorative effect observed in 0.5g/kg YKS-treated rats was abolished by stopping administration for three weeks from the 15th week to the 18th week. The extracellular glutamate concentration and glutamate transporter mRNA expression in the striatum were evaluated by microdialysis and real-time reverse-transcription polymerase chain reaction assays at the 15th week. The striatal glutamate level increased in haloperidol-treated rats, and the increase was inhibited by treatment with YKS. The striatal GLT-1 mRNA level showed a tendency to decrease in the haloperidol-treated rats. The GLT-1 mRNA level after treatment with YKS (0.5g/kg) was greater than the control level. These results suggest the effect of YKS may be involved in the extracellular glutamate level and GLT-1 mRNA expression in the striatum.","author":[{"dropping-particle":"","family":"Sekiguchi","given":"Kyoji","non-dropping-particle":"","parse-names":false,"suffix":""},{"dropping-particle":"","family":"Kanno","given":"Hitomi","non-dropping-particle":"","parse-names":false,"suffix":""},{"dropping-particle":"","family":"Yamaguchi","given":"Takuji","non-dropping-particle":"","parse-names":false,"suffix":""},{"dropping-particle":"","family":"Ikarashi","given":"Yasushi","non-dropping-particle":"","parse-names":false,"suffix":""},{"dropping-particle":"","family":"Kase","given":"Yoshio","non-dropping-particle":"","parse-names":false,"suffix":""}],"container-title":"Brain research bulletin","id":"ITEM-1","issue":"5-6","issued":{"date-parts":[["2012","12","1"]]},"page":"151-8","publisher":"Brain Res Bull","title":"Ameliorative effect of yokukansan on vacuous chewing movement in haloperidol-induced rat tardive dyskinesia model and involvement of glutamatergic system.","type":"article-journal","volume":"89"},"uris":["http://www.mendeley.com/documents/?uuid=7434669d-a770-3ec7-b971-629d6f336a57"]}],"mendeley":{"formattedCitation":"(Sekiguchi et al. 2012)","plainTextFormattedCitation":"(Sekiguchi et al. 2012)","previouslyFormattedCitation":"(Sekiguchi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(Sekiguchi et al. 2012)</w:t>
            </w:r>
            <w:r>
              <w:rPr>
                <w:rFonts w:ascii="Palatino Linotype" w:hAnsi="Palatino Linotype" w:cstheme="minorHAnsi"/>
                <w:sz w:val="18"/>
                <w:szCs w:val="18"/>
              </w:rPr>
              <w:fldChar w:fldCharType="end"/>
            </w:r>
          </w:p>
        </w:tc>
      </w:tr>
      <w:tr w:rsidR="00C71433" w:rsidRPr="00A77E70" w14:paraId="241F0814" w14:textId="77777777" w:rsidTr="00A77E70">
        <w:tc>
          <w:tcPr>
            <w:tcW w:w="1560" w:type="dxa"/>
            <w:vAlign w:val="center"/>
          </w:tcPr>
          <w:p w14:paraId="2D7A2D45" w14:textId="77777777" w:rsidR="00C71433" w:rsidRPr="00A77E70" w:rsidRDefault="00C71433" w:rsidP="009A3199">
            <w:pPr>
              <w:jc w:val="center"/>
              <w:rPr>
                <w:rFonts w:ascii="Palatino Linotype" w:hAnsi="Palatino Linotype" w:cstheme="minorHAnsi"/>
                <w:sz w:val="18"/>
                <w:szCs w:val="18"/>
              </w:rPr>
            </w:pPr>
            <w:proofErr w:type="spellStart"/>
            <w:r w:rsidRPr="00A77E70">
              <w:rPr>
                <w:rFonts w:ascii="Palatino Linotype" w:hAnsi="Palatino Linotype" w:cstheme="minorHAnsi"/>
                <w:sz w:val="18"/>
                <w:szCs w:val="18"/>
              </w:rPr>
              <w:t>AChE</w:t>
            </w:r>
            <w:proofErr w:type="spellEnd"/>
            <w:r w:rsidRPr="00A77E70">
              <w:rPr>
                <w:rFonts w:ascii="Palatino Linotype" w:hAnsi="Palatino Linotype" w:cstheme="minorHAnsi"/>
                <w:sz w:val="18"/>
                <w:szCs w:val="18"/>
              </w:rPr>
              <w:t xml:space="preserve"> activity </w:t>
            </w:r>
          </w:p>
        </w:tc>
        <w:tc>
          <w:tcPr>
            <w:tcW w:w="1559" w:type="dxa"/>
            <w:vAlign w:val="center"/>
          </w:tcPr>
          <w:p w14:paraId="4327857C" w14:textId="77777777" w:rsidR="00C71433" w:rsidRPr="00A77E70" w:rsidRDefault="00C71433" w:rsidP="009A3199">
            <w:pPr>
              <w:jc w:val="center"/>
              <w:rPr>
                <w:rFonts w:ascii="Palatino Linotype" w:hAnsi="Palatino Linotype" w:cstheme="minorHAnsi"/>
                <w:b/>
                <w:sz w:val="18"/>
                <w:szCs w:val="18"/>
              </w:rPr>
            </w:pPr>
            <w:r w:rsidRPr="00A77E70">
              <w:rPr>
                <w:sz w:val="18"/>
                <w:szCs w:val="18"/>
              </w:rPr>
              <w:t>↓</w:t>
            </w:r>
          </w:p>
        </w:tc>
        <w:tc>
          <w:tcPr>
            <w:tcW w:w="1701" w:type="dxa"/>
            <w:vAlign w:val="center"/>
          </w:tcPr>
          <w:p w14:paraId="5E38C29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Wistar rats</w:t>
            </w:r>
          </w:p>
        </w:tc>
        <w:tc>
          <w:tcPr>
            <w:tcW w:w="1417" w:type="dxa"/>
            <w:vAlign w:val="center"/>
          </w:tcPr>
          <w:p w14:paraId="428DB47B"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tc>
        <w:tc>
          <w:tcPr>
            <w:tcW w:w="1985" w:type="dxa"/>
            <w:vAlign w:val="center"/>
          </w:tcPr>
          <w:p w14:paraId="5151B12B"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Orofacial dyskinesia</w:t>
            </w:r>
          </w:p>
        </w:tc>
        <w:tc>
          <w:tcPr>
            <w:tcW w:w="1843" w:type="dxa"/>
            <w:vAlign w:val="center"/>
          </w:tcPr>
          <w:p w14:paraId="46069A5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Vitamin B cocktail</w:t>
            </w:r>
          </w:p>
        </w:tc>
        <w:tc>
          <w:tcPr>
            <w:tcW w:w="1984" w:type="dxa"/>
            <w:vAlign w:val="center"/>
          </w:tcPr>
          <w:p w14:paraId="065B954F"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Prevented orofacial dyskinesia development</w:t>
            </w:r>
          </w:p>
          <w:p w14:paraId="027BB6CB" w14:textId="77777777" w:rsidR="00C71433" w:rsidRPr="00A77E70" w:rsidRDefault="00C71433" w:rsidP="009A3199">
            <w:pPr>
              <w:jc w:val="center"/>
              <w:rPr>
                <w:rStyle w:val="id-label"/>
                <w:rFonts w:ascii="Palatino Linotype" w:hAnsi="Palatino Linotype" w:cstheme="minorHAnsi"/>
                <w:sz w:val="18"/>
                <w:szCs w:val="18"/>
              </w:rPr>
            </w:pPr>
          </w:p>
          <w:p w14:paraId="5F203AF9"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 xml:space="preserve">Increased </w:t>
            </w:r>
            <w:proofErr w:type="spellStart"/>
            <w:r w:rsidRPr="00A77E70">
              <w:rPr>
                <w:rStyle w:val="id-label"/>
                <w:rFonts w:ascii="Palatino Linotype" w:hAnsi="Palatino Linotype" w:cstheme="minorHAnsi"/>
                <w:sz w:val="18"/>
                <w:szCs w:val="18"/>
              </w:rPr>
              <w:t>AChE</w:t>
            </w:r>
            <w:proofErr w:type="spellEnd"/>
            <w:r w:rsidRPr="00A77E70">
              <w:rPr>
                <w:rStyle w:val="id-label"/>
                <w:rFonts w:ascii="Palatino Linotype" w:hAnsi="Palatino Linotype" w:cstheme="minorHAnsi"/>
                <w:sz w:val="18"/>
                <w:szCs w:val="18"/>
              </w:rPr>
              <w:t xml:space="preserve"> activity</w:t>
            </w:r>
          </w:p>
        </w:tc>
        <w:tc>
          <w:tcPr>
            <w:tcW w:w="1980" w:type="dxa"/>
            <w:vAlign w:val="center"/>
          </w:tcPr>
          <w:p w14:paraId="319E61E9" w14:textId="68D58ACF"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{"citationItems":[{"id":"ITEM-1","itemData":{"DOI":"10.1007/s11011-012-9345-3","ISSN":"1573-7365","PMID":"23095989","abstract":"Tardive dyskinesia (TD) is an iatrogenic syndrome being a significant adverse outcome of typical and atypical antipsychotic therapy. Recently we demonstrated that vitamins B (B1, B6, B12 alone or in combination) were able to prevent haloperidol-induced orofacial dyskinesia (OD) possibly by their antioxidant activity in the striatum, using a well-established model of TD. Here, based on the fact that alterations in cholinergic neurotransmission are related to TD pathophysiology and that vitamins B seems to influence brain cholinergic neurotransmission, we decided to investigate the effects of vitamins B1, B6, B12 and their association, vitamin B cocktail in haloperidol-induced cholinergic alterations, evaluated by alterations in acetylcholinesterase (AChE) activity, in striatum, prefrontal cortex and hippocampus, as a way to determine the participation of cholinergic neurotransmission, in these vitamins antidyskinetic mechanism. Haloperidol 1 mg/kg i.p. daily administration during 21 days to Wistar rats caused OD while decreased AChE activity in all brain areas studied. Vitamins B administration (B1:B6:B12 at 60:60:0.6 mg/kg, s.c) alone and vitamin B cocktail co-administered with haloperidol prevented OD development and increased AChE activity in all brain areas studied, with the maximum activity increment observed in the hippocampus of the animals co-treated with vitamin B12 and vitamin B cocktail. The antidyskinetic drug, clozapine did not induce OD and increased AChE activity similarly to the groups coadministered with vitamin B and HAL. The present data suggest that vitamins B can prevent haloperidol-induced alterations in AChE activity what can be related to the mechanism underlying their antidyskinetic effect.","author":[{"dropping-particle":"","family":"Oliveira","given":"Gersilene Valente","non-dropping-particle":"de","parse-names":false,"suffix":""},{"dropping-particle":"","family":"Gomes","given":"Patrícia Xavier Lima","non-dropping-particle":"","parse-names":false,"suffix":""},{"dropping-particle":"","family":"Araújo","given":"Fernanda Yvelize Ramos","non-dropping-particle":"de","parse-names":false,"suffix":""},{"dropping-particle":"","family":"Vasconcelos","given":"Silvânia Maria Mendes","non-dropping-particle":"","parse-names":false,"suffix":""},{"dropping-particle":"","family":"Júnior","given":"Hélio Vitoriano Nobre","non-dropping-particle":"","parse-names":false,"suffix":""},{"dropping-particle":"","family":"Sousa","given":"Francisca Cléa Florenço","non-dropping-particle":"de","parse-names":false,"suffix":""},{"dropping-particle":"","family":"Lucena","given":"David F","non-dropping-particle":"de","parse-names":false,"suffix":""},{"dropping-particle":"","family":"Hyphantis","given":"Thomas N","non-dropping-particle":"","parse-names":false,"suffix":""},{"dropping-particle":"","family":"Carvalho","given":"André Férrer","non-dropping-particle":"","parse-names":false,"suffix":""},{"dropping-particle":"","family":"Macêdo","given":"Danielle Silveira","non-dropping-particle":"","parse-names":false,"suffix":""}],"container-title":"Metabolic brain disease","id":"ITEM-1","issue":"1","issued":{"date-parts":[["2013","3"]]},"page":"53-9","publisher":"Metab Brain Dis","title":"Prevention of haloperidol-induced alterations in brain acetylcholinesterase activity by vitamins B co-administration in a rodent model of tardive dyskinesia.","type":"article-journal","volume":"28"},"uris":["http://www.mendeley.com/documents/?uuid=9e95f9e6-799c-3c82-a780-1db6915c2ad2"]}],"mendeley":{"formattedCitation":"(de Oliveira et al. 2013)","plainTextFormattedCitation":"(de Oliveira et al. 2013)","previouslyFormattedCitation":"(de Oliveira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(de Oliveira et al. 2013)</w:t>
            </w:r>
            <w:r>
              <w:rPr>
                <w:rFonts w:ascii="Palatino Linotype" w:hAnsi="Palatino Linotype" w:cstheme="minorHAnsi"/>
                <w:sz w:val="18"/>
                <w:szCs w:val="18"/>
              </w:rPr>
              <w:fldChar w:fldCharType="end"/>
            </w:r>
          </w:p>
        </w:tc>
      </w:tr>
      <w:tr w:rsidR="00C71433" w:rsidRPr="00A77E70" w14:paraId="3B784C9F" w14:textId="77777777" w:rsidTr="00A77E70">
        <w:tc>
          <w:tcPr>
            <w:tcW w:w="1560" w:type="dxa"/>
            <w:vAlign w:val="center"/>
          </w:tcPr>
          <w:p w14:paraId="5585B856"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i/>
                <w:sz w:val="18"/>
                <w:szCs w:val="18"/>
              </w:rPr>
              <w:t>NUR77</w:t>
            </w:r>
          </w:p>
        </w:tc>
        <w:tc>
          <w:tcPr>
            <w:tcW w:w="1559" w:type="dxa"/>
            <w:vAlign w:val="center"/>
          </w:tcPr>
          <w:p w14:paraId="05FDA99E"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p w14:paraId="6F60B4DD"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(in non-dyskinetic animals treated with haloperidol)</w:t>
            </w:r>
          </w:p>
        </w:tc>
        <w:tc>
          <w:tcPr>
            <w:tcW w:w="1701" w:type="dxa"/>
            <w:vAlign w:val="center"/>
          </w:tcPr>
          <w:p w14:paraId="6C07716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Adult capuchin (Cebus </w:t>
            </w:r>
            <w:proofErr w:type="spellStart"/>
            <w:r w:rsidRPr="00A77E70">
              <w:rPr>
                <w:rFonts w:ascii="Palatino Linotype" w:hAnsi="Palatino Linotype" w:cstheme="minorHAnsi"/>
                <w:sz w:val="18"/>
                <w:szCs w:val="18"/>
              </w:rPr>
              <w:t>apella</w:t>
            </w:r>
            <w:proofErr w:type="spellEnd"/>
            <w:r w:rsidRPr="00A77E70">
              <w:rPr>
                <w:rFonts w:ascii="Palatino Linotype" w:hAnsi="Palatino Linotype" w:cstheme="minorHAnsi"/>
                <w:sz w:val="18"/>
                <w:szCs w:val="18"/>
              </w:rPr>
              <w:t xml:space="preserve">) monkeys </w:t>
            </w:r>
          </w:p>
        </w:tc>
        <w:tc>
          <w:tcPr>
            <w:tcW w:w="1417" w:type="dxa"/>
            <w:vAlign w:val="center"/>
          </w:tcPr>
          <w:p w14:paraId="749664A4"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Haloperidol </w:t>
            </w:r>
          </w:p>
        </w:tc>
        <w:tc>
          <w:tcPr>
            <w:tcW w:w="1985" w:type="dxa"/>
            <w:vAlign w:val="center"/>
          </w:tcPr>
          <w:p w14:paraId="489FDAE4"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Tardive dyskinesia movements</w:t>
            </w:r>
          </w:p>
        </w:tc>
        <w:tc>
          <w:tcPr>
            <w:tcW w:w="1843" w:type="dxa"/>
            <w:vAlign w:val="center"/>
          </w:tcPr>
          <w:p w14:paraId="379D4BA6"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w:t>
            </w:r>
          </w:p>
        </w:tc>
        <w:tc>
          <w:tcPr>
            <w:tcW w:w="1984" w:type="dxa"/>
            <w:vAlign w:val="center"/>
          </w:tcPr>
          <w:p w14:paraId="286BEB95"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w:t>
            </w:r>
          </w:p>
        </w:tc>
        <w:tc>
          <w:tcPr>
            <w:tcW w:w="1980" w:type="dxa"/>
            <w:vAlign w:val="center"/>
          </w:tcPr>
          <w:p w14:paraId="6D5D9DB6" w14:textId="53FA6700" w:rsidR="00082577" w:rsidRPr="00A77E70" w:rsidRDefault="00082577"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{"citationItems":[{"id":"ITEM-1","itemData":{"DOI":"10.1111/ejn.12198","ISSN":"1460-9568","PMID":"23551242","abstract":"Tardive dyskinesia (TD) is a delayed and potentially irreversible motor complication arising in patients chronically exposed to antipsychotic drugs. As several modern (so-called atypical) antipsychotic drugs are common offenders, combined with the widening clinical indications for prescription as well as exposure of vulnerable individuals, TD will remain a significant drug-induced unwanted side effect. In addition, the pathophysiology of TD remains elusive and therapeutics are difficult. Based on rodent experiments, we have previously shown that the transcriptional factor Nur77 (also known as nerve growth factor inducible gene B or Nr4a1) is induced in the striatum following antipsychotic drug exposure as part of a long-term neuroadaptive process. To confirm this, we exposed adult capuchin (Cebus apella) monkeys to prolonged treatments with haloperidol (median 18.5 months, N = 11) or clozapine (median 6 months, N = 6). Six untreated animals were used as controls. Five haloperidol-treated animals developed mild TD movements similar to those found in humans. No TD was observed in the clozapine group. Postmortem analysis of Nur77 expression measured by in situ hybridization revealed a stark contrast between the two drugs, as Nur77 mRNA levels in the caudate-putamen were strongly upregulated in animals exposed to haloperidol but were spared following clozapine treatment. Interestingly, within the haloperidol-treated group, TD-free animals showed higher Nur77 expression in putamen subterritories compared with dyskinetic animals. This suggests that Nur77 expression might be associated with a reduced risk of TD in this experimental model and could provide a novel target for drug intervention.","author":[{"dropping-particle":"","family":"Mahmoudi","given":"Souha","non-dropping-particle":"","parse-names":false,"suffix":""},{"dropping-particle":"","family":"Blanchet","given":"Pierre J","non-dropping-particle":"","parse-names":false,"suffix":""},{"dropping-particle":"","family":"Lévesque","given":"Daniel","non-dropping-particle":"","parse-names":false,"suffix":""}],"container-title":"The European journal of neuroscience","id":"ITEM-1","issue":"1","issued":{"date-parts":[["2013","7"]]},"page":"2192-8","publisher":"Eur J Neurosci","title":"Haloperidol-induced striatal Nur77 expression in a non-human primate model of tardive dyskinesia.","type":"article-journal","volume":"38"},"uris":["http://www.mendeley.com/documents/?uuid=29b548ca-4f4b-342c-b107-6be4b75995eb"]}],"mendeley":{"formattedCitation":"(Mahmoudi et al. 2013)","plainTextFormattedCitation":"(Mahmoudi et al. 2013)","previouslyFormattedCitation":"(Mahmoudi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(Mahmoudi et al. 2013)</w:t>
            </w:r>
            <w:r>
              <w:rPr>
                <w:rFonts w:ascii="Palatino Linotype" w:hAnsi="Palatino Linotype" w:cstheme="minorHAnsi"/>
                <w:sz w:val="18"/>
                <w:szCs w:val="18"/>
              </w:rPr>
              <w:fldChar w:fldCharType="end"/>
            </w:r>
          </w:p>
        </w:tc>
      </w:tr>
      <w:tr w:rsidR="00C71433" w:rsidRPr="00A77E70" w14:paraId="617FDBFE" w14:textId="77777777" w:rsidTr="00A77E70">
        <w:tc>
          <w:tcPr>
            <w:tcW w:w="1560" w:type="dxa"/>
            <w:vAlign w:val="center"/>
          </w:tcPr>
          <w:p w14:paraId="1120533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CAT</w:t>
            </w:r>
          </w:p>
          <w:p w14:paraId="20245A11"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SOD </w:t>
            </w:r>
          </w:p>
          <w:p w14:paraId="2D9FFACB"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GSH</w:t>
            </w:r>
          </w:p>
        </w:tc>
        <w:tc>
          <w:tcPr>
            <w:tcW w:w="1559" w:type="dxa"/>
            <w:vAlign w:val="center"/>
          </w:tcPr>
          <w:p w14:paraId="6D65158F"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Align w:val="center"/>
          </w:tcPr>
          <w:p w14:paraId="59F90AA8"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Male Wistar strain rat</w:t>
            </w:r>
          </w:p>
        </w:tc>
        <w:tc>
          <w:tcPr>
            <w:tcW w:w="1417" w:type="dxa"/>
            <w:vAlign w:val="center"/>
          </w:tcPr>
          <w:p w14:paraId="421AA4AD"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Reserpine</w:t>
            </w:r>
          </w:p>
        </w:tc>
        <w:tc>
          <w:tcPr>
            <w:tcW w:w="1985" w:type="dxa"/>
            <w:vAlign w:val="center"/>
          </w:tcPr>
          <w:p w14:paraId="132C4BEE"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 tongue protrusions and locomotor activity</w:t>
            </w:r>
          </w:p>
        </w:tc>
        <w:tc>
          <w:tcPr>
            <w:tcW w:w="1843" w:type="dxa"/>
            <w:vAlign w:val="center"/>
          </w:tcPr>
          <w:p w14:paraId="25699D1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Nebivolol</w:t>
            </w:r>
          </w:p>
        </w:tc>
        <w:tc>
          <w:tcPr>
            <w:tcW w:w="1984" w:type="dxa"/>
            <w:vAlign w:val="center"/>
          </w:tcPr>
          <w:p w14:paraId="5FBC3499"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Decrease in VCM and tongue protrusions</w:t>
            </w:r>
          </w:p>
          <w:p w14:paraId="523AC918" w14:textId="77777777" w:rsidR="00C71433" w:rsidRPr="00A77E70" w:rsidRDefault="00C71433" w:rsidP="009A3199">
            <w:pPr>
              <w:jc w:val="center"/>
              <w:rPr>
                <w:rFonts w:ascii="Palatino Linotype" w:hAnsi="Palatino Linotype" w:cstheme="minorHAnsi"/>
                <w:sz w:val="18"/>
                <w:szCs w:val="18"/>
              </w:rPr>
            </w:pPr>
          </w:p>
          <w:p w14:paraId="34416CB2" w14:textId="77777777" w:rsidR="00C71433" w:rsidRPr="00A77E70" w:rsidRDefault="00C71433" w:rsidP="009A3199">
            <w:pPr>
              <w:jc w:val="center"/>
              <w:rPr>
                <w:rStyle w:val="id-label"/>
                <w:rFonts w:ascii="Palatino Linotype" w:hAnsi="Palatino Linotype" w:cstheme="minorHAnsi"/>
                <w:sz w:val="18"/>
                <w:szCs w:val="18"/>
              </w:rPr>
            </w:pPr>
            <w:r w:rsidRPr="00A77E70">
              <w:rPr>
                <w:rFonts w:ascii="Palatino Linotype" w:hAnsi="Palatino Linotype" w:cstheme="minorHAnsi"/>
                <w:sz w:val="18"/>
                <w:szCs w:val="18"/>
              </w:rPr>
              <w:t>Amelioration of oxidative stress</w:t>
            </w:r>
          </w:p>
        </w:tc>
        <w:tc>
          <w:tcPr>
            <w:tcW w:w="1980" w:type="dxa"/>
            <w:vAlign w:val="center"/>
          </w:tcPr>
          <w:p w14:paraId="3B4F0501" w14:textId="224B64EC" w:rsidR="00C71433" w:rsidRPr="00A77E70" w:rsidRDefault="00082577" w:rsidP="009A3199">
            <w:pPr>
              <w:jc w:val="center"/>
              <w:rPr>
                <w:rFonts w:ascii="Palatino Linotype" w:hAnsi="Palatino Linotype" w:cstheme="minorHAnsi"/>
                <w:sz w:val="18"/>
                <w:szCs w:val="18"/>
              </w:rPr>
            </w:pPr>
            <w:r>
              <w:rPr>
                <w:rStyle w:val="Strong"/>
                <w:rFonts w:ascii="Palatino Linotype" w:hAnsi="Palatino Linotype" w:cstheme="minorHAnsi"/>
                <w:sz w:val="18"/>
                <w:szCs w:val="18"/>
              </w:rPr>
              <w:fldChar w:fldCharType="begin" w:fldLock="1"/>
            </w:r>
            <w:r w:rsidR="005E78F7">
              <w:rPr>
                <w:rStyle w:val="Strong"/>
                <w:rFonts w:ascii="Palatino Linotype" w:hAnsi="Palatino Linotype" w:cstheme="minorHAnsi"/>
                <w:sz w:val="18"/>
                <w:szCs w:val="18"/>
              </w:rPr>
              <w:instrText>ADDIN CSL_CITATION {"citationItems":[{"id":"ITEM-1","itemData":{"DOI":"10.1016/j.neuint.2013.07.002","ISSN":"1872-9754","PMID":"23871717","abstract":"Reserpine-induced orofacial dyskinesia is a model that shares some mechanists' aspects with tardive dyskinesia whose pathophysiology has been related to oxidative stress. The present study was aimed to explore neuroprotective effects of nebivolol, an antihypertensive agent, on reserpine-induced neurobehavioral and biochemical alterations in rats. Reserpine (1mg/kg, s.c.) was used to induce neurotoxicity. Administration of reserpine for 3 days every other day significantly increased the vacuous chewing movements (VCMs), tongue protrusions (TPs) and reduced the locomotor activity in rats. Pre-treatment with nebivolol (5 and 10mg/kg, p.o. for 5 days) showed dose dependant decrease in VCMs and TP induced by reserpine. Nebivolol also showed significant improvement in locomotor activity. Reserpine significantly increased lipid peroxidation and reduced the levels of defensive antioxidant enzymes like catalase (CAT), superoxide dismutase (SOD) and reduced glutathione (GSH) in rat brain. Nebivolol reversed these effects of reserpine on oxidative stress indices; indicating amelioration of oxidative stress in rat brains. The results of the present study indicated that nebivolol has a protective role against reserpine-induced orofacial dyskinesia. Thus, the use of nebivolol as a therapeutic agent for the treatment of tardive dyskinesia may be considered.","author":[{"dropping-particle":"","family":"Nade","given":"V S","non-dropping-particle":"","parse-names":false,"suffix":""},{"dropping-particle":"V","family":"Shendye","given":"N","non-dropping-particle":"","parse-names":false,"suffix":""},{"dropping-particle":"","family":"Kawale","given":"L A","non-dropping-particle":"","parse-names":false,"suffix":""},{"dropping-particle":"","family":"Patil","given":"N R","non-dropping-particle":"","parse-names":false,"suffix":""},{"dropping-particle":"","family":"Khatri","given":"M L","non-dropping-particle":"","parse-names":false,"suffix":""}],"container-title":"Neurochemistry international","id":"ITEM-1","issue":"4","issued":{"date-parts":[["2013","10"]]},"page":"316-21","publisher":"Neurochem Int","title":"Protective effect of nebivolol on reserpine-induced neurobehavioral and biochemical alterations in rats.","type":"article-journal","volume":"63"},"uris":["http://www.mendeley.com/documents/?uuid=7341cd17-80ad-3bad-bcfb-5d8d3f7085f0"]}],"mendeley":{"formattedCitation":"(Nade et al. 2013)","plainTextFormattedCitation":"(Nade et al. 2013)","previouslyFormattedCitation":"(Nade et al. 2013)"},"properties":{"noteIndex":0},"schema":"https://github.com/citation-style-language/schema/raw/master/csl-citation.json"}</w:instrText>
            </w:r>
            <w:r>
              <w:rPr>
                <w:rStyle w:val="Strong"/>
                <w:rFonts w:ascii="Palatino Linotype" w:hAnsi="Palatino Linotype" w:cstheme="minorHAnsi"/>
                <w:sz w:val="18"/>
                <w:szCs w:val="18"/>
              </w:rPr>
              <w:fldChar w:fldCharType="separate"/>
            </w:r>
            <w:r w:rsidR="001060C2" w:rsidRPr="001060C2">
              <w:rPr>
                <w:rStyle w:val="Strong"/>
                <w:rFonts w:ascii="Palatino Linotype" w:hAnsi="Palatino Linotype" w:cstheme="minorHAnsi"/>
                <w:b w:val="0"/>
                <w:noProof/>
                <w:sz w:val="18"/>
                <w:szCs w:val="18"/>
              </w:rPr>
              <w:t>(Nade et al. 2013)</w:t>
            </w:r>
            <w:r>
              <w:rPr>
                <w:rStyle w:val="Strong"/>
                <w:rFonts w:ascii="Palatino Linotype" w:hAnsi="Palatino Linotype" w:cstheme="minorHAnsi"/>
                <w:sz w:val="18"/>
                <w:szCs w:val="18"/>
              </w:rPr>
              <w:fldChar w:fldCharType="end"/>
            </w:r>
          </w:p>
        </w:tc>
      </w:tr>
      <w:tr w:rsidR="00C71433" w:rsidRPr="00A77E70" w14:paraId="236DAF16" w14:textId="77777777" w:rsidTr="00A77E70">
        <w:trPr>
          <w:trHeight w:val="1338"/>
        </w:trPr>
        <w:tc>
          <w:tcPr>
            <w:tcW w:w="1560" w:type="dxa"/>
            <w:vAlign w:val="center"/>
          </w:tcPr>
          <w:p w14:paraId="012776F2"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TNFα</w:t>
            </w:r>
          </w:p>
          <w:p w14:paraId="620AC2F5"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 xml:space="preserve">IL-1β </w:t>
            </w:r>
          </w:p>
          <w:p w14:paraId="51E60ED1"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LDH</w:t>
            </w:r>
          </w:p>
        </w:tc>
        <w:tc>
          <w:tcPr>
            <w:tcW w:w="1559" w:type="dxa"/>
            <w:vAlign w:val="center"/>
          </w:tcPr>
          <w:p w14:paraId="01D336C1"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Merge w:val="restart"/>
            <w:vAlign w:val="center"/>
          </w:tcPr>
          <w:p w14:paraId="1EE840E3"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Rats</w:t>
            </w:r>
          </w:p>
        </w:tc>
        <w:tc>
          <w:tcPr>
            <w:tcW w:w="1417" w:type="dxa"/>
            <w:vMerge w:val="restart"/>
            <w:vAlign w:val="center"/>
          </w:tcPr>
          <w:p w14:paraId="4F0E15D7"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Haloperidol</w:t>
            </w:r>
          </w:p>
        </w:tc>
        <w:tc>
          <w:tcPr>
            <w:tcW w:w="1985" w:type="dxa"/>
            <w:vMerge w:val="restart"/>
            <w:vAlign w:val="center"/>
          </w:tcPr>
          <w:p w14:paraId="6A68AD9F"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VCM, tongue protrusions, facial jerking, sniffing and grooming</w:t>
            </w:r>
          </w:p>
        </w:tc>
        <w:tc>
          <w:tcPr>
            <w:tcW w:w="1843" w:type="dxa"/>
            <w:vMerge w:val="restart"/>
            <w:vAlign w:val="center"/>
          </w:tcPr>
          <w:p w14:paraId="4CD9A8C5" w14:textId="77777777" w:rsidR="00C71433" w:rsidRPr="00AE2DED" w:rsidRDefault="00C71433" w:rsidP="009A3199">
            <w:pPr>
              <w:jc w:val="center"/>
              <w:rPr>
                <w:rFonts w:ascii="Palatino Linotype" w:hAnsi="Palatino Linotype" w:cstheme="minorHAnsi"/>
                <w:sz w:val="18"/>
                <w:szCs w:val="18"/>
                <w:lang w:val="it-IT"/>
                <w:rPrChange w:id="0"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1" w:author="Samson Oyebanjo" w:date="2021-12-31T16:52:00Z">
                  <w:rPr>
                    <w:rFonts w:ascii="Palatino Linotype" w:hAnsi="Palatino Linotype" w:cstheme="minorHAnsi"/>
                    <w:sz w:val="18"/>
                    <w:szCs w:val="18"/>
                  </w:rPr>
                </w:rPrChange>
              </w:rPr>
              <w:t>PPAR-</w:t>
            </w:r>
            <w:r w:rsidRPr="00A77E70">
              <w:rPr>
                <w:rFonts w:ascii="Cambria" w:hAnsi="Cambria" w:cs="Cambria"/>
                <w:sz w:val="18"/>
                <w:szCs w:val="18"/>
              </w:rPr>
              <w:t>ϒ</w:t>
            </w:r>
            <w:r w:rsidRPr="00AE2DED">
              <w:rPr>
                <w:rFonts w:ascii="Palatino Linotype" w:hAnsi="Palatino Linotype" w:cstheme="minorHAnsi"/>
                <w:sz w:val="18"/>
                <w:szCs w:val="18"/>
                <w:lang w:val="it-IT"/>
                <w:rPrChange w:id="2" w:author="Samson Oyebanjo" w:date="2021-12-31T16:52:00Z">
                  <w:rPr>
                    <w:rFonts w:ascii="Palatino Linotype" w:hAnsi="Palatino Linotype" w:cstheme="minorHAnsi"/>
                    <w:sz w:val="18"/>
                    <w:szCs w:val="18"/>
                  </w:rPr>
                </w:rPrChange>
              </w:rPr>
              <w:t xml:space="preserve"> agonist pioglitazone</w:t>
            </w:r>
          </w:p>
          <w:p w14:paraId="552C58A5" w14:textId="77777777" w:rsidR="00C71433" w:rsidRPr="00AE2DED" w:rsidRDefault="00C71433" w:rsidP="009A3199">
            <w:pPr>
              <w:jc w:val="center"/>
              <w:rPr>
                <w:rFonts w:ascii="Palatino Linotype" w:hAnsi="Palatino Linotype" w:cstheme="minorHAnsi"/>
                <w:sz w:val="18"/>
                <w:szCs w:val="18"/>
                <w:lang w:val="it-IT"/>
                <w:rPrChange w:id="3" w:author="Samson Oyebanjo" w:date="2021-12-31T16:52:00Z">
                  <w:rPr>
                    <w:rFonts w:ascii="Palatino Linotype" w:hAnsi="Palatino Linotype" w:cstheme="minorHAnsi"/>
                    <w:sz w:val="18"/>
                    <w:szCs w:val="18"/>
                  </w:rPr>
                </w:rPrChange>
              </w:rPr>
            </w:pPr>
          </w:p>
          <w:p w14:paraId="21518BEF" w14:textId="77777777" w:rsidR="00C71433" w:rsidRPr="00AE2DED" w:rsidRDefault="00C71433" w:rsidP="009A3199">
            <w:pPr>
              <w:jc w:val="center"/>
              <w:rPr>
                <w:rFonts w:ascii="Palatino Linotype" w:hAnsi="Palatino Linotype" w:cstheme="minorHAnsi"/>
                <w:sz w:val="18"/>
                <w:szCs w:val="18"/>
                <w:lang w:val="it-IT"/>
                <w:rPrChange w:id="4"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5" w:author="Samson Oyebanjo" w:date="2021-12-31T16:52:00Z">
                  <w:rPr>
                    <w:rFonts w:ascii="Palatino Linotype" w:hAnsi="Palatino Linotype" w:cstheme="minorHAnsi"/>
                    <w:sz w:val="18"/>
                    <w:szCs w:val="18"/>
                  </w:rPr>
                </w:rPrChange>
              </w:rPr>
              <w:t>PPAR-</w:t>
            </w:r>
            <w:r w:rsidRPr="00A77E70">
              <w:rPr>
                <w:rFonts w:ascii="Palatino Linotype" w:hAnsi="Palatino Linotype" w:cstheme="minorHAnsi"/>
                <w:sz w:val="18"/>
                <w:szCs w:val="18"/>
              </w:rPr>
              <w:t>α</w:t>
            </w:r>
            <w:r w:rsidRPr="00AE2DED">
              <w:rPr>
                <w:rFonts w:ascii="Palatino Linotype" w:hAnsi="Palatino Linotype" w:cstheme="minorHAnsi"/>
                <w:sz w:val="18"/>
                <w:szCs w:val="18"/>
                <w:lang w:val="it-IT"/>
                <w:rPrChange w:id="6" w:author="Samson Oyebanjo" w:date="2021-12-31T16:52:00Z">
                  <w:rPr>
                    <w:rFonts w:ascii="Palatino Linotype" w:hAnsi="Palatino Linotype" w:cstheme="minorHAnsi"/>
                    <w:sz w:val="18"/>
                    <w:szCs w:val="18"/>
                  </w:rPr>
                </w:rPrChange>
              </w:rPr>
              <w:t xml:space="preserve"> agonist fenofibrate</w:t>
            </w:r>
          </w:p>
        </w:tc>
        <w:tc>
          <w:tcPr>
            <w:tcW w:w="1984" w:type="dxa"/>
            <w:vMerge w:val="restart"/>
            <w:vAlign w:val="center"/>
          </w:tcPr>
          <w:p w14:paraId="50720912"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Reversed haloperidol-induced VCMs, facial jerking, tongue protrusion, sniffing and grooming</w:t>
            </w:r>
          </w:p>
          <w:p w14:paraId="41D2C8B0" w14:textId="77777777" w:rsidR="00C71433" w:rsidRPr="00A77E70" w:rsidRDefault="00C71433" w:rsidP="009A3199">
            <w:pPr>
              <w:jc w:val="center"/>
              <w:rPr>
                <w:rStyle w:val="id-label"/>
                <w:rFonts w:ascii="Palatino Linotype" w:hAnsi="Palatino Linotype" w:cstheme="minorHAnsi"/>
                <w:sz w:val="18"/>
                <w:szCs w:val="18"/>
              </w:rPr>
            </w:pPr>
          </w:p>
          <w:p w14:paraId="4E69D6E9" w14:textId="77777777" w:rsidR="00C71433" w:rsidRPr="00A77E70" w:rsidRDefault="00C71433" w:rsidP="009A3199">
            <w:pPr>
              <w:jc w:val="center"/>
              <w:rPr>
                <w:rStyle w:val="id-label"/>
                <w:rFonts w:ascii="Palatino Linotype" w:hAnsi="Palatino Linotype" w:cstheme="minorHAnsi"/>
                <w:sz w:val="18"/>
                <w:szCs w:val="18"/>
              </w:rPr>
            </w:pPr>
            <w:r w:rsidRPr="00A77E70">
              <w:rPr>
                <w:rStyle w:val="id-label"/>
                <w:rFonts w:ascii="Palatino Linotype" w:hAnsi="Palatino Linotype" w:cstheme="minorHAnsi"/>
                <w:sz w:val="18"/>
                <w:szCs w:val="18"/>
              </w:rPr>
              <w:t>Decreased oxidative stress and inflammation</w:t>
            </w:r>
          </w:p>
        </w:tc>
        <w:tc>
          <w:tcPr>
            <w:tcW w:w="1980" w:type="dxa"/>
            <w:vMerge w:val="restart"/>
            <w:vAlign w:val="center"/>
          </w:tcPr>
          <w:p w14:paraId="733DC2F9" w14:textId="7D9A916A" w:rsidR="002F2B54" w:rsidRPr="00A77E70" w:rsidRDefault="002F2B54" w:rsidP="009A3199">
            <w:pPr>
              <w:jc w:val="center"/>
              <w:rPr>
                <w:rFonts w:ascii="Palatino Linotype" w:hAnsi="Palatino Linotype" w:cstheme="minorHAnsi"/>
                <w:sz w:val="18"/>
                <w:szCs w:val="18"/>
              </w:rPr>
            </w:pPr>
            <w:r>
              <w:rPr>
                <w:rFonts w:ascii="Palatino Linotype" w:hAnsi="Palatino Linotype" w:cstheme="minorHAnsi"/>
                <w:sz w:val="18"/>
                <w:szCs w:val="18"/>
              </w:rPr>
              <w:lastRenderedPageBreak/>
              <w:fldChar w:fldCharType="begin" w:fldLock="1"/>
            </w:r>
            <w:r w:rsidR="005E78F7">
              <w:rPr>
                <w:rFonts w:ascii="Palatino Linotype" w:hAnsi="Palatino Linotype" w:cstheme="minorHAnsi"/>
                <w:sz w:val="18"/>
                <w:szCs w:val="18"/>
              </w:rPr>
              <w:instrText>ADDIN CSL_CITATION {"citationItems":[{"id":"ITEM-1","itemData":{"DOI":"10.1016/j.pbb.2013.08.001","ISSN":"1873-5177","PMID":"23948071","abstract":"Tardive dyskinesia is a type of hyperkinetic movement disorder which consists of abnormal involuntary movements, characterized by orofacial movements. Previous studies suggest that oxidative stress and neuro-inflammation play important role in the pathogenesis of TD. Recently, PPAR-α and PPAR-</w:instrText>
            </w:r>
            <w:r w:rsidR="005E78F7">
              <w:rPr>
                <w:rFonts w:ascii="Cambria" w:hAnsi="Cambria" w:cs="Cambria"/>
                <w:sz w:val="18"/>
                <w:szCs w:val="18"/>
              </w:rPr>
              <w:instrText>ϒ</w:instrText>
            </w:r>
            <w:r w:rsidR="005E78F7">
              <w:rPr>
                <w:rFonts w:ascii="Palatino Linotype" w:hAnsi="Palatino Linotype" w:cstheme="minorHAnsi"/>
                <w:sz w:val="18"/>
                <w:szCs w:val="18"/>
              </w:rPr>
              <w:instrText xml:space="preserve"> have been reported as neuroprotective agent in various animal models. The present study investigated the neuroprotective effect of PPAR-</w:instrText>
            </w:r>
            <w:r w:rsidR="005E78F7">
              <w:rPr>
                <w:rFonts w:ascii="Cambria" w:hAnsi="Cambria" w:cs="Cambria"/>
                <w:sz w:val="18"/>
                <w:szCs w:val="18"/>
              </w:rPr>
              <w:instrText>ϒ</w:instrText>
            </w:r>
            <w:r w:rsidR="005E78F7">
              <w:rPr>
                <w:rFonts w:ascii="Palatino Linotype" w:hAnsi="Palatino Linotype" w:cstheme="minorHAnsi"/>
                <w:sz w:val="18"/>
                <w:szCs w:val="18"/>
              </w:rPr>
              <w:instrText xml:space="preserve"> agonist, pioglitazone (20 and 40 mg/kg, p.o.) and PPAR-α agonist, fenofibrate (100 and 200mg/kg, p.o.) in an animal model of oral dyskinesia. Oral dyskinesia was induced by chronic administration of haloperidol (1 mg/kg i.p.) for 21 days. Chronic administration of haloperidol significantly increased vacuous chewing movements, tongue protrusions, facial jerking, sniffing and grooming in rats which was dose-dependently inhibited by pioglitazone and fenofibrate. Further, it also decreased % retention of memory in an elevated plus maze test on day 22. Chronic administration of haloperidol also induced oxidative damage and neuroinflammation (TNF-α and IL-1β) in brain regions. The fenofibrate and pioglitazone were able to reverse the behavioral and biochemical changes induced by haloperidol. Further the study proposed the antioxidant and antiinflammatory effects of both PPAR agonists in this model. We concluded that administration of pioglitazone and fenofibrate individually or in combination along with antipsychotic in the treatment of schizophrenia, prevent or delay the symptoms of oral dyskinesia.","author":[{"dropping-particle":"","family":"Grover","given":"Sania","non-dropping-particle":"","parse-names":false,"suffix":""},{"dropping-particle":"","family":"Kumar","given":"Puneet","non-dropping-particle":"","parse-names":false,"suffix":""},{"dropping-particle":"","family":"Singh","given":"Kuldeep","non-dropping-particle":"","parse-names":false,"suffix":""},{"dropping-particle":"","family":"Vikram","given":"Vir","non-dropping-particle":"","parse-names":false,"suffix":""},{"dropping-particle":"","family":"Budhiraja","given":"R D","non-dropping-particle":"","parse-names":false,"suffix":""}],"container-title":"Pharmacology, biochemistry, and behavior","id":"ITEM-1","issued":{"date-parts":[["2013","10"]]},"page":"17-23","publisher":"Pharmacol Biochem Behav","title":"Possible beneficial effect of peroxisome proliferator-activated receptor (PPAR)--α and γ agonist against a rat model of oral dyskinesia.","type":"article-journal","volume":"111"},"uris":["http://www.mendeley.com/documents/?uuid=db92a496-81fd-3c34-9b62-26372cbbcd34"]}],"mendeley":{"formattedCitation":"(Grover et al. 2013)","plainTextFormattedCitation":"(Grover et al. 2013)","previouslyFormattedCitation":"(Grover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(Grover et al. 2013)</w:t>
            </w:r>
            <w:r>
              <w:rPr>
                <w:rFonts w:ascii="Palatino Linotype" w:hAnsi="Palatino Linotype" w:cstheme="minorHAnsi"/>
                <w:sz w:val="18"/>
                <w:szCs w:val="18"/>
              </w:rPr>
              <w:fldChar w:fldCharType="end"/>
            </w:r>
          </w:p>
        </w:tc>
      </w:tr>
      <w:tr w:rsidR="00C71433" w:rsidRPr="00C71433" w14:paraId="096DAF5F" w14:textId="77777777" w:rsidTr="00A77E70">
        <w:trPr>
          <w:trHeight w:val="1338"/>
        </w:trPr>
        <w:tc>
          <w:tcPr>
            <w:tcW w:w="1560" w:type="dxa"/>
            <w:vAlign w:val="center"/>
          </w:tcPr>
          <w:p w14:paraId="41E2B6BC"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lastRenderedPageBreak/>
              <w:t>GSH</w:t>
            </w:r>
          </w:p>
          <w:p w14:paraId="318918AC" w14:textId="77777777" w:rsidR="00C71433" w:rsidRPr="00A77E70" w:rsidRDefault="00C71433" w:rsidP="009A3199">
            <w:pPr>
              <w:jc w:val="center"/>
              <w:rPr>
                <w:rFonts w:ascii="Palatino Linotype" w:hAnsi="Palatino Linotype" w:cstheme="minorHAnsi"/>
                <w:sz w:val="18"/>
                <w:szCs w:val="18"/>
              </w:rPr>
            </w:pPr>
            <w:r w:rsidRPr="00A77E70">
              <w:rPr>
                <w:rFonts w:ascii="Palatino Linotype" w:hAnsi="Palatino Linotype" w:cstheme="minorHAnsi"/>
                <w:sz w:val="18"/>
                <w:szCs w:val="18"/>
              </w:rPr>
              <w:t>CAT</w:t>
            </w:r>
          </w:p>
        </w:tc>
        <w:tc>
          <w:tcPr>
            <w:tcW w:w="1559" w:type="dxa"/>
            <w:vAlign w:val="center"/>
          </w:tcPr>
          <w:p w14:paraId="7384582C" w14:textId="77777777" w:rsidR="00C71433" w:rsidRPr="00A77E70" w:rsidRDefault="00C71433" w:rsidP="009A3199">
            <w:pPr>
              <w:jc w:val="center"/>
              <w:rPr>
                <w:rFonts w:ascii="Palatino Linotype" w:hAnsi="Palatino Linotype" w:cstheme="minorHAnsi"/>
                <w:sz w:val="18"/>
                <w:szCs w:val="18"/>
              </w:rPr>
            </w:pPr>
            <w:r w:rsidRPr="00A77E70">
              <w:rPr>
                <w:sz w:val="18"/>
                <w:szCs w:val="18"/>
              </w:rPr>
              <w:t>↓</w:t>
            </w:r>
          </w:p>
        </w:tc>
        <w:tc>
          <w:tcPr>
            <w:tcW w:w="1701" w:type="dxa"/>
            <w:vMerge/>
            <w:vAlign w:val="center"/>
          </w:tcPr>
          <w:p w14:paraId="37377A15" w14:textId="77777777" w:rsidR="00C71433" w:rsidRPr="00A77E70" w:rsidRDefault="00C71433" w:rsidP="009A3199">
            <w:pPr>
              <w:jc w:val="center"/>
              <w:rPr>
                <w:rFonts w:ascii="Palatino Linotype" w:hAnsi="Palatino Linotype" w:cstheme="minorHAnsi"/>
                <w:sz w:val="18"/>
                <w:szCs w:val="18"/>
              </w:rPr>
            </w:pPr>
          </w:p>
        </w:tc>
        <w:tc>
          <w:tcPr>
            <w:tcW w:w="1417" w:type="dxa"/>
            <w:vMerge/>
            <w:vAlign w:val="center"/>
          </w:tcPr>
          <w:p w14:paraId="66535942" w14:textId="77777777" w:rsidR="00C71433" w:rsidRPr="00A77E70" w:rsidRDefault="00C71433" w:rsidP="009A3199">
            <w:pPr>
              <w:jc w:val="center"/>
              <w:rPr>
                <w:rFonts w:ascii="Palatino Linotype" w:hAnsi="Palatino Linotype" w:cstheme="minorHAnsi"/>
                <w:sz w:val="18"/>
                <w:szCs w:val="18"/>
              </w:rPr>
            </w:pPr>
          </w:p>
        </w:tc>
        <w:tc>
          <w:tcPr>
            <w:tcW w:w="1985" w:type="dxa"/>
            <w:vMerge/>
            <w:vAlign w:val="center"/>
          </w:tcPr>
          <w:p w14:paraId="26942CD1" w14:textId="77777777" w:rsidR="00C71433" w:rsidRPr="00A77E70" w:rsidRDefault="00C71433" w:rsidP="009A3199">
            <w:pPr>
              <w:jc w:val="center"/>
              <w:rPr>
                <w:rFonts w:ascii="Palatino Linotype" w:hAnsi="Palatino Linotype" w:cstheme="minorHAnsi"/>
                <w:sz w:val="18"/>
                <w:szCs w:val="18"/>
              </w:rPr>
            </w:pPr>
          </w:p>
        </w:tc>
        <w:tc>
          <w:tcPr>
            <w:tcW w:w="1843" w:type="dxa"/>
            <w:vMerge/>
            <w:vAlign w:val="center"/>
          </w:tcPr>
          <w:p w14:paraId="1D8820B9" w14:textId="77777777" w:rsidR="00C71433" w:rsidRPr="00A77E70" w:rsidRDefault="00C71433" w:rsidP="009A3199">
            <w:pPr>
              <w:jc w:val="center"/>
              <w:rPr>
                <w:rFonts w:ascii="Palatino Linotype" w:hAnsi="Palatino Linotype" w:cstheme="minorHAnsi"/>
                <w:sz w:val="18"/>
                <w:szCs w:val="18"/>
              </w:rPr>
            </w:pPr>
          </w:p>
        </w:tc>
        <w:tc>
          <w:tcPr>
            <w:tcW w:w="1984" w:type="dxa"/>
            <w:vMerge/>
            <w:vAlign w:val="center"/>
          </w:tcPr>
          <w:p w14:paraId="0A5C2809" w14:textId="77777777" w:rsidR="00C71433" w:rsidRPr="00BD59C4" w:rsidRDefault="00C71433" w:rsidP="009A3199">
            <w:pPr>
              <w:jc w:val="center"/>
              <w:rPr>
                <w:rStyle w:val="id-label"/>
                <w:rFonts w:ascii="Palatino Linotype" w:hAnsi="Palatino Linotype" w:cstheme="minorHAnsi"/>
                <w:sz w:val="18"/>
                <w:szCs w:val="18"/>
              </w:rPr>
            </w:pPr>
          </w:p>
        </w:tc>
        <w:tc>
          <w:tcPr>
            <w:tcW w:w="1980" w:type="dxa"/>
            <w:vMerge/>
            <w:vAlign w:val="center"/>
          </w:tcPr>
          <w:p w14:paraId="0C78980C" w14:textId="77777777" w:rsidR="00C71433" w:rsidRPr="00BD59C4" w:rsidRDefault="00C71433" w:rsidP="009A3199">
            <w:pPr>
              <w:jc w:val="center"/>
              <w:rPr>
                <w:rFonts w:ascii="Palatino Linotype" w:hAnsi="Palatino Linotype" w:cstheme="minorHAnsi"/>
                <w:sz w:val="18"/>
                <w:szCs w:val="18"/>
              </w:rPr>
            </w:pPr>
          </w:p>
        </w:tc>
      </w:tr>
      <w:tr w:rsidR="00C71433" w:rsidRPr="00C71433" w14:paraId="6AD358B0" w14:textId="77777777" w:rsidTr="00A77E70">
        <w:tc>
          <w:tcPr>
            <w:tcW w:w="1560" w:type="dxa"/>
            <w:vAlign w:val="center"/>
          </w:tcPr>
          <w:p w14:paraId="4FED8D07"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w:t>
            </w:r>
          </w:p>
        </w:tc>
        <w:tc>
          <w:tcPr>
            <w:tcW w:w="1559" w:type="dxa"/>
            <w:vAlign w:val="center"/>
          </w:tcPr>
          <w:p w14:paraId="67482440"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w:t>
            </w:r>
          </w:p>
        </w:tc>
        <w:tc>
          <w:tcPr>
            <w:tcW w:w="1701" w:type="dxa"/>
            <w:vAlign w:val="center"/>
          </w:tcPr>
          <w:p w14:paraId="55A39BDE"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 xml:space="preserve">Male Sprague–Dawley rats </w:t>
            </w:r>
          </w:p>
        </w:tc>
        <w:tc>
          <w:tcPr>
            <w:tcW w:w="1417" w:type="dxa"/>
            <w:vAlign w:val="center"/>
          </w:tcPr>
          <w:p w14:paraId="009F6DB7"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Haloperidol</w:t>
            </w:r>
          </w:p>
        </w:tc>
        <w:tc>
          <w:tcPr>
            <w:tcW w:w="1985" w:type="dxa"/>
            <w:vAlign w:val="center"/>
          </w:tcPr>
          <w:p w14:paraId="7F40C5B1"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VCM</w:t>
            </w:r>
          </w:p>
        </w:tc>
        <w:tc>
          <w:tcPr>
            <w:tcW w:w="1843" w:type="dxa"/>
            <w:vAlign w:val="center"/>
          </w:tcPr>
          <w:p w14:paraId="72ED0AB0"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Ginkgo biloba extract</w:t>
            </w:r>
          </w:p>
          <w:p w14:paraId="0AC00331" w14:textId="77777777" w:rsidR="00C71433" w:rsidRPr="004E2CB8" w:rsidRDefault="00C71433" w:rsidP="009A3199">
            <w:pPr>
              <w:jc w:val="center"/>
              <w:rPr>
                <w:rFonts w:ascii="Palatino Linotype" w:hAnsi="Palatino Linotype" w:cstheme="minorHAnsi"/>
                <w:sz w:val="18"/>
                <w:szCs w:val="18"/>
              </w:rPr>
            </w:pPr>
          </w:p>
          <w:p w14:paraId="03472F05"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Vitamin E</w:t>
            </w:r>
          </w:p>
        </w:tc>
        <w:tc>
          <w:tcPr>
            <w:tcW w:w="1984" w:type="dxa"/>
            <w:vAlign w:val="center"/>
          </w:tcPr>
          <w:p w14:paraId="5CE3797A" w14:textId="77777777" w:rsidR="00C71433" w:rsidRPr="004E2CB8" w:rsidRDefault="00C71433" w:rsidP="009A3199">
            <w:pPr>
              <w:jc w:val="center"/>
              <w:rPr>
                <w:rStyle w:val="id-label"/>
                <w:rFonts w:ascii="Palatino Linotype" w:hAnsi="Palatino Linotype" w:cstheme="minorHAnsi"/>
                <w:sz w:val="18"/>
                <w:szCs w:val="18"/>
              </w:rPr>
            </w:pPr>
            <w:r w:rsidRPr="004E2CB8">
              <w:rPr>
                <w:rStyle w:val="id-label"/>
                <w:rFonts w:ascii="Palatino Linotype" w:hAnsi="Palatino Linotype" w:cstheme="minorHAnsi"/>
                <w:sz w:val="18"/>
                <w:szCs w:val="18"/>
              </w:rPr>
              <w:t>Lower VCM scores</w:t>
            </w:r>
          </w:p>
        </w:tc>
        <w:tc>
          <w:tcPr>
            <w:tcW w:w="1980" w:type="dxa"/>
            <w:vAlign w:val="center"/>
          </w:tcPr>
          <w:p w14:paraId="3E8AB876" w14:textId="03BB381A" w:rsidR="002F2B54" w:rsidRPr="004E2CB8" w:rsidRDefault="002F2B54"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{"citationItems":[{"id":"ITEM-1","itemData":{"DOI":"10.1097/FBP.0b013e3283656d87","ISSN":"1473-5849","PMID":"23994817","abstract":"Free radical-mediated abnormalities may contribute toward the pathogenesis of tardive dyskinesia (TD). Many studies have reported the protective antioxidant and free radical-scavenging activities of extract of Ginkgo biloba (EGb761) against free radical-induced cell damage and dysfunction. This study aimed to compare the efficacy of EGb761 with that of vitamin E for the prevention and treatment of TD in a rat model. We carried out two studies. First, rats were injected with haloperidol (2 mg/kg intraperitoneally) daily for 5 weeks. EGb761 (50 mg/kg/day) or vitamin E (20 mg/kg/day) were then administered for another 5 weeks, and their effects on vacuous chewing movements (VCMs) were compared. Second, we compared 10 weeks of haloperidol alone with 10 weeks of haloperidol plus EGb761 or vitamin E. The administration of haloperidol led to a progressive increase in VCMs, which peaked at week 5. In study one, EGb761 and vitamin E, administered by an oral gavage for 5 weeks during withdrawal from chronic haloperidol treatment, decreased VCMs significantly, showing 83.8 and 91.0% reduction, respectively, compared with the haloperidol-alone group. In study two, the concomitant administration of EGb761 and vitamin E led to significantly fewer VCMs, by 64.4 and 73.9%, respectively, compared with the haloperidol-alone group. There was no significant difference in either study between EGb761 and vitamin E treatment. EGb761 shows promise for the prevention and treatment of TD in a rat model with a magnitude that was similar to that of vitamin E.","author":[{"dropping-particle":"","family":"An","given":"Hui-Mei","non-dropping-particle":"","parse-names":false,"suffix":""},{"dropping-particle":"","family":"Tan","given":"Yun-Long","non-dropping-particle":"","parse-names":false,"suffix":""},{"dropping-particle":"","family":"Shi","given":"Jing","non-dropping-particle":"","parse-names":false,"suffix":""},{"dropping-particle":"","family":"Wang","given":"Zhi-Ren","non-dropping-particle":"","parse-names":false,"suffix":""},{"dropping-particle":"","family":"Li","given":"Jia","non-dropping-particle":"","parse-names":false,"suffix":""},{"dropping-particle":"","family":"Wang","given":"Yue-Chan","non-dropping-particle":"","parse-names":false,"suffix":""},{"dropping-particle":"","family":"Kosten","given":"Thomas R","non-dropping-particle":"","parse-names":false,"suffix":""},{"dropping-particle":"","family":"Zhou","given":"Dong Feng","non-dropping-particle":"","parse-names":false,"suffix":""},{"dropping-particle":"","family":"Yang","given":"Fu-De","non-dropping-particle":"","parse-names":false,"suffix":""},{"dropping-particle":"","family":"Zhang","given":"Xiang-Yang","non-dropping-particle":"","parse-names":false,"suffix":""}],"container-title":"Behavioural pharmacology","id":"ITEM-1","issue":"7","issued":{"date-parts":[["2013","10"]]},"page":"610-6","publisher":"Behav Pharmacol","title":"Extract of Ginkgo biloba is equivalent to vitamin E in attenuating and preventing vacuous chewing movements in a rat model of tardive dyskinesia.","type":"article-journal","volume":"24"},"uris":["http://www.mendeley.com/documents/?uuid=9a42af04-a02a-3a0f-9ec9-bb22e3b0e84f"]}],"mendeley":{"formattedCitation":"(An et al. 2013)","plainTextFormattedCitation":"(An et al. 2013)","previouslyFormattedCitation":"(An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(An et al. 2013)</w:t>
            </w:r>
            <w:r>
              <w:rPr>
                <w:rFonts w:ascii="Palatino Linotype" w:hAnsi="Palatino Linotype" w:cstheme="minorHAnsi"/>
                <w:sz w:val="18"/>
                <w:szCs w:val="18"/>
              </w:rPr>
              <w:fldChar w:fldCharType="end"/>
            </w:r>
          </w:p>
        </w:tc>
      </w:tr>
      <w:tr w:rsidR="00C71433" w:rsidRPr="00F21A5B" w14:paraId="288F2323" w14:textId="77777777" w:rsidTr="00A77E70">
        <w:trPr>
          <w:trHeight w:val="382"/>
        </w:trPr>
        <w:tc>
          <w:tcPr>
            <w:tcW w:w="1560" w:type="dxa"/>
            <w:vAlign w:val="center"/>
          </w:tcPr>
          <w:p w14:paraId="48FE3F43"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 xml:space="preserve">DRD3 binding </w:t>
            </w:r>
          </w:p>
          <w:p w14:paraId="5CCDD9C2" w14:textId="77777777" w:rsidR="00C71433" w:rsidRPr="004E2CB8" w:rsidRDefault="00C71433" w:rsidP="009A3199">
            <w:pPr>
              <w:jc w:val="center"/>
              <w:rPr>
                <w:rFonts w:ascii="Palatino Linotype" w:hAnsi="Palatino Linotype" w:cstheme="minorHAnsi"/>
                <w:sz w:val="18"/>
                <w:szCs w:val="18"/>
              </w:rPr>
            </w:pPr>
            <w:r w:rsidRPr="004E2CB8">
              <w:rPr>
                <w:rFonts w:ascii="Palatino Linotype" w:hAnsi="Palatino Linotype" w:cstheme="minorHAnsi"/>
                <w:sz w:val="18"/>
                <w:szCs w:val="18"/>
              </w:rPr>
              <w:t>PENK</w:t>
            </w:r>
          </w:p>
        </w:tc>
        <w:tc>
          <w:tcPr>
            <w:tcW w:w="1559" w:type="dxa"/>
            <w:vAlign w:val="center"/>
          </w:tcPr>
          <w:p w14:paraId="6027E14F" w14:textId="77777777" w:rsidR="00C71433" w:rsidRPr="00F21A5B" w:rsidRDefault="00C71433" w:rsidP="009A3199">
            <w:pPr>
              <w:jc w:val="center"/>
              <w:rPr>
                <w:rFonts w:ascii="Palatino Linotype" w:hAnsi="Palatino Linotype" w:cstheme="minorHAnsi"/>
                <w:sz w:val="18"/>
                <w:szCs w:val="18"/>
              </w:rPr>
            </w:pPr>
            <w:r w:rsidRPr="00A77E70">
              <w:rPr>
                <w:sz w:val="18"/>
                <w:szCs w:val="18"/>
              </w:rPr>
              <w:t>↑</w:t>
            </w:r>
          </w:p>
        </w:tc>
        <w:tc>
          <w:tcPr>
            <w:tcW w:w="1701" w:type="dxa"/>
            <w:vMerge w:val="restart"/>
            <w:vAlign w:val="center"/>
          </w:tcPr>
          <w:p w14:paraId="74FB7AD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Female capuchin (</w:t>
            </w:r>
            <w:r w:rsidRPr="00F21A5B">
              <w:rPr>
                <w:rStyle w:val="Emphasis"/>
                <w:rFonts w:ascii="Palatino Linotype" w:hAnsi="Palatino Linotype" w:cstheme="minorHAnsi"/>
                <w:sz w:val="18"/>
                <w:szCs w:val="18"/>
              </w:rPr>
              <w:t xml:space="preserve">Cebus </w:t>
            </w:r>
            <w:proofErr w:type="spellStart"/>
            <w:r w:rsidRPr="00F21A5B">
              <w:rPr>
                <w:rStyle w:val="Emphasis"/>
                <w:rFonts w:ascii="Palatino Linotype" w:hAnsi="Palatino Linotype" w:cstheme="minorHAnsi"/>
                <w:sz w:val="18"/>
                <w:szCs w:val="18"/>
              </w:rPr>
              <w:t>apella</w:t>
            </w:r>
            <w:proofErr w:type="spellEnd"/>
            <w:r w:rsidRPr="00F21A5B">
              <w:rPr>
                <w:rFonts w:ascii="Palatino Linotype" w:hAnsi="Palatino Linotype" w:cstheme="minorHAnsi"/>
                <w:sz w:val="18"/>
                <w:szCs w:val="18"/>
              </w:rPr>
              <w:t>) monkeys</w:t>
            </w:r>
          </w:p>
        </w:tc>
        <w:tc>
          <w:tcPr>
            <w:tcW w:w="1417" w:type="dxa"/>
            <w:vMerge w:val="restart"/>
            <w:vAlign w:val="center"/>
          </w:tcPr>
          <w:p w14:paraId="6EA5C1C8"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p w14:paraId="680810C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Clozapine</w:t>
            </w:r>
          </w:p>
        </w:tc>
        <w:tc>
          <w:tcPr>
            <w:tcW w:w="1985" w:type="dxa"/>
            <w:vMerge w:val="restart"/>
            <w:vAlign w:val="center"/>
          </w:tcPr>
          <w:p w14:paraId="1877F377"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Mild TD movements</w:t>
            </w:r>
          </w:p>
        </w:tc>
        <w:tc>
          <w:tcPr>
            <w:tcW w:w="1843" w:type="dxa"/>
            <w:vMerge w:val="restart"/>
            <w:vAlign w:val="center"/>
          </w:tcPr>
          <w:p w14:paraId="4CC3E1EA"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w:t>
            </w:r>
          </w:p>
        </w:tc>
        <w:tc>
          <w:tcPr>
            <w:tcW w:w="1984" w:type="dxa"/>
            <w:vMerge w:val="restart"/>
            <w:vAlign w:val="center"/>
          </w:tcPr>
          <w:p w14:paraId="11BEA501" w14:textId="77777777" w:rsidR="00C71433" w:rsidRPr="00F21A5B" w:rsidRDefault="00C71433" w:rsidP="009A3199">
            <w:pPr>
              <w:jc w:val="center"/>
              <w:rPr>
                <w:rStyle w:val="id-label"/>
                <w:rFonts w:ascii="Palatino Linotype" w:hAnsi="Palatino Linotype" w:cstheme="minorHAnsi"/>
                <w:sz w:val="18"/>
                <w:szCs w:val="18"/>
              </w:rPr>
            </w:pPr>
          </w:p>
        </w:tc>
        <w:tc>
          <w:tcPr>
            <w:tcW w:w="1980" w:type="dxa"/>
            <w:vMerge w:val="restart"/>
            <w:vAlign w:val="center"/>
          </w:tcPr>
          <w:p w14:paraId="1FE4D369" w14:textId="2ED0D769" w:rsidR="00C71433" w:rsidRPr="00F21A5B" w:rsidRDefault="002F2B54" w:rsidP="002F2B54">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{"citationItems":[{"id":"ITEM-1","itemData":{"DOI":"10.1002/mds.25909","ISSN":"08853185","PMID":"24838395","abstract":"Tardive dyskinesia (TD) is a delayed and potentially irreversible motor complication arising in patients chronically exposed to centrally active dopamine D2 receptor antagonists, including antipsychotic drugs and metoclopramide. The classical dopamine D2 receptor supersensitivity hypothesis in TD, which stemmed from rodent studies, lacks strong support in humans. To investigate the neurochemical basis of TD, we chronically exposed adult capuchin monkeys to haloperidol (median, 18.5 months; n = 11) or clozapine (median, 6 months; n = 6). Six unmedicated animals were used as controls. Five haloperidol-treated animals developed mild TD movements, and no TD was observed in the clozapine group. Using receptor autoradiography, we measured striatal dopamine D1, D2, and D3 receptor levels. We also examined the D3 receptor/preprotachykinin messenger RNA (mRNA) co-expression, and quantified preproenkephalin mRNA levels, in striatal sections. Unlike clozapine, haloperidol strongly induced dopamine D3 receptor binding sites in the anterior caudate-putamen, particularly in TD animals, and binding levels positively correlated with TD intensity. Interestingly, the D3 receptor upregulation was observed in striatonigral neurons. In contrast, D2 receptor binding was comparable to controls, and dopamine D1 receptor binding was reduced in the anterior putamen. Enkephalin mRNA widely increased in all animals, but to a greater extent in TD-free animals. These results suggest for the first time that upregulated striatal D3 receptors correlate with TD in nonhuman primates, adding new insights to the dopamine receptor supersensitivity hypothesis. The D3 receptor could provide a novel target for drug intervention in human TD.","author":[{"dropping-particle":"","family":"Mahmoudi","given":"Souha","non-dropping-particle":"","parse-names":false,"suffix":""},{"dropping-particle":"","family":"Lévesque","given":"Daniel","non-dropping-particle":"","parse-names":false,"suffix":""},{"dropping-particle":"","family":"Blanchet","given":"Pierre J.","non-dropping-particle":"","parse-names":false,"suffix":""}],"container-title":"Movement Disorders","id":"ITEM-1","issue":"9","issued":{"date-parts":[["2014","8"]]},"page":"1125-1133","title":"Upregulation of dopamine D3, not D2, receptors correlates with tardive dyskinesia in a primate model","type":"article-journal","volume":"29"},"uris":["http://www.mendeley.com/documents/?uuid=0f426248-79a0-3341-b989-737ba4843083"]}],"mendeley":{"formattedCitation":"(Mahmoudi et al. 2014)","plainTextFormattedCitation":"(Mahmoudi et al. 2014)","previouslyFormattedCitation":"(Mahmoudi et al. 2014)"},"properties":{"noteIndex":0},"schema":"https://github.com/citation-style-language/schema/raw/master/csl-citation.json"}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(Mahmoudi et al. 2014)</w:t>
            </w:r>
            <w:r>
              <w:rPr>
                <w:rFonts w:ascii="Palatino Linotype" w:hAnsi="Palatino Linotype" w:cstheme="minorHAnsi"/>
                <w:sz w:val="18"/>
                <w:szCs w:val="18"/>
              </w:rPr>
              <w:fldChar w:fldCharType="end"/>
            </w:r>
          </w:p>
        </w:tc>
      </w:tr>
      <w:tr w:rsidR="00C71433" w:rsidRPr="00F21A5B" w14:paraId="2CE22BB5" w14:textId="77777777" w:rsidTr="00A77E70">
        <w:trPr>
          <w:trHeight w:val="381"/>
        </w:trPr>
        <w:tc>
          <w:tcPr>
            <w:tcW w:w="1560" w:type="dxa"/>
            <w:vAlign w:val="center"/>
          </w:tcPr>
          <w:p w14:paraId="1643ADD7"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xml:space="preserve">DRD1 binding </w:t>
            </w:r>
          </w:p>
        </w:tc>
        <w:tc>
          <w:tcPr>
            <w:tcW w:w="1559" w:type="dxa"/>
            <w:vAlign w:val="center"/>
          </w:tcPr>
          <w:p w14:paraId="3D70C674"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ign w:val="center"/>
          </w:tcPr>
          <w:p w14:paraId="2A7A3692" w14:textId="77777777" w:rsidR="00C71433" w:rsidRPr="00F21A5B" w:rsidRDefault="00C71433" w:rsidP="009A3199">
            <w:pPr>
              <w:jc w:val="center"/>
              <w:rPr>
                <w:rFonts w:ascii="Palatino Linotype" w:hAnsi="Palatino Linotype" w:cstheme="minorHAnsi"/>
                <w:sz w:val="18"/>
                <w:szCs w:val="18"/>
              </w:rPr>
            </w:pPr>
          </w:p>
        </w:tc>
        <w:tc>
          <w:tcPr>
            <w:tcW w:w="1417" w:type="dxa"/>
            <w:vMerge/>
            <w:vAlign w:val="center"/>
          </w:tcPr>
          <w:p w14:paraId="2D8C3E21" w14:textId="77777777" w:rsidR="00C71433" w:rsidRPr="00F21A5B" w:rsidRDefault="00C71433" w:rsidP="009A3199">
            <w:pPr>
              <w:jc w:val="center"/>
              <w:rPr>
                <w:rFonts w:ascii="Palatino Linotype" w:hAnsi="Palatino Linotype" w:cstheme="minorHAnsi"/>
                <w:sz w:val="18"/>
                <w:szCs w:val="18"/>
              </w:rPr>
            </w:pPr>
          </w:p>
        </w:tc>
        <w:tc>
          <w:tcPr>
            <w:tcW w:w="1985" w:type="dxa"/>
            <w:vMerge/>
            <w:vAlign w:val="center"/>
          </w:tcPr>
          <w:p w14:paraId="78384F94" w14:textId="77777777" w:rsidR="00C71433" w:rsidRPr="00F21A5B" w:rsidRDefault="00C71433" w:rsidP="009A3199">
            <w:pPr>
              <w:jc w:val="center"/>
              <w:rPr>
                <w:rFonts w:ascii="Palatino Linotype" w:hAnsi="Palatino Linotype" w:cstheme="minorHAnsi"/>
                <w:sz w:val="18"/>
                <w:szCs w:val="18"/>
              </w:rPr>
            </w:pPr>
          </w:p>
        </w:tc>
        <w:tc>
          <w:tcPr>
            <w:tcW w:w="1843" w:type="dxa"/>
            <w:vMerge/>
            <w:vAlign w:val="center"/>
          </w:tcPr>
          <w:p w14:paraId="2351C792" w14:textId="77777777" w:rsidR="00C71433" w:rsidRPr="00F21A5B" w:rsidRDefault="00C71433" w:rsidP="009A3199">
            <w:pPr>
              <w:jc w:val="center"/>
              <w:rPr>
                <w:rFonts w:ascii="Palatino Linotype" w:hAnsi="Palatino Linotype" w:cstheme="minorHAnsi"/>
                <w:sz w:val="18"/>
                <w:szCs w:val="18"/>
              </w:rPr>
            </w:pPr>
          </w:p>
        </w:tc>
        <w:tc>
          <w:tcPr>
            <w:tcW w:w="1984" w:type="dxa"/>
            <w:vMerge/>
            <w:vAlign w:val="center"/>
          </w:tcPr>
          <w:p w14:paraId="1361E79C" w14:textId="77777777" w:rsidR="00C71433" w:rsidRPr="00F21A5B" w:rsidRDefault="00C71433" w:rsidP="009A3199">
            <w:pPr>
              <w:jc w:val="center"/>
              <w:rPr>
                <w:rStyle w:val="id-label"/>
                <w:rFonts w:ascii="Palatino Linotype" w:hAnsi="Palatino Linotype" w:cstheme="minorHAnsi"/>
                <w:sz w:val="18"/>
                <w:szCs w:val="18"/>
              </w:rPr>
            </w:pPr>
          </w:p>
        </w:tc>
        <w:tc>
          <w:tcPr>
            <w:tcW w:w="1980" w:type="dxa"/>
            <w:vMerge/>
            <w:vAlign w:val="center"/>
          </w:tcPr>
          <w:p w14:paraId="2DFF0EA9" w14:textId="77777777" w:rsidR="00C71433" w:rsidRPr="00F21A5B" w:rsidRDefault="00C71433" w:rsidP="009A3199">
            <w:pPr>
              <w:jc w:val="center"/>
              <w:rPr>
                <w:rFonts w:ascii="Palatino Linotype" w:hAnsi="Palatino Linotype" w:cstheme="minorHAnsi"/>
                <w:sz w:val="18"/>
                <w:szCs w:val="18"/>
              </w:rPr>
            </w:pPr>
          </w:p>
        </w:tc>
      </w:tr>
      <w:tr w:rsidR="00C71433" w:rsidRPr="00F21A5B" w14:paraId="10F75372" w14:textId="77777777" w:rsidTr="00A77E70">
        <w:trPr>
          <w:trHeight w:val="382"/>
        </w:trPr>
        <w:tc>
          <w:tcPr>
            <w:tcW w:w="1560" w:type="dxa"/>
            <w:vMerge w:val="restart"/>
            <w:vAlign w:val="center"/>
          </w:tcPr>
          <w:p w14:paraId="7BB38F1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w:t>
            </w:r>
          </w:p>
        </w:tc>
        <w:tc>
          <w:tcPr>
            <w:tcW w:w="1559" w:type="dxa"/>
            <w:vMerge w:val="restart"/>
            <w:vAlign w:val="center"/>
          </w:tcPr>
          <w:p w14:paraId="3284C151"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w:t>
            </w:r>
          </w:p>
        </w:tc>
        <w:tc>
          <w:tcPr>
            <w:tcW w:w="1701" w:type="dxa"/>
            <w:vMerge w:val="restart"/>
            <w:vAlign w:val="center"/>
          </w:tcPr>
          <w:p w14:paraId="29F90C2E"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Adult male Wistar rats</w:t>
            </w:r>
          </w:p>
        </w:tc>
        <w:tc>
          <w:tcPr>
            <w:tcW w:w="1417" w:type="dxa"/>
            <w:vMerge w:val="restart"/>
            <w:vAlign w:val="center"/>
          </w:tcPr>
          <w:p w14:paraId="52550CB0"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tc>
        <w:tc>
          <w:tcPr>
            <w:tcW w:w="1985" w:type="dxa"/>
            <w:vMerge w:val="restart"/>
            <w:vAlign w:val="center"/>
          </w:tcPr>
          <w:p w14:paraId="23D49CD2"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Orofacial dyskinesia</w:t>
            </w:r>
          </w:p>
        </w:tc>
        <w:tc>
          <w:tcPr>
            <w:tcW w:w="1843" w:type="dxa"/>
            <w:vAlign w:val="center"/>
          </w:tcPr>
          <w:p w14:paraId="2E90F8C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Anandamide</w:t>
            </w:r>
          </w:p>
        </w:tc>
        <w:tc>
          <w:tcPr>
            <w:tcW w:w="1984" w:type="dxa"/>
            <w:vAlign w:val="center"/>
          </w:tcPr>
          <w:p w14:paraId="0AA5F2D9" w14:textId="77777777" w:rsidR="00C71433" w:rsidRPr="00F21A5B" w:rsidRDefault="00C71433" w:rsidP="009A3199">
            <w:pPr>
              <w:jc w:val="center"/>
              <w:rPr>
                <w:rStyle w:val="id-label"/>
                <w:rFonts w:ascii="Palatino Linotype" w:hAnsi="Palatino Linotype" w:cstheme="minorHAnsi"/>
                <w:sz w:val="18"/>
                <w:szCs w:val="18"/>
              </w:rPr>
            </w:pPr>
            <w:r w:rsidRPr="00F21A5B">
              <w:rPr>
                <w:rFonts w:ascii="Palatino Linotype" w:hAnsi="Palatino Linotype" w:cstheme="minorHAnsi"/>
                <w:sz w:val="18"/>
                <w:szCs w:val="18"/>
              </w:rPr>
              <w:t>Decreased VCM</w:t>
            </w:r>
          </w:p>
        </w:tc>
        <w:tc>
          <w:tcPr>
            <w:tcW w:w="1980" w:type="dxa"/>
            <w:vMerge w:val="restart"/>
            <w:vAlign w:val="center"/>
          </w:tcPr>
          <w:p w14:paraId="36C550BA" w14:textId="40132C6D" w:rsidR="00252397" w:rsidRDefault="00252397" w:rsidP="009A3199">
            <w:pPr>
              <w:jc w:val="center"/>
              <w:rPr>
                <w:rStyle w:val="Strong"/>
                <w:rFonts w:ascii="Palatino Linotype" w:hAnsi="Palatino Linotype" w:cstheme="minorHAnsi"/>
                <w:sz w:val="18"/>
                <w:szCs w:val="18"/>
              </w:rPr>
            </w:pPr>
            <w:r>
              <w:rPr>
                <w:rStyle w:val="Strong"/>
                <w:rFonts w:ascii="Palatino Linotype" w:hAnsi="Palatino Linotype" w:cstheme="minorHAnsi"/>
                <w:sz w:val="18"/>
                <w:szCs w:val="18"/>
              </w:rPr>
              <w:fldChar w:fldCharType="begin" w:fldLock="1"/>
            </w:r>
            <w:r w:rsidR="005E78F7">
              <w:rPr>
                <w:rStyle w:val="Strong"/>
                <w:rFonts w:ascii="Palatino Linotype" w:hAnsi="Palatino Linotype" w:cstheme="minorHAnsi"/>
                <w:sz w:val="18"/>
                <w:szCs w:val="18"/>
              </w:rPr>
              <w:instrText>ADDIN CSL_CITATION {"citationItems":[{"id":"ITEM-1","itemData":{"DOI":"10.1016/j.pnpbp.2014.04.006","ISSN":"1878-4216","PMID":"24747871","abstract":"Antipsychotics may cause tardive dyskinesia in humans and orofacial dyskinesia in rodents. Although the dopaminergic system has been implicated in these movement disorders, which involve the basal ganglia, their underlying pathomechanisms remain unclear. CB1 cannabinoid receptors are highly expressed in the basal ganglia, and a potential role for endocannabinoids in the control of basal ganglia-related movement disorders has been proposed. Therefore, this study investigated whether CB1 receptors are involved in haloperidol-induced orofacial dyskinesia in rats. Adult male rats were treated for four weeks with haloperidol decanoate (38mg/kg, intramuscularly - i.m.). The effect of anandamide (6nmol, intracerebroventricularly - i.c.v.) and/or the CB1 receptor antagonist SR141716A (30μg, i.c.v.) on haloperidol-induced vacuous chewing movements (VCMs) was assessed 28days after the start of the haloperidol treatment. Anandamide reversed haloperidol-induced VCMs; SR141716A (30μg, i.c.v.) did not alter haloperidol-induced VCM per se but prevented the effect of anandamide on VCM in rats. These results suggest that CB1 receptors may prevent haloperidol-induced VCMs in rats, implicating CB1 receptor-mediated cannabinoid signaling in orofacial dyskinesia.","author":[{"dropping-particle":"","family":"Röpke","given":"Jivago","non-dropping-particle":"","parse-names":false,"suffix":""},{"dropping-particle":"","family":"Busanello","given":"Alcindo","non-dropping-particle":"","parse-names":false,"suffix":""},{"dropping-particle":"","family":"Leal","given":"Caroline Queiroz","non-dropping-particle":"","parse-names":false,"suffix":""},{"dropping-particle":"","family":"Moraes Reis","given":"Elizete","non-dropping-particle":"de","parse-names":false,"suffix":""},{"dropping-particle":"","family":"Freitas","given":"Catiuscia Molz","non-dropping-particle":"de","parse-names":false,"suffix":""},{"dropping-particle":"","family":"Villarinho","given":"Jardel Gomes","non-dropping-particle":"","parse-names":false,"suffix":""},{"dropping-particle":"","family":"Figueira","given":"Fernanda Hernandes","non-dropping-particle":"","parse-names":false,"suffix":""},{"dropping-particle":"","family":"Mello","given":"Carlos Fernando","non-dropping-particle":"","parse-names":false,"suffix":""},{"dropping-particle":"","family":"Ferreira","given":"Juliano","non-dropping-particle":"","parse-names":false,"suffix":""},{"dropping-particle":"","family":"Fachinetto","given":"Roselei","non-dropping-particle":"","parse-names":false,"suffix":""}],"container-title":"Progress in neuro-psychopharmacology &amp; biological psychiatry","id":"ITEM-1","issued":{"date-parts":[["2014","10","3"]]},"page":"195-9","publisher":"Prog Neuropsychopharmacol Biol Psychiatry","title":"Anandamide attenuates haloperidol-induced vacuous chewing movements in rats.","type":"article-journal","volume":"54"},"uris":["http://www.mendeley.com/documents/?uuid=4ac1a7dd-77dd-3144-81a1-b5f19ff8d319"]}],"mendeley":{"formattedCitation":"(Röpke et al. 2014)","plainTextFormattedCitation":"(Röpke et al. 2014)","previouslyFormattedCitation":"(Röpke et al. 2014)"},"properties":{"noteIndex":0},"schema":"https://github.com/citation-style-language/schema/raw/master/csl-citation.json"}</w:instrText>
            </w:r>
            <w:r>
              <w:rPr>
                <w:rStyle w:val="Strong"/>
                <w:rFonts w:ascii="Palatino Linotype" w:hAnsi="Palatino Linotype" w:cstheme="minorHAnsi"/>
                <w:sz w:val="18"/>
                <w:szCs w:val="18"/>
              </w:rPr>
              <w:fldChar w:fldCharType="separate"/>
            </w:r>
            <w:r w:rsidR="001060C2" w:rsidRPr="001060C2">
              <w:rPr>
                <w:rStyle w:val="Strong"/>
                <w:rFonts w:ascii="Palatino Linotype" w:hAnsi="Palatino Linotype" w:cstheme="minorHAnsi"/>
                <w:b w:val="0"/>
                <w:noProof/>
                <w:sz w:val="18"/>
                <w:szCs w:val="18"/>
              </w:rPr>
              <w:t>(Röpke et al. 2014)</w:t>
            </w:r>
            <w:r>
              <w:rPr>
                <w:rStyle w:val="Strong"/>
                <w:rFonts w:ascii="Palatino Linotype" w:hAnsi="Palatino Linotype" w:cstheme="minorHAnsi"/>
                <w:sz w:val="18"/>
                <w:szCs w:val="18"/>
              </w:rPr>
              <w:fldChar w:fldCharType="end"/>
            </w:r>
          </w:p>
          <w:p w14:paraId="1C94BBDA" w14:textId="32C159A1" w:rsidR="002F2B54" w:rsidRPr="00F21A5B" w:rsidRDefault="002F2B54" w:rsidP="009A3199">
            <w:pPr>
              <w:jc w:val="center"/>
              <w:rPr>
                <w:rFonts w:ascii="Palatino Linotype" w:hAnsi="Palatino Linotype" w:cstheme="minorHAnsi"/>
                <w:sz w:val="18"/>
                <w:szCs w:val="18"/>
              </w:rPr>
            </w:pPr>
          </w:p>
        </w:tc>
      </w:tr>
      <w:tr w:rsidR="00C71433" w:rsidRPr="00F21A5B" w14:paraId="7CE9114F" w14:textId="77777777" w:rsidTr="00A77E70">
        <w:trPr>
          <w:trHeight w:val="381"/>
        </w:trPr>
        <w:tc>
          <w:tcPr>
            <w:tcW w:w="1560" w:type="dxa"/>
            <w:vMerge/>
            <w:vAlign w:val="center"/>
          </w:tcPr>
          <w:p w14:paraId="7B48E732" w14:textId="77777777" w:rsidR="00C71433" w:rsidRPr="00F21A5B" w:rsidRDefault="00C71433" w:rsidP="009A3199">
            <w:pPr>
              <w:jc w:val="center"/>
              <w:rPr>
                <w:rFonts w:ascii="Palatino Linotype" w:hAnsi="Palatino Linotype" w:cstheme="minorHAnsi"/>
                <w:sz w:val="18"/>
                <w:szCs w:val="18"/>
              </w:rPr>
            </w:pPr>
          </w:p>
        </w:tc>
        <w:tc>
          <w:tcPr>
            <w:tcW w:w="1559" w:type="dxa"/>
            <w:vMerge/>
            <w:vAlign w:val="center"/>
          </w:tcPr>
          <w:p w14:paraId="36DA5E81" w14:textId="77777777" w:rsidR="00C71433" w:rsidRPr="00F21A5B" w:rsidRDefault="00C71433" w:rsidP="009A3199">
            <w:pPr>
              <w:jc w:val="center"/>
              <w:rPr>
                <w:rFonts w:ascii="Palatino Linotype" w:hAnsi="Palatino Linotype" w:cstheme="minorHAnsi"/>
                <w:sz w:val="18"/>
                <w:szCs w:val="18"/>
              </w:rPr>
            </w:pPr>
          </w:p>
        </w:tc>
        <w:tc>
          <w:tcPr>
            <w:tcW w:w="1701" w:type="dxa"/>
            <w:vMerge/>
            <w:vAlign w:val="center"/>
          </w:tcPr>
          <w:p w14:paraId="72683FB8" w14:textId="77777777" w:rsidR="00C71433" w:rsidRPr="00F21A5B" w:rsidRDefault="00C71433" w:rsidP="009A3199">
            <w:pPr>
              <w:jc w:val="center"/>
              <w:rPr>
                <w:rFonts w:ascii="Palatino Linotype" w:hAnsi="Palatino Linotype" w:cstheme="minorHAnsi"/>
                <w:sz w:val="18"/>
                <w:szCs w:val="18"/>
              </w:rPr>
            </w:pPr>
          </w:p>
        </w:tc>
        <w:tc>
          <w:tcPr>
            <w:tcW w:w="1417" w:type="dxa"/>
            <w:vMerge/>
            <w:vAlign w:val="center"/>
          </w:tcPr>
          <w:p w14:paraId="24617347" w14:textId="77777777" w:rsidR="00C71433" w:rsidRPr="00F21A5B" w:rsidRDefault="00C71433" w:rsidP="009A3199">
            <w:pPr>
              <w:jc w:val="center"/>
              <w:rPr>
                <w:rFonts w:ascii="Palatino Linotype" w:hAnsi="Palatino Linotype" w:cstheme="minorHAnsi"/>
                <w:sz w:val="18"/>
                <w:szCs w:val="18"/>
              </w:rPr>
            </w:pPr>
          </w:p>
        </w:tc>
        <w:tc>
          <w:tcPr>
            <w:tcW w:w="1985" w:type="dxa"/>
            <w:vMerge/>
            <w:vAlign w:val="center"/>
          </w:tcPr>
          <w:p w14:paraId="499020F7" w14:textId="77777777" w:rsidR="00C71433" w:rsidRPr="00F21A5B" w:rsidRDefault="00C71433" w:rsidP="009A3199">
            <w:pPr>
              <w:jc w:val="center"/>
              <w:rPr>
                <w:rFonts w:ascii="Palatino Linotype" w:hAnsi="Palatino Linotype" w:cstheme="minorHAnsi"/>
                <w:sz w:val="18"/>
                <w:szCs w:val="18"/>
              </w:rPr>
            </w:pPr>
          </w:p>
        </w:tc>
        <w:tc>
          <w:tcPr>
            <w:tcW w:w="1843" w:type="dxa"/>
            <w:vAlign w:val="center"/>
          </w:tcPr>
          <w:p w14:paraId="394D8A15"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CB1 receptor antagonist SR141716A</w:t>
            </w:r>
          </w:p>
        </w:tc>
        <w:tc>
          <w:tcPr>
            <w:tcW w:w="1984" w:type="dxa"/>
            <w:vAlign w:val="center"/>
          </w:tcPr>
          <w:p w14:paraId="6EB7261C"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Blocked the effects of anandamide on VCMs</w:t>
            </w:r>
          </w:p>
        </w:tc>
        <w:tc>
          <w:tcPr>
            <w:tcW w:w="1980" w:type="dxa"/>
            <w:vMerge/>
            <w:vAlign w:val="center"/>
          </w:tcPr>
          <w:p w14:paraId="033E0240" w14:textId="77777777" w:rsidR="00C71433" w:rsidRPr="00F21A5B" w:rsidRDefault="00C71433" w:rsidP="009A3199">
            <w:pPr>
              <w:jc w:val="center"/>
              <w:rPr>
                <w:rFonts w:ascii="Palatino Linotype" w:hAnsi="Palatino Linotype" w:cstheme="minorHAnsi"/>
                <w:sz w:val="18"/>
                <w:szCs w:val="18"/>
              </w:rPr>
            </w:pPr>
          </w:p>
        </w:tc>
      </w:tr>
      <w:tr w:rsidR="00C71433" w:rsidRPr="00F21A5B" w14:paraId="7317B7FF" w14:textId="77777777" w:rsidTr="00A77E70">
        <w:tc>
          <w:tcPr>
            <w:tcW w:w="1560" w:type="dxa"/>
            <w:vAlign w:val="center"/>
          </w:tcPr>
          <w:p w14:paraId="144A0F85"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CAT activity</w:t>
            </w:r>
          </w:p>
          <w:p w14:paraId="7842299E"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SOD activity</w:t>
            </w:r>
          </w:p>
          <w:p w14:paraId="1D439D78"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GSH levels</w:t>
            </w:r>
          </w:p>
        </w:tc>
        <w:tc>
          <w:tcPr>
            <w:tcW w:w="1559" w:type="dxa"/>
            <w:vAlign w:val="center"/>
          </w:tcPr>
          <w:p w14:paraId="45FCBCDD"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Align w:val="center"/>
          </w:tcPr>
          <w:p w14:paraId="0BE653F0"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Wistar rats</w:t>
            </w:r>
          </w:p>
        </w:tc>
        <w:tc>
          <w:tcPr>
            <w:tcW w:w="1417" w:type="dxa"/>
            <w:vAlign w:val="center"/>
          </w:tcPr>
          <w:p w14:paraId="1E2ED60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Reserpine</w:t>
            </w:r>
          </w:p>
        </w:tc>
        <w:tc>
          <w:tcPr>
            <w:tcW w:w="1985" w:type="dxa"/>
            <w:vAlign w:val="center"/>
          </w:tcPr>
          <w:p w14:paraId="05D4F0E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xml:space="preserve">VCM and tongue protrusion as well as facial twitching </w:t>
            </w:r>
          </w:p>
        </w:tc>
        <w:tc>
          <w:tcPr>
            <w:tcW w:w="1843" w:type="dxa"/>
            <w:vAlign w:val="center"/>
          </w:tcPr>
          <w:p w14:paraId="552BAB02"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epigallocatechin-3-gallate</w:t>
            </w:r>
          </w:p>
          <w:p w14:paraId="074C4FAF" w14:textId="77777777" w:rsidR="00C71433" w:rsidRPr="00F21A5B" w:rsidRDefault="00C71433" w:rsidP="009A3199">
            <w:pPr>
              <w:jc w:val="center"/>
              <w:rPr>
                <w:rFonts w:ascii="Palatino Linotype" w:hAnsi="Palatino Linotype" w:cstheme="minorHAnsi"/>
                <w:sz w:val="18"/>
                <w:szCs w:val="18"/>
              </w:rPr>
            </w:pPr>
          </w:p>
        </w:tc>
        <w:tc>
          <w:tcPr>
            <w:tcW w:w="1984" w:type="dxa"/>
            <w:vAlign w:val="center"/>
          </w:tcPr>
          <w:p w14:paraId="1599ABE4"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Amelioration of orofacial dyskinesia</w:t>
            </w:r>
          </w:p>
          <w:p w14:paraId="43640FF6" w14:textId="77777777" w:rsidR="00C71433" w:rsidRPr="00F21A5B" w:rsidRDefault="00C71433" w:rsidP="009A3199">
            <w:pPr>
              <w:jc w:val="center"/>
              <w:rPr>
                <w:rFonts w:ascii="Palatino Linotype" w:hAnsi="Palatino Linotype" w:cstheme="minorHAnsi"/>
                <w:sz w:val="18"/>
                <w:szCs w:val="18"/>
              </w:rPr>
            </w:pPr>
          </w:p>
          <w:p w14:paraId="70C52ACE" w14:textId="77777777" w:rsidR="00C71433" w:rsidRPr="00F21A5B" w:rsidRDefault="00C71433" w:rsidP="009A3199">
            <w:pPr>
              <w:jc w:val="center"/>
              <w:rPr>
                <w:rStyle w:val="id-label"/>
                <w:rFonts w:ascii="Palatino Linotype" w:hAnsi="Palatino Linotype" w:cstheme="minorHAnsi"/>
                <w:sz w:val="18"/>
                <w:szCs w:val="18"/>
              </w:rPr>
            </w:pPr>
            <w:r w:rsidRPr="00F21A5B">
              <w:rPr>
                <w:rFonts w:ascii="Palatino Linotype" w:hAnsi="Palatino Linotype" w:cstheme="minorHAnsi"/>
                <w:sz w:val="18"/>
                <w:szCs w:val="18"/>
              </w:rPr>
              <w:t>Increased CAT, GSH, SOD</w:t>
            </w:r>
          </w:p>
        </w:tc>
        <w:tc>
          <w:tcPr>
            <w:tcW w:w="1980" w:type="dxa"/>
            <w:vAlign w:val="center"/>
          </w:tcPr>
          <w:p w14:paraId="698A20C3" w14:textId="7CFB6042" w:rsidR="002F2B54" w:rsidRPr="00F21A5B" w:rsidRDefault="002F2B54"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{"citationItems":[{"id":"ITEM-1","itemData":{"DOI":"10.1016/j.pbb.2015.02.003","ISSN":"1873-5177","PMID":"25668129","abstract":"Reserpine-induced orofacial dyskinesia (OD) has been used for decades as an animal model for human tardive dyskinesia (TD) because both of them have pathophysiology strongly associated with striatal oxidative stress. Green tea catechins, especially (-) epigallocatechin-3-gallate (EGCG), have potent antioxidative effects and are able to protect against various oxidative injuries. In this study, we examined the potential protective effects of EGCG on reserpine-induced behavioral and neurochemical dysfunction in rats. Reserpine treatment (1mg/kgs.c. one injection every other day, three injections total) induced significant increases (p&lt;0.001) in the frequency of vacuous chewing movement (VCM) and tongue protrusion (TP) as well as the duration of facial twitching (FT). EGCG treatment (100mg/kgi.p. for 11days, starting 7days before the reserpine injections) was able to prevent most of the reserpine-induced OD. Also, EGCG treatment was able to reduce the reserpine-induced lipid peroxidation (LPO) production, and enhances the antioxidation power in the striatum of reserpine-treated rats. The above results indicate that EGCG has a protective role against reserpine-induced OD, probably via its powerful antioxidative properties. Thus, EGCG may possible have a clinically relevant therapeutic effect in preventing, delaying or even treating TD.","author":[{"dropping-particle":"","family":"Wang","given":"Mao-Hsien","non-dropping-particle":"","parse-names":false,"suffix":""},{"dropping-particle":"","family":"Lin","given":"Rui-Feng","non-dropping-particle":"","parse-names":false,"suffix":""},{"dropping-particle":"","family":"Tseng","given":"Hsiang-Chien","non-dropping-particle":"","parse-names":false,"suffix":""},{"dropping-particle":"","family":"Soung","given":"Hung-Sheng","non-dropping-particle":"","parse-names":false,"suffix":""},{"dropping-particle":"","family":"Chang","given":"Kuo-Chi","non-dropping-particle":"","parse-names":false,"suffix":""},{"dropping-particle":"","family":"Tsai","given":"Cheng-Chia","non-dropping-particle":"","parse-names":false,"suffix":""}],"container-title":"Pharmacology, biochemistry, and behavior","id":"ITEM-1","issued":{"date-parts":[["2015","4"]]},"page":"71-6","publisher":"Pharmacol Biochem Behav","title":"(-) Epigallocatechin-3-gallate attenuates reserpine-induced orofacial dyskinesia and oxidative stress in rat striatum.","type":"article-journal","volume":"131"},"uris":["http://www.mendeley.com/documents/?uuid=bbbd0f01-c795-3f78-ab0b-8b1f01d1ee44"]}],"mendeley":{"formattedCitation":"(Wang et al. 2015)","plainTextFormattedCitation":"(Wang et al. 2015)","previouslyFormattedCitation":"(Wang et al. 2015)"},"properties":{"noteIndex":0},"schema":"https://github.com/citation-style-language/schema/raw/master/csl-citation.json"}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(Wang et al. 2015)</w:t>
            </w:r>
            <w:r>
              <w:rPr>
                <w:rFonts w:ascii="Palatino Linotype" w:hAnsi="Palatino Linotype" w:cstheme="minorHAnsi"/>
                <w:sz w:val="18"/>
                <w:szCs w:val="18"/>
              </w:rPr>
              <w:fldChar w:fldCharType="end"/>
            </w:r>
          </w:p>
        </w:tc>
      </w:tr>
      <w:tr w:rsidR="00C71433" w:rsidRPr="00F21A5B" w14:paraId="1A23D9EE" w14:textId="77777777" w:rsidTr="00A77E70">
        <w:trPr>
          <w:trHeight w:val="863"/>
        </w:trPr>
        <w:tc>
          <w:tcPr>
            <w:tcW w:w="1560" w:type="dxa"/>
            <w:vAlign w:val="center"/>
          </w:tcPr>
          <w:p w14:paraId="6FFAA5B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TNFα</w:t>
            </w:r>
          </w:p>
          <w:p w14:paraId="7DB3ABC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IL-1β</w:t>
            </w:r>
          </w:p>
        </w:tc>
        <w:tc>
          <w:tcPr>
            <w:tcW w:w="1559" w:type="dxa"/>
            <w:vAlign w:val="center"/>
          </w:tcPr>
          <w:p w14:paraId="70D2C757"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restart"/>
            <w:vAlign w:val="center"/>
          </w:tcPr>
          <w:p w14:paraId="613635C9"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Wistar rats</w:t>
            </w:r>
          </w:p>
        </w:tc>
        <w:tc>
          <w:tcPr>
            <w:tcW w:w="1417" w:type="dxa"/>
            <w:vMerge w:val="restart"/>
            <w:vAlign w:val="center"/>
          </w:tcPr>
          <w:p w14:paraId="77BA507C"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tc>
        <w:tc>
          <w:tcPr>
            <w:tcW w:w="1985" w:type="dxa"/>
            <w:vMerge w:val="restart"/>
            <w:vAlign w:val="center"/>
          </w:tcPr>
          <w:p w14:paraId="41AE978A"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Orofacial dyskinesia</w:t>
            </w:r>
          </w:p>
        </w:tc>
        <w:tc>
          <w:tcPr>
            <w:tcW w:w="1843" w:type="dxa"/>
            <w:vMerge w:val="restart"/>
            <w:vAlign w:val="center"/>
          </w:tcPr>
          <w:p w14:paraId="61F85196"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Candesartan (AT1 antagonist)</w:t>
            </w:r>
          </w:p>
          <w:p w14:paraId="0E5EDA23" w14:textId="77777777" w:rsidR="00C71433" w:rsidRPr="00F21A5B" w:rsidRDefault="00C71433" w:rsidP="009A3199">
            <w:pPr>
              <w:jc w:val="center"/>
              <w:rPr>
                <w:rFonts w:ascii="Palatino Linotype" w:hAnsi="Palatino Linotype" w:cstheme="minorHAnsi"/>
                <w:sz w:val="18"/>
                <w:szCs w:val="18"/>
              </w:rPr>
            </w:pPr>
          </w:p>
          <w:p w14:paraId="67E320BE"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Lisinopril (ACE inhibitor)</w:t>
            </w:r>
          </w:p>
        </w:tc>
        <w:tc>
          <w:tcPr>
            <w:tcW w:w="1984" w:type="dxa"/>
            <w:vMerge w:val="restart"/>
            <w:vAlign w:val="center"/>
          </w:tcPr>
          <w:p w14:paraId="0F6C036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Improvement of the haloperidol-induced behavioral abnormalities in rats</w:t>
            </w:r>
          </w:p>
          <w:p w14:paraId="3DCC1D60" w14:textId="77777777" w:rsidR="00C71433" w:rsidRPr="00F21A5B" w:rsidRDefault="00C71433" w:rsidP="009A3199">
            <w:pPr>
              <w:jc w:val="center"/>
              <w:rPr>
                <w:rFonts w:ascii="Palatino Linotype" w:hAnsi="Palatino Linotype" w:cstheme="minorHAnsi"/>
                <w:sz w:val="18"/>
                <w:szCs w:val="18"/>
              </w:rPr>
            </w:pPr>
          </w:p>
          <w:p w14:paraId="5A8FCF3B" w14:textId="77777777" w:rsidR="00C71433" w:rsidRPr="00F21A5B" w:rsidRDefault="00C71433" w:rsidP="009A3199">
            <w:pPr>
              <w:jc w:val="center"/>
              <w:rPr>
                <w:rStyle w:val="id-label"/>
                <w:rFonts w:ascii="Palatino Linotype" w:hAnsi="Palatino Linotype" w:cstheme="minorHAnsi"/>
                <w:sz w:val="18"/>
                <w:szCs w:val="18"/>
              </w:rPr>
            </w:pPr>
            <w:r w:rsidRPr="00F21A5B">
              <w:rPr>
                <w:rFonts w:ascii="Palatino Linotype" w:hAnsi="Palatino Linotype" w:cstheme="minorHAnsi"/>
                <w:sz w:val="18"/>
                <w:szCs w:val="18"/>
              </w:rPr>
              <w:t>Attenuation of oxidative damage and neuro-inflammation</w:t>
            </w:r>
          </w:p>
        </w:tc>
        <w:tc>
          <w:tcPr>
            <w:tcW w:w="1980" w:type="dxa"/>
            <w:vMerge w:val="restart"/>
            <w:vAlign w:val="center"/>
          </w:tcPr>
          <w:p w14:paraId="61266CAC" w14:textId="01BB7901" w:rsidR="002F2B54" w:rsidRPr="00F21A5B" w:rsidRDefault="002F2B54"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{"citationItems":[{"id":"ITEM-1","itemData":{"DOI":"10.1177/1470320313515038","ISSN":"1752-8976","PMID":"24464858","abstract":"INTRODUCTION Tardive dyskinesia is a serious motor disorder of the orofacial region, resulting from chronic neuroleptic treatment of schizophrenia. Candesartan (AT1 antagonist) and lisinopril (ACE inhibitor) has been reported to possess antioxidant and neuroprotective effects. The present study is designed to investigate the effect of candesartan and lisinopril on haloperidol-induced orofacial dyskinesia and oxidative damage in rats. MATERIALS AND METHODS Tardive dyskinesia was induced by administering haloperidol (1 mg/kg i.p.) and concomitantly treated with candesartan (3 and 5 mg/kg p.o.) and lisinopril (10 and 15 mg/kg p.o.) for 3 weeks in male Wistar rats. Various behavioral parameters were assessed on days 0, 7, 14 and 21 and biochemical parameters were estimated at day 22. RESULTS Chronic administration of haloperidol significantly increased stereotypic behaviors in rats, which were significantly improved by administration of candesartan and lisinopril. Chronic administration of haloperidol significantly increased oxidative stress and neuro-inflammation in the striatum region of the rat's brain. Co-administration of candesartan and lisinopril significantly attenuated the oxidative damage and neuro-inflammation in the haloperidol-treated rat. CONCLUSIONS The present study supports the therapeutic use of candesartan and lisinopril in the treatment of typical antipsychotic-induced orofacial dyskinesia and possible antioxidant and neuro-inflammatory mechanisms.","author":[{"dropping-particle":"","family":"Thakur","given":"Kuldeep Singh","non-dropping-particle":"","parse-names":false,"suffix":""},{"dropping-particle":"","family":"Prakash","given":"Atish","non-dropping-particle":"","parse-names":false,"suffix":""},{"dropping-particle":"","family":"Bisht","given":"Rohit","non-dropping-particle":"","parse-names":false,"suffix":""},{"dropping-particle":"","family":"Bansal","given":"Puneet Kumar","non-dropping-particle":"","parse-names":false,"suffix":""}],"container-title":"Journal of the renin-angiotensin-aldosterone system : JRAAS","id":"ITEM-1","issue":"4","issued":{"date-parts":[["2015","12"]]},"page":"917-29","publisher":"J Renin Angiotensin Aldosterone Syst","title":"Beneficial effect of candesartan and lisinopril against haloperidol-induced tardive dyskinesia in rat.","type":"article-journal","volume":"16"},"uris":["http://www.mendeley.com/documents/?uuid=c8db7829-3efd-3225-837e-77c869c2b664"]}],"mendeley":{"formattedCitation":"(Thakur et al. 2015)","plainTextFormattedCitation":"(Thakur et al. 2015)","previouslyFormattedCitation":"(Thakur et al. 2015)"},"properties":{"noteIndex":0},"schema":"https://github.com/citation-style-language/schema/raw/master/csl-citation.json"}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(Thakur et al. 2015)</w:t>
            </w:r>
            <w:r>
              <w:rPr>
                <w:rFonts w:ascii="Palatino Linotype" w:hAnsi="Palatino Linotype" w:cstheme="minorHAnsi"/>
                <w:sz w:val="18"/>
                <w:szCs w:val="18"/>
              </w:rPr>
              <w:fldChar w:fldCharType="end"/>
            </w:r>
          </w:p>
        </w:tc>
      </w:tr>
      <w:tr w:rsidR="00C71433" w:rsidRPr="00F21A5B" w14:paraId="729F7711" w14:textId="77777777" w:rsidTr="00A77E70">
        <w:trPr>
          <w:trHeight w:val="862"/>
        </w:trPr>
        <w:tc>
          <w:tcPr>
            <w:tcW w:w="1560" w:type="dxa"/>
            <w:vAlign w:val="center"/>
          </w:tcPr>
          <w:p w14:paraId="6C6C31F6"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CAT activity</w:t>
            </w:r>
          </w:p>
          <w:p w14:paraId="0DC5948B"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SOD activity</w:t>
            </w:r>
          </w:p>
          <w:p w14:paraId="6FE05ACE"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GSH levels</w:t>
            </w:r>
          </w:p>
        </w:tc>
        <w:tc>
          <w:tcPr>
            <w:tcW w:w="1559" w:type="dxa"/>
            <w:vAlign w:val="center"/>
          </w:tcPr>
          <w:p w14:paraId="0D088787"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ign w:val="center"/>
          </w:tcPr>
          <w:p w14:paraId="1B43EEBB" w14:textId="77777777" w:rsidR="00C71433" w:rsidRPr="00F21A5B" w:rsidRDefault="00C71433" w:rsidP="009A3199">
            <w:pPr>
              <w:jc w:val="center"/>
              <w:rPr>
                <w:rFonts w:ascii="Palatino Linotype" w:hAnsi="Palatino Linotype" w:cstheme="minorHAnsi"/>
                <w:sz w:val="18"/>
                <w:szCs w:val="18"/>
              </w:rPr>
            </w:pPr>
          </w:p>
        </w:tc>
        <w:tc>
          <w:tcPr>
            <w:tcW w:w="1417" w:type="dxa"/>
            <w:vMerge/>
            <w:vAlign w:val="center"/>
          </w:tcPr>
          <w:p w14:paraId="182A479D" w14:textId="77777777" w:rsidR="00C71433" w:rsidRPr="00F21A5B" w:rsidRDefault="00C71433" w:rsidP="009A3199">
            <w:pPr>
              <w:jc w:val="center"/>
              <w:rPr>
                <w:rFonts w:ascii="Palatino Linotype" w:hAnsi="Palatino Linotype" w:cstheme="minorHAnsi"/>
                <w:sz w:val="18"/>
                <w:szCs w:val="18"/>
              </w:rPr>
            </w:pPr>
          </w:p>
        </w:tc>
        <w:tc>
          <w:tcPr>
            <w:tcW w:w="1985" w:type="dxa"/>
            <w:vMerge/>
            <w:vAlign w:val="center"/>
          </w:tcPr>
          <w:p w14:paraId="290A170C" w14:textId="77777777" w:rsidR="00C71433" w:rsidRPr="00F21A5B" w:rsidRDefault="00C71433" w:rsidP="009A3199">
            <w:pPr>
              <w:jc w:val="center"/>
              <w:rPr>
                <w:rFonts w:ascii="Palatino Linotype" w:hAnsi="Palatino Linotype" w:cstheme="minorHAnsi"/>
                <w:sz w:val="18"/>
                <w:szCs w:val="18"/>
              </w:rPr>
            </w:pPr>
          </w:p>
        </w:tc>
        <w:tc>
          <w:tcPr>
            <w:tcW w:w="1843" w:type="dxa"/>
            <w:vMerge/>
            <w:vAlign w:val="center"/>
          </w:tcPr>
          <w:p w14:paraId="0322E601" w14:textId="77777777" w:rsidR="00C71433" w:rsidRPr="00F21A5B" w:rsidRDefault="00C71433" w:rsidP="009A3199">
            <w:pPr>
              <w:jc w:val="center"/>
              <w:rPr>
                <w:rFonts w:ascii="Palatino Linotype" w:hAnsi="Palatino Linotype" w:cstheme="minorHAnsi"/>
                <w:sz w:val="18"/>
                <w:szCs w:val="18"/>
              </w:rPr>
            </w:pPr>
          </w:p>
        </w:tc>
        <w:tc>
          <w:tcPr>
            <w:tcW w:w="1984" w:type="dxa"/>
            <w:vMerge/>
            <w:vAlign w:val="center"/>
          </w:tcPr>
          <w:p w14:paraId="6CDE6224" w14:textId="77777777" w:rsidR="00C71433" w:rsidRPr="00F21A5B" w:rsidRDefault="00C71433" w:rsidP="009A3199">
            <w:pPr>
              <w:jc w:val="center"/>
              <w:rPr>
                <w:rFonts w:ascii="Palatino Linotype" w:hAnsi="Palatino Linotype" w:cstheme="minorHAnsi"/>
                <w:sz w:val="18"/>
                <w:szCs w:val="18"/>
              </w:rPr>
            </w:pPr>
          </w:p>
        </w:tc>
        <w:tc>
          <w:tcPr>
            <w:tcW w:w="1980" w:type="dxa"/>
            <w:vMerge/>
            <w:vAlign w:val="center"/>
          </w:tcPr>
          <w:p w14:paraId="2A67FE9C" w14:textId="77777777" w:rsidR="00C71433" w:rsidRPr="00F21A5B" w:rsidRDefault="00C71433" w:rsidP="009A3199">
            <w:pPr>
              <w:jc w:val="center"/>
              <w:rPr>
                <w:rFonts w:ascii="Palatino Linotype" w:hAnsi="Palatino Linotype" w:cstheme="minorHAnsi"/>
                <w:sz w:val="18"/>
                <w:szCs w:val="18"/>
              </w:rPr>
            </w:pPr>
          </w:p>
        </w:tc>
      </w:tr>
      <w:tr w:rsidR="00C71433" w:rsidRPr="00F21A5B" w14:paraId="39DDB475" w14:textId="77777777" w:rsidTr="00A77E70">
        <w:tc>
          <w:tcPr>
            <w:tcW w:w="1560" w:type="dxa"/>
            <w:vAlign w:val="center"/>
          </w:tcPr>
          <w:p w14:paraId="6AA7C38E" w14:textId="77777777" w:rsidR="00C71433" w:rsidRPr="00F21A5B" w:rsidRDefault="00C71433" w:rsidP="009A3199">
            <w:pPr>
              <w:jc w:val="center"/>
              <w:rPr>
                <w:rFonts w:ascii="Palatino Linotype" w:hAnsi="Palatino Linotype" w:cstheme="minorHAnsi"/>
                <w:i/>
                <w:sz w:val="18"/>
                <w:szCs w:val="18"/>
              </w:rPr>
            </w:pPr>
            <w:r w:rsidRPr="00F21A5B">
              <w:rPr>
                <w:rFonts w:ascii="Palatino Linotype" w:hAnsi="Palatino Linotype" w:cstheme="minorHAnsi"/>
                <w:i/>
                <w:sz w:val="18"/>
                <w:szCs w:val="18"/>
              </w:rPr>
              <w:t xml:space="preserve">S100B </w:t>
            </w:r>
          </w:p>
        </w:tc>
        <w:tc>
          <w:tcPr>
            <w:tcW w:w="1559" w:type="dxa"/>
            <w:vAlign w:val="center"/>
          </w:tcPr>
          <w:p w14:paraId="41060C82"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Align w:val="center"/>
          </w:tcPr>
          <w:p w14:paraId="201A9C9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Sprague Dawley rats</w:t>
            </w:r>
          </w:p>
        </w:tc>
        <w:tc>
          <w:tcPr>
            <w:tcW w:w="1417" w:type="dxa"/>
            <w:vAlign w:val="center"/>
          </w:tcPr>
          <w:p w14:paraId="37F6EE28"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tc>
        <w:tc>
          <w:tcPr>
            <w:tcW w:w="1985" w:type="dxa"/>
            <w:vAlign w:val="center"/>
          </w:tcPr>
          <w:p w14:paraId="171B341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VCM</w:t>
            </w:r>
          </w:p>
        </w:tc>
        <w:tc>
          <w:tcPr>
            <w:tcW w:w="1843" w:type="dxa"/>
            <w:vAlign w:val="center"/>
          </w:tcPr>
          <w:p w14:paraId="09A97195"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xml:space="preserve">Gingko biloba leaf extract </w:t>
            </w:r>
          </w:p>
          <w:p w14:paraId="447708D7" w14:textId="77777777" w:rsidR="00C71433" w:rsidRPr="00F21A5B" w:rsidRDefault="00C71433" w:rsidP="009A3199">
            <w:pPr>
              <w:jc w:val="center"/>
              <w:rPr>
                <w:rFonts w:ascii="Palatino Linotype" w:hAnsi="Palatino Linotype" w:cstheme="minorHAnsi"/>
                <w:sz w:val="18"/>
                <w:szCs w:val="18"/>
              </w:rPr>
            </w:pPr>
          </w:p>
          <w:p w14:paraId="259B0449"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Vitamin E</w:t>
            </w:r>
          </w:p>
        </w:tc>
        <w:tc>
          <w:tcPr>
            <w:tcW w:w="1984" w:type="dxa"/>
            <w:vAlign w:val="center"/>
          </w:tcPr>
          <w:p w14:paraId="470038B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lastRenderedPageBreak/>
              <w:t>Decrease in S100B</w:t>
            </w:r>
          </w:p>
          <w:p w14:paraId="6E8D8ACA" w14:textId="77777777" w:rsidR="00C71433" w:rsidRPr="00F21A5B" w:rsidRDefault="00C71433" w:rsidP="009A3199">
            <w:pPr>
              <w:jc w:val="center"/>
              <w:rPr>
                <w:rFonts w:ascii="Palatino Linotype" w:hAnsi="Palatino Linotype" w:cstheme="minorHAnsi"/>
                <w:sz w:val="18"/>
                <w:szCs w:val="18"/>
              </w:rPr>
            </w:pPr>
          </w:p>
          <w:p w14:paraId="4712694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lastRenderedPageBreak/>
              <w:t>Decrease in VCM</w:t>
            </w:r>
          </w:p>
          <w:p w14:paraId="285ED457" w14:textId="77777777" w:rsidR="00C71433" w:rsidRPr="00F21A5B" w:rsidRDefault="00C71433" w:rsidP="009A3199">
            <w:pPr>
              <w:jc w:val="center"/>
              <w:rPr>
                <w:rFonts w:ascii="Palatino Linotype" w:hAnsi="Palatino Linotype" w:cstheme="minorHAnsi"/>
                <w:sz w:val="18"/>
                <w:szCs w:val="18"/>
              </w:rPr>
            </w:pPr>
          </w:p>
          <w:p w14:paraId="5904E2DF" w14:textId="77777777" w:rsidR="00C71433" w:rsidRPr="00F21A5B" w:rsidRDefault="00C71433" w:rsidP="009A3199">
            <w:pPr>
              <w:jc w:val="center"/>
              <w:rPr>
                <w:rStyle w:val="id-label"/>
                <w:rFonts w:ascii="Palatino Linotype" w:hAnsi="Palatino Linotype" w:cstheme="minorHAnsi"/>
                <w:sz w:val="18"/>
                <w:szCs w:val="18"/>
              </w:rPr>
            </w:pPr>
            <w:r w:rsidRPr="00F21A5B">
              <w:rPr>
                <w:rFonts w:ascii="Palatino Linotype" w:hAnsi="Palatino Linotype" w:cstheme="minorHAnsi"/>
                <w:sz w:val="18"/>
                <w:szCs w:val="18"/>
              </w:rPr>
              <w:t>Increased antioxidative capacity</w:t>
            </w:r>
          </w:p>
        </w:tc>
        <w:tc>
          <w:tcPr>
            <w:tcW w:w="1980" w:type="dxa"/>
            <w:vAlign w:val="center"/>
          </w:tcPr>
          <w:p w14:paraId="7AD4340C" w14:textId="32620042" w:rsidR="00C71433" w:rsidRPr="00F21A5B" w:rsidRDefault="002F2B54" w:rsidP="002F2B54">
            <w:pPr>
              <w:jc w:val="center"/>
              <w:rPr>
                <w:rFonts w:ascii="Palatino Linotype" w:hAnsi="Palatino Linotype" w:cstheme="minorHAnsi"/>
                <w:sz w:val="18"/>
                <w:szCs w:val="18"/>
              </w:rPr>
            </w:pPr>
            <w:r>
              <w:rPr>
                <w:rFonts w:ascii="Palatino Linotype" w:hAnsi="Palatino Linotype" w:cstheme="minorHAnsi"/>
                <w:sz w:val="18"/>
                <w:szCs w:val="18"/>
              </w:rPr>
              <w:lastRenderedPageBreak/>
              <w:fldChar w:fldCharType="begin" w:fldLock="1"/>
            </w:r>
            <w:r w:rsidR="005E78F7">
              <w:rPr>
                <w:rFonts w:ascii="Palatino Linotype" w:hAnsi="Palatino Linotype" w:cstheme="minorHAnsi"/>
                <w:sz w:val="18"/>
                <w:szCs w:val="18"/>
              </w:rPr>
              <w:instrText>ADDIN CSL_CITATION {"citationItems":[{"id":"ITEM-1","itemData":{"DOI":"10.1016/j.bbr.2015.10.004","ISSN":"1872-7549","PMID":"26455874","abstract":"Tardive dyskinesia (TD) is a serious side effect induced by the long-term administration of typical antipsychotics. The pathophysiology of TD remains unclear, but experimental evidence suggests that neurodegeneration caused by free radicals may play an important role in TD development. S100B is considered a potential biomarker of structural neural and glial damage. This study investigated S100B expression in TD-related brain regions and assessed the effect of antioxidants Gingko biloba leaf extract (EGb761) and vitamin E (VE) on S100B in TD rats. A total of 32 rats were randomly divided into 4 study groups: saline control (saline), haloperidol alone group (Hal), EGb761-haloperidol (EGb-Hal), and vitamin E-haloperidol (VE-Hal). Rats were treated with haloperidol intraperitoneal injections (2mg/kg/day) each day for 5 weeks. EGb761 (50mg/kg/day) and VE (20mg/kg/day) were then administered during a 5-week withdrawal period. We performed behavioral assessments and immunohistochemically analyzed S100B expression in four TD-related brain regions. Our findings demonstrated that haloperidol administration led to a progressive increase in VCMs and in S100B expression in all four brain regions. Both EGb761 and VE reversed these changes, and there were no group differences between the EGb761 and VE groups. Our results indicated that long-term administration of haloperidol may induce VCMs and increase S100B expression in TD-related brain regions, and S100B may be a significant biomarker related to TD pathophysiology. Moreover, the antioxidant capacity of EGb761 and VE coupled with the possible neuroprotective effects of S100B may account for their success in improving the symptoms of haloperidol-induced TD.","author":[{"dropping-particle":"","family":"An","given":"Hui Mei","non-dropping-particle":"","parse-names":false,"suffix":""},{"dropping-particle":"","family":"Tan","given":"Yun Long","non-dropping-particle":"","parse-names":false,"suffix":""},{"dropping-particle":"","family":"Shi","given":"Jing","non-dropping-particle":"","parse-names":false,"suffix":""},{"dropping-particle":"","family":"Wang","given":"Zhi Ren","non-dropping-particle":"","parse-names":false,"suffix":""},{"dropping-particle":"","family":"Li","given":"Jia","non-dropping-particle":"","parse-names":false,"suffix":""},{"dropping-particle":"","family":"Wang","given":"Yue Chan","non-dropping-particle":"","parse-names":false,"suffix":""},{"dropping-particle":"","family":"Lv","given":"Meng Han","non-dropping-particle":"","parse-names":false,"suffix":""},{"dropping-particle":"","family":"Zhou","given":"Dong Feng","non-dropping-particle":"","parse-names":false,"suffix":""},{"dropping-particle":"","family":"Soares","given":"Jair C","non-dropping-particle":"","parse-names":false,"suffix":""},{"dropping-particle":"","family":"Kosten","given":"Thoams R","non-dropping-particle":"","parse-names":false,"suffix":""},{"dropping-particle":"De","family":"Yang","given":"Fu","non-dropping-particle":"","parse-names":false,"suffix":""},{"dropping-particle":"","family":"Zhang","given":"Xiang Yang","non-dropping-particle":"","parse-names":false,"suffix":""}],"container-title":"Behavioural brain research","id":"ITEM-1","issued":{"date-parts":[["2016","1","15"]]},"page":"124-30","publisher":"Behav Brain Res","title":"Beneficial effects of EGb761 and vitamin E on haloperidol-induced vacuous chewing movements in rats: Possible involvement of S100B mechanisms.","type":"article-journal","volume":"297"},"uris":["http://www.mendeley.com/documents/?uuid=7c115d97-6d2b-3f0a-9180-6b9447b81095"]}],"mendeley":{"formattedCitation":"(An et al. 2016a)","plainTextFormattedCitation":"(An et al. 2016a)","previouslyFormattedCitation":"(An et al. 2016a)"},"properties":{"noteIndex":0},"schema":"https://github.com/citation-style-language/schema/raw/master/csl-citation.json"}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(An et al. 2016a)</w:t>
            </w:r>
            <w:r>
              <w:rPr>
                <w:rFonts w:ascii="Palatino Linotype" w:hAnsi="Palatino Linotype" w:cstheme="minorHAnsi"/>
                <w:sz w:val="18"/>
                <w:szCs w:val="18"/>
              </w:rPr>
              <w:fldChar w:fldCharType="end"/>
            </w:r>
          </w:p>
        </w:tc>
      </w:tr>
      <w:tr w:rsidR="00C71433" w:rsidRPr="00F21A5B" w14:paraId="6C1D0E08" w14:textId="77777777" w:rsidTr="00A77E70">
        <w:trPr>
          <w:trHeight w:val="382"/>
        </w:trPr>
        <w:tc>
          <w:tcPr>
            <w:tcW w:w="1560" w:type="dxa"/>
            <w:vAlign w:val="center"/>
          </w:tcPr>
          <w:p w14:paraId="0960CF57"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TNFα</w:t>
            </w:r>
          </w:p>
          <w:p w14:paraId="61FEE01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IL-1β</w:t>
            </w:r>
          </w:p>
          <w:p w14:paraId="09E8E2DA"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IL-6</w:t>
            </w:r>
          </w:p>
        </w:tc>
        <w:tc>
          <w:tcPr>
            <w:tcW w:w="1559" w:type="dxa"/>
            <w:vAlign w:val="center"/>
          </w:tcPr>
          <w:p w14:paraId="465373A7"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restart"/>
            <w:vAlign w:val="center"/>
          </w:tcPr>
          <w:p w14:paraId="0A8898D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Wistar rats</w:t>
            </w:r>
          </w:p>
        </w:tc>
        <w:tc>
          <w:tcPr>
            <w:tcW w:w="1417" w:type="dxa"/>
            <w:vMerge w:val="restart"/>
            <w:vAlign w:val="center"/>
          </w:tcPr>
          <w:p w14:paraId="355B913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tc>
        <w:tc>
          <w:tcPr>
            <w:tcW w:w="1985" w:type="dxa"/>
            <w:vMerge w:val="restart"/>
            <w:vAlign w:val="center"/>
          </w:tcPr>
          <w:p w14:paraId="14DFF961"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Orofacial dyskinesia</w:t>
            </w:r>
          </w:p>
        </w:tc>
        <w:tc>
          <w:tcPr>
            <w:tcW w:w="1843" w:type="dxa"/>
            <w:vMerge w:val="restart"/>
            <w:vAlign w:val="center"/>
          </w:tcPr>
          <w:p w14:paraId="6F6EA965"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Lycopene</w:t>
            </w:r>
          </w:p>
        </w:tc>
        <w:tc>
          <w:tcPr>
            <w:tcW w:w="1984" w:type="dxa"/>
            <w:vMerge w:val="restart"/>
            <w:vAlign w:val="center"/>
          </w:tcPr>
          <w:p w14:paraId="03657983" w14:textId="77777777" w:rsidR="00C71433" w:rsidRPr="00F21A5B" w:rsidRDefault="00C71433" w:rsidP="009A3199">
            <w:pPr>
              <w:jc w:val="center"/>
              <w:rPr>
                <w:rStyle w:val="id-label"/>
                <w:rFonts w:ascii="Palatino Linotype" w:hAnsi="Palatino Linotype" w:cstheme="minorHAnsi"/>
                <w:sz w:val="18"/>
                <w:szCs w:val="18"/>
              </w:rPr>
            </w:pPr>
            <w:proofErr w:type="spellStart"/>
            <w:r w:rsidRPr="00F21A5B">
              <w:rPr>
                <w:rFonts w:ascii="Palatino Linotype" w:hAnsi="Palatino Linotype" w:cstheme="minorHAnsi"/>
                <w:sz w:val="18"/>
                <w:szCs w:val="18"/>
              </w:rPr>
              <w:t>Imorovement</w:t>
            </w:r>
            <w:proofErr w:type="spellEnd"/>
            <w:r w:rsidRPr="00F21A5B">
              <w:rPr>
                <w:rFonts w:ascii="Palatino Linotype" w:hAnsi="Palatino Linotype" w:cstheme="minorHAnsi"/>
                <w:sz w:val="18"/>
                <w:szCs w:val="18"/>
              </w:rPr>
              <w:t xml:space="preserve"> in behavioral, biochemical, neurochemical and neuroinflammatory markers</w:t>
            </w:r>
          </w:p>
        </w:tc>
        <w:tc>
          <w:tcPr>
            <w:tcW w:w="1980" w:type="dxa"/>
            <w:vMerge w:val="restart"/>
            <w:vAlign w:val="center"/>
          </w:tcPr>
          <w:p w14:paraId="1DEEC58A" w14:textId="5A59DDD0" w:rsidR="003B3E22" w:rsidRPr="00F21A5B"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{"citationItems":[{"id":"ITEM-1","itemData":{"DOI":"10.1016/j.ejphar.2015.12.032","ISSN":"1879-0712","PMID":"26712377","abstract":"Tardive Dyskinesia is a severe side effect of chronic neuroleptic treatment consisting of abnormal involuntary movements, characterized by orofacial dyskinesia. The study was designed to investigate the protective effect of lycopene against haloperidol induced orofacial dyskinesia possibly by neurochemical and neuroinflammatory modulation in rats. Rats were administered with haloperidol (1mg/kg, i.p for 21 days) to induce orofacial dyskinesia. Lycopene (5 and 10mg/kg, p.o) was given daily 1hour before haloperidol treatment for 21 days. Behavioral observations (vacuous chewing movements, tongue protrusions, facial jerking, rotarod activity, grip strength, narrow beam walking) were assessed on 0th, 7th(,) 14th(,) 21st day after haloperidol treatment. On 22nd day, animals were killed and striatum was excised for estimation of biochemical parameters (malondialdehyde, nitrite and endogenous enzyme (GSH), pro-inflammatory cytokines [Tumor necrosis factor, Interleukin 1β, Interleukin 6] and neurotransmitters level (dopamine, serotonin, nor epinephrine, 5-Hydroxyindole acetic acid (5-HIAA), Homovanillic acid, 3,4- dihydroxyphenylacetic acid. Haloperidol treatment for 21 days impaired muscle co-ordination, motor activity and grip strength with an increased in orofacial dyskinetic movements. Further free radical generation increases MDA and nitrite levels, decreasing GSH levels in striatum. Neuroinflammatory markers were significantly increased with decrease in neurotransmitters levels. Lycopene (5 and 10mg/kg, p.o) treatment along with haloperidol significantly attenuated impairment in behavioral, biochemical, neurochemical and neuroinflammatory markers. Results of the present study attributed the therapeutic potential of lycopene in the treatment (prevented or delayed) of typical antipsychotic induced orofacial dyskinesia.","author":[{"dropping-particle":"","family":"Datta","given":"Swati","non-dropping-particle":"","parse-names":false,"suffix":""},{"dropping-particle":"","family":"Jamwal","given":"Sumit","non-dropping-particle":"","parse-names":false,"suffix":""},{"dropping-particle":"","family":"Deshmukh","given":"Rahul","non-dropping-particle":"","parse-names":false,"suffix":""},{"dropping-particle":"","family":"Kumar","given":"Puneet","non-dropping-particle":"","parse-names":false,"suffix":""}],"container-title":"European journal of pharmacology","id":"ITEM-1","issued":{"date-parts":[["2016","1","15"]]},"page":"229-35","publisher":"Eur J Pharmacol","title":"Beneficial effects of lycopene against haloperidol induced orofacial dyskinesia in rats: Possible neurotransmitters and neuroinflammation modulation.","type":"article-journal","volume":"771"},"uris":["http://www.mendeley.com/documents/?uuid=2ed98054-5a45-355d-882b-57bf9648f96e"]}],"mendeley":{"formattedCitation":"(Datta et al. 2016)","plainTextFormattedCitation":"(Datta et al. 2016)","previouslyFormattedCitation":"(Datta et al. 2016)"},"properties":{"noteIndex":0},"schema":"https://github.com/citation-style-language/schema/raw/master/csl-citation.json"}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(Datta et al. 2016)</w:t>
            </w:r>
            <w:r>
              <w:rPr>
                <w:rFonts w:ascii="Palatino Linotype" w:hAnsi="Palatino Linotype" w:cstheme="minorHAnsi"/>
                <w:sz w:val="18"/>
                <w:szCs w:val="18"/>
              </w:rPr>
              <w:fldChar w:fldCharType="end"/>
            </w:r>
          </w:p>
        </w:tc>
      </w:tr>
      <w:tr w:rsidR="00C71433" w:rsidRPr="00F21A5B" w14:paraId="0A3FC0DA" w14:textId="77777777" w:rsidTr="00A77E70">
        <w:trPr>
          <w:trHeight w:val="381"/>
        </w:trPr>
        <w:tc>
          <w:tcPr>
            <w:tcW w:w="1560" w:type="dxa"/>
            <w:vAlign w:val="center"/>
          </w:tcPr>
          <w:p w14:paraId="31B02D0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GSH</w:t>
            </w:r>
          </w:p>
        </w:tc>
        <w:tc>
          <w:tcPr>
            <w:tcW w:w="1559" w:type="dxa"/>
            <w:vAlign w:val="center"/>
          </w:tcPr>
          <w:p w14:paraId="4EBB9957"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ign w:val="center"/>
          </w:tcPr>
          <w:p w14:paraId="0DF682DD" w14:textId="77777777" w:rsidR="00C71433" w:rsidRPr="00F21A5B" w:rsidRDefault="00C71433" w:rsidP="009A3199">
            <w:pPr>
              <w:jc w:val="center"/>
              <w:rPr>
                <w:rFonts w:ascii="Palatino Linotype" w:hAnsi="Palatino Linotype" w:cstheme="minorHAnsi"/>
                <w:sz w:val="18"/>
                <w:szCs w:val="18"/>
              </w:rPr>
            </w:pPr>
          </w:p>
        </w:tc>
        <w:tc>
          <w:tcPr>
            <w:tcW w:w="1417" w:type="dxa"/>
            <w:vMerge/>
            <w:vAlign w:val="center"/>
          </w:tcPr>
          <w:p w14:paraId="45070D1C" w14:textId="77777777" w:rsidR="00C71433" w:rsidRPr="00F21A5B" w:rsidRDefault="00C71433" w:rsidP="009A3199">
            <w:pPr>
              <w:jc w:val="center"/>
              <w:rPr>
                <w:rFonts w:ascii="Palatino Linotype" w:hAnsi="Palatino Linotype" w:cstheme="minorHAnsi"/>
                <w:sz w:val="18"/>
                <w:szCs w:val="18"/>
              </w:rPr>
            </w:pPr>
          </w:p>
        </w:tc>
        <w:tc>
          <w:tcPr>
            <w:tcW w:w="1985" w:type="dxa"/>
            <w:vMerge/>
            <w:vAlign w:val="center"/>
          </w:tcPr>
          <w:p w14:paraId="3A8EC72F" w14:textId="77777777" w:rsidR="00C71433" w:rsidRPr="00F21A5B" w:rsidRDefault="00C71433" w:rsidP="009A3199">
            <w:pPr>
              <w:jc w:val="center"/>
              <w:rPr>
                <w:rFonts w:ascii="Palatino Linotype" w:hAnsi="Palatino Linotype" w:cstheme="minorHAnsi"/>
                <w:sz w:val="18"/>
                <w:szCs w:val="18"/>
              </w:rPr>
            </w:pPr>
          </w:p>
        </w:tc>
        <w:tc>
          <w:tcPr>
            <w:tcW w:w="1843" w:type="dxa"/>
            <w:vMerge/>
            <w:vAlign w:val="center"/>
          </w:tcPr>
          <w:p w14:paraId="127C3204" w14:textId="77777777" w:rsidR="00C71433" w:rsidRPr="00F21A5B" w:rsidRDefault="00C71433" w:rsidP="009A3199">
            <w:pPr>
              <w:jc w:val="center"/>
              <w:rPr>
                <w:rFonts w:ascii="Palatino Linotype" w:hAnsi="Palatino Linotype" w:cstheme="minorHAnsi"/>
                <w:sz w:val="18"/>
                <w:szCs w:val="18"/>
              </w:rPr>
            </w:pPr>
          </w:p>
        </w:tc>
        <w:tc>
          <w:tcPr>
            <w:tcW w:w="1984" w:type="dxa"/>
            <w:vMerge/>
            <w:vAlign w:val="center"/>
          </w:tcPr>
          <w:p w14:paraId="4197720F" w14:textId="77777777" w:rsidR="00C71433" w:rsidRPr="00F21A5B" w:rsidRDefault="00C71433" w:rsidP="009A3199">
            <w:pPr>
              <w:jc w:val="center"/>
              <w:rPr>
                <w:rFonts w:ascii="Palatino Linotype" w:hAnsi="Palatino Linotype" w:cstheme="minorHAnsi"/>
                <w:sz w:val="18"/>
                <w:szCs w:val="18"/>
              </w:rPr>
            </w:pPr>
          </w:p>
        </w:tc>
        <w:tc>
          <w:tcPr>
            <w:tcW w:w="1980" w:type="dxa"/>
            <w:vMerge/>
            <w:vAlign w:val="center"/>
          </w:tcPr>
          <w:p w14:paraId="69FF8289" w14:textId="77777777" w:rsidR="00C71433" w:rsidRPr="00F21A5B" w:rsidRDefault="00C71433" w:rsidP="009A3199">
            <w:pPr>
              <w:jc w:val="center"/>
              <w:rPr>
                <w:rFonts w:ascii="Palatino Linotype" w:hAnsi="Palatino Linotype" w:cstheme="minorHAnsi"/>
                <w:sz w:val="18"/>
                <w:szCs w:val="18"/>
              </w:rPr>
            </w:pPr>
          </w:p>
        </w:tc>
      </w:tr>
      <w:tr w:rsidR="00C71433" w:rsidRPr="00AE2DED" w14:paraId="699E082B" w14:textId="77777777" w:rsidTr="00A77E70">
        <w:tc>
          <w:tcPr>
            <w:tcW w:w="1560" w:type="dxa"/>
            <w:vAlign w:val="center"/>
          </w:tcPr>
          <w:p w14:paraId="4AD62112"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xml:space="preserve">CAT activity </w:t>
            </w:r>
          </w:p>
        </w:tc>
        <w:tc>
          <w:tcPr>
            <w:tcW w:w="1559" w:type="dxa"/>
            <w:vAlign w:val="center"/>
          </w:tcPr>
          <w:p w14:paraId="13BF7A05"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Align w:val="center"/>
          </w:tcPr>
          <w:p w14:paraId="33B8DA6C"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Wistar rats</w:t>
            </w:r>
          </w:p>
        </w:tc>
        <w:tc>
          <w:tcPr>
            <w:tcW w:w="1417" w:type="dxa"/>
            <w:vAlign w:val="center"/>
          </w:tcPr>
          <w:p w14:paraId="55A03B72"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Fluphenazine</w:t>
            </w:r>
          </w:p>
        </w:tc>
        <w:tc>
          <w:tcPr>
            <w:tcW w:w="1985" w:type="dxa"/>
            <w:vAlign w:val="center"/>
          </w:tcPr>
          <w:p w14:paraId="7F1578E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Orofacial dyskinesia</w:t>
            </w:r>
          </w:p>
        </w:tc>
        <w:tc>
          <w:tcPr>
            <w:tcW w:w="1843" w:type="dxa"/>
            <w:vAlign w:val="center"/>
          </w:tcPr>
          <w:p w14:paraId="75CD073E"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Ethyl acetate fraction of H. procumbens</w:t>
            </w:r>
          </w:p>
        </w:tc>
        <w:tc>
          <w:tcPr>
            <w:tcW w:w="1984" w:type="dxa"/>
            <w:vAlign w:val="center"/>
          </w:tcPr>
          <w:p w14:paraId="559BCC22" w14:textId="77777777" w:rsidR="00C71433" w:rsidRPr="00F21A5B" w:rsidRDefault="00C71433" w:rsidP="009A3199">
            <w:pPr>
              <w:jc w:val="center"/>
              <w:rPr>
                <w:rStyle w:val="id-label"/>
                <w:rFonts w:ascii="Palatino Linotype" w:hAnsi="Palatino Linotype" w:cstheme="minorHAnsi"/>
                <w:sz w:val="18"/>
                <w:szCs w:val="18"/>
              </w:rPr>
            </w:pPr>
            <w:r w:rsidRPr="00F21A5B">
              <w:rPr>
                <w:rStyle w:val="id-label"/>
                <w:rFonts w:ascii="Palatino Linotype" w:hAnsi="Palatino Linotype" w:cstheme="minorHAnsi"/>
                <w:sz w:val="18"/>
                <w:szCs w:val="18"/>
              </w:rPr>
              <w:t>Amelioration of oxidative stress</w:t>
            </w:r>
          </w:p>
        </w:tc>
        <w:tc>
          <w:tcPr>
            <w:tcW w:w="1980" w:type="dxa"/>
            <w:vAlign w:val="center"/>
          </w:tcPr>
          <w:p w14:paraId="0E8D9BC8" w14:textId="4F7D2EE5" w:rsidR="003B3E22" w:rsidRPr="00AE2DED" w:rsidRDefault="003B3E22" w:rsidP="009A3199">
            <w:pPr>
              <w:jc w:val="center"/>
              <w:rPr>
                <w:rFonts w:ascii="Palatino Linotype" w:hAnsi="Palatino Linotype" w:cstheme="minorHAnsi"/>
                <w:sz w:val="18"/>
                <w:szCs w:val="18"/>
                <w:lang w:val="it-IT"/>
                <w:rPrChange w:id="7" w:author="Samson Oyebanjo" w:date="2021-12-31T16:52:00Z">
                  <w:rPr>
                    <w:rFonts w:ascii="Palatino Linotype" w:hAnsi="Palatino Linotype" w:cstheme="minorHAnsi"/>
                    <w:sz w:val="18"/>
                    <w:szCs w:val="18"/>
                  </w:rPr>
                </w:rPrChange>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{"citationItems":[{"id":"ITEM-1","itemData":{"DOI":"10.1007/s11064-015-1811-y","ISSN":"1573-6903","PMID":"26732278","abstract":"Long-term treatment with fluphenazine is associated with manifestation of extrapyramidal side effects, such as tardive dyskinesia. The molecular mechanisms related to the pathophysiology of TD remain unclear, and several hypotheses, including a role for oxidative stress, have been proposed. Harpagophytum procumbens is an herbal medicine used mainly due to anti-inflammatory effects, but it also exhibits antioxidant effects. We investigated the effect of ethyl acetate fraction of H. procumbens (EAF HP) in fluphenazine-induced orofacial dyskinesia by evaluating behavioral parameters at different times (vacuous chewing movements (VCM's) and locomotor and exploratory activity), biochemical serological analyses, and biochemical markers of oxidative stress of the liver, kidney, cortex, and striatum. Chronic administration of fluphenazine (25 mg/kg, intramuscular (i.m) significantly increased the VCMs at all analyzed times (2, 7, 14, and 21 days), and this was inhibited by EAF HP (especially at a dose of 30 mg/kg). Fluphenazine decreased locomotion and exploratory activity, and EAF HP did not improve this decrease. Fluphenazine induced oxidative damage, as identified by changes in catalase activity and ROS levels in the cortex and striatum, which was reduced by EAF HP, especially in the striatum. In the cortex, EAF HP was protective against fluphenazine-induced changes in catalase activity but not against the increase in ROS level. Furthermore, EAF HP was shown to be safe, since affected serum biochemical parameters or parameters of oxidative stress in the liver and kidney. These findings suggest that the H. procumbens is a promising therapeutic agent for the treatment of involuntary oral movements.","author":[{"dropping-particle":"","family":"Schaffer","given":"Larissa Finger","non-dropping-particle":"","parse-names":false,"suffix":""},{"dropping-particle":"","family":"Freitas","given":"Catiuscia Molz","non-dropping-particle":"de","parse-names":false,"suffix":""},{"dropping-particle":"","family":"Chiapinotto Ceretta","given":"Ana Paula","non-dropping-particle":"","parse-names":false,"suffix":""},{"dropping-particle":"","family":"Peroza","given":"Luis Ricardo","non-dropping-particle":"","parse-names":false,"suffix":""},{"dropping-particle":"","family":"Moraes Reis","given":"Elizete","non-dropping-particle":"de</w:instrText>
            </w:r>
            <w:r w:rsidR="005E78F7" w:rsidRPr="00AE2DED">
              <w:rPr>
                <w:rFonts w:ascii="Palatino Linotype" w:hAnsi="Palatino Linotype" w:cstheme="minorHAnsi"/>
                <w:sz w:val="18"/>
                <w:szCs w:val="18"/>
                <w:lang w:val="it-IT"/>
                <w:rPrChange w:id="8" w:author="Samson Oyebanjo" w:date="2021-12-31T16:52:00Z">
                  <w:rPr>
                    <w:rFonts w:ascii="Palatino Linotype" w:hAnsi="Palatino Linotype" w:cstheme="minorHAnsi"/>
                    <w:sz w:val="18"/>
                    <w:szCs w:val="18"/>
                  </w:rPr>
                </w:rPrChange>
              </w:rPr>
              <w:instrText>","parse-names":false,"suffix":""},{"dropping-particle":"","family":"Krum","given":"Bárbara Nunes","non-dropping-particle":"","parse-names":false,"suffix":""},{"dropping-particle":"","family":"Busanello","given":"Alcindo","non-dropping-particle":"","parse-names":false,"suffix":""},{"dropping-particle":"","family":"Boligon","given":"Aline Augusti","non-dropping-particle":"","parse-names":false,"suffix":""},{"dropping-particle":"","family":"Sudati","given":"Jéssie Haigert","non-dropping-particle":"","parse-names":false,"suffix":""},{"dropping-particle":"","family":"Fachinetto","given":"Roselei","non-dropping-particle":"","parse-names":false,"suffix":""},{"dropping-particle":"","family":"Wagner","given":"Caroline","non-dropping-particle":"","parse-names":false,"suffix":""}],"container-title":"Neurochemical research","id":"ITEM-1","issue":"5","issued":{"date-parts":[["2016","5"]]},"page":"1170-84","publisher":"Neurochem Res","title":"Harpagophytum Procumbens Ethyl Acetate Fraction Reduces Fluphenazine-Induced Vacuous Chewing Movements and Oxidative Stress in Rat Brain.","type":"article-journal","volume":"41"},"uris":["http://www.mendeley.com/documents/?uuid=bd896332-e6c9-3af6-8d67-7ccd1104abdf"]}],"mendeley":{"formattedCitation":"(Schaffer et al. 2016)","plainTextFormattedCitation":"(Schaffer et al. 2016)","previouslyFormattedCitation":"(Schaffer et al. 2016)"},"properties":{"noteIndex":0},"schema":"https://github.com/citation-style-language/schema/raw/master/csl-citation.json"}</w:instrText>
            </w:r>
            <w:r>
              <w:rPr>
                <w:rFonts w:ascii="Palatino Linotype" w:hAnsi="Palatino Linotype" w:cstheme="minorHAnsi"/>
                <w:sz w:val="18"/>
                <w:szCs w:val="18"/>
              </w:rPr>
              <w:fldChar w:fldCharType="separate"/>
            </w:r>
            <w:r w:rsidR="001060C2" w:rsidRPr="00AE2DED">
              <w:rPr>
                <w:rFonts w:ascii="Palatino Linotype" w:hAnsi="Palatino Linotype" w:cstheme="minorHAnsi"/>
                <w:noProof/>
                <w:sz w:val="18"/>
                <w:szCs w:val="18"/>
                <w:lang w:val="it-IT"/>
                <w:rPrChange w:id="9" w:author="Samson Oyebanjo" w:date="2021-12-31T16:52:00Z">
                  <w:rPr>
                    <w:rFonts w:ascii="Palatino Linotype" w:hAnsi="Palatino Linotype" w:cstheme="minorHAnsi"/>
                    <w:noProof/>
                    <w:sz w:val="18"/>
                    <w:szCs w:val="18"/>
                  </w:rPr>
                </w:rPrChange>
              </w:rPr>
              <w:t>(Schaffer et al. 2016)</w:t>
            </w:r>
            <w:r>
              <w:rPr>
                <w:rFonts w:ascii="Palatino Linotype" w:hAnsi="Palatino Linotype" w:cstheme="minorHAnsi"/>
                <w:sz w:val="18"/>
                <w:szCs w:val="18"/>
              </w:rPr>
              <w:fldChar w:fldCharType="end"/>
            </w:r>
          </w:p>
        </w:tc>
      </w:tr>
      <w:tr w:rsidR="00C71433" w:rsidRPr="00F21A5B" w14:paraId="009D9B45" w14:textId="77777777" w:rsidTr="00A77E70">
        <w:trPr>
          <w:trHeight w:val="478"/>
        </w:trPr>
        <w:tc>
          <w:tcPr>
            <w:tcW w:w="1560" w:type="dxa"/>
            <w:vAlign w:val="center"/>
          </w:tcPr>
          <w:p w14:paraId="6EAC4285" w14:textId="77777777" w:rsidR="00C71433" w:rsidRPr="00AE2DED" w:rsidRDefault="00C71433" w:rsidP="009A3199">
            <w:pPr>
              <w:jc w:val="center"/>
              <w:rPr>
                <w:rFonts w:ascii="Palatino Linotype" w:hAnsi="Palatino Linotype" w:cstheme="minorHAnsi"/>
                <w:sz w:val="18"/>
                <w:szCs w:val="18"/>
                <w:lang w:val="it-IT"/>
                <w:rPrChange w:id="10"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11" w:author="Samson Oyebanjo" w:date="2021-12-31T16:52:00Z">
                  <w:rPr>
                    <w:rFonts w:ascii="Palatino Linotype" w:hAnsi="Palatino Linotype" w:cstheme="minorHAnsi"/>
                    <w:sz w:val="18"/>
                    <w:szCs w:val="18"/>
                  </w:rPr>
                </w:rPrChange>
              </w:rPr>
              <w:t>IL-1</w:t>
            </w:r>
            <w:r w:rsidRPr="00F21A5B">
              <w:rPr>
                <w:rFonts w:ascii="Palatino Linotype" w:hAnsi="Palatino Linotype" w:cstheme="minorHAnsi"/>
                <w:sz w:val="18"/>
                <w:szCs w:val="18"/>
              </w:rPr>
              <w:t>β</w:t>
            </w:r>
            <w:r w:rsidRPr="00AE2DED">
              <w:rPr>
                <w:rFonts w:ascii="Palatino Linotype" w:hAnsi="Palatino Linotype" w:cstheme="minorHAnsi"/>
                <w:sz w:val="18"/>
                <w:szCs w:val="18"/>
                <w:lang w:val="it-IT"/>
                <w:rPrChange w:id="12" w:author="Samson Oyebanjo" w:date="2021-12-31T16:52:00Z">
                  <w:rPr>
                    <w:rFonts w:ascii="Palatino Linotype" w:hAnsi="Palatino Linotype" w:cstheme="minorHAnsi"/>
                    <w:sz w:val="18"/>
                    <w:szCs w:val="18"/>
                  </w:rPr>
                </w:rPrChange>
              </w:rPr>
              <w:t xml:space="preserve"> </w:t>
            </w:r>
          </w:p>
          <w:p w14:paraId="6180CD8B" w14:textId="77777777" w:rsidR="00C71433" w:rsidRPr="00AE2DED" w:rsidRDefault="00C71433" w:rsidP="009A3199">
            <w:pPr>
              <w:jc w:val="center"/>
              <w:rPr>
                <w:rFonts w:ascii="Palatino Linotype" w:hAnsi="Palatino Linotype" w:cstheme="minorHAnsi"/>
                <w:sz w:val="18"/>
                <w:szCs w:val="18"/>
                <w:lang w:val="it-IT"/>
                <w:rPrChange w:id="13"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14" w:author="Samson Oyebanjo" w:date="2021-12-31T16:52:00Z">
                  <w:rPr>
                    <w:rFonts w:ascii="Palatino Linotype" w:hAnsi="Palatino Linotype" w:cstheme="minorHAnsi"/>
                    <w:sz w:val="18"/>
                    <w:szCs w:val="18"/>
                  </w:rPr>
                </w:rPrChange>
              </w:rPr>
              <w:t>IL-6</w:t>
            </w:r>
          </w:p>
          <w:p w14:paraId="255A369F" w14:textId="77777777" w:rsidR="00C71433" w:rsidRPr="00AE2DED" w:rsidRDefault="00C71433" w:rsidP="009A3199">
            <w:pPr>
              <w:jc w:val="center"/>
              <w:rPr>
                <w:rFonts w:ascii="Palatino Linotype" w:hAnsi="Palatino Linotype" w:cstheme="minorHAnsi"/>
                <w:sz w:val="18"/>
                <w:szCs w:val="18"/>
                <w:lang w:val="it-IT"/>
                <w:rPrChange w:id="15"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16" w:author="Samson Oyebanjo" w:date="2021-12-31T16:52:00Z">
                  <w:rPr>
                    <w:rFonts w:ascii="Palatino Linotype" w:hAnsi="Palatino Linotype" w:cstheme="minorHAnsi"/>
                    <w:sz w:val="18"/>
                    <w:szCs w:val="18"/>
                  </w:rPr>
                </w:rPrChange>
              </w:rPr>
              <w:t>TNF</w:t>
            </w:r>
            <w:r w:rsidRPr="00F21A5B">
              <w:rPr>
                <w:rFonts w:ascii="Palatino Linotype" w:hAnsi="Palatino Linotype" w:cstheme="minorHAnsi"/>
                <w:sz w:val="18"/>
                <w:szCs w:val="18"/>
              </w:rPr>
              <w:t>α</w:t>
            </w:r>
          </w:p>
          <w:p w14:paraId="10EE4589" w14:textId="77777777" w:rsidR="00C71433" w:rsidRPr="00AE2DED" w:rsidRDefault="00C71433" w:rsidP="009A3199">
            <w:pPr>
              <w:jc w:val="center"/>
              <w:rPr>
                <w:rFonts w:ascii="Palatino Linotype" w:hAnsi="Palatino Linotype" w:cstheme="minorHAnsi"/>
                <w:sz w:val="18"/>
                <w:szCs w:val="18"/>
                <w:lang w:val="it-IT"/>
                <w:rPrChange w:id="17"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18" w:author="Samson Oyebanjo" w:date="2021-12-31T16:52:00Z">
                  <w:rPr>
                    <w:rFonts w:ascii="Palatino Linotype" w:hAnsi="Palatino Linotype" w:cstheme="minorHAnsi"/>
                    <w:sz w:val="18"/>
                    <w:szCs w:val="18"/>
                  </w:rPr>
                </w:rPrChange>
              </w:rPr>
              <w:t>IFN-</w:t>
            </w:r>
            <w:r w:rsidRPr="00F21A5B">
              <w:rPr>
                <w:rFonts w:ascii="Palatino Linotype" w:hAnsi="Palatino Linotype" w:cstheme="minorHAnsi"/>
                <w:sz w:val="18"/>
                <w:szCs w:val="18"/>
              </w:rPr>
              <w:t>γ</w:t>
            </w:r>
          </w:p>
        </w:tc>
        <w:tc>
          <w:tcPr>
            <w:tcW w:w="1559" w:type="dxa"/>
            <w:vAlign w:val="center"/>
          </w:tcPr>
          <w:p w14:paraId="1FEE4F18" w14:textId="77777777" w:rsidR="00C71433" w:rsidRPr="00AE2DED" w:rsidRDefault="00C71433" w:rsidP="009A3199">
            <w:pPr>
              <w:jc w:val="center"/>
              <w:rPr>
                <w:rFonts w:ascii="Palatino Linotype" w:hAnsi="Palatino Linotype" w:cstheme="minorHAnsi"/>
                <w:sz w:val="18"/>
                <w:szCs w:val="18"/>
                <w:lang w:val="it-IT"/>
                <w:rPrChange w:id="19" w:author="Samson Oyebanjo" w:date="2021-12-31T16:52:00Z">
                  <w:rPr>
                    <w:rFonts w:ascii="Palatino Linotype" w:hAnsi="Palatino Linotype" w:cstheme="minorHAnsi"/>
                    <w:sz w:val="18"/>
                    <w:szCs w:val="18"/>
                  </w:rPr>
                </w:rPrChange>
              </w:rPr>
            </w:pPr>
            <w:r w:rsidRPr="00AE2DED">
              <w:rPr>
                <w:sz w:val="18"/>
                <w:szCs w:val="18"/>
                <w:lang w:val="it-IT"/>
                <w:rPrChange w:id="20" w:author="Samson Oyebanjo" w:date="2021-12-31T16:52:00Z">
                  <w:rPr>
                    <w:sz w:val="18"/>
                    <w:szCs w:val="18"/>
                  </w:rPr>
                </w:rPrChange>
              </w:rPr>
              <w:t>↑</w:t>
            </w:r>
          </w:p>
        </w:tc>
        <w:tc>
          <w:tcPr>
            <w:tcW w:w="1701" w:type="dxa"/>
            <w:vMerge w:val="restart"/>
            <w:vAlign w:val="center"/>
          </w:tcPr>
          <w:p w14:paraId="145D19A6" w14:textId="77777777" w:rsidR="00C71433" w:rsidRPr="00AE2DED" w:rsidRDefault="00C71433" w:rsidP="009A3199">
            <w:pPr>
              <w:jc w:val="center"/>
              <w:rPr>
                <w:rFonts w:ascii="Palatino Linotype" w:hAnsi="Palatino Linotype" w:cstheme="minorHAnsi"/>
                <w:sz w:val="18"/>
                <w:szCs w:val="18"/>
                <w:lang w:val="it-IT"/>
                <w:rPrChange w:id="21"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22" w:author="Samson Oyebanjo" w:date="2021-12-31T16:52:00Z">
                  <w:rPr>
                    <w:rFonts w:ascii="Palatino Linotype" w:hAnsi="Palatino Linotype" w:cstheme="minorHAnsi"/>
                    <w:sz w:val="18"/>
                    <w:szCs w:val="18"/>
                  </w:rPr>
                </w:rPrChange>
              </w:rPr>
              <w:t>Male Wistar rats</w:t>
            </w:r>
          </w:p>
        </w:tc>
        <w:tc>
          <w:tcPr>
            <w:tcW w:w="1417" w:type="dxa"/>
            <w:vMerge w:val="restart"/>
            <w:vAlign w:val="center"/>
          </w:tcPr>
          <w:p w14:paraId="52ADA52F" w14:textId="77777777" w:rsidR="00C71433" w:rsidRPr="00AE2DED" w:rsidRDefault="00C71433" w:rsidP="009A3199">
            <w:pPr>
              <w:jc w:val="center"/>
              <w:rPr>
                <w:rFonts w:ascii="Palatino Linotype" w:hAnsi="Palatino Linotype" w:cstheme="minorHAnsi"/>
                <w:sz w:val="18"/>
                <w:szCs w:val="18"/>
                <w:lang w:val="it-IT"/>
                <w:rPrChange w:id="23"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24" w:author="Samson Oyebanjo" w:date="2021-12-31T16:52:00Z">
                  <w:rPr>
                    <w:rFonts w:ascii="Palatino Linotype" w:hAnsi="Palatino Linotype" w:cstheme="minorHAnsi"/>
                    <w:sz w:val="18"/>
                    <w:szCs w:val="18"/>
                  </w:rPr>
                </w:rPrChange>
              </w:rPr>
              <w:t>Haloperidol</w:t>
            </w:r>
          </w:p>
          <w:p w14:paraId="6AA6D889" w14:textId="77777777" w:rsidR="00C71433" w:rsidRPr="00AE2DED" w:rsidRDefault="00C71433" w:rsidP="009A3199">
            <w:pPr>
              <w:jc w:val="center"/>
              <w:rPr>
                <w:rFonts w:ascii="Palatino Linotype" w:hAnsi="Palatino Linotype" w:cstheme="minorHAnsi"/>
                <w:sz w:val="18"/>
                <w:szCs w:val="18"/>
                <w:lang w:val="it-IT"/>
                <w:rPrChange w:id="25"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26" w:author="Samson Oyebanjo" w:date="2021-12-31T16:52:00Z">
                  <w:rPr>
                    <w:rFonts w:ascii="Palatino Linotype" w:hAnsi="Palatino Linotype" w:cstheme="minorHAnsi"/>
                    <w:sz w:val="18"/>
                    <w:szCs w:val="18"/>
                  </w:rPr>
                </w:rPrChange>
              </w:rPr>
              <w:t>Risperidone</w:t>
            </w:r>
          </w:p>
        </w:tc>
        <w:tc>
          <w:tcPr>
            <w:tcW w:w="1985" w:type="dxa"/>
            <w:vMerge w:val="restart"/>
            <w:vAlign w:val="center"/>
          </w:tcPr>
          <w:p w14:paraId="1DCDDF28" w14:textId="77777777" w:rsidR="00C71433" w:rsidRPr="00AE2DED" w:rsidRDefault="00C71433" w:rsidP="009A3199">
            <w:pPr>
              <w:jc w:val="center"/>
              <w:rPr>
                <w:rFonts w:ascii="Palatino Linotype" w:hAnsi="Palatino Linotype" w:cstheme="minorHAnsi"/>
                <w:sz w:val="18"/>
                <w:szCs w:val="18"/>
                <w:lang w:val="it-IT"/>
                <w:rPrChange w:id="27"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28" w:author="Samson Oyebanjo" w:date="2021-12-31T16:52:00Z">
                  <w:rPr>
                    <w:rFonts w:ascii="Palatino Linotype" w:hAnsi="Palatino Linotype" w:cstheme="minorHAnsi"/>
                    <w:sz w:val="18"/>
                    <w:szCs w:val="18"/>
                  </w:rPr>
                </w:rPrChange>
              </w:rPr>
              <w:t>VCM</w:t>
            </w:r>
          </w:p>
        </w:tc>
        <w:tc>
          <w:tcPr>
            <w:tcW w:w="1843" w:type="dxa"/>
            <w:vMerge w:val="restart"/>
            <w:vAlign w:val="center"/>
          </w:tcPr>
          <w:p w14:paraId="7DF6BDC5" w14:textId="77777777" w:rsidR="00C71433" w:rsidRPr="00AE2DED" w:rsidRDefault="00C71433" w:rsidP="009A3199">
            <w:pPr>
              <w:jc w:val="center"/>
              <w:rPr>
                <w:rFonts w:ascii="Palatino Linotype" w:hAnsi="Palatino Linotype" w:cstheme="minorHAnsi"/>
                <w:sz w:val="18"/>
                <w:szCs w:val="18"/>
                <w:lang w:val="it-IT"/>
                <w:rPrChange w:id="29"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it-IT"/>
                <w:rPrChange w:id="30" w:author="Samson Oyebanjo" w:date="2021-12-31T16:52:00Z">
                  <w:rPr>
                    <w:rFonts w:ascii="Palatino Linotype" w:hAnsi="Palatino Linotype" w:cstheme="minorHAnsi"/>
                    <w:sz w:val="18"/>
                    <w:szCs w:val="18"/>
                  </w:rPr>
                </w:rPrChange>
              </w:rPr>
              <w:t>/</w:t>
            </w:r>
          </w:p>
        </w:tc>
        <w:tc>
          <w:tcPr>
            <w:tcW w:w="1984" w:type="dxa"/>
            <w:vMerge w:val="restart"/>
            <w:vAlign w:val="center"/>
          </w:tcPr>
          <w:p w14:paraId="7DDB3044" w14:textId="77777777" w:rsidR="00C71433" w:rsidRPr="00AE2DED" w:rsidRDefault="00C71433" w:rsidP="009A3199">
            <w:pPr>
              <w:jc w:val="center"/>
              <w:rPr>
                <w:rStyle w:val="id-label"/>
                <w:rFonts w:ascii="Palatino Linotype" w:hAnsi="Palatino Linotype" w:cstheme="minorHAnsi"/>
                <w:sz w:val="18"/>
                <w:szCs w:val="18"/>
                <w:lang w:val="it-IT"/>
                <w:rPrChange w:id="31" w:author="Samson Oyebanjo" w:date="2021-12-31T16:52:00Z">
                  <w:rPr>
                    <w:rStyle w:val="id-label"/>
                    <w:rFonts w:ascii="Palatino Linotype" w:hAnsi="Palatino Linotype" w:cstheme="minorHAnsi"/>
                    <w:sz w:val="18"/>
                    <w:szCs w:val="18"/>
                  </w:rPr>
                </w:rPrChange>
              </w:rPr>
            </w:pPr>
            <w:r w:rsidRPr="00AE2DED">
              <w:rPr>
                <w:rStyle w:val="id-label"/>
                <w:rFonts w:ascii="Palatino Linotype" w:hAnsi="Palatino Linotype" w:cstheme="minorHAnsi"/>
                <w:sz w:val="18"/>
                <w:szCs w:val="18"/>
                <w:lang w:val="it-IT"/>
                <w:rPrChange w:id="32" w:author="Samson Oyebanjo" w:date="2021-12-31T16:52:00Z">
                  <w:rPr>
                    <w:rStyle w:val="id-label"/>
                    <w:rFonts w:ascii="Palatino Linotype" w:hAnsi="Palatino Linotype" w:cstheme="minorHAnsi"/>
                    <w:sz w:val="18"/>
                    <w:szCs w:val="18"/>
                  </w:rPr>
                </w:rPrChange>
              </w:rPr>
              <w:t>/</w:t>
            </w:r>
          </w:p>
        </w:tc>
        <w:tc>
          <w:tcPr>
            <w:tcW w:w="1980" w:type="dxa"/>
            <w:vMerge w:val="restart"/>
            <w:vAlign w:val="center"/>
          </w:tcPr>
          <w:p w14:paraId="53F1DC4F" w14:textId="4FD6A0F5" w:rsidR="003B3E22" w:rsidRPr="00F21A5B"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sidRPr="00AE2DED">
              <w:rPr>
                <w:rFonts w:ascii="Palatino Linotype" w:hAnsi="Palatino Linotype" w:cstheme="minorHAnsi"/>
                <w:sz w:val="18"/>
                <w:szCs w:val="18"/>
                <w:lang w:val="it-IT"/>
                <w:rPrChange w:id="33" w:author="Samson Oyebanjo" w:date="2021-12-31T16:52:00Z">
                  <w:rPr>
                    <w:rFonts w:ascii="Palatino Linotype" w:hAnsi="Palatino Linotype" w:cstheme="minorHAnsi"/>
                    <w:sz w:val="18"/>
                    <w:szCs w:val="18"/>
                  </w:rPr>
                </w:rPrChange>
              </w:rPr>
              <w:instrText>ADDIN CSL_CITATION {"citationItems":[{"id":"ITEM-1","itemData":{"DOI":"10.1007/s11064-016-1961-6","ISSN":"1573-6903","PMID":"27230882","abstract":"Antipsychotic drugs have been used in the treatment of schizophrenia and their long-term use can cause movement disorders, such as tardive dyskinesia (TD) in humans mainly typical ones such as haloperidol. Neuroinflammation has been implicated to the use of antipsychotics besides its participation in TD remains unclear. Thus, the aim of this study was to investigate the relation of cytokines with vacuous chewing movements (VCMs) in rats comparing typical and atypical antipsychotics. Rats were treated with haloperidol or risperidone for 28 days. On day 29, rats were subjected to behavioral analysis (quantification of crossing and rearing numbers and VCMs) with subsequent measurement of cytokines levels in the striatum. Haloperidol, but not risperidone treatment significantly decreased the number of crossing and rearing and increased the VCMs when compared with control group. Both antipsychotics were able to increase the levels of pro-inflammatory cytokines (IL-1</w:instrText>
            </w:r>
            <w:r w:rsidR="005E78F7">
              <w:rPr>
                <w:rFonts w:ascii="Palatino Linotype" w:hAnsi="Palatino Linotype" w:cstheme="minorHAnsi"/>
                <w:sz w:val="18"/>
                <w:szCs w:val="18"/>
              </w:rPr>
              <w:instrText>β</w:instrText>
            </w:r>
            <w:r w:rsidR="005E78F7" w:rsidRPr="00AE2DED">
              <w:rPr>
                <w:rFonts w:ascii="Palatino Linotype" w:hAnsi="Palatino Linotype" w:cstheme="minorHAnsi"/>
                <w:sz w:val="18"/>
                <w:szCs w:val="18"/>
                <w:lang w:val="it-IT"/>
                <w:rPrChange w:id="34" w:author="Samson Oyebanjo" w:date="2021-12-31T16:52:00Z">
                  <w:rPr>
                    <w:rFonts w:ascii="Palatino Linotype" w:hAnsi="Palatino Linotype" w:cstheme="minorHAnsi"/>
                    <w:sz w:val="18"/>
                    <w:szCs w:val="18"/>
                  </w:rPr>
                </w:rPrChange>
              </w:rPr>
              <w:instrText>, IL-6, TNF-</w:instrText>
            </w:r>
            <w:r w:rsidR="005E78F7">
              <w:rPr>
                <w:rFonts w:ascii="Palatino Linotype" w:hAnsi="Palatino Linotype" w:cstheme="minorHAnsi"/>
                <w:sz w:val="18"/>
                <w:szCs w:val="18"/>
              </w:rPr>
              <w:instrText>α</w:instrText>
            </w:r>
            <w:r w:rsidR="005E78F7" w:rsidRPr="00AE2DED">
              <w:rPr>
                <w:rFonts w:ascii="Palatino Linotype" w:hAnsi="Palatino Linotype" w:cstheme="minorHAnsi"/>
                <w:sz w:val="18"/>
                <w:szCs w:val="18"/>
                <w:lang w:val="it-IT"/>
                <w:rPrChange w:id="35" w:author="Samson Oyebanjo" w:date="2021-12-31T16:52:00Z">
                  <w:rPr>
                    <w:rFonts w:ascii="Palatino Linotype" w:hAnsi="Palatino Linotype" w:cstheme="minorHAnsi"/>
                    <w:sz w:val="18"/>
                    <w:szCs w:val="18"/>
                  </w:rPr>
                </w:rPrChange>
              </w:rPr>
              <w:instrText xml:space="preserve"> and IFN-</w:instrText>
            </w:r>
            <w:r w:rsidR="005E78F7">
              <w:rPr>
                <w:rFonts w:ascii="Palatino Linotype" w:hAnsi="Palatino Linotype" w:cstheme="minorHAnsi"/>
                <w:sz w:val="18"/>
                <w:szCs w:val="18"/>
              </w:rPr>
              <w:instrText>γ</w:instrText>
            </w:r>
            <w:r w:rsidR="005E78F7" w:rsidRPr="00AE2DED">
              <w:rPr>
                <w:rFonts w:ascii="Palatino Linotype" w:hAnsi="Palatino Linotype" w:cstheme="minorHAnsi"/>
                <w:sz w:val="18"/>
                <w:szCs w:val="18"/>
                <w:lang w:val="it-IT"/>
                <w:rPrChange w:id="36" w:author="Samson Oyebanjo" w:date="2021-12-31T16:52:00Z">
                  <w:rPr>
                    <w:rFonts w:ascii="Palatino Linotype" w:hAnsi="Palatino Linotype" w:cstheme="minorHAnsi"/>
                    <w:sz w:val="18"/>
                    <w:szCs w:val="18"/>
                  </w:rPr>
                </w:rPrChange>
              </w:rPr>
              <w:instrText>) and decrease the anti-inflammatory cytokine (IL-10) in striatum of rats. However, IL-1</w:instrText>
            </w:r>
            <w:r w:rsidR="005E78F7">
              <w:rPr>
                <w:rFonts w:ascii="Palatino Linotype" w:hAnsi="Palatino Linotype" w:cstheme="minorHAnsi"/>
                <w:sz w:val="18"/>
                <w:szCs w:val="18"/>
              </w:rPr>
              <w:instrText>β</w:instrText>
            </w:r>
            <w:r w:rsidR="005E78F7" w:rsidRPr="00AE2DED">
              <w:rPr>
                <w:rFonts w:ascii="Palatino Linotype" w:hAnsi="Palatino Linotype" w:cstheme="minorHAnsi"/>
                <w:sz w:val="18"/>
                <w:szCs w:val="18"/>
                <w:lang w:val="it-IT"/>
                <w:rPrChange w:id="37" w:author="Samson Oyebanjo" w:date="2021-12-31T16:52:00Z">
                  <w:rPr>
                    <w:rFonts w:ascii="Palatino Linotype" w:hAnsi="Palatino Linotype" w:cstheme="minorHAnsi"/>
                    <w:sz w:val="18"/>
                    <w:szCs w:val="18"/>
                  </w:rPr>
                </w:rPrChange>
              </w:rPr>
              <w:instrText xml:space="preserve"> and IFN-</w:instrText>
            </w:r>
            <w:r w:rsidR="005E78F7">
              <w:rPr>
                <w:rFonts w:ascii="Palatino Linotype" w:hAnsi="Palatino Linotype" w:cstheme="minorHAnsi"/>
                <w:sz w:val="18"/>
                <w:szCs w:val="18"/>
              </w:rPr>
              <w:instrText>γ</w:instrText>
            </w:r>
            <w:r w:rsidR="005E78F7" w:rsidRPr="00AE2DED">
              <w:rPr>
                <w:rFonts w:ascii="Palatino Linotype" w:hAnsi="Palatino Linotype" w:cstheme="minorHAnsi"/>
                <w:sz w:val="18"/>
                <w:szCs w:val="18"/>
                <w:lang w:val="it-IT"/>
                <w:rPrChange w:id="38" w:author="Samson Oyebanjo" w:date="2021-12-31T16:52:00Z">
                  <w:rPr>
                    <w:rFonts w:ascii="Palatino Linotype" w:hAnsi="Palatino Linotype" w:cstheme="minorHAnsi"/>
                    <w:sz w:val="18"/>
                    <w:szCs w:val="18"/>
                  </w:rPr>
                </w:rPrChange>
              </w:rPr>
              <w:instrText xml:space="preserve"> levels were higher in animals treated with haloperidol than risperidone. Furthermore, positive correlations were observed between the cytokines (IL-1</w:instrText>
            </w:r>
            <w:r w:rsidR="005E78F7">
              <w:rPr>
                <w:rFonts w:ascii="Palatino Linotype" w:hAnsi="Palatino Linotype" w:cstheme="minorHAnsi"/>
                <w:sz w:val="18"/>
                <w:szCs w:val="18"/>
              </w:rPr>
              <w:instrText>β</w:instrText>
            </w:r>
            <w:r w:rsidR="005E78F7" w:rsidRPr="00AE2DED">
              <w:rPr>
                <w:rFonts w:ascii="Palatino Linotype" w:hAnsi="Palatino Linotype" w:cstheme="minorHAnsi"/>
                <w:sz w:val="18"/>
                <w:szCs w:val="18"/>
                <w:lang w:val="it-IT"/>
                <w:rPrChange w:id="39" w:author="Samson Oyebanjo" w:date="2021-12-31T16:52:00Z">
                  <w:rPr>
                    <w:rFonts w:ascii="Palatino Linotype" w:hAnsi="Palatino Linotype" w:cstheme="minorHAnsi"/>
                    <w:sz w:val="18"/>
                    <w:szCs w:val="18"/>
                  </w:rPr>
                </w:rPrChange>
              </w:rPr>
              <w:instrText xml:space="preserve"> and</w:instrText>
            </w:r>
            <w:r w:rsidR="005E78F7">
              <w:rPr>
                <w:rFonts w:ascii="Palatino Linotype" w:hAnsi="Palatino Linotype" w:cstheme="minorHAnsi"/>
                <w:sz w:val="18"/>
                <w:szCs w:val="18"/>
              </w:rPr>
              <w:instrText xml:space="preserve"> IFN-γ) and VCM numbers. Thus, the results suggest a role of inflammatory markers in the development of movement disorders, especially IL-1β and IFN-γ.","author":[{"dropping-particle":"","family":"Peroza","given":"Luis Ricardo","non-dropping-particle":"","parse-names":false,"suffix":""},{"dropping-particle":"","family":"Schaffer","given":"Larissa Finger","non-dropping-particle":"","parse-names":false,"suffix":""},{"dropping-particle":"","family":"Freitas","given":"Catiuscia Molz","non-dropping-particle":"De","parse-names":false,"suffix":""},{"dropping-particle":"","family":"Leal","given":"Caroline Queiroz","non-dropping-particle":"","parse-names":false,"suffix":""},{"dropping-particle":"","family":"Ferrari","given":"Mayara Calegaro","non-dropping-particle":"","parse-names":false,"suffix":""},{"dropping-particle":"","family":"Duarte","given":"Marta Maria Frescura","non-dropping-particle":"","parse-names":false,"suffix":""},{"dropping-particle":"","family":"Fachinetto","given":"Roselei","non-dropping-particle":"","parse-names":false,"suffix":""}],"container-title":"Neurochemical research","id":"ITEM-1","issue":"9","issued":{"date-parts":[["2016","9"]]},"page":"2481-9","publisher":"Neurochem Res","title":"Alteration of Cytokines Levels in the Striatum of Rats: Possible Participation in Vacuous Chewing Movements Induced by Antipsycotics.","type":"article-journal","volume":"41"},"uris":["http://www.mendeley.com/documents/?uuid=df82c505-caa5-31cc-aac5-6908964ca042"]}],"mendeley":{"formattedCitation":"(Peroza et al. 2016)","plainTextFormattedCitation":"(Peroza et al. 2016)","previouslyFormattedCitation":"(Peroza et al. 2016)"},"properties":{"noteIndex":0},"schema":"https://github.com/citation-style-language/schema/raw/master/csl-citation.json"}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(Peroza et al. 2016)</w:t>
            </w:r>
            <w:r>
              <w:rPr>
                <w:rFonts w:ascii="Palatino Linotype" w:hAnsi="Palatino Linotype" w:cstheme="minorHAnsi"/>
                <w:sz w:val="18"/>
                <w:szCs w:val="18"/>
              </w:rPr>
              <w:fldChar w:fldCharType="end"/>
            </w:r>
          </w:p>
        </w:tc>
      </w:tr>
      <w:tr w:rsidR="00C71433" w:rsidRPr="00F21A5B" w14:paraId="1941F79C" w14:textId="77777777" w:rsidTr="00A77E70">
        <w:trPr>
          <w:trHeight w:val="477"/>
        </w:trPr>
        <w:tc>
          <w:tcPr>
            <w:tcW w:w="1560" w:type="dxa"/>
            <w:vAlign w:val="center"/>
          </w:tcPr>
          <w:p w14:paraId="395A4E01"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 xml:space="preserve">IL-10 </w:t>
            </w:r>
          </w:p>
        </w:tc>
        <w:tc>
          <w:tcPr>
            <w:tcW w:w="1559" w:type="dxa"/>
            <w:vAlign w:val="center"/>
          </w:tcPr>
          <w:p w14:paraId="586F4F16"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ign w:val="center"/>
          </w:tcPr>
          <w:p w14:paraId="4139D250" w14:textId="77777777" w:rsidR="00C71433" w:rsidRPr="00F21A5B" w:rsidRDefault="00C71433" w:rsidP="009A3199">
            <w:pPr>
              <w:jc w:val="center"/>
              <w:rPr>
                <w:rFonts w:ascii="Palatino Linotype" w:hAnsi="Palatino Linotype" w:cstheme="minorHAnsi"/>
                <w:sz w:val="18"/>
                <w:szCs w:val="18"/>
              </w:rPr>
            </w:pPr>
          </w:p>
        </w:tc>
        <w:tc>
          <w:tcPr>
            <w:tcW w:w="1417" w:type="dxa"/>
            <w:vMerge/>
            <w:vAlign w:val="center"/>
          </w:tcPr>
          <w:p w14:paraId="6246204D" w14:textId="77777777" w:rsidR="00C71433" w:rsidRPr="00F21A5B" w:rsidRDefault="00C71433" w:rsidP="009A3199">
            <w:pPr>
              <w:jc w:val="center"/>
              <w:rPr>
                <w:rFonts w:ascii="Palatino Linotype" w:hAnsi="Palatino Linotype" w:cstheme="minorHAnsi"/>
                <w:sz w:val="18"/>
                <w:szCs w:val="18"/>
              </w:rPr>
            </w:pPr>
          </w:p>
        </w:tc>
        <w:tc>
          <w:tcPr>
            <w:tcW w:w="1985" w:type="dxa"/>
            <w:vMerge/>
            <w:vAlign w:val="center"/>
          </w:tcPr>
          <w:p w14:paraId="375210A0" w14:textId="77777777" w:rsidR="00C71433" w:rsidRPr="00F21A5B" w:rsidRDefault="00C71433" w:rsidP="009A3199">
            <w:pPr>
              <w:jc w:val="center"/>
              <w:rPr>
                <w:rFonts w:ascii="Palatino Linotype" w:hAnsi="Palatino Linotype" w:cstheme="minorHAnsi"/>
                <w:sz w:val="18"/>
                <w:szCs w:val="18"/>
              </w:rPr>
            </w:pPr>
          </w:p>
        </w:tc>
        <w:tc>
          <w:tcPr>
            <w:tcW w:w="1843" w:type="dxa"/>
            <w:vMerge/>
            <w:vAlign w:val="center"/>
          </w:tcPr>
          <w:p w14:paraId="62549E1E" w14:textId="77777777" w:rsidR="00C71433" w:rsidRPr="00F21A5B" w:rsidRDefault="00C71433" w:rsidP="009A3199">
            <w:pPr>
              <w:jc w:val="center"/>
              <w:rPr>
                <w:rFonts w:ascii="Palatino Linotype" w:hAnsi="Palatino Linotype" w:cstheme="minorHAnsi"/>
                <w:sz w:val="18"/>
                <w:szCs w:val="18"/>
              </w:rPr>
            </w:pPr>
          </w:p>
        </w:tc>
        <w:tc>
          <w:tcPr>
            <w:tcW w:w="1984" w:type="dxa"/>
            <w:vMerge/>
            <w:vAlign w:val="center"/>
          </w:tcPr>
          <w:p w14:paraId="6342D67D" w14:textId="77777777" w:rsidR="00C71433" w:rsidRPr="00F21A5B" w:rsidRDefault="00C71433" w:rsidP="009A3199">
            <w:pPr>
              <w:jc w:val="center"/>
              <w:rPr>
                <w:rStyle w:val="id-label"/>
                <w:rFonts w:ascii="Palatino Linotype" w:hAnsi="Palatino Linotype" w:cstheme="minorHAnsi"/>
                <w:sz w:val="18"/>
                <w:szCs w:val="18"/>
              </w:rPr>
            </w:pPr>
          </w:p>
        </w:tc>
        <w:tc>
          <w:tcPr>
            <w:tcW w:w="1980" w:type="dxa"/>
            <w:vMerge/>
            <w:vAlign w:val="center"/>
          </w:tcPr>
          <w:p w14:paraId="162B6157" w14:textId="77777777" w:rsidR="00C71433" w:rsidRPr="00F21A5B" w:rsidRDefault="00C71433" w:rsidP="009A3199">
            <w:pPr>
              <w:jc w:val="center"/>
              <w:rPr>
                <w:rFonts w:ascii="Palatino Linotype" w:hAnsi="Palatino Linotype" w:cstheme="minorHAnsi"/>
                <w:sz w:val="18"/>
                <w:szCs w:val="18"/>
              </w:rPr>
            </w:pPr>
          </w:p>
        </w:tc>
      </w:tr>
      <w:tr w:rsidR="00C71433" w:rsidRPr="00F21A5B" w14:paraId="3AAFA617" w14:textId="77777777" w:rsidTr="00A77E70">
        <w:tc>
          <w:tcPr>
            <w:tcW w:w="1560" w:type="dxa"/>
            <w:vAlign w:val="center"/>
          </w:tcPr>
          <w:p w14:paraId="12C4ED92"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BDNF</w:t>
            </w:r>
          </w:p>
        </w:tc>
        <w:tc>
          <w:tcPr>
            <w:tcW w:w="1559" w:type="dxa"/>
            <w:vAlign w:val="center"/>
          </w:tcPr>
          <w:p w14:paraId="27DAC1F9" w14:textId="77777777" w:rsidR="00C71433" w:rsidRPr="00F21A5B" w:rsidRDefault="00C71433" w:rsidP="009A3199">
            <w:pPr>
              <w:jc w:val="center"/>
              <w:rPr>
                <w:rFonts w:ascii="Palatino Linotype" w:hAnsi="Palatino Linotype" w:cstheme="minorHAnsi"/>
                <w:sz w:val="18"/>
                <w:szCs w:val="18"/>
              </w:rPr>
            </w:pPr>
            <w:r w:rsidRPr="00F21A5B">
              <w:rPr>
                <w:sz w:val="18"/>
                <w:szCs w:val="18"/>
              </w:rPr>
              <w:t>↓</w:t>
            </w:r>
          </w:p>
        </w:tc>
        <w:tc>
          <w:tcPr>
            <w:tcW w:w="1701" w:type="dxa"/>
            <w:vAlign w:val="center"/>
          </w:tcPr>
          <w:p w14:paraId="0E502F53"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Male Sprague Dawley rats</w:t>
            </w:r>
          </w:p>
        </w:tc>
        <w:tc>
          <w:tcPr>
            <w:tcW w:w="1417" w:type="dxa"/>
            <w:vAlign w:val="center"/>
          </w:tcPr>
          <w:p w14:paraId="353429AB"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Haloperidol</w:t>
            </w:r>
          </w:p>
        </w:tc>
        <w:tc>
          <w:tcPr>
            <w:tcW w:w="1985" w:type="dxa"/>
            <w:vAlign w:val="center"/>
          </w:tcPr>
          <w:p w14:paraId="2D2F4689"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VCM</w:t>
            </w:r>
          </w:p>
        </w:tc>
        <w:tc>
          <w:tcPr>
            <w:tcW w:w="1843" w:type="dxa"/>
            <w:vAlign w:val="center"/>
          </w:tcPr>
          <w:p w14:paraId="09B1BF34"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Gingko biloba extract</w:t>
            </w:r>
          </w:p>
          <w:p w14:paraId="0300E1AC" w14:textId="77777777" w:rsidR="00C71433" w:rsidRPr="00F21A5B" w:rsidRDefault="00C71433" w:rsidP="009A3199">
            <w:pPr>
              <w:jc w:val="center"/>
              <w:rPr>
                <w:rFonts w:ascii="Palatino Linotype" w:hAnsi="Palatino Linotype" w:cstheme="minorHAnsi"/>
                <w:sz w:val="18"/>
                <w:szCs w:val="18"/>
              </w:rPr>
            </w:pPr>
          </w:p>
          <w:p w14:paraId="53DE244D"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Vitamin E</w:t>
            </w:r>
          </w:p>
        </w:tc>
        <w:tc>
          <w:tcPr>
            <w:tcW w:w="1984" w:type="dxa"/>
            <w:vAlign w:val="center"/>
          </w:tcPr>
          <w:p w14:paraId="0C238D3F" w14:textId="77777777" w:rsidR="00C71433" w:rsidRPr="00F21A5B" w:rsidRDefault="00C71433" w:rsidP="009A3199">
            <w:pPr>
              <w:jc w:val="center"/>
              <w:rPr>
                <w:rFonts w:ascii="Palatino Linotype" w:hAnsi="Palatino Linotype" w:cstheme="minorHAnsi"/>
                <w:sz w:val="18"/>
                <w:szCs w:val="18"/>
              </w:rPr>
            </w:pPr>
            <w:r w:rsidRPr="00F21A5B">
              <w:rPr>
                <w:rFonts w:ascii="Palatino Linotype" w:hAnsi="Palatino Linotype" w:cstheme="minorHAnsi"/>
                <w:sz w:val="18"/>
                <w:szCs w:val="18"/>
              </w:rPr>
              <w:t>Increased BDNF</w:t>
            </w:r>
          </w:p>
          <w:p w14:paraId="4AEE6A40" w14:textId="77777777" w:rsidR="00C71433" w:rsidRPr="00F21A5B" w:rsidRDefault="00C71433" w:rsidP="009A3199">
            <w:pPr>
              <w:jc w:val="center"/>
              <w:rPr>
                <w:rFonts w:ascii="Palatino Linotype" w:hAnsi="Palatino Linotype" w:cstheme="minorHAnsi"/>
                <w:sz w:val="18"/>
                <w:szCs w:val="18"/>
              </w:rPr>
            </w:pPr>
          </w:p>
          <w:p w14:paraId="376EF437" w14:textId="77777777" w:rsidR="00C71433" w:rsidRPr="00F21A5B" w:rsidRDefault="00C71433" w:rsidP="009A3199">
            <w:pPr>
              <w:jc w:val="center"/>
              <w:rPr>
                <w:rStyle w:val="id-label"/>
                <w:rFonts w:ascii="Palatino Linotype" w:hAnsi="Palatino Linotype" w:cstheme="minorHAnsi"/>
                <w:sz w:val="18"/>
                <w:szCs w:val="18"/>
              </w:rPr>
            </w:pPr>
            <w:r w:rsidRPr="00F21A5B">
              <w:rPr>
                <w:rFonts w:ascii="Palatino Linotype" w:hAnsi="Palatino Linotype" w:cstheme="minorHAnsi"/>
                <w:sz w:val="18"/>
                <w:szCs w:val="18"/>
              </w:rPr>
              <w:t>Decreased VCM</w:t>
            </w:r>
          </w:p>
        </w:tc>
        <w:tc>
          <w:tcPr>
            <w:tcW w:w="1980" w:type="dxa"/>
            <w:vAlign w:val="center"/>
          </w:tcPr>
          <w:p w14:paraId="0CB2994C" w14:textId="5DAD392D" w:rsidR="003B3E22" w:rsidRPr="00F21A5B" w:rsidRDefault="003B3E22" w:rsidP="003B3E22">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{"citationItems":[{"id":"ITEM-1","itemData":{"DOI":"10.1016/j.pbb.2016.06.003","ISSN":"1873-5177","PMID":"27264436","abstract":"Neurodegeneration may be involved in the development of tardive dyskinesia (TD), and low levels of brain-derived neurotrophic factor (BDNF) may play a role. Ginkgo biloba (EGb761), a potent antioxidant, may have neuroprotective effects. We hypothesized that there would be decreased BDNF expression in TD, but that treatment with EGb761 would increase BDNF expression and reduce TD manifestations in a rat model. Forty rats were treated with haloperidol (2mg/kg/day via intraperitoneal injections) for 5weeks. EGb761 (50mg/kg/day) and vitamin E (20mg/kg/day) were then administered by oral gavage for another 5weeks, and we compared the effects of treatment with EGb761 or vitamin E on haloperidol-induced vacuous chewing movements (VCMs) and BDNF expression in four brain regions: prefrontal cortex (PFC), striatum (ST), substantia nigra (SNR), and globus pallidus (GP). Our results showed that haloperidol administration led to a progressive increase in VCMs, but both EGb761 and vitamin E significantly decreased VCMs. Haloperidol also decreased BDNF expression in all four brain regions, but both EGb761 and vitamin E administration significantly increased BDNF expression. Our results showed that both EGb761 and VE treatments exerted similar positive effects in a rat model of TD and increased BDNF expression levels in the four tested brain regions, suggesting that both EGb761 and vitamin E improve TD symptoms, possibly by enhancing BDNF in the brain and/or via their free radical-scavenging actions.","author":[{"dropping-particle":"","family":"Shi","given":"Jing","non-dropping-particle":"","parse-names":false,"suffix":""},{"dropping-particle":"","family":"Tan","given":"Yun Long","non-dropping-particle":"","parse-names":false,"suffix":""},{"dropping-particle":"","family":"Wang","given":"Zhi Ren","non-dropping-particle":"","parse-names":false,"suffix":""},{"dropping-particle":"","family":"An","given":"Hui Mei","non-dropping-particle":"","parse-names":false,"suffix":""},{"dropping-particle":"","family":"Li","given":"Jia","non-dropping-particle":"","parse-names":false,"suffix":""},{"dropping-particle":"","family":"Wang","given":"Yue Chan","non-dropping-particle":"","parse-names":false,"suffix":""},{"dropping-particle":"","family":"Lv","given":"Meng Han","non-dropping-particle":"","parse-names":false,"suffix":""},{"dropping-particle":"","family":"Yan","given":"Shao Xiao","non-dropping-particle":"","parse-names":false,"suffix":""},{"dropping-particle":"","family":"Wu","given":"Jing Qin","non-dropping-particle":"","parse-names":false,"suffix":""},{"dropping-particle":"","family":"Soares","given":"Jair C","non-dropping-particle":"","parse-names":false,"suffix":""},{"dropping-particle":"De","family":"Yang","given":"Fu","non-dropping-particle":"","parse-names":false,"suffix":""},{"dropping-particle":"","family":"Zhang","given":"Xiang Yang","non-dropping-particle":"","parse-names":false,"suffix":""}],"container-title":"Pharmacology, biochemistry, and behavior","id":"ITEM-1","issued":{"date-parts":[["2016"]]},"page":"53-8","publisher":"Pharmacol Biochem Behav","title":"Ginkgo biloba and vitamin E ameliorate haloperidol-induced vacuous chewingmovement and brain-derived neurotrophic factor expression in a rat tardive dyskinesia model.","type":"article-journal","volume":"148"},"uris":["http://www.mendeley.com/documents/?uuid=b4af6288-4c60-3003-934e-c18177552080"]}],"mendeley":{"formattedCitation":"(Shi et al. 2016)","plainTextFormattedCitation":"(Shi et al. 2016)","previouslyFormattedCitation":"(Shi et al. 2016)"},"properties":{"noteIndex":0},"schema":"https://github.com/citation-style-language/schema/raw/master/csl-citation.json"}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(Shi et al. 2016)</w:t>
            </w:r>
            <w:r>
              <w:rPr>
                <w:rFonts w:ascii="Palatino Linotype" w:hAnsi="Palatino Linotype" w:cstheme="minorHAnsi"/>
                <w:sz w:val="18"/>
                <w:szCs w:val="18"/>
              </w:rPr>
              <w:fldChar w:fldCharType="end"/>
            </w:r>
          </w:p>
        </w:tc>
      </w:tr>
      <w:tr w:rsidR="00C71433" w:rsidRPr="00B76420" w14:paraId="1C2F6C6C" w14:textId="77777777" w:rsidTr="00A77E70">
        <w:trPr>
          <w:trHeight w:val="382"/>
        </w:trPr>
        <w:tc>
          <w:tcPr>
            <w:tcW w:w="1560" w:type="dxa"/>
            <w:vAlign w:val="center"/>
          </w:tcPr>
          <w:p w14:paraId="7F83A402" w14:textId="77777777" w:rsidR="00C71433" w:rsidRPr="00F21A5B" w:rsidRDefault="00C71433" w:rsidP="009A3199">
            <w:pPr>
              <w:jc w:val="center"/>
              <w:rPr>
                <w:rFonts w:ascii="Palatino Linotype" w:hAnsi="Palatino Linotype" w:cstheme="minorHAnsi"/>
                <w:i/>
                <w:sz w:val="18"/>
                <w:szCs w:val="18"/>
              </w:rPr>
            </w:pPr>
            <w:r w:rsidRPr="00F21A5B">
              <w:rPr>
                <w:rFonts w:ascii="Palatino Linotype" w:hAnsi="Palatino Linotype" w:cstheme="minorHAnsi"/>
                <w:i/>
                <w:sz w:val="18"/>
                <w:szCs w:val="18"/>
              </w:rPr>
              <w:t xml:space="preserve">BAX </w:t>
            </w:r>
          </w:p>
        </w:tc>
        <w:tc>
          <w:tcPr>
            <w:tcW w:w="1559" w:type="dxa"/>
            <w:vAlign w:val="center"/>
          </w:tcPr>
          <w:p w14:paraId="7837D0E4" w14:textId="77777777" w:rsidR="00C71433" w:rsidRPr="00B76420" w:rsidRDefault="00C71433" w:rsidP="009A3199">
            <w:pPr>
              <w:jc w:val="center"/>
              <w:rPr>
                <w:rFonts w:ascii="Palatino Linotype" w:hAnsi="Palatino Linotype" w:cstheme="minorHAnsi"/>
                <w:sz w:val="18"/>
                <w:szCs w:val="18"/>
              </w:rPr>
            </w:pPr>
            <w:r w:rsidRPr="00F21A5B">
              <w:rPr>
                <w:sz w:val="18"/>
                <w:szCs w:val="18"/>
              </w:rPr>
              <w:t>↑</w:t>
            </w:r>
          </w:p>
        </w:tc>
        <w:tc>
          <w:tcPr>
            <w:tcW w:w="1701" w:type="dxa"/>
            <w:vMerge w:val="restart"/>
            <w:vAlign w:val="center"/>
          </w:tcPr>
          <w:p w14:paraId="1055B7E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Sprague Dawley rats</w:t>
            </w:r>
          </w:p>
        </w:tc>
        <w:tc>
          <w:tcPr>
            <w:tcW w:w="1417" w:type="dxa"/>
            <w:vMerge w:val="restart"/>
            <w:vAlign w:val="center"/>
          </w:tcPr>
          <w:p w14:paraId="437C391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Merge w:val="restart"/>
            <w:vAlign w:val="center"/>
          </w:tcPr>
          <w:p w14:paraId="0FA6CE9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Merge w:val="restart"/>
            <w:vAlign w:val="center"/>
          </w:tcPr>
          <w:p w14:paraId="0D51642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Gingko biloba extract</w:t>
            </w:r>
          </w:p>
          <w:p w14:paraId="067B32F0" w14:textId="77777777" w:rsidR="00C71433" w:rsidRPr="00B76420" w:rsidRDefault="00C71433" w:rsidP="009A3199">
            <w:pPr>
              <w:jc w:val="center"/>
              <w:rPr>
                <w:rFonts w:ascii="Palatino Linotype" w:hAnsi="Palatino Linotype" w:cstheme="minorHAnsi"/>
                <w:sz w:val="18"/>
                <w:szCs w:val="18"/>
              </w:rPr>
            </w:pPr>
          </w:p>
          <w:p w14:paraId="3F5DD8B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Vitamin E</w:t>
            </w:r>
          </w:p>
        </w:tc>
        <w:tc>
          <w:tcPr>
            <w:tcW w:w="1984" w:type="dxa"/>
            <w:vMerge w:val="restart"/>
            <w:vAlign w:val="center"/>
          </w:tcPr>
          <w:p w14:paraId="0E4F8873"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Reversed the increase in VCM</w:t>
            </w:r>
          </w:p>
          <w:p w14:paraId="1C325E73" w14:textId="77777777" w:rsidR="00C71433" w:rsidRPr="00B76420" w:rsidRDefault="00C71433" w:rsidP="009A3199">
            <w:pPr>
              <w:jc w:val="center"/>
              <w:rPr>
                <w:rStyle w:val="id-label"/>
                <w:rFonts w:ascii="Palatino Linotype" w:hAnsi="Palatino Linotype" w:cstheme="minorHAnsi"/>
                <w:sz w:val="18"/>
                <w:szCs w:val="18"/>
              </w:rPr>
            </w:pPr>
          </w:p>
          <w:p w14:paraId="535E1DDE"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Decreased BAX expression</w:t>
            </w:r>
          </w:p>
          <w:p w14:paraId="5CACC169" w14:textId="77777777" w:rsidR="00C71433" w:rsidRPr="00B76420" w:rsidRDefault="00C71433" w:rsidP="009A3199">
            <w:pPr>
              <w:jc w:val="center"/>
              <w:rPr>
                <w:rStyle w:val="id-label"/>
                <w:rFonts w:ascii="Palatino Linotype" w:hAnsi="Palatino Linotype" w:cstheme="minorHAnsi"/>
                <w:sz w:val="18"/>
                <w:szCs w:val="18"/>
              </w:rPr>
            </w:pPr>
          </w:p>
          <w:p w14:paraId="6A84CB55"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Increased BAD expression</w:t>
            </w:r>
          </w:p>
        </w:tc>
        <w:tc>
          <w:tcPr>
            <w:tcW w:w="1980" w:type="dxa"/>
            <w:vMerge w:val="restart"/>
            <w:vAlign w:val="center"/>
          </w:tcPr>
          <w:p w14:paraId="543AC5C8" w14:textId="4AB3D155" w:rsidR="0059350E" w:rsidRDefault="0059350E" w:rsidP="009A3199">
            <w:pPr>
              <w:jc w:val="center"/>
              <w:rPr>
                <w:rStyle w:val="Strong"/>
                <w:rFonts w:ascii="Palatino Linotype" w:hAnsi="Palatino Linotype" w:cstheme="minorHAnsi"/>
                <w:sz w:val="18"/>
                <w:szCs w:val="18"/>
              </w:rPr>
            </w:pPr>
            <w:r>
              <w:rPr>
                <w:rStyle w:val="Strong"/>
                <w:rFonts w:ascii="Palatino Linotype" w:hAnsi="Palatino Linotype" w:cstheme="minorHAnsi"/>
                <w:sz w:val="18"/>
                <w:szCs w:val="18"/>
              </w:rPr>
              <w:fldChar w:fldCharType="begin" w:fldLock="1"/>
            </w:r>
            <w:r w:rsidR="005E78F7">
              <w:rPr>
                <w:rStyle w:val="Strong"/>
                <w:rFonts w:ascii="Palatino Linotype" w:hAnsi="Palatino Linotype" w:cstheme="minorHAnsi"/>
                <w:sz w:val="18"/>
                <w:szCs w:val="18"/>
              </w:rPr>
              <w:instrText>ADDIN CSL_CITATION {"citationItems":[{"id":"ITEM-1","itemData":{"DOI":"10.1016/j.phymed.2016.10.009","ISSN":"1618-095X","PMID":"27823630","abstract":"BACKGROUND Tardive dyskinesia (TD) is a serious side effect of long-term administration of typical neuroleptics, such as haloperidol. The pathophysiology of TD remains unclear, but the experimental evidence suggests that free radical-induced neuronal apoptosis in the basal ganglia may play an important role. PURPOSE This study was to investigate changes in Bax and Bcl-2 expression levels in TD-associated brain regions and the effects of the antioxidant EGb761 on Bax and Bcl-2 levels in an animal model of TD. METHODS Thirty-two rats were randomly divided into four study groups: saline control (saline), haloperidol-alone (haloperidol), EGb761-haloperidol (EGb), and alpha-tocopherol-haloperidol (vitamin E). Rats were treated with daily intraperitoneal haloperidol injections (2 mg/kg/day) for 5 weeks. EGb761 (50 mg/kg/day) and alpha-tocopherol (20 mg/kg/day) were then administered for another 5 weeks during the withdrawal period. Behavioral assessments were performed, and Bax and Bcl-2 protein expression levels were immunohistochemically analyzed in four brain regions, including the prefrontal cortex, striatum, substantia nigra, and globus pallidum. RESULTS We found that increased vacuous chewing movements (VCMs) were associated with increased proapoptotic Bax protein expression, decreased antiapoptotic Bcl-2 protein expression, and an increased Bax/Bcl-2 ratio. EGb761 and alpha-tocopherol treatment reversed the increase in VCMs, decreased Bax expression, increased Bcl-2 expression, and decreased the Bax/Bcl-2 ratio. CONCLUSIONS These results demonstrate that long-term haloperidol administration may affect Bcl-2 protein family expression and promote neuronal apoptosis in the basal ganglia. In combination with their antioxidant capacity, EGb761 and alpha-tocopherol's antiapoptotic effects through Bcl-2 might account for the symptom improvement observed in haloperidol-induced TD rats.","author":[{"dropping-particle":"","family":"An","given":"Hui Mei","non-dropping-particle":"","parse-names":false,"suffix":""},{"dropping-particle":"","family":"Tan","given":"Yun Long","non-dropping-particle":"","parse-names":false,"suffix":""},{"dropping-particle":"","family":"Shi","given":"Jing","non-dropping-particle":"","parse-names":false,"suffix":""},{"dropping-particle":"","family":"Wang","given":"Zhiren","non-dropping-particle":"","parse-names":false,"suffix":""},{"dropping-particle":"","family":"Lv","given":"Meng Han","non-dropping-particle":"","parse-names":false,"suffix":""},{"dropping-particle":"","family":"Soares","given":"Jair C","non-dropping-particle":"","parse-names":false,"suffix":""},{"dropping-particle":"","family":"Zhou","given":"Dongfeng","non-dropping-particle":"","parse-names":false,"suffix":""},{"dropping-particle":"","family":"Yang","given":"Fude","non-dropping-particle":"","parse-names":false,"suffix":""},{"dropping-particle":"","family":"Zhang","given":"Xiang Yang","non-dropping-particle":"","parse-names":false,"suffix":""}],"container-title":"Phytomedicine : international journal of phytotherapy and phytopharmacology","id":"ITEM-1","issue":"13","issued":{"date-parts":[["2016","12","1"]]},"page":"1653-1660","publisher":"Phytomedicine","title":"Ginkgo biloba leaf extract and alpha-tocopherol attenuate haloperidol-induced orofacial dyskinesia in rats: Possible implication of antiapoptotic mechanisms by preventing Bcl-2 decrease and Bax elevation.","type":"article-journal","volume":"23"},"uris":["http://www.mendeley.com/documents/?uuid=1fb39e07-55c1-3b7d-8392-08c018f9c23d"]}],"mendeley":{"formattedCitation":"(An et al. 2016b)","plainTextFormattedCitation":"(An et al. 2016b)","previouslyFormattedCitation":"(An et al. 2016b)"},"properties":{"noteIndex":0},"schema":"https://github.com/citation-style-language/schema/raw/master/csl-citation.json"}</w:instrText>
            </w:r>
            <w:r>
              <w:rPr>
                <w:rStyle w:val="Strong"/>
                <w:rFonts w:ascii="Palatino Linotype" w:hAnsi="Palatino Linotype" w:cstheme="minorHAnsi"/>
                <w:sz w:val="18"/>
                <w:szCs w:val="18"/>
              </w:rPr>
              <w:fldChar w:fldCharType="separate"/>
            </w:r>
            <w:r w:rsidR="001060C2" w:rsidRPr="001060C2">
              <w:rPr>
                <w:rStyle w:val="Strong"/>
                <w:rFonts w:ascii="Palatino Linotype" w:hAnsi="Palatino Linotype" w:cstheme="minorHAnsi"/>
                <w:b w:val="0"/>
                <w:noProof/>
                <w:sz w:val="18"/>
                <w:szCs w:val="18"/>
              </w:rPr>
              <w:t>(An et al. 2016b)</w:t>
            </w:r>
            <w:r>
              <w:rPr>
                <w:rStyle w:val="Strong"/>
                <w:rFonts w:ascii="Palatino Linotype" w:hAnsi="Palatino Linotype" w:cstheme="minorHAnsi"/>
                <w:sz w:val="18"/>
                <w:szCs w:val="18"/>
              </w:rPr>
              <w:fldChar w:fldCharType="end"/>
            </w:r>
          </w:p>
          <w:p w14:paraId="65918F32" w14:textId="67860411" w:rsidR="00903AFB" w:rsidRPr="00B76420" w:rsidRDefault="00903AFB" w:rsidP="009A3199">
            <w:pPr>
              <w:jc w:val="center"/>
              <w:rPr>
                <w:rFonts w:ascii="Palatino Linotype" w:hAnsi="Palatino Linotype" w:cstheme="minorHAnsi"/>
                <w:sz w:val="18"/>
                <w:szCs w:val="18"/>
              </w:rPr>
            </w:pPr>
          </w:p>
        </w:tc>
      </w:tr>
      <w:tr w:rsidR="00C71433" w:rsidRPr="00B76420" w14:paraId="48E52561" w14:textId="77777777" w:rsidTr="00A77E70">
        <w:trPr>
          <w:trHeight w:val="381"/>
        </w:trPr>
        <w:tc>
          <w:tcPr>
            <w:tcW w:w="1560" w:type="dxa"/>
            <w:vAlign w:val="center"/>
          </w:tcPr>
          <w:p w14:paraId="625F3D5B" w14:textId="77777777" w:rsidR="00C71433" w:rsidRPr="00B76420" w:rsidRDefault="00C71433" w:rsidP="009A3199">
            <w:pPr>
              <w:jc w:val="center"/>
              <w:rPr>
                <w:rFonts w:ascii="Palatino Linotype" w:hAnsi="Palatino Linotype" w:cstheme="minorHAnsi"/>
                <w:i/>
                <w:sz w:val="18"/>
                <w:szCs w:val="18"/>
              </w:rPr>
            </w:pPr>
            <w:r w:rsidRPr="00B76420">
              <w:rPr>
                <w:rFonts w:ascii="Palatino Linotype" w:hAnsi="Palatino Linotype" w:cstheme="minorHAnsi"/>
                <w:i/>
                <w:sz w:val="18"/>
                <w:szCs w:val="18"/>
              </w:rPr>
              <w:t>BAD</w:t>
            </w:r>
          </w:p>
        </w:tc>
        <w:tc>
          <w:tcPr>
            <w:tcW w:w="1559" w:type="dxa"/>
            <w:vAlign w:val="center"/>
          </w:tcPr>
          <w:p w14:paraId="7AC1A8E4"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ign w:val="center"/>
          </w:tcPr>
          <w:p w14:paraId="7279350D"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2EF5283D"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0E157106"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679DA3E2" w14:textId="77777777" w:rsidR="00C71433" w:rsidRPr="00B76420" w:rsidRDefault="00C71433" w:rsidP="009A3199">
            <w:pPr>
              <w:jc w:val="center"/>
              <w:rPr>
                <w:rFonts w:ascii="Palatino Linotype" w:hAnsi="Palatino Linotype" w:cstheme="minorHAnsi"/>
                <w:sz w:val="18"/>
                <w:szCs w:val="18"/>
              </w:rPr>
            </w:pPr>
          </w:p>
        </w:tc>
        <w:tc>
          <w:tcPr>
            <w:tcW w:w="1984" w:type="dxa"/>
            <w:vMerge/>
            <w:vAlign w:val="center"/>
          </w:tcPr>
          <w:p w14:paraId="25A4F17D" w14:textId="77777777" w:rsidR="00C71433" w:rsidRPr="00B76420" w:rsidRDefault="00C71433" w:rsidP="009A3199">
            <w:pPr>
              <w:jc w:val="center"/>
              <w:rPr>
                <w:rStyle w:val="id-label"/>
                <w:rFonts w:ascii="Palatino Linotype" w:hAnsi="Palatino Linotype" w:cstheme="minorHAnsi"/>
                <w:sz w:val="18"/>
                <w:szCs w:val="18"/>
              </w:rPr>
            </w:pPr>
          </w:p>
        </w:tc>
        <w:tc>
          <w:tcPr>
            <w:tcW w:w="1980" w:type="dxa"/>
            <w:vMerge/>
            <w:vAlign w:val="center"/>
          </w:tcPr>
          <w:p w14:paraId="43D120D3" w14:textId="77777777" w:rsidR="00C71433" w:rsidRPr="00B76420" w:rsidRDefault="00C71433" w:rsidP="009A3199">
            <w:pPr>
              <w:jc w:val="center"/>
              <w:rPr>
                <w:rFonts w:ascii="Palatino Linotype" w:hAnsi="Palatino Linotype" w:cstheme="minorHAnsi"/>
                <w:sz w:val="18"/>
                <w:szCs w:val="18"/>
              </w:rPr>
            </w:pPr>
          </w:p>
        </w:tc>
      </w:tr>
      <w:tr w:rsidR="00C71433" w:rsidRPr="00B76420" w14:paraId="5FF50337" w14:textId="77777777" w:rsidTr="00A77E70">
        <w:tc>
          <w:tcPr>
            <w:tcW w:w="1560" w:type="dxa"/>
            <w:vAlign w:val="center"/>
          </w:tcPr>
          <w:p w14:paraId="19D7D53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lastRenderedPageBreak/>
              <w:t>/</w:t>
            </w:r>
          </w:p>
        </w:tc>
        <w:tc>
          <w:tcPr>
            <w:tcW w:w="1559" w:type="dxa"/>
            <w:vAlign w:val="center"/>
          </w:tcPr>
          <w:p w14:paraId="081AF300"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0CE908F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rats</w:t>
            </w:r>
          </w:p>
        </w:tc>
        <w:tc>
          <w:tcPr>
            <w:tcW w:w="1417" w:type="dxa"/>
            <w:vAlign w:val="center"/>
          </w:tcPr>
          <w:p w14:paraId="6308B30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5FC91D8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Orofacial dyskinesia and catalepsy development</w:t>
            </w:r>
          </w:p>
        </w:tc>
        <w:tc>
          <w:tcPr>
            <w:tcW w:w="1843" w:type="dxa"/>
            <w:vAlign w:val="center"/>
          </w:tcPr>
          <w:p w14:paraId="417FE71E"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Mg supplementation</w:t>
            </w:r>
          </w:p>
        </w:tc>
        <w:tc>
          <w:tcPr>
            <w:tcW w:w="1984" w:type="dxa"/>
            <w:vAlign w:val="center"/>
          </w:tcPr>
          <w:p w14:paraId="62D24084"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Reduced the increase of orofacial dyskinesia and catalepsy time</w:t>
            </w:r>
          </w:p>
          <w:p w14:paraId="3701E0E5" w14:textId="77777777" w:rsidR="00C71433" w:rsidRPr="00B76420" w:rsidRDefault="00C71433" w:rsidP="009A3199">
            <w:pPr>
              <w:jc w:val="center"/>
              <w:rPr>
                <w:rStyle w:val="id-label"/>
                <w:rFonts w:ascii="Palatino Linotype" w:hAnsi="Palatino Linotype" w:cstheme="minorHAnsi"/>
                <w:sz w:val="18"/>
                <w:szCs w:val="18"/>
              </w:rPr>
            </w:pPr>
          </w:p>
          <w:p w14:paraId="5E1D7BF8"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Reversed the reactive species generation</w:t>
            </w:r>
          </w:p>
          <w:p w14:paraId="2C29BD93" w14:textId="77777777" w:rsidR="00C71433" w:rsidRPr="00B76420" w:rsidRDefault="00C71433" w:rsidP="009A3199">
            <w:pPr>
              <w:jc w:val="center"/>
              <w:rPr>
                <w:rStyle w:val="id-label"/>
                <w:rFonts w:ascii="Palatino Linotype" w:hAnsi="Palatino Linotype" w:cstheme="minorHAnsi"/>
                <w:sz w:val="18"/>
                <w:szCs w:val="18"/>
              </w:rPr>
            </w:pPr>
          </w:p>
          <w:p w14:paraId="585A7A21"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Decreased protein carbonyl levels</w:t>
            </w:r>
          </w:p>
        </w:tc>
        <w:tc>
          <w:tcPr>
            <w:tcW w:w="1980" w:type="dxa"/>
            <w:vAlign w:val="center"/>
          </w:tcPr>
          <w:p w14:paraId="2AD26522" w14:textId="52659EAA" w:rsidR="008B7415" w:rsidRDefault="008B7415" w:rsidP="009A3199">
            <w:pPr>
              <w:jc w:val="center"/>
              <w:rPr>
                <w:rStyle w:val="id-label"/>
                <w:rFonts w:ascii="Palatino Linotype" w:hAnsi="Palatino Linotype" w:cstheme="minorHAnsi"/>
                <w:sz w:val="18"/>
                <w:szCs w:val="18"/>
              </w:rPr>
            </w:pPr>
            <w:r>
              <w:rPr>
                <w:rStyle w:val="id-label"/>
                <w:rFonts w:ascii="Palatino Linotype" w:hAnsi="Palatino Linotype" w:cstheme="minorHAnsi"/>
                <w:sz w:val="18"/>
                <w:szCs w:val="18"/>
              </w:rPr>
              <w:fldChar w:fldCharType="begin" w:fldLock="1"/>
            </w:r>
            <w:r w:rsidR="005E78F7">
              <w:rPr>
                <w:rStyle w:val="id-label"/>
                <w:rFonts w:ascii="Palatino Linotype" w:hAnsi="Palatino Linotype" w:cstheme="minorHAnsi"/>
                <w:sz w:val="18"/>
                <w:szCs w:val="18"/>
              </w:rPr>
              <w:instrText>ADDIN CSL_CITATION {"citationItems":[{"id":"ITEM-1","itemData":{"DOI":"10.1016/j.bbr.2016.10.049","ISSN":"1872-7549","PMID":"27816557","abstract":"Chronic use of typical antipsychotic haloperidolis related to movement disturbances such as parkinsonism, akathisia and tardive dyskinesia which have been related to excitotoxicity in extrapyramidal brain areas, requiring their prevention and treatment. In the current study we evaluated the influence of the magnesium on prevention (for 28days before-), reversion (for 12days after-) and concomitant supplementation on haloperidol-induced movement disorders in rats. Sub-chronic haloperidol was related to orofacial dyskinesia (OD) and catalepsy development, increased generation of reactive species (RS) and levels of protein carbonyl (PC) in cortex, striatum and substantia nigra (SN) in all experimental protocols. When provided preventatively, Mg reduced the increase of OD and catalepsy time 14 and 7days after haloperidol administration, respectively. When supplemented after haloperidol-induced OD establishment, Mg reversed this behavior after 12days, while catalepsy was reversed after 6days of Mg supplementation.When Mg was concomitantly supplemented with haloperidol administration, OD and catalepsy were prevented. Moreover, Mg supplementation was able to prevent the RS generation in both cortex and SN, reducing PC levels in all brain areas evaluated. When supplemented after haloperidol, Mg reversed RS generation in cortex and striatum, decreasing PC levels in SN and striatum.The co-administration of haloperidol and Mg supplementation prevented RS generation in cortex, striatum and SN, and PC levels in the SN.These outcomes indicate that Mg supplementation may be a useful alternative to prevent movement disturbances resulting of classic antipsychotic pharmacotherapy as haloperidol.","author":[{"dropping-particle":"","family":"Kronbauer","given":"Maikel","non-dropping-particle":"","parse-names":false,"suffix":""},{"dropping-particle":"","family":"Metz","given":"Vinicia Garzela","non-dropping-particle":"","parse-names":false,"suffix":""},{"dropping-particle":"","family":"Roversi","given":"Karine","non-dropping-particle":"","parse-names":false,"suffix":""},{"dropping-particle":"","family":"Dias","given":"Veronica Tironi","non-dropping-particle":"","parse-names":false,"suffix":""},{"dropping-particle":"","family":"David Antoniazzi","given":"Caren Tatiane","non-dropping-particle":"de","parse-names":false,"suffix":""},{"dropping-particle":"","family":"Silva Barcelos","given":"Raquel Cristine","non-dropping-particle":"da","parse-names":false,"suffix":""},{"dropping-particle":"","family":"Burger","given":"Marilise E","non-dropping-particle":"","parse-names":false,"suffix":""}],"container-title":"Behavioural brain research","id":"ITEM-1","issued":{"date-parts":[["2017"]]},"page":"400-411","publisher":"Behav Brain Res","title":"Influence of magnesium supplementation on movement side effects related to typical antipsychotic treatment in rats.","type":"article-journal","volume":"320"},"uris":["http://www.mendeley.com/documents/?uuid=e5e77389-0901-3365-9611-93d8de34958d"]}],"mendeley":{"formattedCitation":"(Kronbauer et al. 2017)","plainTextFormattedCitation":"(Kronbauer et al. 2017)","previouslyFormattedCitation":"(Kronbauer et al. 2017)"},"properties":{"noteIndex":0},"schema":"https://github.com/citation-style-language/schema/raw/master/csl-citation.json"}</w:instrText>
            </w:r>
            <w:r>
              <w:rPr>
                <w:rStyle w:val="id-label"/>
                <w:rFonts w:ascii="Palatino Linotype" w:hAnsi="Palatino Linotype" w:cstheme="minorHAnsi"/>
                <w:sz w:val="18"/>
                <w:szCs w:val="18"/>
              </w:rPr>
              <w:fldChar w:fldCharType="separate"/>
            </w:r>
            <w:r w:rsidR="001060C2" w:rsidRPr="001060C2">
              <w:rPr>
                <w:rStyle w:val="id-label"/>
                <w:rFonts w:ascii="Palatino Linotype" w:hAnsi="Palatino Linotype" w:cstheme="minorHAnsi"/>
                <w:noProof/>
                <w:sz w:val="18"/>
                <w:szCs w:val="18"/>
              </w:rPr>
              <w:t>(Kronbauer et al. 2017)</w:t>
            </w:r>
            <w:r>
              <w:rPr>
                <w:rStyle w:val="id-label"/>
                <w:rFonts w:ascii="Palatino Linotype" w:hAnsi="Palatino Linotype" w:cstheme="minorHAnsi"/>
                <w:sz w:val="18"/>
                <w:szCs w:val="18"/>
              </w:rPr>
              <w:fldChar w:fldCharType="end"/>
            </w:r>
          </w:p>
          <w:p w14:paraId="427780CA" w14:textId="77777777" w:rsidR="008B7415" w:rsidRDefault="008B7415" w:rsidP="009A3199">
            <w:pPr>
              <w:jc w:val="center"/>
              <w:rPr>
                <w:rStyle w:val="id-label"/>
                <w:rFonts w:ascii="Palatino Linotype" w:hAnsi="Palatino Linotype" w:cstheme="minorHAnsi"/>
                <w:sz w:val="18"/>
                <w:szCs w:val="18"/>
              </w:rPr>
            </w:pPr>
          </w:p>
          <w:p w14:paraId="4A19EF10" w14:textId="2337EB2F" w:rsidR="008B7415" w:rsidRPr="00B76420" w:rsidRDefault="008B7415" w:rsidP="009A3199">
            <w:pPr>
              <w:jc w:val="center"/>
              <w:rPr>
                <w:rFonts w:ascii="Palatino Linotype" w:hAnsi="Palatino Linotype" w:cstheme="minorHAnsi"/>
                <w:sz w:val="18"/>
                <w:szCs w:val="18"/>
              </w:rPr>
            </w:pPr>
          </w:p>
        </w:tc>
      </w:tr>
      <w:tr w:rsidR="00C71433" w:rsidRPr="00B76420" w14:paraId="7BE56468" w14:textId="77777777" w:rsidTr="00A77E70">
        <w:tc>
          <w:tcPr>
            <w:tcW w:w="1560" w:type="dxa"/>
            <w:vAlign w:val="center"/>
          </w:tcPr>
          <w:p w14:paraId="55893CF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559" w:type="dxa"/>
            <w:vAlign w:val="center"/>
          </w:tcPr>
          <w:p w14:paraId="0CF5478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38C5871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CD-1 mice</w:t>
            </w:r>
          </w:p>
        </w:tc>
        <w:tc>
          <w:tcPr>
            <w:tcW w:w="1417" w:type="dxa"/>
            <w:vAlign w:val="center"/>
          </w:tcPr>
          <w:p w14:paraId="0CDC6C0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Reserpine</w:t>
            </w:r>
          </w:p>
        </w:tc>
        <w:tc>
          <w:tcPr>
            <w:tcW w:w="1985" w:type="dxa"/>
            <w:vAlign w:val="center"/>
          </w:tcPr>
          <w:p w14:paraId="7F2906E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Align w:val="center"/>
          </w:tcPr>
          <w:p w14:paraId="63F9EAB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Losartan (AT1R antagonist)</w:t>
            </w:r>
          </w:p>
          <w:p w14:paraId="05AF1806" w14:textId="77777777" w:rsidR="00C71433" w:rsidRPr="00B76420" w:rsidRDefault="00C71433" w:rsidP="009A3199">
            <w:pPr>
              <w:jc w:val="center"/>
              <w:rPr>
                <w:rFonts w:ascii="Palatino Linotype" w:hAnsi="Palatino Linotype" w:cstheme="minorHAnsi"/>
                <w:sz w:val="18"/>
                <w:szCs w:val="18"/>
              </w:rPr>
            </w:pPr>
          </w:p>
          <w:p w14:paraId="29395CF9" w14:textId="77777777" w:rsidR="00C71433" w:rsidRPr="00B76420" w:rsidRDefault="00C71433" w:rsidP="009A3199">
            <w:pPr>
              <w:jc w:val="center"/>
              <w:rPr>
                <w:rFonts w:ascii="Palatino Linotype" w:hAnsi="Palatino Linotype" w:cstheme="minorHAnsi"/>
                <w:sz w:val="18"/>
                <w:szCs w:val="18"/>
              </w:rPr>
            </w:pPr>
            <w:proofErr w:type="spellStart"/>
            <w:r w:rsidRPr="00B76420">
              <w:rPr>
                <w:rFonts w:ascii="Palatino Linotype" w:hAnsi="Palatino Linotype" w:cstheme="minorHAnsi"/>
                <w:sz w:val="18"/>
                <w:szCs w:val="18"/>
              </w:rPr>
              <w:t>Istradefylline</w:t>
            </w:r>
            <w:proofErr w:type="spellEnd"/>
            <w:r w:rsidRPr="00B76420">
              <w:rPr>
                <w:rFonts w:ascii="Palatino Linotype" w:hAnsi="Palatino Linotype" w:cstheme="minorHAnsi"/>
                <w:sz w:val="18"/>
                <w:szCs w:val="18"/>
              </w:rPr>
              <w:t xml:space="preserve"> A2AR antagonist)</w:t>
            </w:r>
          </w:p>
        </w:tc>
        <w:tc>
          <w:tcPr>
            <w:tcW w:w="1984" w:type="dxa"/>
            <w:vAlign w:val="center"/>
          </w:tcPr>
          <w:p w14:paraId="18B0782D" w14:textId="77777777" w:rsidR="00C71433" w:rsidRPr="00B76420" w:rsidRDefault="00C71433" w:rsidP="009A3199">
            <w:pPr>
              <w:jc w:val="center"/>
              <w:rPr>
                <w:rStyle w:val="id-label"/>
                <w:rFonts w:ascii="Palatino Linotype" w:hAnsi="Palatino Linotype" w:cstheme="minorHAnsi"/>
                <w:sz w:val="18"/>
                <w:szCs w:val="18"/>
              </w:rPr>
            </w:pPr>
            <w:proofErr w:type="spellStart"/>
            <w:r w:rsidRPr="00B76420">
              <w:rPr>
                <w:rStyle w:val="id-label"/>
                <w:rFonts w:ascii="Palatino Linotype" w:hAnsi="Palatino Linotype" w:cstheme="minorHAnsi"/>
                <w:sz w:val="18"/>
                <w:szCs w:val="18"/>
              </w:rPr>
              <w:t>Decrased</w:t>
            </w:r>
            <w:proofErr w:type="spellEnd"/>
            <w:r w:rsidRPr="00B76420">
              <w:rPr>
                <w:rStyle w:val="id-label"/>
                <w:rFonts w:ascii="Palatino Linotype" w:hAnsi="Palatino Linotype" w:cstheme="minorHAnsi"/>
                <w:sz w:val="18"/>
                <w:szCs w:val="18"/>
              </w:rPr>
              <w:t xml:space="preserve"> VCM</w:t>
            </w:r>
          </w:p>
        </w:tc>
        <w:tc>
          <w:tcPr>
            <w:tcW w:w="1980" w:type="dxa"/>
            <w:vAlign w:val="center"/>
          </w:tcPr>
          <w:p w14:paraId="08E6DA92" w14:textId="6CBB4648" w:rsidR="008B7415" w:rsidRDefault="008B7415" w:rsidP="009A3199">
            <w:pPr>
              <w:jc w:val="center"/>
              <w:rPr>
                <w:rStyle w:val="Strong"/>
                <w:rFonts w:ascii="Palatino Linotype" w:hAnsi="Palatino Linotype" w:cstheme="minorHAnsi"/>
                <w:sz w:val="18"/>
                <w:szCs w:val="18"/>
              </w:rPr>
            </w:pPr>
            <w:r>
              <w:rPr>
                <w:rStyle w:val="Strong"/>
                <w:rFonts w:ascii="Palatino Linotype" w:hAnsi="Palatino Linotype" w:cstheme="minorHAnsi"/>
                <w:sz w:val="18"/>
                <w:szCs w:val="18"/>
              </w:rPr>
              <w:fldChar w:fldCharType="begin" w:fldLock="1"/>
            </w:r>
            <w:r w:rsidR="005E78F7">
              <w:rPr>
                <w:rStyle w:val="Strong"/>
                <w:rFonts w:ascii="Palatino Linotype" w:hAnsi="Palatino Linotype" w:cstheme="minorHAnsi"/>
                <w:sz w:val="18"/>
                <w:szCs w:val="18"/>
              </w:rPr>
              <w:instrText>ADDIN CSL_CITATION {"citationItems":[{"id":"ITEM-1","itemData":{"DOI":"10.1038/s41598-017-02037-z","ISSN":"2045-2322","PMID":"28500295","abstract":"Tardive dyskinesia (TD) is a serious motor side effect that may appear after long-term treatment with neuroleptics and mostly mediated by dopamine D2 receptors (D2Rs). Striatal D2R functioning may be finely regulated by either adenosine A2A receptor (A2AR) or angiotensin receptor type 1 (AT1R) through putative receptor heteromers. Here, we examined whether A2AR and AT1R may oligomerize in the striatum to synergistically modulate dopaminergic transmission. First, by using bioluminescence resonance energy transfer, we demonstrated a physical AT1R-A2AR interaction in cultured cells. Interestingly, by protein-protein docking and molecular dynamics simulations, we described that a stable heterotetrameric interaction may exist between AT1R and A2AR bound to antagonists (i.e. losartan and istradefylline, respectively). Accordingly, we subsequently ascertained the existence of AT1R/A2AR heteromers in the striatum by proximity ligation in situ assay. Finally, we took advantage of a TD animal model, namely the reserpine-induced vacuous chewing movement (VCM), to evaluate a novel multimodal pharmacological TD treatment approach based on targeting the AT1R/A2AR complex. Thus, reserpinized mice were co-treated with sub-effective losartan and istradefylline doses, which prompted a synergistic reduction in VCM. Overall, our results demonstrated the existence of striatal AT1R/A2AR oligomers with potential usefulness for the therapeutic management of TD.","author":[{"dropping-particle":"de","family":"Oliveira","given":"Paulo A","non-dropping-particle":"","parse-names":false,"suffix":""},{"dropping-particle":"","family":"Dalton","given":"James A R","non-dropping-particle":"","parse-names":false,"suffix":""},{"dropping-particle":"","family":"López-Cano","given":"Marc","non-dropping-particle":"","parse-names":false,"suffix":""},{"dropping-particle":"","family":"Ricarte","given":"Adrià","non-dropping-particle":"","parse-names":false,"suffix":""},{"dropping-particle":"","family":"Morató","given":"Xavier","non-dropping-particle":"","parse-names":false,"suffix":""},{"dropping-particle":"","family":"Matheus","given":"Filipe C","non-dropping-particle":"","parse-names":false,"suffix":""},{"dropping-particle":"","family":"Cunha","given":"Andréia S","non-dropping-particle":"","parse-names":false,"suffix":""},{"dropping-particle":"","family":"Müller","given":"Christa E","non-dropping-particle":"","parse-names":false,"suffix":""},{"dropping-particle":"","family":"Takahashi","given":"Reinaldo N","non-dropping-particle":"","parse-names":false,"suffix":""},{"dropping-particle":"","family":"Fernández-Dueñas","given":"Víctor","non-dropping-particle":"","parse-names":false,"suffix":""},{"dropping-particle":"","family":"Giraldo","given":"Jesús","non-dropping-particle":"","parse-names":false,"suffix":""},{"dropping-particle":"","family":"Prediger","given":"Rui D","non-dropping-particle":"","parse-names":false,"suffix":""},{"dropping-particle":"","family":"Ciruela","given":"Francisco","non-dropping-particle":"","parse-names":false,"suffix":""}],"container-title":"Scientific reports","id":"ITEM-1","issue":"1","issued":{"date-parts":[["2017"]]},"page":"1857","publisher":"Sci Rep","title":"Angiotensin II type 1/adenosine A 2A receptor oligomers: a novel target for tardive dyskinesia.","type":"article-journal","volume":"7"},"uris":["http://www.mendeley.com/documents/?uuid=f05f5b72-39c5-3a97-b2cc-a1e337bb6424"]}],"mendeley":{"formattedCitation":"(Oliveira et al. 2017)","plainTextFormattedCitation":"(Oliveira et al. 2017)","previouslyFormattedCitation":"(Oliveira et al. 2017)"},"properties":{"noteIndex":0},"schema":"https://github.com/citation-style-language/schema/raw/master/csl-citation.json"}</w:instrText>
            </w:r>
            <w:r>
              <w:rPr>
                <w:rStyle w:val="Strong"/>
                <w:rFonts w:ascii="Palatino Linotype" w:hAnsi="Palatino Linotype" w:cstheme="minorHAnsi"/>
                <w:sz w:val="18"/>
                <w:szCs w:val="18"/>
              </w:rPr>
              <w:fldChar w:fldCharType="separate"/>
            </w:r>
            <w:r w:rsidR="001060C2" w:rsidRPr="001060C2">
              <w:rPr>
                <w:rStyle w:val="Strong"/>
                <w:rFonts w:ascii="Palatino Linotype" w:hAnsi="Palatino Linotype" w:cstheme="minorHAnsi"/>
                <w:b w:val="0"/>
                <w:noProof/>
                <w:sz w:val="18"/>
                <w:szCs w:val="18"/>
              </w:rPr>
              <w:t>(Oliveira et al. 2017)</w:t>
            </w:r>
            <w:r>
              <w:rPr>
                <w:rStyle w:val="Strong"/>
                <w:rFonts w:ascii="Palatino Linotype" w:hAnsi="Palatino Linotype" w:cstheme="minorHAnsi"/>
                <w:sz w:val="18"/>
                <w:szCs w:val="18"/>
              </w:rPr>
              <w:fldChar w:fldCharType="end"/>
            </w:r>
          </w:p>
          <w:p w14:paraId="591FD53B" w14:textId="77777777" w:rsidR="003B3E22" w:rsidRPr="00B76420" w:rsidRDefault="003B3E22" w:rsidP="009A3199">
            <w:pPr>
              <w:jc w:val="center"/>
              <w:rPr>
                <w:rStyle w:val="id-label"/>
                <w:rFonts w:ascii="Palatino Linotype" w:hAnsi="Palatino Linotype" w:cstheme="minorHAnsi"/>
                <w:sz w:val="18"/>
                <w:szCs w:val="18"/>
              </w:rPr>
            </w:pPr>
          </w:p>
          <w:p w14:paraId="09D99993" w14:textId="77777777" w:rsidR="00C71433" w:rsidRPr="00B76420" w:rsidRDefault="00C71433" w:rsidP="009A3199">
            <w:pPr>
              <w:jc w:val="center"/>
              <w:rPr>
                <w:rFonts w:ascii="Palatino Linotype" w:hAnsi="Palatino Linotype" w:cstheme="minorHAnsi"/>
                <w:sz w:val="18"/>
                <w:szCs w:val="18"/>
              </w:rPr>
            </w:pPr>
          </w:p>
        </w:tc>
      </w:tr>
      <w:tr w:rsidR="00C71433" w:rsidRPr="00B76420" w14:paraId="6DA0AEA8" w14:textId="77777777" w:rsidTr="00A77E70">
        <w:tc>
          <w:tcPr>
            <w:tcW w:w="1560" w:type="dxa"/>
            <w:vAlign w:val="center"/>
          </w:tcPr>
          <w:p w14:paraId="2A49D8FA" w14:textId="77777777" w:rsidR="00C71433" w:rsidRPr="00B76420" w:rsidRDefault="00C71433" w:rsidP="009A3199">
            <w:pPr>
              <w:tabs>
                <w:tab w:val="center" w:pos="1035"/>
              </w:tabs>
              <w:jc w:val="center"/>
              <w:rPr>
                <w:rFonts w:ascii="Palatino Linotype" w:hAnsi="Palatino Linotype" w:cstheme="minorHAnsi"/>
                <w:sz w:val="18"/>
                <w:szCs w:val="18"/>
              </w:rPr>
            </w:pPr>
            <w:r w:rsidRPr="00B76420">
              <w:rPr>
                <w:rFonts w:ascii="Palatino Linotype" w:hAnsi="Palatino Linotype" w:cstheme="minorHAnsi"/>
                <w:sz w:val="18"/>
                <w:szCs w:val="18"/>
              </w:rPr>
              <w:t>SOD activity</w:t>
            </w:r>
          </w:p>
          <w:p w14:paraId="6E15B79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 activity</w:t>
            </w:r>
          </w:p>
          <w:p w14:paraId="52306A8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GPX activity </w:t>
            </w:r>
          </w:p>
        </w:tc>
        <w:tc>
          <w:tcPr>
            <w:tcW w:w="1559" w:type="dxa"/>
            <w:vAlign w:val="center"/>
          </w:tcPr>
          <w:p w14:paraId="26748FA5"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60B7806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Albino Wistar male rats </w:t>
            </w:r>
          </w:p>
        </w:tc>
        <w:tc>
          <w:tcPr>
            <w:tcW w:w="1417" w:type="dxa"/>
            <w:vAlign w:val="center"/>
          </w:tcPr>
          <w:p w14:paraId="7AC6235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1E45DF3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Align w:val="center"/>
          </w:tcPr>
          <w:p w14:paraId="79907C4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Rice bran oil</w:t>
            </w:r>
          </w:p>
        </w:tc>
        <w:tc>
          <w:tcPr>
            <w:tcW w:w="1984" w:type="dxa"/>
            <w:vAlign w:val="center"/>
          </w:tcPr>
          <w:p w14:paraId="36FC4D9E"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Decreased VCM</w:t>
            </w:r>
          </w:p>
          <w:p w14:paraId="083A6544" w14:textId="77777777" w:rsidR="00C71433" w:rsidRPr="00B76420" w:rsidRDefault="00C71433" w:rsidP="009A3199">
            <w:pPr>
              <w:jc w:val="center"/>
              <w:rPr>
                <w:rStyle w:val="id-label"/>
                <w:rFonts w:ascii="Palatino Linotype" w:hAnsi="Palatino Linotype" w:cstheme="minorHAnsi"/>
                <w:sz w:val="18"/>
                <w:szCs w:val="18"/>
              </w:rPr>
            </w:pPr>
          </w:p>
          <w:p w14:paraId="434BA464"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Increased activity of the antioxidant enzymes</w:t>
            </w:r>
          </w:p>
        </w:tc>
        <w:tc>
          <w:tcPr>
            <w:tcW w:w="1980" w:type="dxa"/>
            <w:vAlign w:val="center"/>
          </w:tcPr>
          <w:p w14:paraId="1E779BCC" w14:textId="7D008EC7"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{"citationItems":[{"id":"ITEM-1","itemData":{"DOI":"10.1007/s11011-017-0002-8","ISSN":"1573-7365","PMID":"28374238","abstract":"Tardive dyskinesia (TD) is associated with the use of antipsychotic drugs such as D2 antagonist haloperidol (HP). The chronic use of HP is involved in the causation of free radicals and/or oxidative stress. In view of the nootropic, anti-anxiety, anti-inflammatory-like effects of rice bran oil (RBO) in a variety of investigations, we assessed the protective properties of RBO on HP-induced TD and neurochemical alteration. Rats treated with HP orally at a dose of 0.2 mg/kg/day for a period of 5 weeks developed VCMs which increased progressively as the treatment continued for 5 weeks. Co-administration of RBO by oral tubes at a dose of 0.4 ml/day prevented the induction of HP-induced VCMs. Repeated administration of HP increases the turnover of dopamine metabolism in the striatum. Conversely animals treated with HP + RBO decrease the metabolism of DA than water + HP treated animals. Striatal, malondieldehyde (MDA), hydrogen peroxide (H2O2) and antioxidant enzyme superoxide dismutase (SOD), catalase (CAT) and glutathione peroxidase (GPx) were also determined. It is suggested that beneficial role of RBO in attenuation of HP-induced TD. The results therefore recommended that supplementation of RBO may be useful in the HP-induced TD. The findings have also potential implication in the treatment of schizophrenia and motor disorders.","author":[{"dropping-particle":"","family":"Samad","given":"Noreen","non-dropping-particle":"","parse-names":false,"suffix":""},{"dropping-particle":"","family":"Haleem","given":"Darakhshan Jabeen","non-dropping-particle":"","parse-names":false,"suffix":""}],"container-title":"Metabolic brain disease","id":"ITEM-1","issue":"4","issued":{"date-parts":[["2017"]]},"page":"1099-1107","publisher":"Metab Brain Dis","title":"Antioxidant effects of rice bran oil mitigate repeated haloperidol-induced tardive dyskinesia in male rats.","type":"article-journal","volume":"32"},"uris":["http://www.mendeley.com/documents/?uuid=03796712-dc8a-353c-a95f-e404aece0276"]}],"mendeley":{"formattedCitation":"(Samad and Haleem 2017)","plainTextFormattedCitation":"(Samad and Haleem 2017)","previouslyFormattedCitation":"(Samad and Haleem 2017)"},"properties":{"noteIndex":0},"schema":"https://github.com/citation-style-language/schema/raw/master/csl-citation.json"}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(Samad and Haleem 2017)</w:t>
            </w:r>
            <w:r>
              <w:rPr>
                <w:rFonts w:ascii="Palatino Linotype" w:hAnsi="Palatino Linotype" w:cstheme="minorHAnsi"/>
                <w:sz w:val="18"/>
                <w:szCs w:val="18"/>
              </w:rPr>
              <w:fldChar w:fldCharType="end"/>
            </w:r>
          </w:p>
        </w:tc>
      </w:tr>
      <w:tr w:rsidR="00C71433" w:rsidRPr="00B76420" w14:paraId="593BD2CB" w14:textId="77777777" w:rsidTr="00A77E70">
        <w:tc>
          <w:tcPr>
            <w:tcW w:w="1560" w:type="dxa"/>
            <w:vAlign w:val="center"/>
          </w:tcPr>
          <w:p w14:paraId="4859632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CYP2D6 activity</w:t>
            </w:r>
          </w:p>
        </w:tc>
        <w:tc>
          <w:tcPr>
            <w:tcW w:w="1559" w:type="dxa"/>
            <w:vAlign w:val="center"/>
          </w:tcPr>
          <w:p w14:paraId="283DE6C0"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69CA18D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Adult male Wistar rats</w:t>
            </w:r>
          </w:p>
        </w:tc>
        <w:tc>
          <w:tcPr>
            <w:tcW w:w="1417" w:type="dxa"/>
            <w:vAlign w:val="center"/>
          </w:tcPr>
          <w:p w14:paraId="09278F5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4DB33FB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p w14:paraId="70A04F6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Catalepsy</w:t>
            </w:r>
          </w:p>
        </w:tc>
        <w:tc>
          <w:tcPr>
            <w:tcW w:w="1843" w:type="dxa"/>
            <w:vAlign w:val="center"/>
          </w:tcPr>
          <w:p w14:paraId="51123EC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984" w:type="dxa"/>
            <w:vAlign w:val="center"/>
          </w:tcPr>
          <w:p w14:paraId="43FEA8DD"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w:t>
            </w:r>
          </w:p>
        </w:tc>
        <w:tc>
          <w:tcPr>
            <w:tcW w:w="1980" w:type="dxa"/>
            <w:vAlign w:val="center"/>
          </w:tcPr>
          <w:p w14:paraId="0AAE3BE1" w14:textId="3A4B75BA"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{"citationItems":[{"id":"ITEM-1","itemData":{"DOI":"10.1016/j.pnpbp.2017.04.030","ISSN":"1878-4216","PMID":"28454738","abstract":"Risk for side-effects after acute (e.g. parkinsonism) or chronic (e.g. tardive dyskinesia) treatment with antipsychotics, including haloperidol, varies substantially among people. CYP2D can metabolize many antipsychotics and variable brain CYP2D metabolism can influence local drug and metabolite levels sufficiently to alter behavioral responses. Here we investigated a role for brain CYP2D in acutely and chronically administered haloperidol levels and side-effects in a rat model. Rat brain, but not liver, CYP2D activity was irreversibly inhibited with intracerebral propranolol and/or induced by seven days of subcutaneous nicotine pre-treatment. The role of variable brain CYP2D was investigated in rat models of acute (catalepsy) and chronic (vacuous chewing movements, VCMs) haloperidol side-effects. Selective inhibition and induction of brain, but not liver, CYP2D decreased and increased catalepsy after acute haloperidol, respectively. Catalepsy correlated with brain, but not hepatic, CYP2D enzyme activity. Inhibition of brain CYP2D increased VCMs after chronic haloperidol; VCMs correlated with brain, but not hepatic, CYP2D activity, haloperidol levels and lipid peroxidation. Baseline measures, hepatic CYP2D activity and plasma haloperidol levels were unchanged by brain CYP2D manipulations. Variable rat brain CYP2D alters side-effects from acute and chronic haloperidol in opposite directions; catalepsy appears to be enhanced by a brain CYP2D-derived metabolite while the parent haloperidol likely causes VCMs. These data provide novel mechanistic evidence for brain CYP2D altering side-effects of haloperidol and other antipsychotics metabolized by CYP2D, suggesting that variation in human brain CYP2D may be a risk factor for antipsychotic side-effects.","author":[{"dropping-particle":"","family":"Miksys","given":"Sharon","non-dropping-particle":"","parse-names":false,"suffix":""},{"dropping-particle":"","family":"Wadji","given":"Fariba Baghai","non-dropping-particle":"","parse-names":false,"suffix":""},{"dropping-particle":"","family":"Tolledo","given":"Edgor Cole","non-dropping-particle":"","parse-names":false,"suffix":""},{"dropping-particle":"","family":"Remington","given":"Gary","non-dropping-particle":"","parse-names":false,"suffix":""},{"dropping-particle":"","family":"Nobrega","given":"Jose N","non-dropping-particle":"","parse-names":false,"suffix":""},{"dropping-particle":"","family":"Tyndale","given":"Rachel F","non-dropping-particle":"","parse-names":false,"suffix":""}],"container-title":"Progress in neuro-psychopharmacology &amp; biological psychiatry","id":"ITEM-1","issued":{"date-parts":[["2017"]]},"page":"140-148","publisher":"Prog Neuropsychopharmacol Biol Psychiatry","title":"Rat brain CYP2D enzymatic metabolism alters acute and chronic haloperidol side-effects by different mechanisms.","type":"article-journal","volume":"78"},"uris":["http://www.mendeley.com/documents/?uuid=d67a5fe7-1678-3cb1-899c-f297957c4b5f"]}],"mendeley":{"formattedCitation":"(Miksys et al. 2017)","plainTextFormattedCitation":"(Miksys et al. 2017)","previouslyFormattedCitation":"(Miksys et al. 2017)"},"properties":{"noteIndex":0},"schema":"https://github.com/citation-style-language/schema/raw/master/csl-citation.json"}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(Miksys et al. 2017)</w:t>
            </w:r>
            <w:r>
              <w:rPr>
                <w:rFonts w:ascii="Palatino Linotype" w:hAnsi="Palatino Linotype" w:cstheme="minorHAnsi"/>
                <w:sz w:val="18"/>
                <w:szCs w:val="18"/>
              </w:rPr>
              <w:fldChar w:fldCharType="end"/>
            </w:r>
          </w:p>
        </w:tc>
      </w:tr>
      <w:tr w:rsidR="00C71433" w:rsidRPr="00B76420" w14:paraId="2744C94B" w14:textId="77777777" w:rsidTr="00A77E70">
        <w:trPr>
          <w:trHeight w:val="863"/>
        </w:trPr>
        <w:tc>
          <w:tcPr>
            <w:tcW w:w="1560" w:type="dxa"/>
            <w:vAlign w:val="center"/>
          </w:tcPr>
          <w:p w14:paraId="6712AE7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HTR2A </w:t>
            </w:r>
          </w:p>
          <w:p w14:paraId="52BB89E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GRIN2A</w:t>
            </w:r>
          </w:p>
          <w:p w14:paraId="7FA5729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TH</w:t>
            </w:r>
          </w:p>
          <w:p w14:paraId="092A4D1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GRIN2B</w:t>
            </w:r>
          </w:p>
        </w:tc>
        <w:tc>
          <w:tcPr>
            <w:tcW w:w="1559" w:type="dxa"/>
            <w:vAlign w:val="center"/>
          </w:tcPr>
          <w:p w14:paraId="36DB7E30"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restart"/>
            <w:vAlign w:val="center"/>
          </w:tcPr>
          <w:p w14:paraId="1D84B85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Adult female capuchin (</w:t>
            </w:r>
            <w:r w:rsidRPr="00B76420">
              <w:rPr>
                <w:rStyle w:val="Emphasis"/>
                <w:rFonts w:ascii="Palatino Linotype" w:hAnsi="Palatino Linotype" w:cstheme="minorHAnsi"/>
                <w:sz w:val="18"/>
                <w:szCs w:val="18"/>
              </w:rPr>
              <w:t xml:space="preserve">Cebus </w:t>
            </w:r>
            <w:proofErr w:type="spellStart"/>
            <w:r w:rsidRPr="00B76420">
              <w:rPr>
                <w:rStyle w:val="Emphasis"/>
                <w:rFonts w:ascii="Palatino Linotype" w:hAnsi="Palatino Linotype" w:cstheme="minorHAnsi"/>
                <w:sz w:val="18"/>
                <w:szCs w:val="18"/>
              </w:rPr>
              <w:t>apella</w:t>
            </w:r>
            <w:proofErr w:type="spellEnd"/>
            <w:r w:rsidRPr="00B76420">
              <w:rPr>
                <w:rFonts w:ascii="Palatino Linotype" w:hAnsi="Palatino Linotype" w:cstheme="minorHAnsi"/>
                <w:sz w:val="18"/>
                <w:szCs w:val="18"/>
              </w:rPr>
              <w:t>) monkeys</w:t>
            </w:r>
          </w:p>
        </w:tc>
        <w:tc>
          <w:tcPr>
            <w:tcW w:w="1417" w:type="dxa"/>
            <w:vMerge w:val="restart"/>
            <w:vAlign w:val="center"/>
          </w:tcPr>
          <w:p w14:paraId="07A02D8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 decanoate</w:t>
            </w:r>
          </w:p>
          <w:p w14:paraId="26FF8B0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Clozapine</w:t>
            </w:r>
          </w:p>
        </w:tc>
        <w:tc>
          <w:tcPr>
            <w:tcW w:w="1985" w:type="dxa"/>
            <w:vMerge w:val="restart"/>
            <w:vAlign w:val="center"/>
          </w:tcPr>
          <w:p w14:paraId="3485767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Tardive dyskinesia</w:t>
            </w:r>
          </w:p>
        </w:tc>
        <w:tc>
          <w:tcPr>
            <w:tcW w:w="1843" w:type="dxa"/>
            <w:vMerge w:val="restart"/>
            <w:vAlign w:val="center"/>
          </w:tcPr>
          <w:p w14:paraId="7F1E94C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984" w:type="dxa"/>
            <w:vMerge w:val="restart"/>
            <w:vAlign w:val="center"/>
          </w:tcPr>
          <w:p w14:paraId="533ECFE4"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w:t>
            </w:r>
          </w:p>
        </w:tc>
        <w:tc>
          <w:tcPr>
            <w:tcW w:w="1980" w:type="dxa"/>
            <w:vMerge w:val="restart"/>
            <w:vAlign w:val="center"/>
          </w:tcPr>
          <w:p w14:paraId="218931B6" w14:textId="37AFFFFE" w:rsidR="00C71433" w:rsidRPr="00B76420" w:rsidRDefault="003B3E22" w:rsidP="003B3E22">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{"citationItems":[{"id":"ITEM-1","itemData":{"DOI":"10.1016/j.neuroscience.2017.07.068","ISSN":"1873-7544","PMID":"28790021","abstract":"Tardive dyskinesia (TD) is a potentially disabling condition encompassing all delayed, persistent, and often irreversible abnormal involuntary movements arising in a fraction of subjects during long-term exposure to centrally acting dopamine receptor-blocking agents such as antipsychotic drugs and metoclopramide. However, the pathogenesis of TD has proved complex and remains elusive. To investigate the mechanism underlying the development of TD, we have chronically exposed 17 Cebus apella monkeys to typical (11) or atypical (6) antipsychotic drugs. Six additional monkeys were used as controls. Using autoradiography, Western blot and in situ hybridization techniques, we compared neurochemical components of the dopamine, serotonin, and glutamate neurotransmitter systems modulating striatal activity in monkeys chronically exposed to haloperidol and clozapine. Five (5) out of 11 monkeys treated with haloperidol develop TD, whereas none of the monkeys treated with clozapine develop TD. Haloperidol treatment significantly upregulated the levels of serotonin 5-HT2A receptor, NR2A-containing NMDA receptors, and tyrosine hydroxylase contents in the monkey putamen, whereas clozapine regulated putamen NMDA receptor levels and tyrosine hydroxylase contents, and 5-HT2A and dopamine transporter outside the putamen. Comparisons of neurochemical alterations between dyskinetic and non dyskinetic animals within the haloperidol-treated group indicate that modulations of 5-HT2A, metabotropic glutamate type 5, NR2A- and NR2B-containing NMDA receptors, and vesicular monoamine transporter type 2 levels were restricted to the non dyskinetic group. The foregoing results suggest that TD is associated with complex deficient adaptation in aminergic and glutamatergic neurotransmission in the striatum of non-human primates chronically exposed to antipsychotic drugs.","author":[{"dropping-particle":"","family":"Lévesque","given":"Catherine","non-dropping-particle":"","parse-names":false,"suffix":""},{"dropping-particle":"","family":"Hernandez","given":"Giovanni","non-dropping-particle":"","parse-names":false,"suffix":""},{"dropping-particle":"","family":"Mahmoudi","given":"Souha","non-dropping-particle":"","parse-names":false,"suffix":""},{"dropping-particle":"","family":"Calon","given":"Frédéric","non-dropping-particle":"","parse-names":false,"suffix":""},{"dropping-particle":"","family":"Gasparini","given":"Fabrizio","non-dropping-particle":"","parse-names":false,"suffix":""},{"dropping-particle":"","family":"Gomez-Mancilla","given":"Baltazar","non-dropping-particle":"","parse-names":false,"suffix":""},{"dropping-particle":"","family":"Blanchet","given":"Pierre J","non-dropping-particle":"","parse-names":false,"suffix":""},{"dropping-particle":"","family":"Lévesque","given":"Daniel","non-dropping-particle":"","parse-names":false,"suffix":""}],"container-title":"Neuroscience","id":"ITEM-1","issued":{"date-parts":[["2017","10","11"]]},"page":"43-57","publisher":"Neuroscience","title":"Deficient striatal adaptation in aminergic and glutamatergic neurotransmission is associated with tardive dyskinesia in non-human primates exposed to antipsychotic drugs.","type":"article-journal","volume":"361"},"uris":["http://www.mendeley.com/documents/?uuid=caf36917-898f-38d9-8e35-4bed3a75561b"]}],"mendeley":{"formattedCitation":"(Lévesque et al. 2017)","plainTextFormattedCitation":"(Lévesque et al. 2017)","previouslyFormattedCitation":"(Lévesque et al. 2017)"},"properties":{"noteIndex":0},"schema":"https://github.com/citation-style-language/schema/raw/master/csl-citation.json"}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(Lévesque et al. 2017)</w:t>
            </w:r>
            <w:r>
              <w:rPr>
                <w:rFonts w:ascii="Palatino Linotype" w:hAnsi="Palatino Linotype" w:cstheme="minorHAnsi"/>
                <w:sz w:val="18"/>
                <w:szCs w:val="18"/>
              </w:rPr>
              <w:fldChar w:fldCharType="end"/>
            </w:r>
            <w:r>
              <w:rPr>
                <w:rFonts w:ascii="Palatino Linotype" w:hAnsi="Palatino Linotype" w:cstheme="minorHAnsi"/>
                <w:sz w:val="18"/>
                <w:szCs w:val="18"/>
              </w:rPr>
              <w:t xml:space="preserve"> </w:t>
            </w:r>
          </w:p>
        </w:tc>
      </w:tr>
      <w:tr w:rsidR="00C71433" w:rsidRPr="00B76420" w14:paraId="4769255E" w14:textId="77777777" w:rsidTr="00A77E70">
        <w:trPr>
          <w:trHeight w:val="534"/>
        </w:trPr>
        <w:tc>
          <w:tcPr>
            <w:tcW w:w="1560" w:type="dxa"/>
            <w:vAlign w:val="center"/>
          </w:tcPr>
          <w:p w14:paraId="14EB023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DAT </w:t>
            </w:r>
          </w:p>
          <w:p w14:paraId="16C1964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VMAT2</w:t>
            </w:r>
          </w:p>
        </w:tc>
        <w:tc>
          <w:tcPr>
            <w:tcW w:w="1559" w:type="dxa"/>
            <w:vAlign w:val="center"/>
          </w:tcPr>
          <w:p w14:paraId="1BAF23DF"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ign w:val="center"/>
          </w:tcPr>
          <w:p w14:paraId="28FFE214"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7B90D85A"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7EC8F2A5"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7E11B12E" w14:textId="77777777" w:rsidR="00C71433" w:rsidRPr="00B76420" w:rsidRDefault="00C71433" w:rsidP="009A3199">
            <w:pPr>
              <w:jc w:val="center"/>
              <w:rPr>
                <w:rFonts w:ascii="Palatino Linotype" w:hAnsi="Palatino Linotype" w:cstheme="minorHAnsi"/>
                <w:sz w:val="18"/>
                <w:szCs w:val="18"/>
              </w:rPr>
            </w:pPr>
          </w:p>
        </w:tc>
        <w:tc>
          <w:tcPr>
            <w:tcW w:w="1984" w:type="dxa"/>
            <w:vMerge/>
            <w:vAlign w:val="center"/>
          </w:tcPr>
          <w:p w14:paraId="07C71AB0" w14:textId="77777777" w:rsidR="00C71433" w:rsidRPr="00B76420" w:rsidRDefault="00C71433" w:rsidP="009A3199">
            <w:pPr>
              <w:jc w:val="center"/>
              <w:rPr>
                <w:rStyle w:val="id-label"/>
                <w:rFonts w:ascii="Palatino Linotype" w:hAnsi="Palatino Linotype" w:cstheme="minorHAnsi"/>
                <w:sz w:val="18"/>
                <w:szCs w:val="18"/>
              </w:rPr>
            </w:pPr>
          </w:p>
        </w:tc>
        <w:tc>
          <w:tcPr>
            <w:tcW w:w="1980" w:type="dxa"/>
            <w:vMerge/>
            <w:vAlign w:val="center"/>
          </w:tcPr>
          <w:p w14:paraId="7C5797D8" w14:textId="77777777" w:rsidR="00C71433" w:rsidRPr="00B76420" w:rsidRDefault="00C71433" w:rsidP="009A3199">
            <w:pPr>
              <w:jc w:val="center"/>
              <w:rPr>
                <w:rFonts w:ascii="Palatino Linotype" w:hAnsi="Palatino Linotype" w:cstheme="minorHAnsi"/>
                <w:sz w:val="18"/>
                <w:szCs w:val="18"/>
              </w:rPr>
            </w:pPr>
          </w:p>
        </w:tc>
      </w:tr>
      <w:tr w:rsidR="00C71433" w:rsidRPr="00B76420" w14:paraId="41E79E20" w14:textId="77777777" w:rsidTr="00A77E70">
        <w:tc>
          <w:tcPr>
            <w:tcW w:w="1560" w:type="dxa"/>
            <w:vAlign w:val="center"/>
          </w:tcPr>
          <w:p w14:paraId="27CB503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MAOB activity </w:t>
            </w:r>
          </w:p>
        </w:tc>
        <w:tc>
          <w:tcPr>
            <w:tcW w:w="1559" w:type="dxa"/>
            <w:vAlign w:val="center"/>
          </w:tcPr>
          <w:p w14:paraId="3DD0B88D"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0B44D50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Adult male Wistar rats</w:t>
            </w:r>
          </w:p>
        </w:tc>
        <w:tc>
          <w:tcPr>
            <w:tcW w:w="1417" w:type="dxa"/>
            <w:vAlign w:val="center"/>
          </w:tcPr>
          <w:p w14:paraId="6AAC9B1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Fluphenazine </w:t>
            </w:r>
            <w:proofErr w:type="spellStart"/>
            <w:r w:rsidRPr="00B76420">
              <w:rPr>
                <w:rFonts w:ascii="Palatino Linotype" w:hAnsi="Palatino Linotype" w:cstheme="minorHAnsi"/>
                <w:sz w:val="18"/>
                <w:szCs w:val="18"/>
              </w:rPr>
              <w:t>enantate</w:t>
            </w:r>
            <w:proofErr w:type="spellEnd"/>
          </w:p>
        </w:tc>
        <w:tc>
          <w:tcPr>
            <w:tcW w:w="1985" w:type="dxa"/>
            <w:vAlign w:val="center"/>
          </w:tcPr>
          <w:p w14:paraId="7AC7D59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Align w:val="center"/>
          </w:tcPr>
          <w:p w14:paraId="5F5A002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Resveratrol</w:t>
            </w:r>
          </w:p>
        </w:tc>
        <w:tc>
          <w:tcPr>
            <w:tcW w:w="1984" w:type="dxa"/>
            <w:vAlign w:val="center"/>
          </w:tcPr>
          <w:p w14:paraId="1AC5EE82"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Prevented the increase in VCMs with fluphenazine</w:t>
            </w:r>
          </w:p>
        </w:tc>
        <w:tc>
          <w:tcPr>
            <w:tcW w:w="1980" w:type="dxa"/>
            <w:vAlign w:val="center"/>
          </w:tcPr>
          <w:p w14:paraId="7500FC9A" w14:textId="2AC4FB65"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{"citationItems":[{"id":"ITEM-1","itemData":{"DOI":"10.1007/s11064-017-2335-4","ISSN":"1573-6903","PMID":"28744755","abstract":"Typical antipsychotics, which are commonly used to treat schizophrenia, cause motor disorders such as tardive dyskinesia (TD) in humans and orofacial dyskinesia (OD) in rodents. The disease mechanisms as well as treatment effectiveness are still unknown. In this study, we investigated the effect of resveratrol, a polyphenol with neuroprotective properties, on behavioral changes induced by chronic treatment with fluphenazine in rats and the possible relationship between monoamine oxidase (MAO) activity and vacuous chewing movements (VCMs). Rats were treated for 18 weeks with fluphenazine enantate [25 mg/kg, intramuscularly (i.m.), every 21 days] and/or resveratrol (20 mg/kg, offered daily in drinking water). Next, body weight gain, behavioral parameters (VCMs and open field tests-locomotor and rearing activity), and MAO activity were evaluated. Fluphenazine treatment reduced body weight gain, number of crossings and rearings, and the co-treatment with resveratrol did not affect these alterations. Fluphenazine increased the prevalence and intensity of VCMs and the co-treatment with resveratrol reduced the VCMs. Furthermore, a negative correlation was found between the number of VCMs and MAO-B activity in the striatum of rats. Our data suggest that resveratrol could be promissory to decrease OD. Moreover, MAO-B activity in the striatum seems to be related to VCMs intensity.","author":[{"dropping-particle":"","family":"Busanello","given":"Alcindo","non-dropping-particle":"","parse-names":false,"suffix":""},{"dropping-particle":"","family":"Leal","given":"Caroline Queiroz","non-dropping-particle":"","parse-names":false,"suffix":""},{"dropping-particle":"","family":"Peroza","given":"Luis Ricardo","non-dropping-particle":"","parse-names":false,"suffix":""},{"dropping-particle":"","family":"Röpke","given":"Jivago","non-dropping-particle":"","parse-names":false,"suffix":""},{"dropping-particle":"","family":"Moraes Reis","given":"Elizete","non-dropping-particle":"de","parse-names":false,"suffix":""},{"dropping-particle":"","family":"Freitas","given":"Catiuscia Molz","non-dropping-particle":"de","parse-names":false,"suffix":""},{"dropping-particle":"","family":"Libardoni","given":"Milena","non-dropping-particle":"","parse-names":false,"suffix":""},{"dropping-particle":"","family":"Vargas Barbosa","given":"Nilda Berenice","non-dropping-particle":"de","parse-names":false,"suffix":""},{"dropping-particle":"","family":"Fachinetto","given":"Roselei","non-dropping-particle":"","parse-names":false,"suffix":""}],"container-title":"Neurochemical research","id":"ITEM-1","issue":"11","issued":{"date-parts":[["2017","11"]]},"page":"3033-3040","publisher":"Neurochem Res","title":"Resveratrol Protects Against Vacuous Chewing Movements Induced by Chronic Treatment with Fluphenazine.","type":"article-journal","volume":"42"},"uris":["http://www.mendeley.com/documents/?uuid=cb4b4de1-44df-3d95-9be4-88440854bcd5"]}],"mendeley":{"formattedCitation":"(Busanello et al. 2017)","plainTextFormattedCitation":"(Busanello et al. 2017)","previouslyFormattedCitation":"(Busanello et al. 2017)"},"properties":{"noteIndex":0},"schema":"https://github.com/citation-style-language/schema/raw/master/csl-citation.json"}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(Busanello et al. 2017)</w:t>
            </w:r>
            <w:r>
              <w:rPr>
                <w:rFonts w:ascii="Palatino Linotype" w:hAnsi="Palatino Linotype" w:cstheme="minorHAnsi"/>
                <w:sz w:val="18"/>
                <w:szCs w:val="18"/>
              </w:rPr>
              <w:fldChar w:fldCharType="end"/>
            </w:r>
          </w:p>
        </w:tc>
      </w:tr>
      <w:tr w:rsidR="00C71433" w:rsidRPr="00B76420" w14:paraId="68CF4962" w14:textId="77777777" w:rsidTr="00A77E70">
        <w:tc>
          <w:tcPr>
            <w:tcW w:w="1560" w:type="dxa"/>
            <w:vAlign w:val="center"/>
          </w:tcPr>
          <w:p w14:paraId="6DAA06F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559" w:type="dxa"/>
            <w:vAlign w:val="center"/>
          </w:tcPr>
          <w:p w14:paraId="2EDA2DA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0316970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Rats</w:t>
            </w:r>
          </w:p>
        </w:tc>
        <w:tc>
          <w:tcPr>
            <w:tcW w:w="1417" w:type="dxa"/>
            <w:vAlign w:val="center"/>
          </w:tcPr>
          <w:p w14:paraId="14AC608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33FEE57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Orofacial dyskinesia</w:t>
            </w:r>
          </w:p>
        </w:tc>
        <w:tc>
          <w:tcPr>
            <w:tcW w:w="1843" w:type="dxa"/>
            <w:vAlign w:val="center"/>
          </w:tcPr>
          <w:p w14:paraId="54B6FF3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L-Theanine</w:t>
            </w:r>
          </w:p>
        </w:tc>
        <w:tc>
          <w:tcPr>
            <w:tcW w:w="1984" w:type="dxa"/>
            <w:vAlign w:val="center"/>
          </w:tcPr>
          <w:p w14:paraId="0B68F4A3"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Prevention of the orofacial dyskinesia</w:t>
            </w:r>
          </w:p>
        </w:tc>
        <w:tc>
          <w:tcPr>
            <w:tcW w:w="1980" w:type="dxa"/>
            <w:vAlign w:val="center"/>
          </w:tcPr>
          <w:p w14:paraId="79EF34F3" w14:textId="1AC2B2A5"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{"citationItems":[{"id":"ITEM-1","itemData":{"DOI":"10.4077/CJP.2018.BAG529","ISSN":"0304-4920","PMID":"29374957","abstract":"Tardive dyskinesia (TD) is a severe side effect of chronic neuroleptic treatment consisting of abnormal involuntary movements, characterized by orofacial dyskinesia (OD). Haloperidol (HAL)- induced OD has been widely used as an animal model to study the neuropathophysiology of human TD with its pathophysiology strongly associated with striatal oxidative stress. L-Theanine (LT), one of the major amino acid components in green tea, has potent antioxidative effects and is able to protect against various oxidative injuries. In this study, we examined the potential protective effects of LT on HAL-induced behavioral and neurochemical dysfunction in rats. HAL treatment (1 mg/kg i.p. for 21 days) induced significant increases (P &lt; 0.001) in the frequency of vacuous chewing movement (VCM) and tongue protrusion (TP) as well as the duration of facial twitching (FT). LT treatment (100, 300 mg/kg orally for 35 days, starting 14 days before HAL injection) was able to prevent most of the HAL-induced OD. LT treatment was also able to reduce the lipid peroxidation (LPO) production, and enhance the antioxidation power in striatum from rats with HAL treatment. The above results indicate that LT has a protective role against HAL-induced OD, probably via its powerful antioxidative properties. Thus, LT may have a clinically relevant therapeutic effect in delaying or treating TD.","author":[{"dropping-particle":"","family":"Chen","given":"Cheng-Neng","non-dropping-particle":"","parse-names":false,"suffix":""},{"dropping-particle":"","family":"Chang","given":"Kuo-Chi","non-dropping-particle":"","parse-names":false,"suffix":""},{"dropping-particle":"","family":"Wang","given":"Mao-Hsien","non-dropping-particle":"","parse-names":false,"suffix":""},{"dropping-particle":"","family":"Tseng","given":"Hsiang-Chien","non-dropping-particle":"","parse-names":false,"suffix":""},{"dropping-particle":"","family":"Soung","given":"Hung-Sheng","non-dropping-particle":"","parse-names":false,"suffix":""}],"container-title":"The Chinese journal of physiology","id":"ITEM-1","issue":"1","issued":{"date-parts":[["2018","2","28"]]},"page":"35-41","publisher":"Chin J Physiol","title":"Protective Effect of L-Theanine on Haloperidol-Induced Orofacial.","type":"article-journal","volume":"61"},"uris":["http://www.mendeley.com/documents/?uuid=de8963a7-6d87-362a-b134-5cfffa7067ba"]}],"mendeley":{"formattedCitation":"(Chen et al. 2018)","plainTextFormattedCitation":"(Chen et al. 2018)","previouslyFormattedCitation":"(Chen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(Chen et al. 2018)</w:t>
            </w:r>
            <w:r>
              <w:rPr>
                <w:rFonts w:ascii="Palatino Linotype" w:hAnsi="Palatino Linotype" w:cstheme="minorHAnsi"/>
                <w:sz w:val="18"/>
                <w:szCs w:val="18"/>
              </w:rPr>
              <w:fldChar w:fldCharType="end"/>
            </w:r>
          </w:p>
        </w:tc>
      </w:tr>
      <w:tr w:rsidR="00C71433" w:rsidRPr="00B76420" w14:paraId="7E2C756D" w14:textId="77777777" w:rsidTr="00A77E70">
        <w:tc>
          <w:tcPr>
            <w:tcW w:w="1560" w:type="dxa"/>
            <w:vAlign w:val="center"/>
          </w:tcPr>
          <w:p w14:paraId="733F1F3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lastRenderedPageBreak/>
              <w:t>/</w:t>
            </w:r>
          </w:p>
        </w:tc>
        <w:tc>
          <w:tcPr>
            <w:tcW w:w="1559" w:type="dxa"/>
            <w:vAlign w:val="center"/>
          </w:tcPr>
          <w:p w14:paraId="579DB9C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58EBF84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Albino Swiss mice</w:t>
            </w:r>
          </w:p>
        </w:tc>
        <w:tc>
          <w:tcPr>
            <w:tcW w:w="1417" w:type="dxa"/>
            <w:vAlign w:val="center"/>
          </w:tcPr>
          <w:p w14:paraId="6F9FB8F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5D87D66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Align w:val="center"/>
          </w:tcPr>
          <w:p w14:paraId="3F387B2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Gabapentin</w:t>
            </w:r>
          </w:p>
        </w:tc>
        <w:tc>
          <w:tcPr>
            <w:tcW w:w="1984" w:type="dxa"/>
            <w:vAlign w:val="center"/>
          </w:tcPr>
          <w:p w14:paraId="74D8F27C" w14:textId="77777777" w:rsidR="00C71433" w:rsidRPr="00B76420" w:rsidRDefault="00C71433" w:rsidP="009A3199">
            <w:pPr>
              <w:jc w:val="center"/>
              <w:rPr>
                <w:rStyle w:val="id-label"/>
                <w:rFonts w:ascii="Palatino Linotype" w:hAnsi="Palatino Linotype" w:cstheme="minorHAnsi"/>
                <w:sz w:val="18"/>
                <w:szCs w:val="18"/>
              </w:rPr>
            </w:pPr>
            <w:proofErr w:type="spellStart"/>
            <w:r w:rsidRPr="00B76420">
              <w:rPr>
                <w:rStyle w:val="id-label"/>
                <w:rFonts w:ascii="Palatino Linotype" w:hAnsi="Palatino Linotype" w:cstheme="minorHAnsi"/>
                <w:sz w:val="18"/>
                <w:szCs w:val="18"/>
              </w:rPr>
              <w:t>Attennuation</w:t>
            </w:r>
            <w:proofErr w:type="spellEnd"/>
            <w:r w:rsidRPr="00B76420">
              <w:rPr>
                <w:rStyle w:val="id-label"/>
                <w:rFonts w:ascii="Palatino Linotype" w:hAnsi="Palatino Linotype" w:cstheme="minorHAnsi"/>
                <w:sz w:val="18"/>
                <w:szCs w:val="18"/>
              </w:rPr>
              <w:t xml:space="preserve"> of VCM</w:t>
            </w:r>
          </w:p>
        </w:tc>
        <w:tc>
          <w:tcPr>
            <w:tcW w:w="1980" w:type="dxa"/>
            <w:vAlign w:val="center"/>
          </w:tcPr>
          <w:p w14:paraId="1BEA14CB" w14:textId="7AED08F5"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{"citationItems":[{"id":"ITEM-1","itemData":{"DOI":"10.1016/j.pbb.2018.01.003","ISSN":"1873-5177","PMID":"29374574","abstract":"Tardive dyskinesia (TD) is a common adverse effect observed in patients with long-term use of typical antipsychotic medications. A vacuous chewing movement (VCM) model induced by haloperidol has been used to study these abnormalities in experimental animals. The cause of TD and its treatment remain unknown, but several lines of evidence suggest that dopamine receptor supersensitivity and gamma-aminobutyric acid (GABA) insufficiency play important roles in the development of TD. This study investigated the effects of treatment with the GABA-mimetic drug gabapentin on the development of haloperidol-induced VCMs. Male mice received vehicle, haloperidol (1.5</w:instrText>
            </w:r>
            <w:r w:rsidR="005E78F7">
              <w:rPr>
                <w:sz w:val="18"/>
                <w:szCs w:val="18"/>
              </w:rPr>
              <w:instrText> </w:instrText>
            </w:r>
            <w:r w:rsidR="005E78F7">
              <w:rPr>
                <w:rFonts w:ascii="Palatino Linotype" w:hAnsi="Palatino Linotype" w:cstheme="minorHAnsi"/>
                <w:sz w:val="18"/>
                <w:szCs w:val="18"/>
              </w:rPr>
              <w:instrText>mg/kg), or gabapentin (GBP, 100</w:instrText>
            </w:r>
            <w:r w:rsidR="005E78F7">
              <w:rPr>
                <w:sz w:val="18"/>
                <w:szCs w:val="18"/>
              </w:rPr>
              <w:instrText> </w:instrText>
            </w:r>
            <w:r w:rsidR="005E78F7">
              <w:rPr>
                <w:rFonts w:ascii="Palatino Linotype" w:hAnsi="Palatino Linotype" w:cstheme="minorHAnsi"/>
                <w:sz w:val="18"/>
                <w:szCs w:val="18"/>
              </w:rPr>
              <w:instrText>mg/kg) intraperitoneally during 28 consecutive days. Quantification of VCMs was performed before treatment (baseline) and on day 28, and an open-field test was also conducted on the 28th day of treatment. The administration of gabapentin prevented the manifestation of haloperidol-induced VCMs. Treatment with haloperidol alone reduced the locomotor activity in the open-field test that was prevented by co-treatment with gabapentin. We did not find any differences among the groups nor in the tyrosine hydroxylase (TH) or glutamic acid decarboxylase (GAD) immunoreactivity or monoamine levels in the striatum of mice. These results suggest that treatment with gabapentin, an analog of GABA, can attenuate the VCMs induced by acute haloperidol treatment in mice without alterations in monoamine levels, TH, or GAD67 immunoreactivity in the striatum.","author":[{"dropping-particle":"","family":"Ceretta","given":"Ana Paula Chiapinotto","non-dropping-particle":"","parse-names":false,"suffix":""},{"dropping-particle":"","family":"Freitas","given":"Catiuscia Molz","non-dropping-particle":"de","parse-names":false,"suffix":""},{"dropping-particle":"","family":"Schaffer","given":"Larissa Finger","non-dropping-particle":"","parse-names":false,"suffix":""},{"dropping-particle":"","family":"Reinheimer","given":"Jeane Binotto","non-dropping-particle":"","parse-names":false,"suffix":""},{"dropping-particle":"","family":"Dotto","given":"Mariana Maikéli","non-dropping-particle":"","parse-names":false,"suffix":""},{"dropping-particle":"","family":"Moraes Reis","given":"Elizete","non-dropping-particle":"de","parse-names":false,"suffix":""},{"dropping-particle":"","family":"Scussel","given":"Rahisa","non-dropping-particle":"","parse-names":false,"suffix":""},{"dropping-particle":"","family":"Machado-de-Ávila","given":"Ricardo Andrez","non-dropping-particle":"","parse-names":false,"suffix":""},{"dropping-particle":"","family":"Fachinetto","given":"Roselei","non-dropping-particle":"","parse-names":false,"suffix":""}],"container-title":"Pharmacology, biochemistry, and behavior","id":"ITEM-1","issued":{"date-parts":[["2018"]]},"page":"21-26","publisher":"Pharmacol Biochem Behav","title":"Gabapentin reduces haloperidol-induced vacuous chewing movements in mice.","type":"article-journal","volume":"166"},"uris":["http://www.mendeley.com/documents/?uuid=3533d086-429c-3e06-8e30-cfc555b1d4b9"]}],"mendeley":{"formattedCitation":"(Ceretta et al. 2018)","plainTextFormattedCitation":"(Ceretta et al. 2018)","previouslyFormattedCitation":"(Ceretta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(Ceretta et al. 2018)</w:t>
            </w:r>
            <w:r>
              <w:rPr>
                <w:rFonts w:ascii="Palatino Linotype" w:hAnsi="Palatino Linotype" w:cstheme="minorHAnsi"/>
                <w:sz w:val="18"/>
                <w:szCs w:val="18"/>
              </w:rPr>
              <w:fldChar w:fldCharType="end"/>
            </w:r>
          </w:p>
        </w:tc>
      </w:tr>
      <w:tr w:rsidR="00C71433" w:rsidRPr="00B76420" w14:paraId="7236FD65" w14:textId="77777777" w:rsidTr="00A77E70">
        <w:trPr>
          <w:trHeight w:val="574"/>
        </w:trPr>
        <w:tc>
          <w:tcPr>
            <w:tcW w:w="1560" w:type="dxa"/>
            <w:vAlign w:val="center"/>
          </w:tcPr>
          <w:p w14:paraId="0AA1D3F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TNFα</w:t>
            </w:r>
          </w:p>
          <w:p w14:paraId="7D4D0D2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IL-6</w:t>
            </w:r>
          </w:p>
          <w:p w14:paraId="0FFDB4D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Caspase-3 </w:t>
            </w:r>
          </w:p>
        </w:tc>
        <w:tc>
          <w:tcPr>
            <w:tcW w:w="1559" w:type="dxa"/>
            <w:vAlign w:val="center"/>
          </w:tcPr>
          <w:p w14:paraId="131017CB"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restart"/>
            <w:vAlign w:val="center"/>
          </w:tcPr>
          <w:p w14:paraId="6B6D7F3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rats</w:t>
            </w:r>
          </w:p>
        </w:tc>
        <w:tc>
          <w:tcPr>
            <w:tcW w:w="1417" w:type="dxa"/>
            <w:vMerge w:val="restart"/>
            <w:vAlign w:val="center"/>
          </w:tcPr>
          <w:p w14:paraId="62B745B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Reserpine</w:t>
            </w:r>
          </w:p>
        </w:tc>
        <w:tc>
          <w:tcPr>
            <w:tcW w:w="1985" w:type="dxa"/>
            <w:vMerge w:val="restart"/>
            <w:vAlign w:val="center"/>
          </w:tcPr>
          <w:p w14:paraId="2BFA4F6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VCM, tongue protrusion, as well as the duration of facial twitching </w:t>
            </w:r>
          </w:p>
        </w:tc>
        <w:tc>
          <w:tcPr>
            <w:tcW w:w="1843" w:type="dxa"/>
            <w:vMerge w:val="restart"/>
            <w:vAlign w:val="center"/>
          </w:tcPr>
          <w:p w14:paraId="3CC4042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vertAlign w:val="subscript"/>
              </w:rPr>
              <w:t>L</w:t>
            </w:r>
            <w:r w:rsidRPr="00B76420">
              <w:rPr>
                <w:rFonts w:ascii="Palatino Linotype" w:hAnsi="Palatino Linotype" w:cstheme="minorHAnsi"/>
                <w:sz w:val="18"/>
                <w:szCs w:val="18"/>
              </w:rPr>
              <w:t>-Theanine</w:t>
            </w:r>
          </w:p>
        </w:tc>
        <w:tc>
          <w:tcPr>
            <w:tcW w:w="1984" w:type="dxa"/>
            <w:vMerge w:val="restart"/>
            <w:vAlign w:val="center"/>
          </w:tcPr>
          <w:p w14:paraId="46E0CDD9"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Reduced VCM, tongue protrusions, facial twitching</w:t>
            </w:r>
          </w:p>
          <w:p w14:paraId="3945CAB6" w14:textId="77777777" w:rsidR="00C71433" w:rsidRPr="00B76420" w:rsidRDefault="00C71433" w:rsidP="009A3199">
            <w:pPr>
              <w:jc w:val="center"/>
              <w:rPr>
                <w:rStyle w:val="id-label"/>
                <w:rFonts w:ascii="Palatino Linotype" w:hAnsi="Palatino Linotype" w:cstheme="minorHAnsi"/>
                <w:sz w:val="18"/>
                <w:szCs w:val="18"/>
              </w:rPr>
            </w:pPr>
          </w:p>
          <w:p w14:paraId="457E6988"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Increased the antioxidant power</w:t>
            </w:r>
          </w:p>
          <w:p w14:paraId="1DA34FD7" w14:textId="77777777" w:rsidR="00C71433" w:rsidRPr="00B76420" w:rsidRDefault="00C71433" w:rsidP="009A3199">
            <w:pPr>
              <w:jc w:val="center"/>
              <w:rPr>
                <w:rStyle w:val="id-label"/>
                <w:rFonts w:ascii="Palatino Linotype" w:hAnsi="Palatino Linotype" w:cstheme="minorHAnsi"/>
                <w:sz w:val="18"/>
                <w:szCs w:val="18"/>
              </w:rPr>
            </w:pPr>
          </w:p>
          <w:p w14:paraId="1D3A9EE2"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Reduced inflammation</w:t>
            </w:r>
          </w:p>
        </w:tc>
        <w:tc>
          <w:tcPr>
            <w:tcW w:w="1980" w:type="dxa"/>
            <w:vMerge w:val="restart"/>
            <w:vAlign w:val="center"/>
          </w:tcPr>
          <w:p w14:paraId="0333B86E" w14:textId="6D400576"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{"citationItems":[{"id":"ITEM-1","itemData":{"DOI":"10.1007/s12640-018-9897-z","ISSN":"1476-3524","PMID":"29629512","abstract":"Reserpine (RES)-induced orofacial dyskinesia (OD) has been used as an animal model for human tardive dyskinesia (TD) for decades, due to its strong pathophysiological association with striatal oxidative stress and neural cytoarchitecture alteration. L-Theanine (LT), one of the major amino acid components in green tea, has potent antioxidative, anti-inflammatory, and neuroprotective effects. In this study, we examined the potential protective effects of LT on RES-induced behavioral and neurochemical dysfunction in rats. RES treatment (1 mg/kg s.c., 3 injections 1 day apart) induced significant increases (p &lt; 0.001) in the frequency of vacuous chewing movements (VCM), tongue protrusion (TP), as well as the duration of facial twitching (FT). LT treatment (100, 300 mg/kg orally for 14 days, starting 10 days before RES injection) was able to prevent most of the RES-induced OD. Moreover, LT treatment reduced the RES-induced lipid peroxidation (LPO) production, increased the antioxidation power and catecholamines in the striatum, and significantly reduced the levels of neuroinflammatory and apoptotic markers. Our results indicated that LT was able to counteract the increased oxidative damage, neurotransmitter deficiency, neuroinflammation, and apoptosis induced by RES, and these results have demonstrated the possible neuroprotective effects of LT against RES-induced OD, including antioxidation, neurochemical deficiency prevention, antineuroinflammation, and antiapoptosis. These findings, therefore, suggest a potential role for LT to have a clinically relevant therapeutic effect in delaying or treating human TD.","author":[{"dropping-particle":"","family":"Soung","given":"Hung-Sheng","non-dropping-particle":"","parse-names":false,"suffix":""},{"dropping-particle":"","family":"Wang","given":"Mao-Hsien","non-dropping-particle":"","parse-names":false,"suffix":""},{"dropping-particle":"","family":"Chang","given":"Kuo-Chi","non-dropping-particle":"","parse-names":false,"suffix":""},{"dropping-particle":"","family":"Chen","given":"Cheng-Neng","non-dropping-particle":"","parse-names":false,"suffix":""},{"dropping-particle":"","family":"Chang","given":"Yi","non-dropping-particle":"","parse-names":false,"suffix":""},{"dropping-particle":"","family":"Yang","given":"Chih-Chuan","non-dropping-particle":"","parse-names":false,"suffix":""},{"dropping-particle":"","family":"Tseng","given":"Hsiang-Chien","non-dropping-particle":"","parse-names":false,"suffix":""}],"container-title":"Neurotoxicity research","id":"ITEM-1","issue":"3","issued":{"date-parts":[["2018","10"]]},"page":"375-387","publisher":"Neurotox Res","title":"L-Theanine Decreases Orofacial Dyskinesia Induced by Reserpine in Rats.","type":"article-journal","volume":"34"},"uris":["http://www.mendeley.com/documents/?uuid=1e5fe999-2051-3931-b0ff-49dc05966747"]}],"mendeley":{"formattedCitation":"(Soung et al. 2018)","plainTextFormattedCitation":"(Soung et al. 2018)","previouslyFormattedCitation":"(Soung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(Soung et al. 2018)</w:t>
            </w:r>
            <w:r>
              <w:rPr>
                <w:rFonts w:ascii="Palatino Linotype" w:hAnsi="Palatino Linotype" w:cstheme="minorHAnsi"/>
                <w:sz w:val="18"/>
                <w:szCs w:val="18"/>
              </w:rPr>
              <w:fldChar w:fldCharType="end"/>
            </w:r>
          </w:p>
        </w:tc>
      </w:tr>
      <w:tr w:rsidR="00C71433" w:rsidRPr="00B76420" w14:paraId="7ADD2886" w14:textId="77777777" w:rsidTr="00A77E70">
        <w:trPr>
          <w:trHeight w:val="574"/>
        </w:trPr>
        <w:tc>
          <w:tcPr>
            <w:tcW w:w="1560" w:type="dxa"/>
            <w:vAlign w:val="center"/>
          </w:tcPr>
          <w:p w14:paraId="42A3F6B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GSH</w:t>
            </w:r>
          </w:p>
          <w:p w14:paraId="273BBD8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SOD</w:t>
            </w:r>
          </w:p>
          <w:p w14:paraId="39E33DC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w:t>
            </w:r>
          </w:p>
        </w:tc>
        <w:tc>
          <w:tcPr>
            <w:tcW w:w="1559" w:type="dxa"/>
            <w:vAlign w:val="center"/>
          </w:tcPr>
          <w:p w14:paraId="5DC61C03"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ign w:val="center"/>
          </w:tcPr>
          <w:p w14:paraId="142D90AF"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33144B23"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2C935515"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2B33D887" w14:textId="77777777" w:rsidR="00C71433" w:rsidRPr="00B76420" w:rsidRDefault="00C71433" w:rsidP="009A3199">
            <w:pPr>
              <w:jc w:val="center"/>
              <w:rPr>
                <w:rFonts w:ascii="Palatino Linotype" w:hAnsi="Palatino Linotype" w:cstheme="minorHAnsi"/>
                <w:sz w:val="18"/>
                <w:szCs w:val="18"/>
                <w:vertAlign w:val="subscript"/>
              </w:rPr>
            </w:pPr>
          </w:p>
        </w:tc>
        <w:tc>
          <w:tcPr>
            <w:tcW w:w="1984" w:type="dxa"/>
            <w:vMerge/>
            <w:vAlign w:val="center"/>
          </w:tcPr>
          <w:p w14:paraId="7F067AF8" w14:textId="77777777" w:rsidR="00C71433" w:rsidRPr="00B76420" w:rsidRDefault="00C71433" w:rsidP="009A3199">
            <w:pPr>
              <w:jc w:val="center"/>
              <w:rPr>
                <w:rStyle w:val="id-label"/>
                <w:rFonts w:ascii="Palatino Linotype" w:hAnsi="Palatino Linotype" w:cstheme="minorHAnsi"/>
                <w:sz w:val="18"/>
                <w:szCs w:val="18"/>
              </w:rPr>
            </w:pPr>
          </w:p>
        </w:tc>
        <w:tc>
          <w:tcPr>
            <w:tcW w:w="1980" w:type="dxa"/>
            <w:vMerge/>
            <w:vAlign w:val="center"/>
          </w:tcPr>
          <w:p w14:paraId="36A88AAF" w14:textId="77777777" w:rsidR="00C71433" w:rsidRPr="00B76420" w:rsidRDefault="00C71433" w:rsidP="009A3199">
            <w:pPr>
              <w:jc w:val="center"/>
              <w:rPr>
                <w:rFonts w:ascii="Palatino Linotype" w:hAnsi="Palatino Linotype" w:cstheme="minorHAnsi"/>
                <w:sz w:val="18"/>
                <w:szCs w:val="18"/>
              </w:rPr>
            </w:pPr>
          </w:p>
        </w:tc>
      </w:tr>
      <w:tr w:rsidR="00C71433" w:rsidRPr="00B76420" w14:paraId="02D4137D" w14:textId="77777777" w:rsidTr="00A77E70">
        <w:tc>
          <w:tcPr>
            <w:tcW w:w="1560" w:type="dxa"/>
            <w:vAlign w:val="center"/>
          </w:tcPr>
          <w:p w14:paraId="11688B6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GSH </w:t>
            </w:r>
          </w:p>
          <w:p w14:paraId="72B99A0E"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SOD </w:t>
            </w:r>
          </w:p>
          <w:p w14:paraId="5557F38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CAT </w:t>
            </w:r>
          </w:p>
        </w:tc>
        <w:tc>
          <w:tcPr>
            <w:tcW w:w="1559" w:type="dxa"/>
            <w:vAlign w:val="center"/>
          </w:tcPr>
          <w:p w14:paraId="2A26B0B4"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2955AC6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Wistar male albino rats</w:t>
            </w:r>
          </w:p>
        </w:tc>
        <w:tc>
          <w:tcPr>
            <w:tcW w:w="1417" w:type="dxa"/>
            <w:vAlign w:val="center"/>
          </w:tcPr>
          <w:p w14:paraId="56C2C78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096E3C8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 tongue protrusions, catalepsy, and locomotor activity</w:t>
            </w:r>
          </w:p>
        </w:tc>
        <w:tc>
          <w:tcPr>
            <w:tcW w:w="1843" w:type="dxa"/>
            <w:vAlign w:val="center"/>
          </w:tcPr>
          <w:p w14:paraId="651595E8" w14:textId="77777777" w:rsidR="00C71433" w:rsidRPr="00B76420" w:rsidRDefault="00C71433" w:rsidP="009A3199">
            <w:pPr>
              <w:jc w:val="center"/>
              <w:rPr>
                <w:rFonts w:ascii="Palatino Linotype" w:hAnsi="Palatino Linotype" w:cstheme="minorHAnsi"/>
                <w:sz w:val="18"/>
                <w:szCs w:val="18"/>
              </w:rPr>
            </w:pPr>
            <w:proofErr w:type="spellStart"/>
            <w:r w:rsidRPr="00B76420">
              <w:rPr>
                <w:rFonts w:ascii="Palatino Linotype" w:hAnsi="Palatino Linotype" w:cstheme="minorHAnsi"/>
                <w:sz w:val="18"/>
                <w:szCs w:val="18"/>
              </w:rPr>
              <w:t>Hesperetin</w:t>
            </w:r>
            <w:proofErr w:type="spellEnd"/>
          </w:p>
        </w:tc>
        <w:tc>
          <w:tcPr>
            <w:tcW w:w="1984" w:type="dxa"/>
            <w:vAlign w:val="center"/>
          </w:tcPr>
          <w:p w14:paraId="0824D753" w14:textId="77777777" w:rsidR="00C71433" w:rsidRPr="00B76420" w:rsidRDefault="00C71433" w:rsidP="009A3199">
            <w:pPr>
              <w:jc w:val="center"/>
              <w:rPr>
                <w:rFonts w:ascii="Palatino Linotype" w:hAnsi="Palatino Linotype" w:cstheme="minorHAnsi"/>
                <w:sz w:val="18"/>
                <w:szCs w:val="18"/>
              </w:rPr>
            </w:pPr>
            <w:r w:rsidRPr="00B76420">
              <w:rPr>
                <w:rStyle w:val="id-label"/>
                <w:rFonts w:ascii="Palatino Linotype" w:hAnsi="Palatino Linotype" w:cstheme="minorHAnsi"/>
                <w:sz w:val="18"/>
                <w:szCs w:val="18"/>
              </w:rPr>
              <w:t xml:space="preserve">Inhibition of VCM, </w:t>
            </w:r>
            <w:r w:rsidRPr="00B76420">
              <w:rPr>
                <w:rFonts w:ascii="Palatino Linotype" w:hAnsi="Palatino Linotype" w:cstheme="minorHAnsi"/>
                <w:sz w:val="18"/>
                <w:szCs w:val="18"/>
              </w:rPr>
              <w:t>tongue protrusions, and catalepsy</w:t>
            </w:r>
          </w:p>
          <w:p w14:paraId="0865502A" w14:textId="77777777" w:rsidR="00C71433" w:rsidRPr="00B76420" w:rsidRDefault="00C71433" w:rsidP="009A3199">
            <w:pPr>
              <w:jc w:val="center"/>
              <w:rPr>
                <w:rFonts w:ascii="Palatino Linotype" w:hAnsi="Palatino Linotype" w:cstheme="minorHAnsi"/>
                <w:sz w:val="18"/>
                <w:szCs w:val="18"/>
              </w:rPr>
            </w:pPr>
          </w:p>
          <w:p w14:paraId="31C119E6" w14:textId="77777777" w:rsidR="00C71433" w:rsidRPr="00B76420" w:rsidRDefault="00C71433" w:rsidP="009A3199">
            <w:pPr>
              <w:jc w:val="center"/>
              <w:rPr>
                <w:rStyle w:val="id-label"/>
                <w:rFonts w:ascii="Palatino Linotype" w:hAnsi="Palatino Linotype" w:cstheme="minorHAnsi"/>
                <w:sz w:val="18"/>
                <w:szCs w:val="18"/>
              </w:rPr>
            </w:pPr>
            <w:r w:rsidRPr="00B76420">
              <w:rPr>
                <w:rFonts w:ascii="Palatino Linotype" w:hAnsi="Palatino Linotype" w:cstheme="minorHAnsi"/>
                <w:sz w:val="18"/>
                <w:szCs w:val="18"/>
              </w:rPr>
              <w:t>Reversion of haloperidol-induced increase in brain oxidative stress</w:t>
            </w:r>
          </w:p>
        </w:tc>
        <w:tc>
          <w:tcPr>
            <w:tcW w:w="1980" w:type="dxa"/>
            <w:vAlign w:val="center"/>
          </w:tcPr>
          <w:p w14:paraId="47898C31" w14:textId="4CD4E3D9" w:rsidR="003B3E22" w:rsidRPr="00B76420" w:rsidRDefault="003B3E22"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{"citationItems":[{"id":"ITEM-1","itemData":{"DOI":"10.1080/1028415X.2017.1338549","ISSN":"1476-8305","PMID":"28641484","abstract":"OBJECTIVES The present study was designed to evaluate the effect of hesperetin on haloperidol-induced orofacial dyskinesia and catalepsy in Wistar male albino rats. METHODS Haloperidol (1 mg/kg, ip) was administered for 21 successive days to induce orofacial dyskinesia and catalepsy. Hesperetin (50 and 100 mg/kg, po) was administered 10 min prior to the injection of haloperidol for 21 successive days. Vacuous chewing movements (VCMs), tongue protrusions, catalepsy, and locomotor activity scores were recorded on 7th, 14th, and 22nd day of drug treatment. After behavioral testing, animals were sacrificed and various biochemical parameters such as brain levels of dopamine, serotonin, malondialdehyde, and reduced glutathione (GSH); and superoxide dismutase (SOD) and catalase activities were estimated. RESULTS Chronic administration of haloperidol significantly increased VCMs, tongue protrusions, and catalepsy in rats. It also produced hypolocomotion in rats. Hesperetin significantly inhibited haloperidol-induced VCMs, tongue protrusions, and catalepsy. Haloperidol significantly increased brain levels of malondialdehyde, decreased brain GSH, SOD, and catalase activities; and also decreased brain dopamine and serotonin levels. Hesperetin significantly reversed haloperidol-induced increase in brain oxidative stress and decrease in brain dopamine and serotonin levels. DISCUSSION Hesperetin significantly ameliorated haloperidol-induced orofacial dyskinesia and catalepsy possibly through alleviation of oxidative stress and increase in brain dopamine and serotonin levels. Thus, hesperetin may be explored further as a possible therapeutic agent for clinical management of neuroleptic drug-induced tardive dyskinesia.","author":[{"dropping-particle":"","family":"Dhingra","given":"Dinesh","non-dropping-particle":"","parse-names":false,"suffix":""},{"dropping-particle":"","family":"Goswami","given":"Shikha","non-dropping-particle":"","parse-names":false,"suffix":""},{"dropping-particle":"","family":"Gahalain","given":"Nidhi","non-dropping-particle":"","parse-names":false,"suffix":""}],"container-title":"Nutritional neuroscience","id":"ITEM-1","issue":"9","issued":{"date-parts":[["2018","11"]]},"page":"667-675","publisher":"Nutr Neurosci","title":"Protective effect of hesperetin against haloperidol-induced orofacial dyskinesia and catalepsy in rats.","type":"article-journal","volume":"21"},"uris":["http://www.mendeley.com/documents/?uuid=19172b07-ee4e-3777-a77c-0f948c99d9b7"]}],"mendeley":{"formattedCitation":"(Dhingra et al. 2018)","plainTextFormattedCitation":"(Dhingra et al. 2018)","previouslyFormattedCitation":"(Dhingra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(Dhingra et al. 2018)</w:t>
            </w:r>
            <w:r>
              <w:rPr>
                <w:rFonts w:ascii="Palatino Linotype" w:hAnsi="Palatino Linotype" w:cstheme="minorHAnsi"/>
                <w:sz w:val="18"/>
                <w:szCs w:val="18"/>
              </w:rPr>
              <w:fldChar w:fldCharType="end"/>
            </w:r>
          </w:p>
        </w:tc>
      </w:tr>
      <w:tr w:rsidR="00C71433" w:rsidRPr="00B76420" w14:paraId="17FF33E0" w14:textId="77777777" w:rsidTr="00A77E70">
        <w:trPr>
          <w:trHeight w:val="863"/>
        </w:trPr>
        <w:tc>
          <w:tcPr>
            <w:tcW w:w="1560" w:type="dxa"/>
            <w:vAlign w:val="center"/>
          </w:tcPr>
          <w:p w14:paraId="1CFC542A" w14:textId="77777777" w:rsidR="00C71433" w:rsidRPr="00AE2DED" w:rsidRDefault="00C71433" w:rsidP="009A3199">
            <w:pPr>
              <w:jc w:val="center"/>
              <w:rPr>
                <w:rFonts w:ascii="Palatino Linotype" w:hAnsi="Palatino Linotype" w:cstheme="minorHAnsi"/>
                <w:i/>
                <w:sz w:val="18"/>
                <w:szCs w:val="18"/>
                <w:lang w:val="fr-FR"/>
                <w:rPrChange w:id="40" w:author="Samson Oyebanjo" w:date="2021-12-31T16:52:00Z">
                  <w:rPr>
                    <w:rFonts w:ascii="Palatino Linotype" w:hAnsi="Palatino Linotype" w:cstheme="minorHAnsi"/>
                    <w:i/>
                    <w:sz w:val="18"/>
                    <w:szCs w:val="18"/>
                  </w:rPr>
                </w:rPrChange>
              </w:rPr>
            </w:pPr>
            <w:r w:rsidRPr="00AE2DED">
              <w:rPr>
                <w:rFonts w:ascii="Palatino Linotype" w:hAnsi="Palatino Linotype" w:cstheme="minorHAnsi"/>
                <w:i/>
                <w:sz w:val="18"/>
                <w:szCs w:val="18"/>
                <w:lang w:val="fr-FR"/>
                <w:rPrChange w:id="41" w:author="Samson Oyebanjo" w:date="2021-12-31T16:52:00Z">
                  <w:rPr>
                    <w:rFonts w:ascii="Palatino Linotype" w:hAnsi="Palatino Linotype" w:cstheme="minorHAnsi"/>
                    <w:i/>
                    <w:sz w:val="18"/>
                    <w:szCs w:val="18"/>
                  </w:rPr>
                </w:rPrChange>
              </w:rPr>
              <w:t>IL1B</w:t>
            </w:r>
          </w:p>
          <w:p w14:paraId="17359A1E" w14:textId="77777777" w:rsidR="00C71433" w:rsidRPr="00AE2DED" w:rsidRDefault="00C71433" w:rsidP="009A3199">
            <w:pPr>
              <w:jc w:val="center"/>
              <w:rPr>
                <w:rFonts w:ascii="Palatino Linotype" w:hAnsi="Palatino Linotype" w:cstheme="minorHAnsi"/>
                <w:i/>
                <w:sz w:val="18"/>
                <w:szCs w:val="18"/>
                <w:lang w:val="fr-FR"/>
                <w:rPrChange w:id="42" w:author="Samson Oyebanjo" w:date="2021-12-31T16:52:00Z">
                  <w:rPr>
                    <w:rFonts w:ascii="Palatino Linotype" w:hAnsi="Palatino Linotype" w:cstheme="minorHAnsi"/>
                    <w:i/>
                    <w:sz w:val="18"/>
                    <w:szCs w:val="18"/>
                  </w:rPr>
                </w:rPrChange>
              </w:rPr>
            </w:pPr>
            <w:r w:rsidRPr="00AE2DED">
              <w:rPr>
                <w:rFonts w:ascii="Palatino Linotype" w:hAnsi="Palatino Linotype" w:cstheme="minorHAnsi"/>
                <w:i/>
                <w:sz w:val="18"/>
                <w:szCs w:val="18"/>
                <w:lang w:val="fr-FR"/>
                <w:rPrChange w:id="43" w:author="Samson Oyebanjo" w:date="2021-12-31T16:52:00Z">
                  <w:rPr>
                    <w:rFonts w:ascii="Palatino Linotype" w:hAnsi="Palatino Linotype" w:cstheme="minorHAnsi"/>
                    <w:i/>
                    <w:sz w:val="18"/>
                    <w:szCs w:val="18"/>
                  </w:rPr>
                </w:rPrChange>
              </w:rPr>
              <w:t>TNF</w:t>
            </w:r>
          </w:p>
          <w:p w14:paraId="7E66269E" w14:textId="77777777" w:rsidR="00C71433" w:rsidRPr="00AE2DED" w:rsidRDefault="00C71433" w:rsidP="009A3199">
            <w:pPr>
              <w:jc w:val="center"/>
              <w:rPr>
                <w:rFonts w:ascii="Palatino Linotype" w:hAnsi="Palatino Linotype" w:cstheme="minorHAnsi"/>
                <w:i/>
                <w:sz w:val="18"/>
                <w:szCs w:val="18"/>
                <w:lang w:val="fr-FR"/>
                <w:rPrChange w:id="44" w:author="Samson Oyebanjo" w:date="2021-12-31T16:52:00Z">
                  <w:rPr>
                    <w:rFonts w:ascii="Palatino Linotype" w:hAnsi="Palatino Linotype" w:cstheme="minorHAnsi"/>
                    <w:i/>
                    <w:sz w:val="18"/>
                    <w:szCs w:val="18"/>
                  </w:rPr>
                </w:rPrChange>
              </w:rPr>
            </w:pPr>
            <w:r w:rsidRPr="00AE2DED">
              <w:rPr>
                <w:rFonts w:ascii="Palatino Linotype" w:hAnsi="Palatino Linotype" w:cstheme="minorHAnsi"/>
                <w:i/>
                <w:sz w:val="18"/>
                <w:szCs w:val="18"/>
                <w:lang w:val="fr-FR"/>
                <w:rPrChange w:id="45" w:author="Samson Oyebanjo" w:date="2021-12-31T16:52:00Z">
                  <w:rPr>
                    <w:rFonts w:ascii="Palatino Linotype" w:hAnsi="Palatino Linotype" w:cstheme="minorHAnsi"/>
                    <w:i/>
                    <w:sz w:val="18"/>
                    <w:szCs w:val="18"/>
                  </w:rPr>
                </w:rPrChange>
              </w:rPr>
              <w:t>IL6</w:t>
            </w:r>
          </w:p>
          <w:p w14:paraId="2FE484AB" w14:textId="77777777" w:rsidR="00C71433" w:rsidRPr="00AE2DED" w:rsidRDefault="00C71433" w:rsidP="009A3199">
            <w:pPr>
              <w:jc w:val="center"/>
              <w:rPr>
                <w:rFonts w:ascii="Palatino Linotype" w:hAnsi="Palatino Linotype" w:cstheme="minorHAnsi"/>
                <w:i/>
                <w:sz w:val="18"/>
                <w:szCs w:val="18"/>
                <w:lang w:val="fr-FR"/>
                <w:rPrChange w:id="46" w:author="Samson Oyebanjo" w:date="2021-12-31T16:52:00Z">
                  <w:rPr>
                    <w:rFonts w:ascii="Palatino Linotype" w:hAnsi="Palatino Linotype" w:cstheme="minorHAnsi"/>
                    <w:i/>
                    <w:sz w:val="18"/>
                    <w:szCs w:val="18"/>
                  </w:rPr>
                </w:rPrChange>
              </w:rPr>
            </w:pPr>
            <w:r w:rsidRPr="00AE2DED">
              <w:rPr>
                <w:rFonts w:ascii="Palatino Linotype" w:hAnsi="Palatino Linotype" w:cstheme="minorHAnsi"/>
                <w:i/>
                <w:sz w:val="18"/>
                <w:szCs w:val="18"/>
                <w:lang w:val="fr-FR"/>
                <w:rPrChange w:id="47" w:author="Samson Oyebanjo" w:date="2021-12-31T16:52:00Z">
                  <w:rPr>
                    <w:rFonts w:ascii="Palatino Linotype" w:hAnsi="Palatino Linotype" w:cstheme="minorHAnsi"/>
                    <w:i/>
                    <w:sz w:val="18"/>
                    <w:szCs w:val="18"/>
                  </w:rPr>
                </w:rPrChange>
              </w:rPr>
              <w:t>NOS2</w:t>
            </w:r>
          </w:p>
          <w:p w14:paraId="6CC264F7" w14:textId="77777777" w:rsidR="00C71433" w:rsidRPr="00AE2DED" w:rsidRDefault="00C71433" w:rsidP="009A3199">
            <w:pPr>
              <w:jc w:val="center"/>
              <w:rPr>
                <w:rFonts w:ascii="Palatino Linotype" w:hAnsi="Palatino Linotype" w:cstheme="minorHAnsi"/>
                <w:i/>
                <w:sz w:val="18"/>
                <w:szCs w:val="18"/>
                <w:lang w:val="fr-FR"/>
                <w:rPrChange w:id="48" w:author="Samson Oyebanjo" w:date="2021-12-31T16:52:00Z">
                  <w:rPr>
                    <w:rFonts w:ascii="Palatino Linotype" w:hAnsi="Palatino Linotype" w:cstheme="minorHAnsi"/>
                    <w:i/>
                    <w:sz w:val="18"/>
                    <w:szCs w:val="18"/>
                  </w:rPr>
                </w:rPrChange>
              </w:rPr>
            </w:pPr>
            <w:r w:rsidRPr="00AE2DED">
              <w:rPr>
                <w:rFonts w:ascii="Palatino Linotype" w:hAnsi="Palatino Linotype" w:cstheme="minorHAnsi"/>
                <w:i/>
                <w:sz w:val="18"/>
                <w:szCs w:val="18"/>
                <w:lang w:val="fr-FR"/>
                <w:rPrChange w:id="49" w:author="Samson Oyebanjo" w:date="2021-12-31T16:52:00Z">
                  <w:rPr>
                    <w:rFonts w:ascii="Palatino Linotype" w:hAnsi="Palatino Linotype" w:cstheme="minorHAnsi"/>
                    <w:i/>
                    <w:sz w:val="18"/>
                    <w:szCs w:val="18"/>
                  </w:rPr>
                </w:rPrChange>
              </w:rPr>
              <w:t>COX2</w:t>
            </w:r>
          </w:p>
        </w:tc>
        <w:tc>
          <w:tcPr>
            <w:tcW w:w="1559" w:type="dxa"/>
            <w:vAlign w:val="center"/>
          </w:tcPr>
          <w:p w14:paraId="78A8578E"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restart"/>
            <w:vAlign w:val="center"/>
          </w:tcPr>
          <w:p w14:paraId="6D33DE4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Swiss mice</w:t>
            </w:r>
          </w:p>
        </w:tc>
        <w:tc>
          <w:tcPr>
            <w:tcW w:w="1417" w:type="dxa"/>
            <w:vMerge w:val="restart"/>
            <w:vAlign w:val="center"/>
          </w:tcPr>
          <w:p w14:paraId="79E3B8E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Merge w:val="restart"/>
            <w:vAlign w:val="center"/>
          </w:tcPr>
          <w:p w14:paraId="3038CDF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Orofacial dyskinesia</w:t>
            </w:r>
          </w:p>
        </w:tc>
        <w:tc>
          <w:tcPr>
            <w:tcW w:w="1843" w:type="dxa"/>
            <w:vMerge w:val="restart"/>
            <w:vAlign w:val="center"/>
          </w:tcPr>
          <w:p w14:paraId="0E42F73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Cannabidiol (CBD)</w:t>
            </w:r>
          </w:p>
        </w:tc>
        <w:tc>
          <w:tcPr>
            <w:tcW w:w="1984" w:type="dxa"/>
            <w:vMerge w:val="restart"/>
            <w:vAlign w:val="center"/>
          </w:tcPr>
          <w:p w14:paraId="3A12DB70"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Prevented haloperidol-induced orofacial dyskinesia and inflammatory changes</w:t>
            </w:r>
          </w:p>
          <w:p w14:paraId="00792518" w14:textId="77777777" w:rsidR="00C71433" w:rsidRPr="00B76420" w:rsidRDefault="00C71433" w:rsidP="009A3199">
            <w:pPr>
              <w:jc w:val="center"/>
              <w:rPr>
                <w:rFonts w:ascii="Palatino Linotype" w:hAnsi="Palatino Linotype" w:cstheme="minorHAnsi"/>
                <w:sz w:val="18"/>
                <w:szCs w:val="18"/>
              </w:rPr>
            </w:pPr>
          </w:p>
          <w:p w14:paraId="4290AF2F" w14:textId="77777777" w:rsidR="00C71433" w:rsidRPr="00B76420" w:rsidRDefault="00C71433" w:rsidP="009A3199">
            <w:pPr>
              <w:jc w:val="center"/>
              <w:rPr>
                <w:rStyle w:val="id-label"/>
                <w:rFonts w:ascii="Palatino Linotype" w:hAnsi="Palatino Linotype" w:cstheme="minorHAnsi"/>
                <w:sz w:val="18"/>
                <w:szCs w:val="18"/>
              </w:rPr>
            </w:pPr>
            <w:r w:rsidRPr="00B76420">
              <w:rPr>
                <w:rFonts w:ascii="Palatino Linotype" w:hAnsi="Palatino Linotype" w:cstheme="minorHAnsi"/>
                <w:sz w:val="18"/>
                <w:szCs w:val="18"/>
              </w:rPr>
              <w:t xml:space="preserve">CBD effects mediated by </w:t>
            </w:r>
            <w:proofErr w:type="spellStart"/>
            <w:r w:rsidRPr="00B76420">
              <w:rPr>
                <w:rFonts w:ascii="Palatino Linotype" w:hAnsi="Palatino Linotype" w:cstheme="minorHAnsi"/>
                <w:sz w:val="18"/>
                <w:szCs w:val="18"/>
              </w:rPr>
              <w:t>PPARγ</w:t>
            </w:r>
            <w:proofErr w:type="spellEnd"/>
            <w:r w:rsidRPr="00B76420">
              <w:rPr>
                <w:rFonts w:ascii="Palatino Linotype" w:hAnsi="Palatino Linotype" w:cstheme="minorHAnsi"/>
                <w:sz w:val="18"/>
                <w:szCs w:val="18"/>
              </w:rPr>
              <w:t xml:space="preserve"> receptors.</w:t>
            </w:r>
          </w:p>
        </w:tc>
        <w:tc>
          <w:tcPr>
            <w:tcW w:w="1980" w:type="dxa"/>
            <w:vMerge w:val="restart"/>
            <w:vAlign w:val="center"/>
          </w:tcPr>
          <w:p w14:paraId="0A05B50C" w14:textId="4459C256" w:rsidR="00C35C80" w:rsidRPr="00B76420" w:rsidRDefault="00C35C80"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{"citationItems":[{"id":"ITEM-1","itemData":{"DOI":"10.1016/j.bbi.2018.09.014","ISSN":"1090-2139","PMID":"30217539","abstract":"The chronic use of drugs that reduce the dopaminergic neurotransmission can cause a hyperkinetic movement disorder called tardive dyskinesia (TD). The pathophysiology of this disorder is not entirely understood but could involve oxidative and neuroinflammatory mechanisms. Cannabidiol (CBD), the major non-psychotomimetic compound present in Cannabis sativa plant, could be a possible therapeutic alternative for TD. This phytocannabinoid shows antioxidant, anti-inflammatory and antipsychotic properties and decreases the acute motor effects of classical antipsychotics. The present study investigated if CBD would attenuate orofacial dyskinesia, oxidative stress and inflammatory changes induced by chronic administration of haloperidol in mice. Furthermore, we verified in vivo and in vitro (in primary microglial culture) whether these effects would be mediated by PPARγ receptors. The results showed that the male Swiss mice treated daily for 21</w:instrText>
            </w:r>
            <w:r w:rsidR="005E78F7">
              <w:rPr>
                <w:sz w:val="18"/>
                <w:szCs w:val="18"/>
              </w:rPr>
              <w:instrText> </w:instrText>
            </w:r>
            <w:r w:rsidR="005E78F7">
              <w:rPr>
                <w:rFonts w:ascii="Palatino Linotype" w:hAnsi="Palatino Linotype" w:cstheme="minorHAnsi"/>
                <w:sz w:val="18"/>
                <w:szCs w:val="18"/>
              </w:rPr>
              <w:instrText>days with haloperidol develop orofacial dyskinesia. Daily CBD administration before each haloperidol injection prevented this effect. Mice treated with haloperidol showed an increase in microglial activation and inflammatory mediators in the striatum. These changes were also reduced by CBD. On the other hand, the levels of the anti-inflammatory cytokine IL-10 increased in the striatum of animals that received CBD and haloperidol. Regarding oxidative stress, haloperidol induced lipid peroxidation and reduced catalase activity. This latter effect was attenuated by CBD. The combination of CBD and haloperidol also increased PGC-1α mRNA expression, a co-activator of PPARγ receptors. Pretreatment with the PPARγ antagonist, GW9662, blocked the behavioural effect of CBD in our TD model. CBD also prevented LPS-stimulated microglial activation, an effect that was also antagonized by GW9662. In conclusion, our results suggest that CBD could prevent haloperidol-induced orofacial dyskinesia by activating PPARγ receptors and attenuating neuroinflammatory changes in the striatum.","author":[{"dropping-particle":"","family":"Sonego","given":"Andreza B","non-dropping-particle":"","parse-names":false,"suffix":""},{"dropping-particle":"","family":"Prado","given":"Douglas S","non-dropping-particle":"","parse-names":false,"suffix":""},{"dropping-particle":"","family":"Vale","given":"Gabriel T","non-dropping-particle":"","parse-names":false,"suffix":""},{"dropping-particle":"","family":"Sepulveda-Diaz","given":"Julia E","non-dropping-particle":"","parse-names":false,"suffix":""},{"dropping-particle":"","family":"Cunha","given":"Thiago M","non-dropping-particle":"","parse-names":false,"suffix":""},{"dropping-particle":"","family":"Tirapelli","given":"Carlos R","non-dropping-particle":"","parse-names":false,"suffix":""},{"dropping-particle":"","family":"Bel","given":"Elaine A","non-dropping-particle":"Del","parse-names":false,"suffix":""},{"dropping-particle":"","family":"Raisman-Vozari","given":"Rita","non-dropping-particle":"","parse-names":false,"suffix":""},{"dropping-particle":"","family":"Guimarães","given":"Francisco S","non-dropping-particle":"","parse-names":false,"suffix":""}],"container-title":"Brain, behavior, and immunity","id":"ITEM-1","issued":{"date-parts":[["2018"]]},"page":"241-251","publisher":"Brain Behav Immun","title":"Cannabidiol prevents haloperidol-induced vacuos chewing movements and inflammatory changes in mice via PPARγ receptors.","type":"article-journal","volume":"74"},"uris":["http://www.mendeley.com/documents/?uuid=cb8e0228-f0d2-3bfb-8cfd-9346217a3fd8"]}],"mendeley":{"formattedCitation":"(Sonego et al. 2018)","plainTextFormattedCitation":"(Sonego et al. 2018)","previouslyFormattedCitation":"(Sonego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(Sonego et al. 2018)</w:t>
            </w:r>
            <w:r>
              <w:rPr>
                <w:rFonts w:ascii="Palatino Linotype" w:hAnsi="Palatino Linotype" w:cstheme="minorHAnsi"/>
                <w:sz w:val="18"/>
                <w:szCs w:val="18"/>
              </w:rPr>
              <w:fldChar w:fldCharType="end"/>
            </w:r>
          </w:p>
        </w:tc>
      </w:tr>
      <w:tr w:rsidR="00C71433" w:rsidRPr="00B76420" w14:paraId="591D0608" w14:textId="77777777" w:rsidTr="00A77E70">
        <w:trPr>
          <w:trHeight w:val="862"/>
        </w:trPr>
        <w:tc>
          <w:tcPr>
            <w:tcW w:w="1560" w:type="dxa"/>
            <w:vAlign w:val="center"/>
          </w:tcPr>
          <w:p w14:paraId="3475D9CA" w14:textId="77777777" w:rsidR="00C71433" w:rsidRPr="00B76420" w:rsidRDefault="00C71433" w:rsidP="009A3199">
            <w:pPr>
              <w:jc w:val="center"/>
              <w:rPr>
                <w:rFonts w:ascii="Palatino Linotype" w:hAnsi="Palatino Linotype" w:cstheme="minorHAnsi"/>
                <w:i/>
                <w:sz w:val="18"/>
                <w:szCs w:val="18"/>
              </w:rPr>
            </w:pPr>
            <w:r w:rsidRPr="00B76420">
              <w:rPr>
                <w:rFonts w:ascii="Palatino Linotype" w:hAnsi="Palatino Linotype" w:cstheme="minorHAnsi"/>
                <w:sz w:val="18"/>
                <w:szCs w:val="18"/>
              </w:rPr>
              <w:t>CAT</w:t>
            </w:r>
          </w:p>
        </w:tc>
        <w:tc>
          <w:tcPr>
            <w:tcW w:w="1559" w:type="dxa"/>
            <w:vAlign w:val="center"/>
          </w:tcPr>
          <w:p w14:paraId="2830E3D0"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ign w:val="center"/>
          </w:tcPr>
          <w:p w14:paraId="76A07CB3"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05DCCC94"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02A0EC76"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729C2229" w14:textId="77777777" w:rsidR="00C71433" w:rsidRPr="00B76420" w:rsidRDefault="00C71433" w:rsidP="009A3199">
            <w:pPr>
              <w:jc w:val="center"/>
              <w:rPr>
                <w:rFonts w:ascii="Palatino Linotype" w:hAnsi="Palatino Linotype" w:cstheme="minorHAnsi"/>
                <w:sz w:val="18"/>
                <w:szCs w:val="18"/>
              </w:rPr>
            </w:pPr>
          </w:p>
        </w:tc>
        <w:tc>
          <w:tcPr>
            <w:tcW w:w="1984" w:type="dxa"/>
            <w:vMerge/>
            <w:vAlign w:val="center"/>
          </w:tcPr>
          <w:p w14:paraId="6AD7810C" w14:textId="77777777" w:rsidR="00C71433" w:rsidRPr="00B76420" w:rsidRDefault="00C71433" w:rsidP="009A3199">
            <w:pPr>
              <w:jc w:val="center"/>
              <w:rPr>
                <w:rFonts w:ascii="Palatino Linotype" w:hAnsi="Palatino Linotype" w:cstheme="minorHAnsi"/>
                <w:sz w:val="18"/>
                <w:szCs w:val="18"/>
              </w:rPr>
            </w:pPr>
          </w:p>
        </w:tc>
        <w:tc>
          <w:tcPr>
            <w:tcW w:w="1980" w:type="dxa"/>
            <w:vMerge/>
            <w:vAlign w:val="center"/>
          </w:tcPr>
          <w:p w14:paraId="687E8764" w14:textId="77777777" w:rsidR="00C71433" w:rsidRPr="00B76420" w:rsidRDefault="00C71433" w:rsidP="009A3199">
            <w:pPr>
              <w:jc w:val="center"/>
              <w:rPr>
                <w:rFonts w:ascii="Palatino Linotype" w:hAnsi="Palatino Linotype" w:cstheme="minorHAnsi"/>
                <w:sz w:val="18"/>
                <w:szCs w:val="18"/>
              </w:rPr>
            </w:pPr>
          </w:p>
        </w:tc>
      </w:tr>
      <w:tr w:rsidR="00C71433" w:rsidRPr="00B76420" w14:paraId="7C5E35B5" w14:textId="77777777" w:rsidTr="00A77E70">
        <w:tc>
          <w:tcPr>
            <w:tcW w:w="1560" w:type="dxa"/>
            <w:vAlign w:val="center"/>
          </w:tcPr>
          <w:p w14:paraId="497D40A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GSH</w:t>
            </w:r>
          </w:p>
          <w:p w14:paraId="652698D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SOD</w:t>
            </w:r>
          </w:p>
          <w:p w14:paraId="14C25D3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w:t>
            </w:r>
          </w:p>
        </w:tc>
        <w:tc>
          <w:tcPr>
            <w:tcW w:w="1559" w:type="dxa"/>
            <w:vAlign w:val="center"/>
          </w:tcPr>
          <w:p w14:paraId="7F7E5958"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2D3693C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rats</w:t>
            </w:r>
          </w:p>
        </w:tc>
        <w:tc>
          <w:tcPr>
            <w:tcW w:w="1417" w:type="dxa"/>
            <w:vAlign w:val="center"/>
          </w:tcPr>
          <w:p w14:paraId="21D0419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4D7100D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 and tongue protrusion as well as the duration of facial twitching</w:t>
            </w:r>
          </w:p>
        </w:tc>
        <w:tc>
          <w:tcPr>
            <w:tcW w:w="1843" w:type="dxa"/>
            <w:vAlign w:val="center"/>
          </w:tcPr>
          <w:p w14:paraId="033A20C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L-theanine</w:t>
            </w:r>
          </w:p>
        </w:tc>
        <w:tc>
          <w:tcPr>
            <w:tcW w:w="1984" w:type="dxa"/>
            <w:vAlign w:val="center"/>
          </w:tcPr>
          <w:p w14:paraId="680868FA"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Prevention of haloperidol-induced orofacial dyskinesia</w:t>
            </w:r>
          </w:p>
          <w:p w14:paraId="25B0343D" w14:textId="77777777" w:rsidR="00C71433" w:rsidRPr="00B76420" w:rsidRDefault="00C71433" w:rsidP="009A3199">
            <w:pPr>
              <w:jc w:val="center"/>
              <w:rPr>
                <w:rStyle w:val="id-label"/>
                <w:rFonts w:ascii="Palatino Linotype" w:hAnsi="Palatino Linotype" w:cstheme="minorHAnsi"/>
                <w:sz w:val="18"/>
                <w:szCs w:val="18"/>
              </w:rPr>
            </w:pPr>
          </w:p>
          <w:p w14:paraId="73D0C479"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Enhancement of the antioxidant power</w:t>
            </w:r>
          </w:p>
        </w:tc>
        <w:tc>
          <w:tcPr>
            <w:tcW w:w="1980" w:type="dxa"/>
            <w:vAlign w:val="center"/>
          </w:tcPr>
          <w:p w14:paraId="615105F3" w14:textId="2950A21C" w:rsidR="00C35C80" w:rsidRPr="00B76420" w:rsidRDefault="00C35C80"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{"citationItems":[{"id":"ITEM-1","itemData":{"DOI":"10.4103/CJP.CJP_8_19","ISSN":"0304-4920","PMID":"30942195","abstract":"Having powerful antioxidative properties, L-theanine (LT), one of the major amino acid components in green tea, has potent anti-oxidative and neuroprotective effects. In this study, we examined the potential protective effects of LT on haloperidol (HAL)-induced orofacial dyskinesia (OD) in rats. HAL treatment (1 mg/kg intraperitoneally for 21 days) induced OD; significant increases (P &lt; 0.001) in the frequency of vacuous chewing movement and tongue protrusion as well as the duration of facial twitching. LT treatment (100 mg/kg orally for 35 days, starting 14 days before HAL injection) was able to prevent most of the HAL-induced OD. LT treatment was also able to reduce the lipid peroxidation production and nitric oxide (NO) level, and enhance the antioxidation power in striatum from rats with HAL treatment. In order to examine the implication of NO pathway activity in HAL treatment, either NO precursor (L-arginine) or NO synthase inhibitor (L-NAME) was co-pretreated with LT; NO precursor treatment eliminated the protective effect of LT, in contrast to that NO synthase inhibitor treatment significantly potentiated the LT effects on behavioral and biochemical protection in HAL-treated rats. These results suggested that the NO pathway was implicated, at least in part, in the HAL-induced OD, as well as in the protective effect of LT in treating HAL-induced OD. The above evidence provides a clinically relevant value for LT in delaying or treating tardive dyskinesia.","author":[{"dropping-particle":"","family":"Tsai","given":"Cheng-Chia","non-dropping-particle":"","parse-names":false,"suffix":""},{"dropping-particle":"","family":"Wang","given":"Mao-Hsien","non-dropping-particle":"","parse-names":false,"suffix":""},{"dropping-particle":"","family":"Chang","given":"Kuo-Chi","non-dropping-particle":"","parse-names":false,"suffix":""},{"dropping-particle":"","family":"Soung","given":"Hung-Sheng","non-dropping-particle":"","parse-names":false,"suffix":""},{"dropping-particle":"","family":"Yang","given":"Chih-Chuan","non-dropping-particle":"","parse-names":false,"suffix":""},{"dropping-particle":"","family":"Tseng","given":"Hsiang-Chien","non-dropping-particle":"","parse-names":false,"suffix":""}],"container-title":"The Chinese journal of physiology","id":"ITEM-1","issue":"1","issued":{"date-parts":[["2019"]]},"page":"17-26","publisher":"Chin J Physiol","title":"Possible nitric oxide mechanism involved in the protective effect of L-theanine on haloperidol-induced orofacial dyskinesia.","type":"article-journal","volume":"62"},"uris":["http://www.mendeley.com/documents/?uuid=3de0c5e0-8230-310d-bf0e-e13341b27e4a"]}],"mendeley":{"formattedCitation":"(Tsai et al. 2019)","plainTextFormattedCitation":"(Tsai et al. 2019)","previouslyFormattedCitation":"(Tsai et al. 2019)"},"properties":{"noteIndex":0},"schema":"https://github.com/citation-style-language/schema/raw/master/csl-citation.json"}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(Tsai et al. 2019)</w:t>
            </w:r>
            <w:r>
              <w:rPr>
                <w:rFonts w:ascii="Palatino Linotype" w:hAnsi="Palatino Linotype" w:cstheme="minorHAnsi"/>
                <w:sz w:val="18"/>
                <w:szCs w:val="18"/>
              </w:rPr>
              <w:fldChar w:fldCharType="end"/>
            </w:r>
          </w:p>
        </w:tc>
      </w:tr>
      <w:tr w:rsidR="00C71433" w:rsidRPr="00B76420" w14:paraId="2688F440" w14:textId="77777777" w:rsidTr="00A77E70">
        <w:trPr>
          <w:trHeight w:val="382"/>
        </w:trPr>
        <w:tc>
          <w:tcPr>
            <w:tcW w:w="1560" w:type="dxa"/>
            <w:vAlign w:val="center"/>
          </w:tcPr>
          <w:p w14:paraId="453F5950"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lastRenderedPageBreak/>
              <w:t>DRD3</w:t>
            </w:r>
          </w:p>
          <w:p w14:paraId="2A5235F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GRK6</w:t>
            </w:r>
          </w:p>
        </w:tc>
        <w:tc>
          <w:tcPr>
            <w:tcW w:w="1559" w:type="dxa"/>
            <w:vAlign w:val="center"/>
          </w:tcPr>
          <w:p w14:paraId="2EEC3D4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b/>
                <w:sz w:val="18"/>
                <w:szCs w:val="18"/>
              </w:rPr>
              <w:t xml:space="preserve"> </w:t>
            </w:r>
            <w:r w:rsidRPr="00B76420">
              <w:rPr>
                <w:rFonts w:ascii="Palatino Linotype" w:hAnsi="Palatino Linotype" w:cstheme="minorHAnsi"/>
                <w:sz w:val="18"/>
                <w:szCs w:val="18"/>
              </w:rPr>
              <w:t xml:space="preserve"> </w:t>
            </w:r>
            <w:r w:rsidRPr="00B76420">
              <w:rPr>
                <w:sz w:val="18"/>
                <w:szCs w:val="18"/>
              </w:rPr>
              <w:t>↑</w:t>
            </w:r>
          </w:p>
        </w:tc>
        <w:tc>
          <w:tcPr>
            <w:tcW w:w="1701" w:type="dxa"/>
            <w:vMerge w:val="restart"/>
            <w:vAlign w:val="center"/>
          </w:tcPr>
          <w:p w14:paraId="37F6FD9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Adult female capuchin monkeys (</w:t>
            </w:r>
            <w:r w:rsidRPr="00B76420">
              <w:rPr>
                <w:rFonts w:ascii="Palatino Linotype" w:hAnsi="Palatino Linotype" w:cstheme="minorHAnsi"/>
                <w:i/>
                <w:iCs/>
                <w:sz w:val="18"/>
                <w:szCs w:val="18"/>
              </w:rPr>
              <w:t xml:space="preserve">Cebus </w:t>
            </w:r>
            <w:proofErr w:type="spellStart"/>
            <w:r w:rsidRPr="00B76420">
              <w:rPr>
                <w:rFonts w:ascii="Palatino Linotype" w:hAnsi="Palatino Linotype" w:cstheme="minorHAnsi"/>
                <w:i/>
                <w:iCs/>
                <w:sz w:val="18"/>
                <w:szCs w:val="18"/>
              </w:rPr>
              <w:t>apella</w:t>
            </w:r>
            <w:proofErr w:type="spellEnd"/>
            <w:r w:rsidRPr="00B76420">
              <w:rPr>
                <w:rFonts w:ascii="Palatino Linotype" w:hAnsi="Palatino Linotype" w:cstheme="minorHAnsi"/>
                <w:sz w:val="18"/>
                <w:szCs w:val="18"/>
              </w:rPr>
              <w:t>)</w:t>
            </w:r>
          </w:p>
        </w:tc>
        <w:tc>
          <w:tcPr>
            <w:tcW w:w="1417" w:type="dxa"/>
            <w:vMerge w:val="restart"/>
            <w:vAlign w:val="center"/>
          </w:tcPr>
          <w:p w14:paraId="196B8A4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Merge w:val="restart"/>
            <w:vAlign w:val="center"/>
          </w:tcPr>
          <w:p w14:paraId="4DA4D2BC"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Mild tardive dyskinesia</w:t>
            </w:r>
          </w:p>
        </w:tc>
        <w:tc>
          <w:tcPr>
            <w:tcW w:w="1843" w:type="dxa"/>
            <w:vMerge w:val="restart"/>
            <w:vAlign w:val="center"/>
          </w:tcPr>
          <w:p w14:paraId="4735435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984" w:type="dxa"/>
            <w:vMerge w:val="restart"/>
            <w:vAlign w:val="center"/>
          </w:tcPr>
          <w:p w14:paraId="61649680"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w:t>
            </w:r>
          </w:p>
        </w:tc>
        <w:tc>
          <w:tcPr>
            <w:tcW w:w="1980" w:type="dxa"/>
            <w:vMerge w:val="restart"/>
            <w:vAlign w:val="center"/>
          </w:tcPr>
          <w:p w14:paraId="5DB2919C" w14:textId="5612F462" w:rsidR="008E574A" w:rsidRPr="00B76420" w:rsidRDefault="008E574A"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{"citationItems":[{"id":"ITEM-1","itemData":{"DOI":"10.1002/mds.27630","ISSN":"1531-8257","PMID":"30675935","abstract":"BACKGROUND Tardive dyskinesia is a delayed and potentially irreversible motor complication arising from chronic exposure to antipsychotic drugs. Interaction of antipsychotic drugs with G protein-coupled receptors triggers multiple intracellular events. Nevertheless, signaling pathways that might be associated with chronic unwanted effects of antipsychotic drugs remain elusive. In this study, we aimed to better understand kinase signaling associated with the expression of tardive dyskinesia in nonhuman primates. METHODS We exposed capuchin monkeys to prolonged haloperidol (n = 10) or clozapine (n = 6) treatments. Untreated animals were used as controls (n = 6). Half of haloperidol-treated animals (5) developed mild tardive dyskinesia similar to that found in humans. Using Western blots and immunochemistry, we measured putamen total and phosphorylated protein kinase levels associated with canonical and noncanonical signaling cascades of G protein-coupled receptors. RESULTS Antipsychotic drugs enhanced pDARPP-32 and pERK1/2, but no difference ws observed in phosphoprotein kinase levels between dyskinetic and nondyskinetic monkeys. On the other hand, comparison of kinase levels between haloperidol-treated dyskinetic and nondyskinetic monkeys indicated that dyskinetic animals had lower GRK6 and β-arrestin2 levels. Levels of pAkt and pGSK-3β were also reduced, but only haloperidol-treated monkeys that developed tardive dyskinesia had reduced pGSK-3β levels, whereas pAkt levels in dyskinetic animals positively correlated with dyskinetic scores. Interestingly, double immunofluorescence labeling showed that putamen dopamine D3 receptor levels were upregulated and that D3/pAkt colocalization was enriched in haloperidol-treated animals displaying tardive dyskinesia. CONCLUSIONS Our results suggest that upregulation of putamen dopamine D3 receptor and alterations along the noncanonical GRK6/β-arrestin2/Akt/GSK-3β molecular cascade are associated with the development of tardive dyskinesia in nonhuman primates. © 2019 International Parkinson and Movement Disorder Society.","author":[{"dropping-particle":"","family":"Hernandez","given":"Giovanni","non-dropping-particle":"","parse-names":false,"suffix":""},{"dropping-particle":"","family":"Mahmoudi","given":"Souha","non-dropping-particle":"","parse-names":false,"suffix":""},{"dropping-particle":"","family":"Cyr","given":"Michel","non-dropping-particle":"","parse-names":false,"suffix":""},{"dropping-particle":"","family":"Diaz","given":"Jorge","non-dropping-particle":"","parse-names":false,"suffix":""},{"dropping-particle":"","family":"Blanchet","given":"Pierre J","non-dropping-particle":"","parse-names":false,"suffix":""},{"dropping-particle":"","family":"Lévesque","given":"Daniel","non-dropping-particle":"","parse-names":false,"suffix":""}],"container-title":"Movement disorders : official journal of the Movement Disorder Society","id":"ITEM-1","issue":"5","issued":{"date-parts":[["2019"]]},"page":"717-726","publisher":"Mov Disord","title":"Tardive dyskinesia is associated with altered putamen Akt/GSK-3β signaling in nonhuman primates.","type":"article-journal","volume":"34"},"uris":["http://www.mendeley.com/documents/?uuid=553d139c-b6a0-3aeb-8a11-2526057b4aa9"]}],"mendeley":{"formattedCitation":"(Hernandez et al. 2019)","plainTextFormattedCitation":"(Hernandez et al. 2019)","previouslyFormattedCitation":"(Hernandez et al. 2019)"},"properties":{"noteIndex":0},"schema":"https://github.com/citation-style-language/schema/raw/master/csl-citation.json"}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(Hernandez et al. 2019)</w:t>
            </w:r>
            <w:r>
              <w:rPr>
                <w:rFonts w:ascii="Palatino Linotype" w:hAnsi="Palatino Linotype" w:cstheme="minorHAnsi"/>
                <w:sz w:val="18"/>
                <w:szCs w:val="18"/>
              </w:rPr>
              <w:fldChar w:fldCharType="end"/>
            </w:r>
          </w:p>
        </w:tc>
      </w:tr>
      <w:tr w:rsidR="00C71433" w:rsidRPr="00B76420" w14:paraId="5358B09D" w14:textId="77777777" w:rsidTr="00A77E70">
        <w:trPr>
          <w:trHeight w:val="381"/>
        </w:trPr>
        <w:tc>
          <w:tcPr>
            <w:tcW w:w="1560" w:type="dxa"/>
            <w:vAlign w:val="center"/>
          </w:tcPr>
          <w:p w14:paraId="6F0F084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β-Arrestin2</w:t>
            </w:r>
          </w:p>
        </w:tc>
        <w:tc>
          <w:tcPr>
            <w:tcW w:w="1559" w:type="dxa"/>
            <w:vAlign w:val="center"/>
          </w:tcPr>
          <w:p w14:paraId="2EBD5B25" w14:textId="77777777" w:rsidR="00C71433" w:rsidRPr="00B76420" w:rsidRDefault="00C71433" w:rsidP="009A3199">
            <w:pPr>
              <w:jc w:val="center"/>
              <w:rPr>
                <w:rFonts w:ascii="Palatino Linotype" w:hAnsi="Palatino Linotype" w:cstheme="minorHAnsi"/>
                <w:b/>
                <w:sz w:val="18"/>
                <w:szCs w:val="18"/>
              </w:rPr>
            </w:pPr>
            <w:r w:rsidRPr="00B76420">
              <w:rPr>
                <w:sz w:val="18"/>
                <w:szCs w:val="18"/>
              </w:rPr>
              <w:t>↓</w:t>
            </w:r>
          </w:p>
        </w:tc>
        <w:tc>
          <w:tcPr>
            <w:tcW w:w="1701" w:type="dxa"/>
            <w:vMerge/>
            <w:vAlign w:val="center"/>
          </w:tcPr>
          <w:p w14:paraId="315E5BB5"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0BF0EA40"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34575545"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156EFE80" w14:textId="77777777" w:rsidR="00C71433" w:rsidRPr="00B76420" w:rsidRDefault="00C71433" w:rsidP="009A3199">
            <w:pPr>
              <w:jc w:val="center"/>
              <w:rPr>
                <w:rFonts w:ascii="Palatino Linotype" w:hAnsi="Palatino Linotype" w:cstheme="minorHAnsi"/>
                <w:sz w:val="18"/>
                <w:szCs w:val="18"/>
              </w:rPr>
            </w:pPr>
          </w:p>
        </w:tc>
        <w:tc>
          <w:tcPr>
            <w:tcW w:w="1984" w:type="dxa"/>
            <w:vMerge/>
            <w:vAlign w:val="center"/>
          </w:tcPr>
          <w:p w14:paraId="5E264472" w14:textId="77777777" w:rsidR="00C71433" w:rsidRPr="00B76420" w:rsidRDefault="00C71433" w:rsidP="009A3199">
            <w:pPr>
              <w:jc w:val="center"/>
              <w:rPr>
                <w:rStyle w:val="id-label"/>
                <w:rFonts w:ascii="Palatino Linotype" w:hAnsi="Palatino Linotype" w:cstheme="minorHAnsi"/>
                <w:sz w:val="18"/>
                <w:szCs w:val="18"/>
              </w:rPr>
            </w:pPr>
          </w:p>
        </w:tc>
        <w:tc>
          <w:tcPr>
            <w:tcW w:w="1980" w:type="dxa"/>
            <w:vMerge/>
            <w:vAlign w:val="center"/>
          </w:tcPr>
          <w:p w14:paraId="7D1CC258" w14:textId="77777777" w:rsidR="00C71433" w:rsidRPr="00B76420" w:rsidRDefault="00C71433" w:rsidP="009A3199">
            <w:pPr>
              <w:jc w:val="center"/>
              <w:rPr>
                <w:rFonts w:ascii="Palatino Linotype" w:hAnsi="Palatino Linotype" w:cstheme="minorHAnsi"/>
                <w:sz w:val="18"/>
                <w:szCs w:val="18"/>
              </w:rPr>
            </w:pPr>
          </w:p>
        </w:tc>
      </w:tr>
      <w:tr w:rsidR="00C71433" w:rsidRPr="00B76420" w14:paraId="710AF7C6" w14:textId="77777777" w:rsidTr="00A77E70">
        <w:tc>
          <w:tcPr>
            <w:tcW w:w="1560" w:type="dxa"/>
            <w:shd w:val="clear" w:color="auto" w:fill="auto"/>
            <w:vAlign w:val="center"/>
          </w:tcPr>
          <w:p w14:paraId="0C7C609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559" w:type="dxa"/>
            <w:shd w:val="clear" w:color="auto" w:fill="auto"/>
            <w:vAlign w:val="center"/>
          </w:tcPr>
          <w:p w14:paraId="1A9317E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shd w:val="clear" w:color="auto" w:fill="auto"/>
            <w:vAlign w:val="center"/>
          </w:tcPr>
          <w:p w14:paraId="180849C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i/>
                <w:sz w:val="18"/>
                <w:szCs w:val="18"/>
              </w:rPr>
              <w:t>GNAL</w:t>
            </w:r>
            <w:r w:rsidRPr="00B76420">
              <w:rPr>
                <w:rFonts w:ascii="Palatino Linotype" w:hAnsi="Palatino Linotype" w:cstheme="minorHAnsi"/>
                <w:sz w:val="18"/>
                <w:szCs w:val="18"/>
                <w:vertAlign w:val="superscript"/>
              </w:rPr>
              <w:t>+/-</w:t>
            </w:r>
            <w:r w:rsidRPr="00B76420">
              <w:rPr>
                <w:rFonts w:ascii="Palatino Linotype" w:hAnsi="Palatino Linotype" w:cstheme="minorHAnsi"/>
                <w:sz w:val="18"/>
                <w:szCs w:val="18"/>
              </w:rPr>
              <w:t xml:space="preserve"> mice and their isogenic </w:t>
            </w:r>
            <w:r w:rsidRPr="00B76420">
              <w:rPr>
                <w:rFonts w:ascii="Palatino Linotype" w:hAnsi="Palatino Linotype" w:cstheme="minorHAnsi"/>
                <w:i/>
                <w:sz w:val="18"/>
                <w:szCs w:val="18"/>
              </w:rPr>
              <w:t>GNAL</w:t>
            </w:r>
            <w:r w:rsidRPr="00B76420">
              <w:rPr>
                <w:rFonts w:ascii="Palatino Linotype" w:hAnsi="Palatino Linotype" w:cstheme="minorHAnsi"/>
                <w:sz w:val="18"/>
                <w:szCs w:val="18"/>
                <w:vertAlign w:val="superscript"/>
              </w:rPr>
              <w:t>+/+</w:t>
            </w:r>
            <w:r w:rsidRPr="00B76420">
              <w:rPr>
                <w:rFonts w:ascii="Palatino Linotype" w:hAnsi="Palatino Linotype" w:cstheme="minorHAnsi"/>
                <w:sz w:val="18"/>
                <w:szCs w:val="18"/>
              </w:rPr>
              <w:t xml:space="preserve"> littermates </w:t>
            </w:r>
          </w:p>
        </w:tc>
        <w:tc>
          <w:tcPr>
            <w:tcW w:w="1417" w:type="dxa"/>
            <w:shd w:val="clear" w:color="auto" w:fill="auto"/>
            <w:vAlign w:val="center"/>
          </w:tcPr>
          <w:p w14:paraId="11039A8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shd w:val="clear" w:color="auto" w:fill="auto"/>
            <w:vAlign w:val="center"/>
          </w:tcPr>
          <w:p w14:paraId="524D2110"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Catalepsy responses and different cellular effects</w:t>
            </w:r>
          </w:p>
        </w:tc>
        <w:tc>
          <w:tcPr>
            <w:tcW w:w="1843" w:type="dxa"/>
            <w:shd w:val="clear" w:color="auto" w:fill="auto"/>
            <w:vAlign w:val="center"/>
          </w:tcPr>
          <w:p w14:paraId="73FA36B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984" w:type="dxa"/>
            <w:shd w:val="clear" w:color="auto" w:fill="auto"/>
            <w:vAlign w:val="center"/>
          </w:tcPr>
          <w:p w14:paraId="61128E8E"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 xml:space="preserve">Enhanced </w:t>
            </w:r>
            <w:proofErr w:type="spellStart"/>
            <w:r w:rsidRPr="00B76420">
              <w:rPr>
                <w:rStyle w:val="id-label"/>
                <w:rFonts w:ascii="Palatino Linotype" w:hAnsi="Palatino Linotype" w:cstheme="minorHAnsi"/>
                <w:sz w:val="18"/>
                <w:szCs w:val="18"/>
              </w:rPr>
              <w:t>behavioural</w:t>
            </w:r>
            <w:proofErr w:type="spellEnd"/>
            <w:r w:rsidRPr="00B76420">
              <w:rPr>
                <w:rStyle w:val="id-label"/>
                <w:rFonts w:ascii="Palatino Linotype" w:hAnsi="Palatino Linotype" w:cstheme="minorHAnsi"/>
                <w:sz w:val="18"/>
                <w:szCs w:val="18"/>
              </w:rPr>
              <w:t xml:space="preserve"> abnormalities in </w:t>
            </w:r>
            <w:r w:rsidRPr="00B76420">
              <w:rPr>
                <w:rFonts w:ascii="Palatino Linotype" w:hAnsi="Palatino Linotype" w:cstheme="minorHAnsi"/>
                <w:i/>
                <w:sz w:val="18"/>
                <w:szCs w:val="18"/>
              </w:rPr>
              <w:t>GNAL</w:t>
            </w:r>
            <w:r w:rsidRPr="00B76420">
              <w:rPr>
                <w:rFonts w:ascii="Palatino Linotype" w:hAnsi="Palatino Linotype" w:cstheme="minorHAnsi"/>
                <w:sz w:val="18"/>
                <w:szCs w:val="18"/>
                <w:vertAlign w:val="superscript"/>
              </w:rPr>
              <w:t xml:space="preserve">+/- </w:t>
            </w:r>
            <w:r w:rsidRPr="00B76420">
              <w:rPr>
                <w:rFonts w:ascii="Palatino Linotype" w:hAnsi="Palatino Linotype" w:cstheme="minorHAnsi"/>
                <w:sz w:val="18"/>
                <w:szCs w:val="18"/>
              </w:rPr>
              <w:t xml:space="preserve">mice if </w:t>
            </w:r>
            <w:proofErr w:type="spellStart"/>
            <w:r w:rsidRPr="00B76420">
              <w:rPr>
                <w:rFonts w:ascii="Palatino Linotype" w:hAnsi="Palatino Linotype" w:cstheme="minorHAnsi"/>
                <w:sz w:val="18"/>
                <w:szCs w:val="18"/>
              </w:rPr>
              <w:t>comapred</w:t>
            </w:r>
            <w:proofErr w:type="spellEnd"/>
            <w:r w:rsidRPr="00B76420">
              <w:rPr>
                <w:rFonts w:ascii="Palatino Linotype" w:hAnsi="Palatino Linotype" w:cstheme="minorHAnsi"/>
                <w:sz w:val="18"/>
                <w:szCs w:val="18"/>
              </w:rPr>
              <w:t xml:space="preserve"> to the </w:t>
            </w:r>
            <w:r w:rsidRPr="00B76420">
              <w:rPr>
                <w:rFonts w:ascii="Palatino Linotype" w:hAnsi="Palatino Linotype" w:cstheme="minorHAnsi"/>
                <w:i/>
                <w:sz w:val="18"/>
                <w:szCs w:val="18"/>
              </w:rPr>
              <w:t>GNAL</w:t>
            </w:r>
            <w:r w:rsidRPr="00B76420">
              <w:rPr>
                <w:rFonts w:ascii="Palatino Linotype" w:hAnsi="Palatino Linotype" w:cstheme="minorHAnsi"/>
                <w:sz w:val="18"/>
                <w:szCs w:val="18"/>
                <w:vertAlign w:val="superscript"/>
              </w:rPr>
              <w:t>+/+</w:t>
            </w:r>
            <w:r w:rsidRPr="00B76420">
              <w:rPr>
                <w:rFonts w:ascii="Palatino Linotype" w:hAnsi="Palatino Linotype" w:cstheme="minorHAnsi"/>
                <w:sz w:val="18"/>
                <w:szCs w:val="18"/>
              </w:rPr>
              <w:t xml:space="preserve"> mice. </w:t>
            </w:r>
          </w:p>
        </w:tc>
        <w:tc>
          <w:tcPr>
            <w:tcW w:w="1980" w:type="dxa"/>
            <w:shd w:val="clear" w:color="auto" w:fill="auto"/>
            <w:vAlign w:val="center"/>
          </w:tcPr>
          <w:p w14:paraId="668E02B6" w14:textId="45206E01" w:rsidR="004F0D13" w:rsidRPr="00B76420" w:rsidRDefault="004F0D13"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{"citationItems":[{"id":"ITEM-1","itemData":{"DOI":"10.1016/j.expneurol.2019.04.014","ISSN":"1090-2430","PMID":"31034808","abstract":"GNAL encodes guanine nucleotide-binding protein subunit Gα(olf) which plays a key role in striatal medium spiny neuron (MSN)-dopamine signaling. GNAL loss-of-function mutations are causally-associated with isolated dystonia, a movement disorder characterized by involuntary muscle contractions leading to abnormal postures. Dopamine D2 receptor (D2R) blockers such as haloperidol are mainstays in the treatment of psychosis but may contribute to the development of secondary acute and tardive dystonia. Administration of haloperidol promotes cAMP-dependent signaling in D2R-expressing indirect pathway MSNs. At present, little is known about the cellular relationships among isolated, acute, and tardive dystonia. Herein, we report the effects of acute D2R blockade on motor behavior, DNA repair, cAMP-mediated histone H3 phosphorylation (Ser10), and cell death in Gnal+/- mice and their isogenic Gnal+/+ littermates. In comparison to Gnal+/+ littermates, Gnal+/- mice exhibited increased catalepsy responses, persistent DNA breaks, decreased cAMP-dependent histone H3 phosphorylation (Ser10), and increased cell death in response to haloperidol. In striatum, aged Gnal+/- mice exhibited increased global DNA methylation, increased euchromatin, and dendritic structural abnormalities. Our results provide evidence that Gα(olf) deficiency intensifies the effects of D2R antagonism and suggests that loss-of-function variants in GNAL may increase risk for movement disorders associated with D2R blockers. We hypothesize that the effects of Gα(olf) dysfunction and/or long-term D2R antagonism may lead to epigenetic silencing, transcriptional dysregulation, and, ultimately, cellular senescence and/or apoptosis in human brain.","author":[{"dropping-particle":"","family":"Khan","given":"Mohammad Moshahid","non-dropping-particle":"","parse-names":false,"suffix":""},{"dropping-particle":"","family":"Xiao","given":"Jianfeng","non-dropping-particle":"","parse-names":false,"suffix":""},{"dropping-particle":"","family":"Hollingsworth","given":"T J","non-dropping-particle":"","parse-names":false,"suffix":""},{"dropping-particle":"","family":"Patel","given":"Damini","non-dropping-particle":"","parse-names":false,"suffix":""},{"dropping-particle":"","family":"Selley","given":"Dana E","non-dropping-particle":"","parse-names":false,"suffix":""},{"dropping-particle":"","family":"Ring","given":"Trevor L","non-dropping-particle":"","parse-names":false,"suffix":""},{"dropping-particle":"","family":"LeDoux","given":"Mark S","non-dropping-particle":"","parse-names":false,"suffix":""}],"container-title":"Experimental neurology","id":"ITEM-1","issued":{"date-parts":[["2019"]]},"page":"61-70","publisher":"Exp Neurol","title":"Gnal haploinsufficiency causes genomic instability and increased sensitivity to haloperidol.","type":"article-journal","volume":"318"},"uris":["http://www.mendeley.com/documents/?uuid=5be3408e-70a4-39db-b30e-0deb7fd203af"]}],"mendeley":{"formattedCitation":"(Khan et al. 2019)","plainTextFormattedCitation":"(Khan et al. 2019)","previouslyFormattedCitation":"(Khan et al. 2019)"},"properties":{"noteIndex":0},"schema":"https://github.com/citation-style-language/schema/raw/master/csl-citation.json"}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(Khan et al. 2019)</w:t>
            </w:r>
            <w:r>
              <w:rPr>
                <w:rFonts w:ascii="Palatino Linotype" w:hAnsi="Palatino Linotype" w:cstheme="minorHAnsi"/>
                <w:sz w:val="18"/>
                <w:szCs w:val="18"/>
              </w:rPr>
              <w:fldChar w:fldCharType="end"/>
            </w:r>
          </w:p>
        </w:tc>
      </w:tr>
      <w:tr w:rsidR="00C71433" w:rsidRPr="00B76420" w14:paraId="7B702013" w14:textId="77777777" w:rsidTr="00A77E70">
        <w:tc>
          <w:tcPr>
            <w:tcW w:w="1560" w:type="dxa"/>
            <w:vAlign w:val="center"/>
          </w:tcPr>
          <w:p w14:paraId="4CD06A3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559" w:type="dxa"/>
            <w:vAlign w:val="center"/>
          </w:tcPr>
          <w:p w14:paraId="72872FB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473E961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adult rats</w:t>
            </w:r>
          </w:p>
        </w:tc>
        <w:tc>
          <w:tcPr>
            <w:tcW w:w="1417" w:type="dxa"/>
            <w:vAlign w:val="center"/>
          </w:tcPr>
          <w:p w14:paraId="4710A7B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64FF6D5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 locomotion, oxidative stress and blood glucose</w:t>
            </w:r>
          </w:p>
        </w:tc>
        <w:tc>
          <w:tcPr>
            <w:tcW w:w="1843" w:type="dxa"/>
            <w:vAlign w:val="center"/>
          </w:tcPr>
          <w:p w14:paraId="3611F26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Cannabidiol</w:t>
            </w:r>
          </w:p>
        </w:tc>
        <w:tc>
          <w:tcPr>
            <w:tcW w:w="1984" w:type="dxa"/>
            <w:vAlign w:val="center"/>
          </w:tcPr>
          <w:p w14:paraId="698E214D"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Attenuation of VCM</w:t>
            </w:r>
          </w:p>
        </w:tc>
        <w:tc>
          <w:tcPr>
            <w:tcW w:w="1980" w:type="dxa"/>
            <w:vAlign w:val="center"/>
          </w:tcPr>
          <w:p w14:paraId="049FA456" w14:textId="24287DCD" w:rsidR="004F0D13" w:rsidRPr="00B76420" w:rsidRDefault="004F0D13"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{"citationItems":[{"id":"ITEM-1","itemData":{"DOI":"10.1080/15622975.2020.1752934","ISSN":"1814-1412","PMID":"32264772","abstract":"Objectives: Tardive dyskinesia (TD) unlike acute dystonia may be irreversible. This study investigated the effects of oral cannabidiol (CBD) on haloperidol-induced vacuous chewing movement (VCM) model of TD. Methods: There were six experimental groups with different combinations of oral cannabidiol with 5 mg/kg of haloperidol given orally. Behavioural assays and FBS were measured. VCMs were assessed after the last dose of medication. Blood for oxidative stress assays was collected on the 8th day after the administration of the last dose of medication. Results: This study found that CBD co-administration with haloperidol attenuated the VCMs and increased motor tone produced by haloperidol. CBD alone at 5 mg/kg appears to have anxiolytic properties but may not be as effective as haloperidol which exhibited a greater anxiolytic effect at 5 mg/kg. Treatment with CBD alone at 5 mg/kg also appeared to enhance brain DPPH scavenging activity. Conclusions: We confirmed that CBD can ameliorate motor impairments produced by haloperidol. Our data suggest that CBD can be combined with haloperidol to prevent the emergent of extrapyramidal side effects and long-term movement disorders, such as acute dystonic disorder and TD.","author":[{"dropping-particle":"","family":"Kajero","given":"Jaiyeola Abiola","non-dropping-particle":"","parse-names":false,"suffix":""},{"dropping-particle":"","family":"Seedat","given":"Soraya","non-dropping-particle":"","parse-names":false,"suffix":""},{"dropping-particle":"","family":"Ohaeri","given":"Jude","non-dropping-particle":"","parse-names":false,"suffix":""},{"dropping-particle":"","family":"Akindele","given":"Abidemi","non-dropping-particle":"","parse-names":false,"suffix":""},{"dropping-particle":"","family":"Aina","given":"Oluwagbemiga","non-dropping-particle":"","parse-names":false,"suffix":""}],"container-title":"The world journal of biological psychiatry : the official journal of the World Federation of Societies of Biological Psychiatry","id":"ITEM-1","issue":"8","issued":{"date-parts":[["2020"]]},"page":"612-626","publisher":"World J Biol Psychiatry","title":"Investigation of the effects of cannabidiol on vacuous chewing movements, locomotion, oxidative stress and blood glucose in rats treated with oral haloperidol.","type":"article-journal","volume":"21"},"uris":["http://www.mendeley.com/documents/?uuid=59b26385-fb8f-34a3-a8cf-93caf4af0003"]}],"mendeley":{"formattedCitation":"(Kajero et al. 2020)","plainTextFormattedCitation":"(Kajero et al. 2020)","previouslyFormattedCitation":"(Kajero et al. 2020)"},"properties":{"noteIndex":0},"schema":"https://github.com/citation-style-language/schema/raw/master/csl-citation.json"}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(Kajero et al. 2020)</w:t>
            </w:r>
            <w:r>
              <w:rPr>
                <w:rFonts w:ascii="Palatino Linotype" w:hAnsi="Palatino Linotype" w:cstheme="minorHAnsi"/>
                <w:sz w:val="18"/>
                <w:szCs w:val="18"/>
              </w:rPr>
              <w:fldChar w:fldCharType="end"/>
            </w:r>
          </w:p>
        </w:tc>
      </w:tr>
      <w:tr w:rsidR="00C71433" w:rsidRPr="00B76420" w14:paraId="1CF61970" w14:textId="77777777" w:rsidTr="00A77E70">
        <w:tc>
          <w:tcPr>
            <w:tcW w:w="1560" w:type="dxa"/>
            <w:vAlign w:val="center"/>
          </w:tcPr>
          <w:p w14:paraId="178B78E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559" w:type="dxa"/>
            <w:vAlign w:val="center"/>
          </w:tcPr>
          <w:p w14:paraId="5CA932DE"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vAlign w:val="center"/>
          </w:tcPr>
          <w:p w14:paraId="62115466"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Swiss mice</w:t>
            </w:r>
          </w:p>
        </w:tc>
        <w:tc>
          <w:tcPr>
            <w:tcW w:w="1417" w:type="dxa"/>
            <w:vAlign w:val="center"/>
          </w:tcPr>
          <w:p w14:paraId="4DDFC08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Reserpine</w:t>
            </w:r>
          </w:p>
        </w:tc>
        <w:tc>
          <w:tcPr>
            <w:tcW w:w="1985" w:type="dxa"/>
            <w:vAlign w:val="center"/>
          </w:tcPr>
          <w:p w14:paraId="1BE984A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 and locomotor activity</w:t>
            </w:r>
          </w:p>
        </w:tc>
        <w:tc>
          <w:tcPr>
            <w:tcW w:w="1843" w:type="dxa"/>
            <w:vAlign w:val="center"/>
          </w:tcPr>
          <w:p w14:paraId="68921E47"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(+)-catechin</w:t>
            </w:r>
          </w:p>
        </w:tc>
        <w:tc>
          <w:tcPr>
            <w:tcW w:w="1984" w:type="dxa"/>
            <w:vAlign w:val="center"/>
          </w:tcPr>
          <w:p w14:paraId="48A08B6B"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Catechin decreased the VCMs induced by reserpine</w:t>
            </w:r>
          </w:p>
        </w:tc>
        <w:tc>
          <w:tcPr>
            <w:tcW w:w="1980" w:type="dxa"/>
            <w:vAlign w:val="center"/>
          </w:tcPr>
          <w:p w14:paraId="013D0504" w14:textId="15B7B26D" w:rsidR="004F0D13" w:rsidRPr="00B76420" w:rsidRDefault="004F0D13"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{"citationItems":[{"id":"ITEM-1","itemData":{"DOI":"10.1007/s00210-020-01923-0","ISSN":"1432-1912","PMID":"32725283","abstract":"This study evaluated the effect of (+)-catechin, a polyphenolic compound, on orofacial dyskinesia (OD) induced by reserpine in mice. The potential modulation of monoaminoxidase (MAO) activity, tyrosine hydroxylase (TH) and glutamic acid decarboxylase (GAD67) immunoreactivity by catechin were used as biochemical endpoints. The interaction of catechin with MAO-A and MAO-B was determined in vitro and in silico. The effects of catechin on OD induced by reserpine (1 mg/kg for 4 days, subcutaneously) in male Swiss mice were examined. After, catechin (10, 50 or 100 mg/kg, intraperitoneally) or its vehicle were given for another 20 days. On the 6th, 8th, 15th and 26th day, vacuous chewing movements (VCMs) and locomotor activity were quantified. Biochemical markers (MAO activity, TH and GAD67 immunoreactivity) were evaluated in brain structures. In vitro, catechin inhibited both MAO isoforms at concentrations of 0.34 and 1.03 mM being completely reversible for MAO-A and partially reversible for MAO-B. Molecular docking indicated that the catechin bound in the active site of MAO-A, while in the MAO-B it interacted with the surface of the enzyme in an allosteric site. In vivo, reserpine increased the VCMs and decreased the locomotor activity. Catechin (10 mg/kg), decreased the number of VCMs in the 8th day in mice pre-treated with reserpine without altering other behavioral response. Ex vivo, the MAO activity and TH and GAD67 immunoreactivity were not altered by the treatments. Catechin demonstrated a modest and transitory protective effect in a model of OD in mice.","author":[{"dropping-particle":"","family":"Reinheimer","given":"Jeane Binotto","non-dropping-particle":"","parse-names":false,"suffix":""},{"dropping-particle":"","family":"Bressan","given":"Getulio Nicola","non-dropping-particle":"","parse-names":false,"suffix":""},{"dropping-particle":"","family":"Freitas","given":"Catiuscia Molz","non-dropping-particle":"de","parse-names":false,"suffix":""},{"dropping-particle":"","family":"Ceretta","given":"Ana Paula Chiapinotto","non-dropping-particle":"","parse-names":false,"suffix":""},{"dropping-particle":"","family":"Krum","given":"Bárbara Nunes","non-dropping-particle":"","parse-names":false,"suffix":""},{"dropping-particle":"","family":"Nogara","given":"Pablo Andrei","non-dropping-particle":"","parse-names":false,"suffix":""},{"dropping-particle":"","family":"Rodrigues","given":"Talita","non-dropping-particle":"","parse-names":false,"suffix":""},{"dropping-particle":"","family":"Schwerz","given":"Janaína Paola","non-dropping-particle":"","parse-names":false,"suffix":""},{"dropping-particle":"","family":"Rocha","given":"João Batista Teixeira","non-dropping-particle":"da","parse-names":false,"suffix":""},{"dropping-particle":"","family":"Fachinetto","given":"Roselei","non-dropping-particle":"","parse-names":false,"suffix":""}],"container-title":"Naunyn-Schmiedeberg's archives of pharmacology","id":"ITEM-1","issue":"12","issued":{"date-parts":[["2020"]]},"page":"2439-2452","publisher":"Naunyn Schmiedebergs Arch Pharmacol","title":"Effects of CATECHIN on reserpine-induced vacuous chewing movements: behavioral and biochemical analysis.","type":"article-journal","volume":"393"},"uris":["http://www.mendeley.com/documents/?uuid=47b68c6d-0f00-3aa9-8794-9a92dcc6b832"]}],"mendeley":{"formattedCitation":"(Reinheimer et al. 2020)","plainTextFormattedCitation":"(Reinheimer et al. 2020)","previouslyFormattedCitation":"(Reinheimer et al. 2020)"},"properties":{"noteIndex":0},"schema":"https://github.com/citation-style-language/schema/raw/master/csl-citation.json"}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(Reinheimer et al. 2020)</w:t>
            </w:r>
            <w:r>
              <w:rPr>
                <w:rFonts w:ascii="Palatino Linotype" w:hAnsi="Palatino Linotype" w:cstheme="minorHAnsi"/>
                <w:sz w:val="18"/>
                <w:szCs w:val="18"/>
              </w:rPr>
              <w:fldChar w:fldCharType="end"/>
            </w:r>
          </w:p>
        </w:tc>
      </w:tr>
      <w:tr w:rsidR="00C71433" w:rsidRPr="00B76420" w14:paraId="036BE2C6" w14:textId="77777777" w:rsidTr="00A77E70">
        <w:trPr>
          <w:trHeight w:val="767"/>
        </w:trPr>
        <w:tc>
          <w:tcPr>
            <w:tcW w:w="1560" w:type="dxa"/>
            <w:vAlign w:val="center"/>
          </w:tcPr>
          <w:p w14:paraId="283A8CE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GSH</w:t>
            </w:r>
          </w:p>
          <w:p w14:paraId="693BFCC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SOD </w:t>
            </w:r>
          </w:p>
          <w:p w14:paraId="3D5E313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CAT</w:t>
            </w:r>
          </w:p>
        </w:tc>
        <w:tc>
          <w:tcPr>
            <w:tcW w:w="1559" w:type="dxa"/>
            <w:vAlign w:val="center"/>
          </w:tcPr>
          <w:p w14:paraId="6193840A"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restart"/>
            <w:vAlign w:val="center"/>
          </w:tcPr>
          <w:p w14:paraId="733D6B2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rats</w:t>
            </w:r>
          </w:p>
        </w:tc>
        <w:tc>
          <w:tcPr>
            <w:tcW w:w="1417" w:type="dxa"/>
            <w:vMerge w:val="restart"/>
            <w:vAlign w:val="center"/>
          </w:tcPr>
          <w:p w14:paraId="1644396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Merge w:val="restart"/>
            <w:vAlign w:val="center"/>
          </w:tcPr>
          <w:p w14:paraId="525B82B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 and tongue protrusion</w:t>
            </w:r>
          </w:p>
        </w:tc>
        <w:tc>
          <w:tcPr>
            <w:tcW w:w="1843" w:type="dxa"/>
            <w:vMerge w:val="restart"/>
            <w:vAlign w:val="center"/>
          </w:tcPr>
          <w:p w14:paraId="1BB3170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Naringin</w:t>
            </w:r>
          </w:p>
        </w:tc>
        <w:tc>
          <w:tcPr>
            <w:tcW w:w="1984" w:type="dxa"/>
            <w:vMerge w:val="restart"/>
            <w:vAlign w:val="center"/>
          </w:tcPr>
          <w:p w14:paraId="40863763" w14:textId="77777777" w:rsidR="00C71433" w:rsidRPr="00B76420" w:rsidRDefault="00C71433" w:rsidP="009A3199">
            <w:pPr>
              <w:jc w:val="center"/>
              <w:rPr>
                <w:rStyle w:val="id-label"/>
                <w:rFonts w:ascii="Palatino Linotype" w:hAnsi="Palatino Linotype" w:cstheme="minorHAnsi"/>
                <w:sz w:val="18"/>
                <w:szCs w:val="18"/>
              </w:rPr>
            </w:pPr>
            <w:r w:rsidRPr="00B76420">
              <w:rPr>
                <w:rStyle w:val="id-label"/>
                <w:rFonts w:ascii="Palatino Linotype" w:hAnsi="Palatino Linotype" w:cstheme="minorHAnsi"/>
                <w:sz w:val="18"/>
                <w:szCs w:val="18"/>
              </w:rPr>
              <w:t>Treatment reduced haloperidol-induced increases in the frequency of VCM and TP</w:t>
            </w:r>
          </w:p>
        </w:tc>
        <w:tc>
          <w:tcPr>
            <w:tcW w:w="1980" w:type="dxa"/>
            <w:vMerge w:val="restart"/>
            <w:vAlign w:val="center"/>
          </w:tcPr>
          <w:p w14:paraId="58F9D4F7" w14:textId="4BA6A700" w:rsidR="004F0D13" w:rsidRPr="00B76420" w:rsidRDefault="004F0D13"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{"citationItems":[{"id":"ITEM-1","itemData":{"DOI":"10.1007/s12640-021-00333-1","ISSN":"1476-3524","PMID":"33523404","abstract":"Animal models of haloperidol (HAL)-induced neurotoxicity and orofacial dyskinesia (OD) have long been used to study human tardive dyskinesia (TD). Similar to patients with TD, these models show strong pathophysiological characteristics such as striatal oxidative stress and neural cytoarchitecture alteration. Naringin (NAR), a bioflavonoid commonly found in citrus fruits, has potent antioxidative, anti-inflammatory, antiapoptotic, and neuroprotective properties. The present study evaluated the potential protective effects of NAR against HAL-induced OD in rats and the neuroprotective mechanisms underlying these effects. HAL treatment (1 mg/kg i.p. for 21 successive days) induced OD development, characterized by increased vacuous chewing movement (VCM) and tongue protrusion (TP), which were recorded on the 7th, 14th, and 21st day of drug treatment. NAR (30, 100, and 300 mg/kg) was administered orally 60 min before HAL injection for 21 successive days. On the 21st day, after behavioral testing, the rats were sacrificed, and the nitrosative and oxidative status, antioxidation power, neurotransmitter levels, neuroinflammation, and apoptotic markers in the striatum were measured. HAL induced OD development, with significant increases in the frequency of VCM and TP. NAR treatment (100 and 300 mg/kg) prevented HAL-induced OD significantly. Additionally, NAR treatment reduced the HAL-induced nitric oxide and lipid peroxide production, increased the antioxidation power and neurotransmitter levels in the striatum, and significantly reduced the levels of neuroinflammatory and apoptotic markers. Our results first demonstrate the neuroprotective effects of NAR against HAL-induced OD, suggesting that NAR may help in delaying or treating human TD in clinical settings.","author":[{"dropping-particle":"","family":"Wang","given":"Mao-Hsien","non-dropping-particle":"","parse-names":false,"suffix":""},{"dropping-particle":"","family":"Yang","given":"Chih-Chuan","non-dropping-particle":"","parse-names":false,"suffix":""},{"dropping-particle":"","family":"Tseng","given":"Hsiang-Chien","non-dropping-particle":"","parse-names":false,"suffix":""},{"dropping-particle":"","family":"Fang","given":"Chih-Hsiang","non-dropping-particle":"","parse-names":false,"suffix":""},{"dropping-particle":"","family":"Lin","given":"Yi-Wen","non-dropping-particle":"","parse-names":false,"suffix":""},{"dropping-particle":"","family":"Soung","given":"Hung-Sheng","non-dropping-particle":"","parse-names":false,"suffix":""}],"container-title":"Neurotoxicity research","id":"ITEM-1","issue":"3","issued":{"date-parts":[["2021","6"]]},"page":"774-786","publisher":"Neurotox Res","title":"Naringin Ameliorates Haloperidol-Induced Neurotoxicity and Orofacial Dyskinesia in a Rat Model of Human Tardive Dyskinesia.","type":"article-journal","volume":"39"},"uris":["http://www.mendeley.com/documents/?uuid=a01201bf-4b5a-325a-9c8c-5ca2f334ac5d"]}],"mendeley":{"formattedCitation":"(Wang et al. 2021)","plainTextFormattedCitation":"(Wang et al. 2021)","previouslyFormattedCitation":"(Wang et al. 2021)"},"properties":{"noteIndex":0},"schema":"https://github.com/citation-style-language/schema/raw/master/csl-citation.json"}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(Wang et al. 2021)</w:t>
            </w:r>
            <w:r>
              <w:rPr>
                <w:rFonts w:ascii="Palatino Linotype" w:hAnsi="Palatino Linotype" w:cstheme="minorHAnsi"/>
                <w:sz w:val="18"/>
                <w:szCs w:val="18"/>
              </w:rPr>
              <w:fldChar w:fldCharType="end"/>
            </w:r>
          </w:p>
        </w:tc>
      </w:tr>
      <w:tr w:rsidR="00C71433" w:rsidRPr="00B76420" w14:paraId="09C97893" w14:textId="77777777" w:rsidTr="00A77E70">
        <w:trPr>
          <w:trHeight w:val="766"/>
        </w:trPr>
        <w:tc>
          <w:tcPr>
            <w:tcW w:w="1560" w:type="dxa"/>
            <w:vAlign w:val="center"/>
          </w:tcPr>
          <w:p w14:paraId="5CE76DA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TNFα</w:t>
            </w:r>
          </w:p>
          <w:p w14:paraId="356610C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IL-1β</w:t>
            </w:r>
          </w:p>
          <w:p w14:paraId="279DB6B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IL-6</w:t>
            </w:r>
          </w:p>
          <w:p w14:paraId="6876AAC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Caspase-3</w:t>
            </w:r>
          </w:p>
        </w:tc>
        <w:tc>
          <w:tcPr>
            <w:tcW w:w="1559" w:type="dxa"/>
            <w:vAlign w:val="center"/>
          </w:tcPr>
          <w:p w14:paraId="2B832FAC"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Merge/>
            <w:vAlign w:val="center"/>
          </w:tcPr>
          <w:p w14:paraId="62C8B1F9" w14:textId="77777777" w:rsidR="00C71433" w:rsidRPr="00B76420" w:rsidRDefault="00C71433" w:rsidP="009A3199">
            <w:pPr>
              <w:jc w:val="center"/>
              <w:rPr>
                <w:rFonts w:ascii="Palatino Linotype" w:hAnsi="Palatino Linotype" w:cstheme="minorHAnsi"/>
                <w:sz w:val="18"/>
                <w:szCs w:val="18"/>
              </w:rPr>
            </w:pPr>
          </w:p>
        </w:tc>
        <w:tc>
          <w:tcPr>
            <w:tcW w:w="1417" w:type="dxa"/>
            <w:vMerge/>
            <w:vAlign w:val="center"/>
          </w:tcPr>
          <w:p w14:paraId="48608B27" w14:textId="77777777" w:rsidR="00C71433" w:rsidRPr="00B76420" w:rsidRDefault="00C71433" w:rsidP="009A3199">
            <w:pPr>
              <w:jc w:val="center"/>
              <w:rPr>
                <w:rFonts w:ascii="Palatino Linotype" w:hAnsi="Palatino Linotype" w:cstheme="minorHAnsi"/>
                <w:sz w:val="18"/>
                <w:szCs w:val="18"/>
              </w:rPr>
            </w:pPr>
          </w:p>
        </w:tc>
        <w:tc>
          <w:tcPr>
            <w:tcW w:w="1985" w:type="dxa"/>
            <w:vMerge/>
            <w:vAlign w:val="center"/>
          </w:tcPr>
          <w:p w14:paraId="3AC72E03" w14:textId="77777777" w:rsidR="00C71433" w:rsidRPr="00B76420" w:rsidRDefault="00C71433" w:rsidP="009A3199">
            <w:pPr>
              <w:jc w:val="center"/>
              <w:rPr>
                <w:rFonts w:ascii="Palatino Linotype" w:hAnsi="Palatino Linotype" w:cstheme="minorHAnsi"/>
                <w:sz w:val="18"/>
                <w:szCs w:val="18"/>
              </w:rPr>
            </w:pPr>
          </w:p>
        </w:tc>
        <w:tc>
          <w:tcPr>
            <w:tcW w:w="1843" w:type="dxa"/>
            <w:vMerge/>
            <w:vAlign w:val="center"/>
          </w:tcPr>
          <w:p w14:paraId="063CF093" w14:textId="77777777" w:rsidR="00C71433" w:rsidRPr="00B76420" w:rsidRDefault="00C71433" w:rsidP="009A3199">
            <w:pPr>
              <w:jc w:val="center"/>
              <w:rPr>
                <w:rFonts w:ascii="Palatino Linotype" w:hAnsi="Palatino Linotype" w:cstheme="minorHAnsi"/>
                <w:sz w:val="18"/>
                <w:szCs w:val="18"/>
              </w:rPr>
            </w:pPr>
          </w:p>
        </w:tc>
        <w:tc>
          <w:tcPr>
            <w:tcW w:w="1984" w:type="dxa"/>
            <w:vMerge/>
            <w:vAlign w:val="center"/>
          </w:tcPr>
          <w:p w14:paraId="6AE5F5D1" w14:textId="77777777" w:rsidR="00C71433" w:rsidRPr="00B76420" w:rsidRDefault="00C71433" w:rsidP="009A3199">
            <w:pPr>
              <w:jc w:val="center"/>
              <w:rPr>
                <w:rStyle w:val="id-label"/>
                <w:rFonts w:ascii="Palatino Linotype" w:hAnsi="Palatino Linotype" w:cstheme="minorHAnsi"/>
                <w:sz w:val="18"/>
                <w:szCs w:val="18"/>
              </w:rPr>
            </w:pPr>
          </w:p>
        </w:tc>
        <w:tc>
          <w:tcPr>
            <w:tcW w:w="1980" w:type="dxa"/>
            <w:vMerge/>
            <w:vAlign w:val="center"/>
          </w:tcPr>
          <w:p w14:paraId="13143888" w14:textId="77777777" w:rsidR="00C71433" w:rsidRPr="00B76420" w:rsidRDefault="00C71433" w:rsidP="009A3199">
            <w:pPr>
              <w:jc w:val="center"/>
              <w:rPr>
                <w:rFonts w:ascii="Palatino Linotype" w:hAnsi="Palatino Linotype" w:cstheme="minorHAnsi"/>
                <w:sz w:val="18"/>
                <w:szCs w:val="18"/>
              </w:rPr>
            </w:pPr>
          </w:p>
        </w:tc>
      </w:tr>
      <w:tr w:rsidR="00C71433" w:rsidRPr="00B76420" w14:paraId="647F36AF" w14:textId="77777777" w:rsidTr="00A77E70">
        <w:tc>
          <w:tcPr>
            <w:tcW w:w="1560" w:type="dxa"/>
            <w:vAlign w:val="center"/>
          </w:tcPr>
          <w:p w14:paraId="1123579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CB1</w:t>
            </w:r>
          </w:p>
        </w:tc>
        <w:tc>
          <w:tcPr>
            <w:tcW w:w="1559" w:type="dxa"/>
            <w:vAlign w:val="center"/>
          </w:tcPr>
          <w:p w14:paraId="13E46B44" w14:textId="77777777" w:rsidR="00C71433" w:rsidRPr="00B76420" w:rsidRDefault="00C71433" w:rsidP="009A3199">
            <w:pPr>
              <w:jc w:val="center"/>
              <w:rPr>
                <w:rFonts w:ascii="Palatino Linotype" w:hAnsi="Palatino Linotype" w:cstheme="minorHAnsi"/>
                <w:sz w:val="18"/>
                <w:szCs w:val="18"/>
              </w:rPr>
            </w:pPr>
            <w:r w:rsidRPr="00B76420">
              <w:rPr>
                <w:sz w:val="18"/>
                <w:szCs w:val="18"/>
              </w:rPr>
              <w:t>↑</w:t>
            </w:r>
          </w:p>
        </w:tc>
        <w:tc>
          <w:tcPr>
            <w:tcW w:w="1701" w:type="dxa"/>
            <w:vAlign w:val="center"/>
          </w:tcPr>
          <w:p w14:paraId="3CF3CBA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Male Wistar rats</w:t>
            </w:r>
          </w:p>
        </w:tc>
        <w:tc>
          <w:tcPr>
            <w:tcW w:w="1417" w:type="dxa"/>
            <w:vAlign w:val="center"/>
          </w:tcPr>
          <w:p w14:paraId="6FD85EC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Align w:val="center"/>
          </w:tcPr>
          <w:p w14:paraId="5AB87FA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vAlign w:val="center"/>
          </w:tcPr>
          <w:p w14:paraId="7305628F"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CB</w:t>
            </w:r>
            <w:r w:rsidRPr="00B76420">
              <w:rPr>
                <w:rFonts w:ascii="Palatino Linotype" w:hAnsi="Palatino Linotype" w:cstheme="minorHAnsi"/>
                <w:sz w:val="18"/>
                <w:szCs w:val="18"/>
                <w:vertAlign w:val="subscript"/>
              </w:rPr>
              <w:t>1</w:t>
            </w:r>
            <w:r w:rsidRPr="00B76420">
              <w:rPr>
                <w:rFonts w:ascii="Palatino Linotype" w:hAnsi="Palatino Linotype" w:cstheme="minorHAnsi"/>
                <w:sz w:val="18"/>
                <w:szCs w:val="18"/>
              </w:rPr>
              <w:t xml:space="preserve"> receptor antagonist (AM251)</w:t>
            </w:r>
          </w:p>
          <w:p w14:paraId="30A2F9B1" w14:textId="77777777" w:rsidR="00C71433" w:rsidRPr="00B76420" w:rsidRDefault="00C71433" w:rsidP="009A3199">
            <w:pPr>
              <w:jc w:val="center"/>
              <w:rPr>
                <w:rFonts w:ascii="Palatino Linotype" w:hAnsi="Palatino Linotype" w:cstheme="minorHAnsi"/>
                <w:sz w:val="18"/>
                <w:szCs w:val="18"/>
              </w:rPr>
            </w:pPr>
          </w:p>
          <w:p w14:paraId="7751CAF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TRPV</w:t>
            </w:r>
            <w:r w:rsidRPr="00B76420">
              <w:rPr>
                <w:rFonts w:ascii="Palatino Linotype" w:hAnsi="Palatino Linotype" w:cstheme="minorHAnsi"/>
                <w:sz w:val="18"/>
                <w:szCs w:val="18"/>
                <w:vertAlign w:val="subscript"/>
              </w:rPr>
              <w:t>1</w:t>
            </w:r>
            <w:r w:rsidRPr="00B76420">
              <w:rPr>
                <w:rFonts w:ascii="Palatino Linotype" w:hAnsi="Palatino Linotype" w:cstheme="minorHAnsi"/>
                <w:sz w:val="18"/>
                <w:szCs w:val="18"/>
              </w:rPr>
              <w:t xml:space="preserve"> channel blocker (SB366791)</w:t>
            </w:r>
          </w:p>
        </w:tc>
        <w:tc>
          <w:tcPr>
            <w:tcW w:w="1984" w:type="dxa"/>
            <w:vAlign w:val="center"/>
          </w:tcPr>
          <w:p w14:paraId="17E3A957" w14:textId="77777777" w:rsidR="00C71433" w:rsidRPr="00B76420" w:rsidRDefault="00C71433" w:rsidP="009A3199">
            <w:pPr>
              <w:jc w:val="center"/>
              <w:rPr>
                <w:rStyle w:val="id-label"/>
                <w:rFonts w:ascii="Palatino Linotype" w:hAnsi="Palatino Linotype" w:cstheme="minorHAnsi"/>
                <w:sz w:val="18"/>
                <w:szCs w:val="18"/>
              </w:rPr>
            </w:pPr>
            <w:r w:rsidRPr="00B76420">
              <w:rPr>
                <w:rFonts w:ascii="Palatino Linotype" w:hAnsi="Palatino Linotype" w:cstheme="minorHAnsi"/>
                <w:sz w:val="18"/>
                <w:szCs w:val="18"/>
              </w:rPr>
              <w:t>CB</w:t>
            </w:r>
            <w:r w:rsidRPr="00B76420">
              <w:rPr>
                <w:rFonts w:ascii="Palatino Linotype" w:hAnsi="Palatino Linotype" w:cstheme="minorHAnsi"/>
                <w:sz w:val="18"/>
                <w:szCs w:val="18"/>
                <w:vertAlign w:val="subscript"/>
              </w:rPr>
              <w:t>1</w:t>
            </w:r>
            <w:r w:rsidRPr="00B76420">
              <w:rPr>
                <w:rFonts w:ascii="Palatino Linotype" w:hAnsi="Palatino Linotype" w:cstheme="minorHAnsi"/>
                <w:sz w:val="18"/>
                <w:szCs w:val="18"/>
              </w:rPr>
              <w:t xml:space="preserve"> receptor antagonist decreased VCM, but not TRPV</w:t>
            </w:r>
            <w:r w:rsidRPr="00B76420">
              <w:rPr>
                <w:rFonts w:ascii="Palatino Linotype" w:hAnsi="Palatino Linotype" w:cstheme="minorHAnsi"/>
                <w:sz w:val="18"/>
                <w:szCs w:val="18"/>
                <w:vertAlign w:val="subscript"/>
              </w:rPr>
              <w:t>1</w:t>
            </w:r>
            <w:r w:rsidRPr="00B76420">
              <w:rPr>
                <w:rFonts w:ascii="Palatino Linotype" w:hAnsi="Palatino Linotype" w:cstheme="minorHAnsi"/>
                <w:sz w:val="18"/>
                <w:szCs w:val="18"/>
              </w:rPr>
              <w:t xml:space="preserve"> channel blocker.</w:t>
            </w:r>
          </w:p>
        </w:tc>
        <w:tc>
          <w:tcPr>
            <w:tcW w:w="1980" w:type="dxa"/>
            <w:vAlign w:val="center"/>
          </w:tcPr>
          <w:p w14:paraId="3571A978" w14:textId="142748D8" w:rsidR="004F0D13" w:rsidRPr="00B76420" w:rsidRDefault="004F0D13" w:rsidP="009A3199">
            <w:pPr>
              <w:jc w:val="cente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{"citationItems":[{"id":"ITEM-1","itemData":{"DOI":"10.1016/j.pbb.2021.173193","ISSN":"1873-5177","PMID":"33933537","abstract":"Tardive dyskinesia (TD) is a side effect associated with the long-term use of certain antipsychotics. Considering the modulatory role of the endocannabinoid system upon dopaminergic neurotransmission, the present study tested the hypothesis that increasing endocannabinoid (anandamide and 2-arachidonoylglycerol) levels attenuates haloperidol-induced TD (vacuous chewing movements, VCMs) in male Wistar rats. The animals received administration of chronic haloperidol (38 mg/kg; 29 days) followed by acute FAAH (URB597, 0.1-0.5 mg/kg) or MAGL (JZL184, 1-10 mg/kg) inhibitors before VCM quantification. The underlying mechanisms were evaluated by pre-treatments with a CB1 receptor antagonist (AM251, 1 mg/kg) or a TRPV1 channel blocker (SB366791, 1 mg/kg). Moreover, CB1 receptor expression was evaluated in the striatum of high-VCM animals. As expected, haloperidol induced VCMs only in a subset of rats. Either FAAH or MAGL inhibition reduced VCMs. These effects were prevented by CB1 receptor antagonism, but not by TRPV1 blockage. Remarkably, CB1 receptor expression was increased high-VCM rats, with a positive correlation between the levels of CB1 expression and the number of VCMs. In conclusion, increasing endocannabinoid levels results in CB1 receptor-mediated protection against haloperidol-induced TD in rats. The increased CB1 receptor expression after chronic haloperidol treatment suggests a counter-regulatory protective mechanism.","author":[{"dropping-particle":"","family":"Röpke","given":"Jivago","non-dropping-particle":"","parse-names":false,"suffix":""},{"dropping-particle":"","family":"Ferreira-Vieira","given":"Talita H","non-dropping-particle":"","parse-names":false,"suffix":""},{"dropping-particle":"","family":"Iglesias","given":"Lia P","non-dropping-particle":"","parse-names":false,"suffix":""},{"dropping-particle":"","family":"Asth","given":"Laila","non-dropping-particle":"","parse-names":false,"suffix":""},{"dropping-particle":"","family":"Ribeiro","given":"Fabíola M","non-dropping-particle":"","parse-names":false,"suffix":""},{"dropping-particle":"","family":"Moreira","given":"Fabrício A","non-dropping-particle":"","parse-names":false,"suffix":""}],"container-title":"Pharmacology, biochemistry, and behavior","id":"ITEM-1","issued":{"date-parts":[["2021"]]},"page":"173193","publisher":"Pharmacol Biochem Behav","title":"Protective role of endocannabinoid signaling in an animal model of haloperidol-induced tardive dyskinesia.","type":"article-journal","volume":"206"},"uris":["http://www.mendeley.com/documents/?uuid=aec35771-f35d-3b62-879e-48ece755c33c"]}],"mendeley":{"formattedCitation":"(Röpke et al. 2021)","plainTextFormattedCitation":"(Röpke et al. 2021)","previouslyFormattedCitation":"(Röpke et al. 2021)"},"properties":{"noteIndex":0},"schema":"https://github.com/citation-style-language/schema/raw/master/csl-citation.json"}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(Röpke et al. 2021)</w:t>
            </w:r>
            <w:r>
              <w:rPr>
                <w:rFonts w:ascii="Palatino Linotype" w:hAnsi="Palatino Linotype" w:cstheme="minorHAnsi"/>
                <w:sz w:val="18"/>
                <w:szCs w:val="18"/>
              </w:rPr>
              <w:fldChar w:fldCharType="end"/>
            </w:r>
          </w:p>
        </w:tc>
      </w:tr>
      <w:tr w:rsidR="00C71433" w:rsidRPr="00B76420" w14:paraId="09D9046B" w14:textId="77777777" w:rsidTr="00A77E70">
        <w:trPr>
          <w:trHeight w:val="2203"/>
        </w:trPr>
        <w:tc>
          <w:tcPr>
            <w:tcW w:w="1560" w:type="dxa"/>
            <w:vMerge w:val="restart"/>
            <w:shd w:val="clear" w:color="auto" w:fill="auto"/>
            <w:vAlign w:val="center"/>
          </w:tcPr>
          <w:p w14:paraId="7F61CC75"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lastRenderedPageBreak/>
              <w:t>/</w:t>
            </w:r>
          </w:p>
        </w:tc>
        <w:tc>
          <w:tcPr>
            <w:tcW w:w="1559" w:type="dxa"/>
            <w:vMerge w:val="restart"/>
            <w:shd w:val="clear" w:color="auto" w:fill="auto"/>
            <w:vAlign w:val="center"/>
          </w:tcPr>
          <w:p w14:paraId="65EDB27E"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p>
        </w:tc>
        <w:tc>
          <w:tcPr>
            <w:tcW w:w="1701" w:type="dxa"/>
            <w:shd w:val="clear" w:color="auto" w:fill="auto"/>
            <w:vAlign w:val="center"/>
          </w:tcPr>
          <w:p w14:paraId="6AE56DB4"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sz w:val="18"/>
                <w:szCs w:val="18"/>
              </w:rPr>
              <w:t>Male Wistar rats</w:t>
            </w:r>
            <w:r w:rsidRPr="00B76420">
              <w:rPr>
                <w:rFonts w:ascii="Palatino Linotype" w:hAnsi="Palatino Linotype" w:cstheme="minorHAnsi"/>
                <w:sz w:val="18"/>
                <w:szCs w:val="18"/>
              </w:rPr>
              <w:t xml:space="preserve"> </w:t>
            </w:r>
          </w:p>
          <w:p w14:paraId="7EAE7BBC" w14:textId="77777777" w:rsidR="00C71433" w:rsidRPr="00B76420" w:rsidRDefault="00C71433" w:rsidP="009A3199">
            <w:pPr>
              <w:jc w:val="center"/>
              <w:rPr>
                <w:rFonts w:ascii="Palatino Linotype" w:hAnsi="Palatino Linotype" w:cstheme="minorHAnsi"/>
                <w:sz w:val="18"/>
                <w:szCs w:val="18"/>
              </w:rPr>
            </w:pPr>
          </w:p>
        </w:tc>
        <w:tc>
          <w:tcPr>
            <w:tcW w:w="1417" w:type="dxa"/>
            <w:vMerge w:val="restart"/>
            <w:shd w:val="clear" w:color="auto" w:fill="auto"/>
            <w:vAlign w:val="center"/>
          </w:tcPr>
          <w:p w14:paraId="06CDEA7D"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w:t>
            </w:r>
          </w:p>
        </w:tc>
        <w:tc>
          <w:tcPr>
            <w:tcW w:w="1985" w:type="dxa"/>
            <w:vMerge w:val="restart"/>
            <w:shd w:val="clear" w:color="auto" w:fill="auto"/>
            <w:vAlign w:val="center"/>
          </w:tcPr>
          <w:p w14:paraId="24A97562"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VCM</w:t>
            </w:r>
          </w:p>
        </w:tc>
        <w:tc>
          <w:tcPr>
            <w:tcW w:w="1843" w:type="dxa"/>
            <w:shd w:val="clear" w:color="auto" w:fill="auto"/>
            <w:vAlign w:val="center"/>
          </w:tcPr>
          <w:p w14:paraId="1408FE6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Oral acetaminophen treatment</w:t>
            </w:r>
          </w:p>
          <w:p w14:paraId="3813978B" w14:textId="77777777" w:rsidR="00C71433" w:rsidRPr="00B76420" w:rsidRDefault="00C71433" w:rsidP="009A3199">
            <w:pPr>
              <w:jc w:val="center"/>
              <w:rPr>
                <w:rFonts w:ascii="Palatino Linotype" w:hAnsi="Palatino Linotype" w:cstheme="minorHAnsi"/>
                <w:sz w:val="18"/>
                <w:szCs w:val="18"/>
              </w:rPr>
            </w:pPr>
          </w:p>
          <w:p w14:paraId="62A99433"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Injection of N-(4-hydroxyphenyl)-</w:t>
            </w:r>
            <w:proofErr w:type="spellStart"/>
            <w:r w:rsidRPr="00B76420">
              <w:rPr>
                <w:rFonts w:ascii="Palatino Linotype" w:hAnsi="Palatino Linotype" w:cstheme="minorHAnsi"/>
                <w:sz w:val="18"/>
                <w:szCs w:val="18"/>
              </w:rPr>
              <w:t>arachidonylamide</w:t>
            </w:r>
            <w:proofErr w:type="spellEnd"/>
            <w:r w:rsidRPr="00B76420">
              <w:rPr>
                <w:rFonts w:ascii="Palatino Linotype" w:hAnsi="Palatino Linotype" w:cstheme="minorHAnsi"/>
                <w:sz w:val="18"/>
                <w:szCs w:val="18"/>
              </w:rPr>
              <w:t xml:space="preserve"> (AM404)</w:t>
            </w:r>
          </w:p>
        </w:tc>
        <w:tc>
          <w:tcPr>
            <w:tcW w:w="1984" w:type="dxa"/>
            <w:shd w:val="clear" w:color="auto" w:fill="auto"/>
            <w:vAlign w:val="center"/>
          </w:tcPr>
          <w:p w14:paraId="1EA7472A" w14:textId="77777777" w:rsidR="00C71433" w:rsidRPr="00B76420" w:rsidRDefault="00C71433" w:rsidP="009A3199">
            <w:pPr>
              <w:jc w:val="center"/>
              <w:rPr>
                <w:rStyle w:val="id-label"/>
                <w:rFonts w:ascii="Palatino Linotype" w:hAnsi="Palatino Linotype" w:cstheme="minorHAnsi"/>
                <w:sz w:val="18"/>
                <w:szCs w:val="18"/>
              </w:rPr>
            </w:pPr>
            <w:r w:rsidRPr="00B76420">
              <w:rPr>
                <w:rFonts w:ascii="Palatino Linotype" w:hAnsi="Palatino Linotype" w:cstheme="minorHAnsi"/>
                <w:sz w:val="18"/>
                <w:szCs w:val="18"/>
              </w:rPr>
              <w:t xml:space="preserve">Haloperidol-induced VCMs were mitigated by treatment with acetaminophen and AM404 </w:t>
            </w:r>
          </w:p>
        </w:tc>
        <w:tc>
          <w:tcPr>
            <w:tcW w:w="1980" w:type="dxa"/>
            <w:vMerge w:val="restart"/>
            <w:shd w:val="clear" w:color="auto" w:fill="auto"/>
            <w:vAlign w:val="center"/>
          </w:tcPr>
          <w:p w14:paraId="4756A6BB" w14:textId="509E58CA" w:rsidR="005607F7" w:rsidRDefault="005607F7" w:rsidP="009A3199">
            <w:pPr>
              <w:jc w:val="center"/>
              <w:rPr>
                <w:rStyle w:val="Strong"/>
                <w:rFonts w:ascii="Palatino Linotype" w:hAnsi="Palatino Linotype" w:cstheme="minorHAnsi"/>
                <w:sz w:val="18"/>
                <w:szCs w:val="18"/>
              </w:rPr>
            </w:pPr>
            <w:r>
              <w:rPr>
                <w:rStyle w:val="Strong"/>
                <w:rFonts w:ascii="Palatino Linotype" w:hAnsi="Palatino Linotype" w:cstheme="minorHAnsi"/>
                <w:sz w:val="18"/>
                <w:szCs w:val="18"/>
              </w:rPr>
              <w:fldChar w:fldCharType="begin" w:fldLock="1"/>
            </w:r>
            <w:r w:rsidR="005E78F7">
              <w:rPr>
                <w:rStyle w:val="Strong"/>
                <w:rFonts w:ascii="Palatino Linotype" w:hAnsi="Palatino Linotype" w:cstheme="minorHAnsi"/>
                <w:sz w:val="18"/>
                <w:szCs w:val="18"/>
              </w:rPr>
              <w:instrText>ADDIN CSL_CITATION {"citationItems":[{"id":"ITEM-1","itemData":{"DOI":"10.1172/jci.insight.145632","ISSN":"2379-3708","PMID":"33857021","abstract":"Antipsychotics often cause tardive dyskinesia, an adverse symptom of involuntary hyperkinetic movements. Analysis of the US Food and Drug Administration Adverse Event Reporting System and JMDC insurance claims revealed that acetaminophen prevented the dyskinesia induced by dopamine D2 receptor antagonists. In vivo experiments further showed that a 21-day treatment with haloperidol increased the number of vacuous chewing movements (VCMs) in rats, an effect that was inhibited by oral acetaminophen treatment or intracerebroventricular injection of N-(4-hydroxyphenyl)-arachidonylamide (AM404), an acetaminophen metabolite that acts as an activator of the transient receptor potential vanilloid 1 (TRPV1). In mice, haloperidol-induced VCMs were also mitigated by treatment with AM404 applied to the dorsal striatum, an effect not seen in TRPV1-deficient mice. Acetaminophen prevented the haloperidol-induced decrease in the number of c-Fos+preproenkephalin+ striatal neurons in wild-type mice but not in TRPV1-deficient mice. Finally, chemogenetic stimulation of indirect pathway medium spiny neurons in the dorsal striatum decreased haloperidol-induced VCMs. These results suggest that acetaminophen activates the indirect pathway neurons by activating TRPV1 channels via AM404.","author":[{"dropping-particle":"","family":"Nagaoka","given":"Koki","non-dropping-particle":"","parse-names":false,"suffix":""},{"dropping-particle":"","family":"Nagashima","given":"Takuya","non-dropping-particle":"","parse-names":false,"suffix":""},{"dropping-particle":"","family":"Asaoka","given":"Nozomi","non-dropping-particle":"","parse-names":false,"suffix":""},{"dropping-particle":"","family":"Yamamoto","given":"Hiroki","non-dropping-particle":"","parse-names":false,"suffix":""},{"dropping-particle":"","family":"Toda","given":"Chihiro","non-dropping-particle":"","parse-names":false,"suffix":""},{"dropping-particle":"","family":"Kayanuma","given":"Gen","non-dropping-particle":"","parse-names":false,"suffix":""},{"dropping-particle":"","family":"Siswanto","given":"Soni","non-dropping-particle":"","parse-names":false,"suffix":""},{"dropping-particle":"","family":"Funahashi","given":"Yasuhiro","non-dropping-particle":"","parse-names":false,"suffix":""},{"dropping-particle":"","family":"Kuroda","given":"Keisuke","non-dropping-particle":"","parse-names":false,"suffix":""},{"dropping-particle":"","family":"Kaibuchi","given":"Kozo","non-dropping-particle":"","parse-names":false,"suffix":""},{"dropping-particle":"","family":"Mori","given":"Yasuo","non-dropping-particle":"","parse-names":false,"suffix":""},{"dropping-particle":"","family":"Nagayasu","given":"Kazuki","non-dropping-particle":"","parse-names":false,"suffix":""},{"dropping-particle":"","family":"Shirakawa","given":"Hisashi","non-dropping-particle":"","parse-names":false,"suffix":""},{"dropping-particle":"","family":"Kaneko","given":"Shuji","non-dropping-particle":"","parse-names":false,"suffix":""}],"container-title":"JCI insight","id":"ITEM-1","issue":"10","issued":{"date-parts":[["2021"]]},"publisher":"JCI Insight","title":"Striatal TRPV1 activation by acetaminophen ameliorates dopamine D2 receptor antagonist-induced orofacial dyskinesia.","type":"article-journal","volume":"6"},"uris":["http://www.mendeley.com/documents/?uuid=e5fb5306-59b3-39c6-9d17-8a1559aaef69"]}],"mendeley":{"formattedCitation":"(Nagaoka et al. 2021)","plainTextFormattedCitation":"(Nagaoka et al. 2021)","previouslyFormattedCitation":"(Nagaoka et al. 2021)"},"properties":{"noteIndex":0},"schema":"https://github.com/citation-style-language/schema/raw/master/csl-citation.json"}</w:instrText>
            </w:r>
            <w:r>
              <w:rPr>
                <w:rStyle w:val="Strong"/>
                <w:rFonts w:ascii="Palatino Linotype" w:hAnsi="Palatino Linotype" w:cstheme="minorHAnsi"/>
                <w:sz w:val="18"/>
                <w:szCs w:val="18"/>
              </w:rPr>
              <w:fldChar w:fldCharType="separate"/>
            </w:r>
            <w:r w:rsidR="001060C2" w:rsidRPr="001060C2">
              <w:rPr>
                <w:rStyle w:val="Strong"/>
                <w:rFonts w:ascii="Palatino Linotype" w:hAnsi="Palatino Linotype" w:cstheme="minorHAnsi"/>
                <w:b w:val="0"/>
                <w:noProof/>
                <w:sz w:val="18"/>
                <w:szCs w:val="18"/>
              </w:rPr>
              <w:t>(Nagaoka et al. 2021)</w:t>
            </w:r>
            <w:r>
              <w:rPr>
                <w:rStyle w:val="Strong"/>
                <w:rFonts w:ascii="Palatino Linotype" w:hAnsi="Palatino Linotype" w:cstheme="minorHAnsi"/>
                <w:sz w:val="18"/>
                <w:szCs w:val="18"/>
              </w:rPr>
              <w:fldChar w:fldCharType="end"/>
            </w:r>
          </w:p>
          <w:p w14:paraId="4EE387AE" w14:textId="382BC637" w:rsidR="005607F7" w:rsidRPr="00B76420" w:rsidRDefault="005607F7" w:rsidP="009A3199">
            <w:pPr>
              <w:jc w:val="center"/>
              <w:rPr>
                <w:rFonts w:ascii="Palatino Linotype" w:hAnsi="Palatino Linotype" w:cstheme="minorHAnsi"/>
                <w:sz w:val="18"/>
                <w:szCs w:val="18"/>
              </w:rPr>
            </w:pPr>
          </w:p>
        </w:tc>
      </w:tr>
      <w:tr w:rsidR="00C71433" w:rsidRPr="00B76420" w14:paraId="14136856" w14:textId="77777777" w:rsidTr="00A77E70">
        <w:trPr>
          <w:trHeight w:val="558"/>
        </w:trPr>
        <w:tc>
          <w:tcPr>
            <w:tcW w:w="1560" w:type="dxa"/>
            <w:vMerge/>
            <w:shd w:val="clear" w:color="auto" w:fill="auto"/>
            <w:vAlign w:val="center"/>
          </w:tcPr>
          <w:p w14:paraId="658B270E" w14:textId="77777777" w:rsidR="00C71433" w:rsidRPr="00B76420" w:rsidRDefault="00C71433" w:rsidP="009A3199">
            <w:pPr>
              <w:jc w:val="center"/>
              <w:rPr>
                <w:rFonts w:ascii="Palatino Linotype" w:hAnsi="Palatino Linotype" w:cstheme="minorHAnsi"/>
                <w:sz w:val="18"/>
                <w:szCs w:val="18"/>
              </w:rPr>
            </w:pPr>
          </w:p>
        </w:tc>
        <w:tc>
          <w:tcPr>
            <w:tcW w:w="1559" w:type="dxa"/>
            <w:vMerge/>
            <w:shd w:val="clear" w:color="auto" w:fill="auto"/>
            <w:vAlign w:val="center"/>
          </w:tcPr>
          <w:p w14:paraId="2666280B" w14:textId="77777777" w:rsidR="00C71433" w:rsidRPr="00B76420" w:rsidRDefault="00C71433" w:rsidP="009A3199">
            <w:pPr>
              <w:jc w:val="center"/>
              <w:rPr>
                <w:rFonts w:ascii="Palatino Linotype" w:hAnsi="Palatino Linotype" w:cstheme="minorHAnsi"/>
                <w:sz w:val="18"/>
                <w:szCs w:val="18"/>
              </w:rPr>
            </w:pPr>
          </w:p>
        </w:tc>
        <w:tc>
          <w:tcPr>
            <w:tcW w:w="1701" w:type="dxa"/>
            <w:vMerge w:val="restart"/>
            <w:shd w:val="clear" w:color="auto" w:fill="auto"/>
            <w:vAlign w:val="center"/>
          </w:tcPr>
          <w:p w14:paraId="381AED50"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Male C57BL/6J mice </w:t>
            </w:r>
          </w:p>
          <w:p w14:paraId="7C0EDC31"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w:t>
            </w:r>
            <w:r w:rsidRPr="00B76420">
              <w:rPr>
                <w:rFonts w:ascii="Palatino Linotype" w:hAnsi="Palatino Linotype" w:cstheme="minorHAnsi"/>
                <w:i/>
                <w:sz w:val="18"/>
                <w:szCs w:val="18"/>
              </w:rPr>
              <w:t>TRPV1</w:t>
            </w:r>
            <w:r w:rsidRPr="00B76420">
              <w:rPr>
                <w:rFonts w:ascii="Palatino Linotype" w:hAnsi="Palatino Linotype" w:cstheme="minorHAnsi"/>
                <w:sz w:val="18"/>
                <w:szCs w:val="18"/>
              </w:rPr>
              <w:t xml:space="preserve"> deficient and WT) </w:t>
            </w:r>
          </w:p>
        </w:tc>
        <w:tc>
          <w:tcPr>
            <w:tcW w:w="1417" w:type="dxa"/>
            <w:vMerge/>
            <w:shd w:val="clear" w:color="auto" w:fill="auto"/>
            <w:vAlign w:val="center"/>
          </w:tcPr>
          <w:p w14:paraId="6122449A" w14:textId="77777777" w:rsidR="00C71433" w:rsidRPr="00B76420" w:rsidRDefault="00C71433" w:rsidP="009A3199">
            <w:pPr>
              <w:jc w:val="center"/>
              <w:rPr>
                <w:rFonts w:ascii="Palatino Linotype" w:hAnsi="Palatino Linotype" w:cstheme="minorHAnsi"/>
                <w:sz w:val="18"/>
                <w:szCs w:val="18"/>
              </w:rPr>
            </w:pPr>
          </w:p>
        </w:tc>
        <w:tc>
          <w:tcPr>
            <w:tcW w:w="1985" w:type="dxa"/>
            <w:vMerge/>
            <w:shd w:val="clear" w:color="auto" w:fill="auto"/>
            <w:vAlign w:val="center"/>
          </w:tcPr>
          <w:p w14:paraId="7AAEAB12" w14:textId="77777777" w:rsidR="00C71433" w:rsidRPr="00B76420" w:rsidRDefault="00C71433" w:rsidP="009A3199">
            <w:pPr>
              <w:jc w:val="center"/>
              <w:rPr>
                <w:rFonts w:ascii="Palatino Linotype" w:hAnsi="Palatino Linotype" w:cstheme="minorHAnsi"/>
                <w:sz w:val="18"/>
                <w:szCs w:val="18"/>
              </w:rPr>
            </w:pPr>
          </w:p>
        </w:tc>
        <w:tc>
          <w:tcPr>
            <w:tcW w:w="1843" w:type="dxa"/>
            <w:shd w:val="clear" w:color="auto" w:fill="auto"/>
            <w:vAlign w:val="center"/>
          </w:tcPr>
          <w:p w14:paraId="19E5DDA8"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Acetaminophen</w:t>
            </w:r>
          </w:p>
        </w:tc>
        <w:tc>
          <w:tcPr>
            <w:tcW w:w="1984" w:type="dxa"/>
            <w:shd w:val="clear" w:color="auto" w:fill="auto"/>
            <w:vAlign w:val="center"/>
          </w:tcPr>
          <w:p w14:paraId="22754349"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 xml:space="preserve">Prevented the haloperidol-induced decrease in the number of </w:t>
            </w:r>
            <w:proofErr w:type="spellStart"/>
            <w:r w:rsidRPr="00B76420">
              <w:rPr>
                <w:rFonts w:ascii="Palatino Linotype" w:hAnsi="Palatino Linotype" w:cstheme="minorHAnsi"/>
                <w:sz w:val="18"/>
                <w:szCs w:val="18"/>
              </w:rPr>
              <w:t>c-Fos+preproenkephalin</w:t>
            </w:r>
            <w:proofErr w:type="spellEnd"/>
            <w:r w:rsidRPr="00B76420">
              <w:rPr>
                <w:rFonts w:ascii="Palatino Linotype" w:hAnsi="Palatino Linotype" w:cstheme="minorHAnsi"/>
                <w:sz w:val="18"/>
                <w:szCs w:val="18"/>
              </w:rPr>
              <w:t>+ striatal neurons in wild-type mice but not in TRPV1-deficient mice.</w:t>
            </w:r>
          </w:p>
        </w:tc>
        <w:tc>
          <w:tcPr>
            <w:tcW w:w="1980" w:type="dxa"/>
            <w:vMerge/>
            <w:shd w:val="clear" w:color="auto" w:fill="auto"/>
            <w:vAlign w:val="center"/>
          </w:tcPr>
          <w:p w14:paraId="07A3056A" w14:textId="77777777" w:rsidR="00C71433" w:rsidRPr="00B76420" w:rsidRDefault="00C71433" w:rsidP="009A3199">
            <w:pPr>
              <w:jc w:val="center"/>
              <w:rPr>
                <w:rFonts w:ascii="Palatino Linotype" w:hAnsi="Palatino Linotype" w:cstheme="minorHAnsi"/>
                <w:sz w:val="18"/>
                <w:szCs w:val="18"/>
              </w:rPr>
            </w:pPr>
          </w:p>
        </w:tc>
      </w:tr>
      <w:tr w:rsidR="00C71433" w:rsidRPr="00B76420" w14:paraId="5CD22417" w14:textId="77777777" w:rsidTr="00A77E70">
        <w:trPr>
          <w:trHeight w:val="1397"/>
        </w:trPr>
        <w:tc>
          <w:tcPr>
            <w:tcW w:w="1560" w:type="dxa"/>
            <w:vMerge/>
            <w:shd w:val="clear" w:color="auto" w:fill="auto"/>
            <w:vAlign w:val="center"/>
          </w:tcPr>
          <w:p w14:paraId="479660E4" w14:textId="77777777" w:rsidR="00C71433" w:rsidRPr="00B76420" w:rsidRDefault="00C71433" w:rsidP="009A3199">
            <w:pPr>
              <w:jc w:val="center"/>
              <w:rPr>
                <w:rFonts w:ascii="Palatino Linotype" w:hAnsi="Palatino Linotype" w:cstheme="minorHAnsi"/>
                <w:sz w:val="18"/>
                <w:szCs w:val="18"/>
              </w:rPr>
            </w:pPr>
          </w:p>
        </w:tc>
        <w:tc>
          <w:tcPr>
            <w:tcW w:w="1559" w:type="dxa"/>
            <w:vMerge/>
            <w:shd w:val="clear" w:color="auto" w:fill="auto"/>
            <w:vAlign w:val="center"/>
          </w:tcPr>
          <w:p w14:paraId="6F0FE6C3" w14:textId="77777777" w:rsidR="00C71433" w:rsidRPr="00B76420" w:rsidRDefault="00C71433" w:rsidP="009A3199">
            <w:pPr>
              <w:jc w:val="center"/>
              <w:rPr>
                <w:rFonts w:ascii="Palatino Linotype" w:hAnsi="Palatino Linotype" w:cstheme="minorHAnsi"/>
                <w:sz w:val="18"/>
                <w:szCs w:val="18"/>
              </w:rPr>
            </w:pPr>
          </w:p>
        </w:tc>
        <w:tc>
          <w:tcPr>
            <w:tcW w:w="1701" w:type="dxa"/>
            <w:vMerge/>
            <w:shd w:val="clear" w:color="auto" w:fill="auto"/>
            <w:vAlign w:val="center"/>
          </w:tcPr>
          <w:p w14:paraId="5014C22C" w14:textId="77777777" w:rsidR="00C71433" w:rsidRPr="00B76420" w:rsidRDefault="00C71433" w:rsidP="009A3199">
            <w:pPr>
              <w:jc w:val="center"/>
              <w:rPr>
                <w:rFonts w:ascii="Palatino Linotype" w:hAnsi="Palatino Linotype" w:cstheme="minorHAnsi"/>
                <w:i/>
                <w:sz w:val="18"/>
                <w:szCs w:val="18"/>
              </w:rPr>
            </w:pPr>
          </w:p>
        </w:tc>
        <w:tc>
          <w:tcPr>
            <w:tcW w:w="1417" w:type="dxa"/>
            <w:vMerge/>
            <w:shd w:val="clear" w:color="auto" w:fill="auto"/>
            <w:vAlign w:val="center"/>
          </w:tcPr>
          <w:p w14:paraId="4769EB39" w14:textId="77777777" w:rsidR="00C71433" w:rsidRPr="00B76420" w:rsidRDefault="00C71433" w:rsidP="009A3199">
            <w:pPr>
              <w:jc w:val="center"/>
              <w:rPr>
                <w:rFonts w:ascii="Palatino Linotype" w:hAnsi="Palatino Linotype" w:cstheme="minorHAnsi"/>
                <w:sz w:val="18"/>
                <w:szCs w:val="18"/>
              </w:rPr>
            </w:pPr>
          </w:p>
        </w:tc>
        <w:tc>
          <w:tcPr>
            <w:tcW w:w="1985" w:type="dxa"/>
            <w:vMerge/>
            <w:shd w:val="clear" w:color="auto" w:fill="auto"/>
            <w:vAlign w:val="center"/>
          </w:tcPr>
          <w:p w14:paraId="4571D05C" w14:textId="77777777" w:rsidR="00C71433" w:rsidRPr="00B76420" w:rsidRDefault="00C71433" w:rsidP="009A3199">
            <w:pPr>
              <w:jc w:val="center"/>
              <w:rPr>
                <w:rFonts w:ascii="Palatino Linotype" w:hAnsi="Palatino Linotype" w:cstheme="minorHAnsi"/>
                <w:sz w:val="18"/>
                <w:szCs w:val="18"/>
              </w:rPr>
            </w:pPr>
          </w:p>
        </w:tc>
        <w:tc>
          <w:tcPr>
            <w:tcW w:w="1843" w:type="dxa"/>
            <w:shd w:val="clear" w:color="auto" w:fill="auto"/>
            <w:vAlign w:val="center"/>
          </w:tcPr>
          <w:p w14:paraId="3A532D6B"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AM404</w:t>
            </w:r>
          </w:p>
        </w:tc>
        <w:tc>
          <w:tcPr>
            <w:tcW w:w="1984" w:type="dxa"/>
            <w:shd w:val="clear" w:color="auto" w:fill="auto"/>
            <w:vAlign w:val="center"/>
          </w:tcPr>
          <w:p w14:paraId="24022D1A" w14:textId="77777777" w:rsidR="00C71433" w:rsidRPr="00B76420" w:rsidRDefault="00C71433" w:rsidP="009A3199">
            <w:pPr>
              <w:jc w:val="center"/>
              <w:rPr>
                <w:rFonts w:ascii="Palatino Linotype" w:hAnsi="Palatino Linotype" w:cstheme="minorHAnsi"/>
                <w:sz w:val="18"/>
                <w:szCs w:val="18"/>
              </w:rPr>
            </w:pPr>
            <w:r w:rsidRPr="00B76420">
              <w:rPr>
                <w:rFonts w:ascii="Palatino Linotype" w:hAnsi="Palatino Linotype" w:cstheme="minorHAnsi"/>
                <w:sz w:val="18"/>
                <w:szCs w:val="18"/>
              </w:rPr>
              <w:t>Haloperidol-induced VCMs were mitigated, but the effect was not seen in TRPV1-deficient mice.</w:t>
            </w:r>
          </w:p>
        </w:tc>
        <w:tc>
          <w:tcPr>
            <w:tcW w:w="1980" w:type="dxa"/>
            <w:vMerge/>
            <w:shd w:val="clear" w:color="auto" w:fill="auto"/>
            <w:vAlign w:val="center"/>
          </w:tcPr>
          <w:p w14:paraId="02890003" w14:textId="77777777" w:rsidR="00C71433" w:rsidRPr="00B76420" w:rsidRDefault="00C71433" w:rsidP="009A3199">
            <w:pPr>
              <w:jc w:val="center"/>
              <w:rPr>
                <w:rFonts w:ascii="Palatino Linotype" w:hAnsi="Palatino Linotype" w:cstheme="minorHAnsi"/>
                <w:sz w:val="18"/>
                <w:szCs w:val="18"/>
              </w:rPr>
            </w:pPr>
          </w:p>
        </w:tc>
      </w:tr>
    </w:tbl>
    <w:p w14:paraId="04BF7E9F" w14:textId="77777777" w:rsidR="00C71433" w:rsidRDefault="00C71433" w:rsidP="00C71433">
      <w:pPr>
        <w:rPr>
          <w:b/>
        </w:rPr>
      </w:pPr>
    </w:p>
    <w:p w14:paraId="41695255" w14:textId="77777777" w:rsidR="00C71433" w:rsidRPr="003F102B" w:rsidRDefault="00C71433" w:rsidP="00C71433">
      <w:pPr>
        <w:rPr>
          <w:b/>
        </w:rPr>
      </w:pPr>
    </w:p>
    <w:p w14:paraId="07B86C30" w14:textId="77777777" w:rsidR="00C71433" w:rsidRDefault="00C71433" w:rsidP="006A1E5F">
      <w:pPr>
        <w:jc w:val="both"/>
        <w:rPr>
          <w:rFonts w:ascii="Palatino Linotype" w:hAnsi="Palatino Linotype"/>
          <w:sz w:val="18"/>
          <w:szCs w:val="18"/>
        </w:rPr>
      </w:pPr>
    </w:p>
    <w:p w14:paraId="30DBC1E8" w14:textId="77777777" w:rsidR="00C71433" w:rsidRDefault="00C71433" w:rsidP="006A1E5F">
      <w:pPr>
        <w:jc w:val="both"/>
        <w:rPr>
          <w:rFonts w:ascii="Palatino Linotype" w:hAnsi="Palatino Linotype"/>
          <w:sz w:val="18"/>
          <w:szCs w:val="18"/>
        </w:rPr>
      </w:pPr>
    </w:p>
    <w:p w14:paraId="22139164" w14:textId="77777777" w:rsidR="00C71433" w:rsidRDefault="00C71433" w:rsidP="006A1E5F">
      <w:pPr>
        <w:jc w:val="both"/>
        <w:rPr>
          <w:rFonts w:ascii="Palatino Linotype" w:hAnsi="Palatino Linotype"/>
          <w:sz w:val="18"/>
          <w:szCs w:val="18"/>
        </w:rPr>
      </w:pPr>
    </w:p>
    <w:p w14:paraId="6AE4DA55" w14:textId="1908C292" w:rsidR="00C71433" w:rsidRDefault="00C71433" w:rsidP="006A1E5F">
      <w:pPr>
        <w:jc w:val="both"/>
        <w:rPr>
          <w:rFonts w:ascii="Palatino Linotype" w:hAnsi="Palatino Linotype"/>
          <w:sz w:val="18"/>
          <w:szCs w:val="18"/>
        </w:rPr>
      </w:pPr>
    </w:p>
    <w:p w14:paraId="001D1869" w14:textId="77777777" w:rsidR="00C17DF3" w:rsidRDefault="00C17DF3" w:rsidP="006A1E5F">
      <w:pPr>
        <w:jc w:val="both"/>
        <w:rPr>
          <w:rFonts w:ascii="Palatino Linotype" w:hAnsi="Palatino Linotype"/>
          <w:sz w:val="18"/>
          <w:szCs w:val="18"/>
        </w:rPr>
      </w:pPr>
    </w:p>
    <w:p w14:paraId="4B9D8708" w14:textId="77777777" w:rsidR="00C71433" w:rsidRDefault="00C71433" w:rsidP="006A1E5F">
      <w:pPr>
        <w:jc w:val="both"/>
        <w:rPr>
          <w:rFonts w:ascii="Palatino Linotype" w:hAnsi="Palatino Linotype"/>
          <w:sz w:val="18"/>
          <w:szCs w:val="18"/>
        </w:rPr>
      </w:pPr>
    </w:p>
    <w:p w14:paraId="5738F723" w14:textId="2B4CDCDA" w:rsidR="00B46003" w:rsidRPr="006A1E5F" w:rsidRDefault="00C71433" w:rsidP="00C71433">
      <w:pPr>
        <w:jc w:val="center"/>
        <w:rPr>
          <w:rFonts w:ascii="Palatino Linotype" w:hAnsi="Palatino Linotype"/>
          <w:sz w:val="18"/>
          <w:szCs w:val="18"/>
        </w:rPr>
      </w:pPr>
      <w:r>
        <w:rPr>
          <w:rFonts w:ascii="Palatino Linotype" w:hAnsi="Palatino Linotype"/>
          <w:sz w:val="18"/>
          <w:szCs w:val="18"/>
        </w:rPr>
        <w:lastRenderedPageBreak/>
        <w:t xml:space="preserve">Supplementary </w:t>
      </w:r>
      <w:r w:rsidR="00B46003" w:rsidRPr="006A1E5F">
        <w:rPr>
          <w:rFonts w:ascii="Palatino Linotype" w:hAnsi="Palatino Linotype"/>
          <w:sz w:val="18"/>
          <w:szCs w:val="18"/>
        </w:rPr>
        <w:t xml:space="preserve">Table </w:t>
      </w:r>
      <w:r>
        <w:rPr>
          <w:rFonts w:ascii="Palatino Linotype" w:hAnsi="Palatino Linotype"/>
          <w:sz w:val="18"/>
          <w:szCs w:val="18"/>
        </w:rPr>
        <w:t>2</w:t>
      </w:r>
      <w:r w:rsidR="00B46003" w:rsidRPr="006A1E5F">
        <w:rPr>
          <w:rFonts w:ascii="Palatino Linotype" w:hAnsi="Palatino Linotype"/>
          <w:sz w:val="18"/>
          <w:szCs w:val="18"/>
        </w:rPr>
        <w:t xml:space="preserve">. Pharmacogenomic studies focusing on the association between genetic variations of genes </w:t>
      </w:r>
      <w:r w:rsidR="008F1858" w:rsidRPr="006A1E5F">
        <w:rPr>
          <w:rFonts w:ascii="Palatino Linotype" w:hAnsi="Palatino Linotype"/>
          <w:sz w:val="18"/>
          <w:szCs w:val="18"/>
        </w:rPr>
        <w:t xml:space="preserve">involved in the pharmacokinetics </w:t>
      </w:r>
      <w:r w:rsidR="00B46003" w:rsidRPr="006A1E5F">
        <w:rPr>
          <w:rFonts w:ascii="Palatino Linotype" w:hAnsi="Palatino Linotype"/>
          <w:sz w:val="18"/>
          <w:szCs w:val="18"/>
        </w:rPr>
        <w:t xml:space="preserve">and drug-induced tardive </w:t>
      </w:r>
      <w:r w:rsidR="004E2CB8">
        <w:rPr>
          <w:rFonts w:ascii="Palatino Linotype" w:hAnsi="Palatino Linotype"/>
          <w:sz w:val="18"/>
          <w:szCs w:val="18"/>
        </w:rPr>
        <w:t>dyskinesia</w:t>
      </w:r>
      <w:r w:rsidR="00B46003" w:rsidRPr="006A1E5F">
        <w:rPr>
          <w:rFonts w:ascii="Palatino Linotype" w:hAnsi="Palatino Linotype"/>
          <w:sz w:val="18"/>
          <w:szCs w:val="18"/>
        </w:rPr>
        <w:t>.</w:t>
      </w:r>
    </w:p>
    <w:tbl>
      <w:tblPr>
        <w:tblStyle w:val="TableGrid"/>
        <w:tblW w:w="15678" w:type="dxa"/>
        <w:tblInd w:w="-545" w:type="dxa"/>
        <w:tblLayout w:type="fixed"/>
        <w:tblLook w:val="04A0" w:firstRow="1" w:lastRow="0" w:firstColumn="1" w:lastColumn="0" w:noHBand="0" w:noVBand="1"/>
      </w:tblPr>
      <w:tblGrid>
        <w:gridCol w:w="1056"/>
        <w:gridCol w:w="1272"/>
        <w:gridCol w:w="1206"/>
        <w:gridCol w:w="924"/>
        <w:gridCol w:w="1236"/>
        <w:gridCol w:w="1710"/>
        <w:gridCol w:w="1080"/>
        <w:gridCol w:w="1170"/>
        <w:gridCol w:w="1260"/>
        <w:gridCol w:w="2382"/>
        <w:gridCol w:w="2382"/>
      </w:tblGrid>
      <w:tr w:rsidR="000C64BA" w:rsidRPr="006A1E5F" w14:paraId="6888AA7A" w14:textId="4B5984A6" w:rsidTr="000C64BA">
        <w:tc>
          <w:tcPr>
            <w:tcW w:w="1056" w:type="dxa"/>
          </w:tcPr>
          <w:p w14:paraId="7760C9BF" w14:textId="33643902" w:rsidR="000C64BA" w:rsidRPr="000F3F98" w:rsidRDefault="000C64BA" w:rsidP="000C64BA">
            <w:pPr>
              <w:rPr>
                <w:rFonts w:ascii="Palatino Linotype" w:hAnsi="Palatino Linotype" w:cstheme="minorHAnsi"/>
                <w:b/>
                <w:sz w:val="18"/>
                <w:szCs w:val="18"/>
              </w:rPr>
            </w:pPr>
            <w:r w:rsidRPr="000F3F98">
              <w:rPr>
                <w:rFonts w:ascii="Palatino Linotype" w:hAnsi="Palatino Linotype" w:cstheme="minorHAnsi"/>
                <w:b/>
                <w:sz w:val="18"/>
                <w:szCs w:val="18"/>
              </w:rPr>
              <w:t>Genes examined</w:t>
            </w:r>
          </w:p>
        </w:tc>
        <w:tc>
          <w:tcPr>
            <w:tcW w:w="1272" w:type="dxa"/>
          </w:tcPr>
          <w:p w14:paraId="51D79C43" w14:textId="3CBC5EDB"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Genetic variations</w:t>
            </w:r>
            <w:r>
              <w:rPr>
                <w:rFonts w:ascii="Palatino Linotype" w:hAnsi="Palatino Linotype" w:cstheme="minorHAnsi"/>
                <w:b/>
                <w:sz w:val="18"/>
                <w:szCs w:val="18"/>
              </w:rPr>
              <w:t xml:space="preserve"> examined</w:t>
            </w:r>
          </w:p>
        </w:tc>
        <w:tc>
          <w:tcPr>
            <w:tcW w:w="1206" w:type="dxa"/>
          </w:tcPr>
          <w:p w14:paraId="56DEF765" w14:textId="3E3EDF9D"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 xml:space="preserve">Drugs </w:t>
            </w:r>
          </w:p>
        </w:tc>
        <w:tc>
          <w:tcPr>
            <w:tcW w:w="924" w:type="dxa"/>
          </w:tcPr>
          <w:p w14:paraId="7495F207" w14:textId="367F90B3"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Number of subjects</w:t>
            </w:r>
          </w:p>
        </w:tc>
        <w:tc>
          <w:tcPr>
            <w:tcW w:w="1236" w:type="dxa"/>
          </w:tcPr>
          <w:p w14:paraId="3772FD57"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 xml:space="preserve">Ethnicity </w:t>
            </w:r>
          </w:p>
        </w:tc>
        <w:tc>
          <w:tcPr>
            <w:tcW w:w="1710" w:type="dxa"/>
          </w:tcPr>
          <w:p w14:paraId="516DC3C1"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 xml:space="preserve">Diagnosis/clinical characteristic </w:t>
            </w:r>
          </w:p>
        </w:tc>
        <w:tc>
          <w:tcPr>
            <w:tcW w:w="1080" w:type="dxa"/>
          </w:tcPr>
          <w:p w14:paraId="7AFB9216"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Method of clinical diagnosis</w:t>
            </w:r>
          </w:p>
        </w:tc>
        <w:tc>
          <w:tcPr>
            <w:tcW w:w="1170" w:type="dxa"/>
          </w:tcPr>
          <w:p w14:paraId="20204111"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Method of TD assessment</w:t>
            </w:r>
          </w:p>
        </w:tc>
        <w:tc>
          <w:tcPr>
            <w:tcW w:w="1260" w:type="dxa"/>
          </w:tcPr>
          <w:p w14:paraId="22C7DDAB"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 xml:space="preserve">Genotyping method </w:t>
            </w:r>
          </w:p>
        </w:tc>
        <w:tc>
          <w:tcPr>
            <w:tcW w:w="2382" w:type="dxa"/>
          </w:tcPr>
          <w:p w14:paraId="688F9D0B" w14:textId="77777777"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Results</w:t>
            </w:r>
          </w:p>
        </w:tc>
        <w:tc>
          <w:tcPr>
            <w:tcW w:w="2382" w:type="dxa"/>
          </w:tcPr>
          <w:p w14:paraId="4442BF9A" w14:textId="0DA31A6E" w:rsidR="000C64BA" w:rsidRPr="006A1E5F" w:rsidRDefault="000C64BA" w:rsidP="000C64BA">
            <w:pPr>
              <w:rPr>
                <w:rFonts w:ascii="Palatino Linotype" w:hAnsi="Palatino Linotype" w:cstheme="minorHAnsi"/>
                <w:b/>
                <w:sz w:val="18"/>
                <w:szCs w:val="18"/>
              </w:rPr>
            </w:pPr>
            <w:r w:rsidRPr="006A1E5F">
              <w:rPr>
                <w:rFonts w:ascii="Palatino Linotype" w:hAnsi="Palatino Linotype" w:cstheme="minorHAnsi"/>
                <w:b/>
                <w:sz w:val="18"/>
                <w:szCs w:val="18"/>
              </w:rPr>
              <w:t xml:space="preserve">Reference </w:t>
            </w:r>
          </w:p>
        </w:tc>
      </w:tr>
      <w:tr w:rsidR="000C64BA" w:rsidRPr="00A237AB" w14:paraId="4176CD47" w14:textId="4FBD54FB" w:rsidTr="000C64BA">
        <w:tc>
          <w:tcPr>
            <w:tcW w:w="1056" w:type="dxa"/>
          </w:tcPr>
          <w:p w14:paraId="58AFE03E" w14:textId="40F71F7C"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6E3A96A4" w14:textId="09D555C2"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CYP2D6*4, CYP2D6*5</w:t>
            </w:r>
            <w:r w:rsidRPr="006A1E5F">
              <w:rPr>
                <w:rFonts w:ascii="Palatino Linotype" w:hAnsi="Palatino Linotype"/>
                <w:sz w:val="18"/>
                <w:szCs w:val="18"/>
              </w:rPr>
              <w:t xml:space="preserve"> </w:t>
            </w:r>
            <w:r w:rsidRPr="006A1E5F">
              <w:rPr>
                <w:rFonts w:ascii="Palatino Linotype" w:hAnsi="Palatino Linotype" w:cstheme="minorHAnsi"/>
                <w:sz w:val="18"/>
                <w:szCs w:val="18"/>
              </w:rPr>
              <w:t>CYP2D6*6 and CYP2D6*7</w:t>
            </w:r>
          </w:p>
        </w:tc>
        <w:tc>
          <w:tcPr>
            <w:tcW w:w="1206" w:type="dxa"/>
          </w:tcPr>
          <w:p w14:paraId="58B215E6" w14:textId="584796FE"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Neuroleptic treatment</w:t>
            </w:r>
          </w:p>
        </w:tc>
        <w:tc>
          <w:tcPr>
            <w:tcW w:w="924" w:type="dxa"/>
          </w:tcPr>
          <w:p w14:paraId="42FF105D" w14:textId="4D786BDC"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100</w:t>
            </w:r>
          </w:p>
        </w:tc>
        <w:tc>
          <w:tcPr>
            <w:tcW w:w="1236" w:type="dxa"/>
          </w:tcPr>
          <w:p w14:paraId="4E23AAA2" w14:textId="1FCEABBE"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 (</w:t>
            </w:r>
            <w:r w:rsidRPr="006A1E5F">
              <w:rPr>
                <w:rFonts w:ascii="Palatino Linotype" w:hAnsi="Palatino Linotype"/>
                <w:sz w:val="18"/>
                <w:szCs w:val="18"/>
              </w:rPr>
              <w:t>South-west Scotland</w:t>
            </w:r>
            <w:r w:rsidRPr="006A1E5F">
              <w:rPr>
                <w:rFonts w:ascii="Palatino Linotype" w:hAnsi="Palatino Linotype" w:cstheme="minorHAnsi"/>
                <w:sz w:val="18"/>
                <w:szCs w:val="18"/>
              </w:rPr>
              <w:t>)</w:t>
            </w:r>
          </w:p>
        </w:tc>
        <w:tc>
          <w:tcPr>
            <w:tcW w:w="1710" w:type="dxa"/>
          </w:tcPr>
          <w:p w14:paraId="4955E371" w14:textId="569F632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7F0330AD" w14:textId="3BAC964E"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386F59C1" w14:textId="670F09D2"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22D31329" w14:textId="46F8B52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382" w:type="dxa"/>
          </w:tcPr>
          <w:p w14:paraId="1692E1C4" w14:textId="4E4B4ACD"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A non-significant trend of association between PM</w:t>
            </w:r>
            <w:r>
              <w:rPr>
                <w:rFonts w:ascii="Palatino Linotype" w:hAnsi="Palatino Linotype" w:cstheme="minorHAnsi"/>
                <w:sz w:val="18"/>
                <w:szCs w:val="18"/>
              </w:rPr>
              <w:t>s</w:t>
            </w:r>
            <w:r w:rsidRPr="006A1E5F">
              <w:rPr>
                <w:rFonts w:ascii="Palatino Linotype" w:hAnsi="Palatino Linotype" w:cstheme="minorHAnsi"/>
                <w:sz w:val="18"/>
                <w:szCs w:val="18"/>
              </w:rPr>
              <w:t xml:space="preserve"> and TD</w:t>
            </w:r>
            <w:r>
              <w:rPr>
                <w:rFonts w:ascii="Palatino Linotype" w:hAnsi="Palatino Linotype" w:cstheme="minorHAnsi"/>
                <w:sz w:val="18"/>
                <w:szCs w:val="18"/>
              </w:rPr>
              <w:t xml:space="preserve"> severity</w:t>
            </w:r>
          </w:p>
        </w:tc>
        <w:tc>
          <w:tcPr>
            <w:tcW w:w="2382" w:type="dxa"/>
          </w:tcPr>
          <w:p w14:paraId="2D71F973" w14:textId="105CED8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{"citationItems":[{"id":"ITEM-1","itemData":{"ISSN":"0033-3158","PMID":"9201806","abstract":"The use of classic anti-psychotic drugs in the long-term treatment of schizophrenia is associated with risk for extrapyramidal side-effects, such as akathisia, parkinsonism and tardive dyskinesia (TD). Approximately 5-10% of European Caucasians lack the cytochrome P450 enzyme CYP2D6 (so-called poor metabolizers; PM), which normally metabolizes several drugs including many neuroleptics. PM subjects may achieve high or toxic plasma levels upon standard drug therapy. In this study we have examined 100 subjects from the Nithsdale cohort of schizophrenic patients in South-west Scotland receiving long-term neuroleptic medication, which enabled us to perform both a cross-sectional and longitudinal evaluation of extrapyramidal side-effects in relation to the genetically impaired CYP2D6 metabolism. We identified ten (10%) schizophrenic subjects with the PM genotype. In the cross-sectional study, the prevalence of TD, parkinsonism and akathisia was 51%, 38% and 15%, respectively. Patients with TD or parkinsonism were significantly older than patients without these side-effects. In contrast, patients with akathisia were significantly younger than patients without akathisia. There was a non-significant tendency for PM subjects to have more severe ratings for TD and parkinsonism. In the long-term evaluation based on repeated ratings since 1981, there was a non-significant 3-fold higher frequency of PM subjects among schizophrenic patients with longitudinal TD, as compared with the group of patients with fluctuating or no TD. These results indicate that genetically impaired CYP2D6 metabolism may be a contributing factor for the development of persistent TD.","author":[{"dropping-particle":"","family":"Andreassen","given":"O A","non-dropping-particle":"","parse-names":false,"suffix":""},{"dropping-particle":"","family":"MacEwan","given":"T","non-dropping-particle":"","parse-names":false,"suffix":""},{"dropping-particle":"","family":"Gulbrandsen","given":"A K","non-dropping-particle":"","parse-names":false,"suffix":""},{"dropping-particle":"","family":"McCreadie","given":"R G","non-dropping-particle":"","parse-names":false,"suffix":""},{"dropping-particle":"","family":"Steen","given":"V M","non-dropping-particle":"","parse-names":false,"suffix":""}],"container-title":"Psychopharmacology","id":"ITEM-1","issue":"2","issued":{"date-parts":[["1997","5"]]},"page":"174-9","title":"Non-functional CYP2D6 alleles and risk for neuroleptic-induced movement disorders in schizophrenic patients.","type":"article-journal","volume":"131"},"uris":["http://www.mendeley.com/documents/?uuid=4098df6d-2a78-32e2-950f-858e684bbf7b"]}],"mendeley":{"formattedCitation":"(Andreassen et al. 1997)","plainTextFormattedCitation":"(Andreassen et al. 1997)","previouslyFormattedCitation":"(Andreassen et al. 1997)"},"properties":{"noteIndex":0},"schema":"https://github.com/citation-style-language/schema/raw/master/csl-citation.json"}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(Andreassen et al. 1997)</w:t>
            </w:r>
            <w:r w:rsidRPr="006A1E5F">
              <w:rPr>
                <w:rFonts w:ascii="Palatino Linotype" w:hAnsi="Palatino Linotype" w:cstheme="minorHAnsi"/>
                <w:sz w:val="18"/>
                <w:szCs w:val="18"/>
              </w:rPr>
              <w:fldChar w:fldCharType="end"/>
            </w:r>
          </w:p>
        </w:tc>
      </w:tr>
      <w:tr w:rsidR="000C64BA" w:rsidRPr="00A237AB" w14:paraId="248AC0A9" w14:textId="087B8992" w:rsidTr="000C64BA">
        <w:tc>
          <w:tcPr>
            <w:tcW w:w="1056" w:type="dxa"/>
          </w:tcPr>
          <w:p w14:paraId="05ADFD87" w14:textId="374AC6F2"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7EE3EA9F" w14:textId="6C8B9AFF"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CYP2D6*4 and CYP2D6*5</w:t>
            </w:r>
          </w:p>
        </w:tc>
        <w:tc>
          <w:tcPr>
            <w:tcW w:w="1206" w:type="dxa"/>
          </w:tcPr>
          <w:p w14:paraId="08ACDA04" w14:textId="42C60EC4"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6A346F7E" w14:textId="43313EDC"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76</w:t>
            </w:r>
          </w:p>
        </w:tc>
        <w:tc>
          <w:tcPr>
            <w:tcW w:w="1236" w:type="dxa"/>
          </w:tcPr>
          <w:p w14:paraId="78A61CC5" w14:textId="5345469A"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Caucasian </w:t>
            </w:r>
          </w:p>
        </w:tc>
        <w:tc>
          <w:tcPr>
            <w:tcW w:w="1710" w:type="dxa"/>
          </w:tcPr>
          <w:p w14:paraId="17AAB644" w14:textId="23B26321"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0B1F1C8F" w14:textId="0D91B305"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439742DC" w14:textId="298D8BFA"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1CECD282" w14:textId="363FC266"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44547DDF" w14:textId="47118EF5"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065962E2" w14:textId="0D7C19A6"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{"citationItems":[{"id":"ITEM-1","itemData":{"ISSN":"0007-1250","PMID":"9068770","abstract":"BACKGROUND Approximately 5-10% of Caucasians (poor metabolisers) show impaired metabolism of at least 20 therapeutically important drugs, including a number of commonly used antipsychotic agents, because they lack the cytochrome p450 enzyme CYP2D6. The molecular basis of this defect is now well understood and simple genotyping tests using the polymerase chain reaction (PCR) have been developed. METHOD To determine whether poor metabolisers are more susceptible to acute dystonic reactions and chronic movement disorders associated with the administration of antipsychotic drugs, we determined CYP2D6 genotypes in a group of 76 schizophrenics using previously described methods involving PCR and restriction fragment length polymorphism analysis. RESULTS There was no difference in genotype frequencies between the schizophrenics and a normal control population, suggesting that CYP2D6 genotype was not a factor in determining susceptibility to the disease. However, four of the five poor metabolisers compared with 44% of the remaining subjects were suffering from a movement disorder at the time of the study, although because of the small number of poor metabolisers in the group the difference was not statistically significant. Poor metabolisers were not more likely to suffer an acute dystonic reaction. CONCLUSIONS CYP2D6 genotype is not a determinant of susceptibility to acute dystonic reactions but may be a contributory factor in antipsychotic drug-induced movement disorders including tardive dyskinesia.","author":[{"dropping-particle":"","family":"Armstrong","given":"M","non-dropping-particle":"","parse-names":false,"suffix":""},{"dropping-particle":"","family":"Daly","given":"A K","non-dropping-particle":"","parse-names":false,"suffix":""},{"dropping-particle":"","family":"Blennerhassett","given":"R","non-dropping-particle":"","parse-names":false,"suffix":""},{"dropping-particle":"","family":"Ferrier","given":"N","non-dropping-particle":"","parse-names":false,"suffix":""},{"dropping-particle":"","family":"Idle","given":"J R","non-dropping-particle":"","parse-names":false,"suffix":""}],"container-title":"The British journal of psychiatry : the journal of mental science","id":"ITEM-1","issued":{"date-parts":[["1997","1"]]},"page":"23-6","title":"Antipsychotic drug-induced movement disorders in schizophrenics in relation to CYP2D6 genotype.","type":"article-journal","volume":"170"},"uris":["http://www.mendeley.com/documents/?uuid=aae29eb2-9272-30dd-b9d5-4849d7d5ab6b"]}],"mendeley":{"formattedCitation":"(Armstrong et al. 1997)","plainTextFormattedCitation":"(Armstrong et al. 1997)","previouslyFormattedCitation":"(Armstrong et al. 1997)"},"properties":{"noteIndex":0},"schema":"https://github.com/citation-style-language/schema/raw/master/csl-citation.json"}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(Armstrong et al. 1997)</w:t>
            </w:r>
            <w:r w:rsidRPr="006A1E5F">
              <w:rPr>
                <w:rFonts w:ascii="Palatino Linotype" w:hAnsi="Palatino Linotype" w:cstheme="minorHAnsi"/>
                <w:sz w:val="18"/>
                <w:szCs w:val="18"/>
              </w:rPr>
              <w:fldChar w:fldCharType="end"/>
            </w:r>
          </w:p>
        </w:tc>
      </w:tr>
      <w:tr w:rsidR="000C64BA" w:rsidRPr="00A237AB" w14:paraId="741F8A1D" w14:textId="2E333E76" w:rsidTr="000C64BA">
        <w:tc>
          <w:tcPr>
            <w:tcW w:w="1056" w:type="dxa"/>
          </w:tcPr>
          <w:p w14:paraId="7A0DD541" w14:textId="1BBA593D"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7FBB11D9" w14:textId="3BB846C3"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CYP2D6*4 and CYP2D6*5</w:t>
            </w:r>
          </w:p>
        </w:tc>
        <w:tc>
          <w:tcPr>
            <w:tcW w:w="1206" w:type="dxa"/>
          </w:tcPr>
          <w:p w14:paraId="46A8C01F" w14:textId="277F72E5" w:rsidR="000C64BA" w:rsidRDefault="000C64BA" w:rsidP="000C64BA">
            <w:pPr>
              <w:rPr>
                <w:rFonts w:ascii="Palatino Linotype" w:hAnsi="Palatino Linotype" w:cstheme="minorHAnsi"/>
                <w:sz w:val="18"/>
                <w:szCs w:val="18"/>
              </w:rPr>
            </w:pPr>
            <w:r w:rsidRPr="006A1E5F">
              <w:rPr>
                <w:rFonts w:ascii="Palatino Linotype" w:hAnsi="Palatino Linotype"/>
                <w:sz w:val="18"/>
                <w:szCs w:val="18"/>
              </w:rPr>
              <w:t xml:space="preserve">Debrisoquine </w:t>
            </w:r>
          </w:p>
        </w:tc>
        <w:tc>
          <w:tcPr>
            <w:tcW w:w="924" w:type="dxa"/>
          </w:tcPr>
          <w:p w14:paraId="52DF3CB4" w14:textId="5F677CA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16</w:t>
            </w:r>
          </w:p>
        </w:tc>
        <w:tc>
          <w:tcPr>
            <w:tcW w:w="1236" w:type="dxa"/>
          </w:tcPr>
          <w:p w14:paraId="59289E41" w14:textId="2026EF9C"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Caucasian </w:t>
            </w:r>
          </w:p>
        </w:tc>
        <w:tc>
          <w:tcPr>
            <w:tcW w:w="1710" w:type="dxa"/>
          </w:tcPr>
          <w:p w14:paraId="064C0DCA" w14:textId="10C309B1"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2EB9C09F" w14:textId="255792DC"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271F5D1E" w14:textId="2BA9C74F"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79441B11" w14:textId="2B4FDCD2"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44CF4CD8" w14:textId="31D723D4"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 xml:space="preserve">No statistically significant genotypic or allele frequencies </w:t>
            </w:r>
          </w:p>
        </w:tc>
        <w:tc>
          <w:tcPr>
            <w:tcW w:w="2382" w:type="dxa"/>
          </w:tcPr>
          <w:p w14:paraId="7EEFFDD8" w14:textId="211FEFD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{"citationItems":[{"id":"ITEM-1","itemData":{"ISSN":"0271-0749","PMID":"7635999","abstract":"The metabolism of many neuroleptics cosegregates catalyzed by the polymorphic cytochrome P450 CYP2D6. The population can be phenotyped into extensive metabolizers (EM) and poor metabolizers (PM) with respect to this enzyme's activity. PM are likely to achieve higher than average concentrations of neuroleptic drugs in plasma, with an increased risk of extrapyramidal side effects, possibly including tardive dyskinesia. Sixteen white schizophrenic patients who had developed tardive dyskinesia during long-term neuroleptic treatment were phenotyped with debrisoquine and genotyped by CYP2D6-specific DNA amplification and EcoRI restriction fragment length polymorphism analysis. Only 1 (6%) of the 16 patients had a PM genotype, 8 (50%) were homozygous, and 7 (44%) were heterozygous EM. None had a CYP2D6 genotype indicative of ultrarapid debrisoquine hydroxylation capacity. The patients were also phenotyped with mephenytoin, a probe drug for another polymorphic cytochrome P450, CYP2C19. One patient was a PM of S-mephenytoin, which corresponds to the frequency found in healthy white volunteers. In conclusion, there was no overrepresentation of PM of debrisoquine or of S-mephenytoin among the 16 patients with neuroleptic-induced tardive dyskinesia. However, the PM of debrisoquine had the highest score on the Simpson-Angus Rating Scale and the second highest on the Abnormal Involuntary Movement Scale, despite a very low neuroleptic dose. Also, the debrisoquine MR correlated significantly with the SARS score (rs = 0.685, p &lt; 0.05, N = 10), indicating a relationship between the degree of impaired CYP2D5 activity and the severity of extrapyramidal side effects during neuroleptic treatment.","author":[{"dropping-particle":"","family":"Arthur","given":"H","non-dropping-particle":"","parse-names":false,"suffix":""},{"dropping-particle":"","family":"Dahl","given":"M L","non-dropping-particle":"","parse-names":false,"suffix":""},{"dropping-particle":"","family":"Siwers","given":"B","non-dropping-particle":"","parse-names":false,"suffix":""},{"dropping-particle":"","family":"Sjöqvist","given":"F","non-dropping-particle":"","parse-names":false,"suffix":""}],"container-title":"Journal of clinical psychopharmacology","id":"ITEM-1","issue":"3","issued":{"date-parts":[["1995","6"]]},"page":"211-6","title":"Polymorphic drug metabolism in schizophrenic patients with tardive dyskinesia.","type":"article-journal","volume":"15"},"uris":["http://www.mendeley.com/documents/?uuid=54f054dd-b466-34e5-83c9-0b1c41290766"]}],"mendeley":{"formattedCitation":"(Arthur et al. 1995)","plainTextFormattedCitation":"(Arthur et al. 1995)","previouslyFormattedCitation":"(Arthur et al. 1995)"},"properties":{"noteIndex":0},"schema":"https://github.com/citation-style-language/schema/raw/master/csl-citation.json"}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(Arthur et al. 1995)</w:t>
            </w:r>
            <w:r w:rsidRPr="006A1E5F">
              <w:rPr>
                <w:rFonts w:ascii="Palatino Linotype" w:hAnsi="Palatino Linotype" w:cstheme="minorHAnsi"/>
                <w:sz w:val="18"/>
                <w:szCs w:val="18"/>
              </w:rPr>
              <w:fldChar w:fldCharType="end"/>
            </w:r>
          </w:p>
        </w:tc>
      </w:tr>
      <w:tr w:rsidR="000C64BA" w:rsidRPr="00A237AB" w14:paraId="6AF6D2DB" w14:textId="57EA4486" w:rsidTr="000C64BA">
        <w:tc>
          <w:tcPr>
            <w:tcW w:w="1056" w:type="dxa"/>
          </w:tcPr>
          <w:p w14:paraId="19BEFECC" w14:textId="739551C2"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CYP1A2</w:t>
            </w:r>
          </w:p>
        </w:tc>
        <w:tc>
          <w:tcPr>
            <w:tcW w:w="1272" w:type="dxa"/>
          </w:tcPr>
          <w:p w14:paraId="4F41904E" w14:textId="77D4D132"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734C/A</w:t>
            </w:r>
          </w:p>
        </w:tc>
        <w:tc>
          <w:tcPr>
            <w:tcW w:w="1206" w:type="dxa"/>
          </w:tcPr>
          <w:p w14:paraId="2149E305" w14:textId="3A6A50B1"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2A96F2C3" w14:textId="1BA674F0"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85 </w:t>
            </w:r>
          </w:p>
        </w:tc>
        <w:tc>
          <w:tcPr>
            <w:tcW w:w="1236" w:type="dxa"/>
          </w:tcPr>
          <w:p w14:paraId="7BEBE24D" w14:textId="5BE0DE79"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710" w:type="dxa"/>
          </w:tcPr>
          <w:p w14:paraId="23559E68" w14:textId="5CC3A624"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26AACE21" w14:textId="58C99947"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01B2935F" w14:textId="490A2FB4"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3ACC4CA6" w14:textId="26D4F059"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382" w:type="dxa"/>
          </w:tcPr>
          <w:p w14:paraId="4AA54B6E" w14:textId="521545A5"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 xml:space="preserve">Association between </w:t>
            </w:r>
            <w:r w:rsidRPr="006A1E5F">
              <w:rPr>
                <w:rFonts w:ascii="Palatino Linotype" w:hAnsi="Palatino Linotype" w:cstheme="minorHAnsi"/>
                <w:sz w:val="18"/>
                <w:szCs w:val="18"/>
              </w:rPr>
              <w:t xml:space="preserve">CC genotype </w:t>
            </w:r>
            <w:r>
              <w:rPr>
                <w:rFonts w:ascii="Palatino Linotype" w:hAnsi="Palatino Linotype" w:cstheme="minorHAnsi"/>
                <w:sz w:val="18"/>
                <w:szCs w:val="18"/>
              </w:rPr>
              <w:t>and</w:t>
            </w:r>
            <w:r w:rsidRPr="006A1E5F">
              <w:rPr>
                <w:rFonts w:ascii="Palatino Linotype" w:hAnsi="Palatino Linotype" w:cstheme="minorHAnsi"/>
                <w:sz w:val="18"/>
                <w:szCs w:val="18"/>
              </w:rPr>
              <w:t xml:space="preserve"> AIMS score </w:t>
            </w:r>
          </w:p>
        </w:tc>
        <w:tc>
          <w:tcPr>
            <w:tcW w:w="2382" w:type="dxa"/>
          </w:tcPr>
          <w:p w14:paraId="5153A8A9" w14:textId="6C8C9A37"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{"citationItems":[{"id":"ITEM-1","itemData":{"ISSN":"1359-4184","PMID":"10889552","abstract":"Tardive dyskinesia (TD) is a common and potentially irreversible side effect associated with long-term treatment with typical antipsychotics. Approximately, 80% or more of patients with schizophrenia are smokers. Smoking is a potent inducer of the CYP1A2 enzyme, and is known to cause a significant decrease in plasma concentrations of some antipsychotics. Therefore, person-to-person differences in the extent of CYP1A2 induction by smoking may contribute to risk for the development of TD. Recently, a (C--&gt;A) genetic polymorphism in the first intron of the CYP1A2 gene was found to be associated with variation in CYP1A2 inducibility in healthy volunteer smokers. The aim of this study was to test the clinical importance of the (C--&gt;A) polymorphism in CYP1A2 in relation to TD severity. A total of 85 patients with schizophrenia were assessed for TD severity using the Abnormal Involuntary Movement Scale (AIMS), and were subsequently genotyped for the (C--&gt;A) polymorphism in CYP1A2. The mean AIMS score in patients with the (C/C) genotype (associated with reduced CYP1A2 inducibility) was 2.7- and 3.4-fold greater than in those with the (A/C) or (A/A) genotype, respectively (F[2,82] = 7.4, P = 0.0007). Further, a subanalysis in the 44 known smokers in our sample, revealed a more pronounced effect. The means AIMS score in smokers was 5.4- and 4. 7-fold greater in (C/C) homozygotes when compared to heterozygotes and (A/A) homozygotes, respectively (F[2,41] = 3.7, P = 0.008). These data suggest that the (C--&gt;A) genetic polymorphism in the CYP1A2 gene may serve as a genetic risk factor for the development of TD in patients with schizophrenia. Further studies in independent samples are warranted to evaluate the applicability of our findings to the general patient population receiving antipsychotic medications.","author":[{"dropping-particle":"","family":"Basile","given":"V S","non-dropping-particle":"","parse-names":false,"suffix":""},{"dropping-particle":"","family":"Ozdemir","given":"V","non-dropping-particle":"","parse-names":false,"suffix":""},{"dropping-particle":"","family":"Masellis","given":"M","non-dropping-particle":"","parse-names":false,"suffix":""},{"dropping-particle":"","family":"Walker","given":"M L","non-dropping-particle":"","parse-names":false,"suffix":""},{"dropping-particle":"","family":"Meltzer","given":"H Y","non-dropping-particle":"","parse-names":false,"suffix":""},{"dropping-particle":"","family":"Lieberman","given":"J A","non-dropping-particle":"","parse-names":false,"suffix":""},{"dropping-particle":"","family":"Potkin","given":"S G","non-dropping-particle":"","parse-names":false,"suffix":""},{"dropping-particle":"","family":"Alva","given":"G","non-dropping-particle":"","parse-names":false,"suffix":""},{"dropping-particle":"","family":"Kalow","given":"W","non-dropping-particle":"","parse-names":false,"suffix":""},{"dropping-particle":"","family":"Macciardi","given":"F M","non-dropping-particle":"","parse-names":false,"suffix":""},{"dropping-particle":"","family":"Kennedy","given":"J L","non-dropping-particle":"","parse-names":false,"suffix":""}],"container-title":"Molecular psychiatry","id":"ITEM-1","issue":"4","issued":{"date-parts":[["2000","7"]]},"page":"410-7","title":"A functional polymorphism of the cytochrome P450 1A2 (CYP1A2) gene: association with tardive dyskinesia in schizophrenia.","type":"article-journal","volume":"5"},"uris":["http://www.mendeley.com/documents/?uuid=23f615a9-4dcd-3112-b853-e2ebb3d5d303"]}],"mendeley":{"formattedCitation":"(Basile et al. 2000)","plainTextFormattedCitation":"(Basile et al. 2000)","previouslyFormattedCitation":"(Basile et al. 2000)"},"properties":{"noteIndex":0},"schema":"https://github.com/citation-style-language/schema/raw/master/csl-citation.json"}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(Basile et al. 2000)</w:t>
            </w:r>
            <w:r w:rsidRPr="006A1E5F">
              <w:rPr>
                <w:rFonts w:ascii="Palatino Linotype" w:hAnsi="Palatino Linotype" w:cstheme="minorHAnsi"/>
                <w:sz w:val="18"/>
                <w:szCs w:val="18"/>
              </w:rPr>
              <w:fldChar w:fldCharType="end"/>
            </w:r>
          </w:p>
        </w:tc>
      </w:tr>
      <w:tr w:rsidR="000C64BA" w:rsidRPr="00A237AB" w14:paraId="5A406BCB" w14:textId="117A4F63" w:rsidTr="000C64BA">
        <w:tc>
          <w:tcPr>
            <w:tcW w:w="1056" w:type="dxa"/>
          </w:tcPr>
          <w:p w14:paraId="5F75F78E" w14:textId="23281357"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4BA6DF7F" w14:textId="4CE61D3B"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to CYP2D6*15and CYP2D6*17</w:t>
            </w:r>
          </w:p>
        </w:tc>
        <w:tc>
          <w:tcPr>
            <w:tcW w:w="1206" w:type="dxa"/>
          </w:tcPr>
          <w:p w14:paraId="5BD8EDF7" w14:textId="32FC4D3B"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Antipsychotics</w:t>
            </w:r>
          </w:p>
        </w:tc>
        <w:tc>
          <w:tcPr>
            <w:tcW w:w="924" w:type="dxa"/>
          </w:tcPr>
          <w:p w14:paraId="2C2E0CF9" w14:textId="142BA063"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172</w:t>
            </w:r>
          </w:p>
        </w:tc>
        <w:tc>
          <w:tcPr>
            <w:tcW w:w="1236" w:type="dxa"/>
          </w:tcPr>
          <w:p w14:paraId="7DB48A0A" w14:textId="68B4A22C"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 (German)</w:t>
            </w:r>
          </w:p>
        </w:tc>
        <w:tc>
          <w:tcPr>
            <w:tcW w:w="1710" w:type="dxa"/>
          </w:tcPr>
          <w:p w14:paraId="74BE5244"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or schizoaffective psychosis </w:t>
            </w:r>
          </w:p>
          <w:p w14:paraId="12209CD1" w14:textId="77777777" w:rsidR="000C64BA" w:rsidRPr="00B55266" w:rsidRDefault="000C64BA" w:rsidP="000C64BA">
            <w:pPr>
              <w:rPr>
                <w:rFonts w:ascii="Palatino Linotype" w:hAnsi="Palatino Linotype" w:cstheme="minorHAnsi"/>
                <w:sz w:val="18"/>
                <w:szCs w:val="18"/>
              </w:rPr>
            </w:pPr>
          </w:p>
        </w:tc>
        <w:tc>
          <w:tcPr>
            <w:tcW w:w="1080" w:type="dxa"/>
          </w:tcPr>
          <w:p w14:paraId="082CC915" w14:textId="4466E434"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ICD-10</w:t>
            </w:r>
          </w:p>
        </w:tc>
        <w:tc>
          <w:tcPr>
            <w:tcW w:w="1170" w:type="dxa"/>
          </w:tcPr>
          <w:p w14:paraId="392AE539" w14:textId="3A4D6F24"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3DA89732" w14:textId="47AD8029"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07BD2AB1" w14:textId="661A74B1"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1C444356" w14:textId="1143DBA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{"citationItems":[{"id":"ITEM-1","itemData":{"DOI":"10.1067/mcp.2002.127494","ISSN":"0009-9236","PMID":"12386646","abstract":"OBJECTIVES The genetically polymorphic enzyme cytochrome P450 (CYP) 2D6 contributes to the biotransformation of the antipsychotic drug haloperidol. The impact of the polymorphism on haloperidol pharmacokinetics, adverse events, and efficacy was prospectively evaluated under naturalistic conditions in 172 unselected psychiatric inpatients with acute psychotic symptoms. METHODS Serum trough levels of haloperidol and reduced haloperidol of patients receiving clinically adjusted doses were analyzed on days 3, 14, and 28 after hospital admission. Adverse events such as extrapyramidal symptoms were assessed by standardized rating scales. Efficacy was documented by recording the change in positive and negative schizophrenic symptoms. These parameters were correlated with the CYP2D6 genotype determined by polymerase chain reaction analysis for alleles *1 to *15 and *17. RESULTS The serum concentrations showed wide interindividual variation. Reduced haloperidol trough levels and haloperidol total clearance correlated significantly with the number of active CYP2D6 genes. In addition, body weight and smoking had significant effects on haloperidol kinetics, whereas age, gender, and comedication showed only slight effects. The ratings for pseudoparkinsonism were significantly higher in poor metabolizers of substrates of CYP2D6. On the other hand, there was a trend toward lower therapeutic efficacy with increasing number of active CYP2D6 genes. CONCLUSIONS Treatment with haloperidol should be avoided in extremely slow and extremely rapid metabolizers of CYP2D6 substrates. Both genotyping and blood concentration measurement explained only a fraction of the adverse events; about 20 patients would have to be genotyped to achieve a significant benefit in 1 patient. It is interesting that genotyping was at least as good a predictor of adverse events as the measured drug concentrations.","author":[{"dropping-particle":"","family":"Brockmöller","given":"Jürgen","non-dropping-particle":"","parse-names":false,"suffix":""},{"dropping-particle":"","family":"Kirchheiner","given":"Julia","non-dropping-particle":"","parse-names":false,"suffix":""},{"dropping-particle":"","family":"Schmider","given":"Jürgen","non-dropping-particle":"","parse-names":false,"suffix":""},{"dropping-particle":"","family":"Walter","given":"Silke","non-dropping-particle":"","parse-names":false,"suffix":""},{"dropping-particle":"","family":"Sachse","given":"Christoph","non-dropping-particle":"","parse-names":false,"suffix":""},{"dropping-particle":"","family":"Müller-Oerlinghausen","given":"Bruno","non-dropping-particle":"","parse-names":false,"suffix":""},{"dropping-particle":"","family":"Roots","given":"Ivar","non-dropping-particle":"","parse-names":false,"suffix":""}],"container-title":"Clinical pharmacology and therapeutics","id":"ITEM-1","issue":"4","issued":{"date-parts":[["2002","10"]]},"page":"438-52","title":"The impact of the CYP2D6 polymorphism on haloperidol pharmacokinetics and on the outcome of haloperidol treatment.","type":"article-journal","volume":"72"},"uris":["http://www.mendeley.com/documents/?uuid=771db1f1-a70a-360e-b29f-ff2b8504b877"]}],"mendeley":{"formattedCitation":"(Brockmöller et al. 2002)","plainTextFormattedCitation":"(Brockmöller et al. 2002)","previouslyFormattedCitation":"(Brockmöller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(Brockmöller et al. 2002)</w:t>
            </w:r>
            <w:r w:rsidRPr="006A1E5F">
              <w:rPr>
                <w:rFonts w:ascii="Palatino Linotype" w:hAnsi="Palatino Linotype" w:cstheme="minorHAnsi"/>
                <w:sz w:val="18"/>
                <w:szCs w:val="18"/>
              </w:rPr>
              <w:fldChar w:fldCharType="end"/>
            </w:r>
          </w:p>
        </w:tc>
      </w:tr>
      <w:tr w:rsidR="000C64BA" w:rsidRPr="00A237AB" w14:paraId="501C6621" w14:textId="01D800D4" w:rsidTr="000C64BA">
        <w:tc>
          <w:tcPr>
            <w:tcW w:w="1056" w:type="dxa"/>
          </w:tcPr>
          <w:p w14:paraId="61C7BD54" w14:textId="268A820C" w:rsidR="000C64BA" w:rsidRPr="000F3F98" w:rsidRDefault="000C64BA" w:rsidP="000C64BA">
            <w:pPr>
              <w:rPr>
                <w:rFonts w:ascii="Palatino Linotype" w:hAnsi="Palatino Linotype" w:cstheme="minorHAnsi"/>
                <w:i/>
                <w:iCs/>
                <w:sz w:val="18"/>
                <w:szCs w:val="18"/>
              </w:rPr>
            </w:pPr>
            <w:r w:rsidRPr="000F3F98">
              <w:rPr>
                <w:rFonts w:ascii="Palatino Linotype" w:hAnsi="Palatino Linotype"/>
                <w:i/>
                <w:iCs/>
                <w:sz w:val="18"/>
                <w:szCs w:val="18"/>
              </w:rPr>
              <w:t>CYP1A2</w:t>
            </w:r>
          </w:p>
        </w:tc>
        <w:tc>
          <w:tcPr>
            <w:tcW w:w="1272" w:type="dxa"/>
          </w:tcPr>
          <w:p w14:paraId="46B72A37" w14:textId="0BF971D2"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734C/A</w:t>
            </w:r>
          </w:p>
        </w:tc>
        <w:tc>
          <w:tcPr>
            <w:tcW w:w="1206" w:type="dxa"/>
          </w:tcPr>
          <w:p w14:paraId="7BDB4CA1" w14:textId="7B904D71"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2717B5B9" w14:textId="69F7E52E" w:rsidR="000C64BA" w:rsidRPr="006A1E5F" w:rsidRDefault="000C64BA" w:rsidP="000C64BA">
            <w:pPr>
              <w:rPr>
                <w:rFonts w:ascii="Palatino Linotype" w:hAnsi="Palatino Linotype" w:cstheme="minorHAnsi"/>
                <w:sz w:val="18"/>
                <w:szCs w:val="18"/>
              </w:rPr>
            </w:pPr>
            <w:r w:rsidRPr="006A1E5F">
              <w:rPr>
                <w:rFonts w:ascii="Palatino Linotype" w:hAnsi="Palatino Linotype"/>
                <w:sz w:val="18"/>
                <w:szCs w:val="18"/>
              </w:rPr>
              <w:t>103</w:t>
            </w:r>
          </w:p>
        </w:tc>
        <w:tc>
          <w:tcPr>
            <w:tcW w:w="1236" w:type="dxa"/>
          </w:tcPr>
          <w:p w14:paraId="53A35026" w14:textId="661FFCB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Chinese </w:t>
            </w:r>
          </w:p>
        </w:tc>
        <w:tc>
          <w:tcPr>
            <w:tcW w:w="1710" w:type="dxa"/>
          </w:tcPr>
          <w:p w14:paraId="3B46A8C2" w14:textId="742FAF21"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20C4E3FC" w14:textId="645E8856"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19A1351E"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 &amp; Schooler</w:t>
            </w:r>
          </w:p>
          <w:p w14:paraId="587F8CA0"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and</w:t>
            </w:r>
          </w:p>
          <w:p w14:paraId="3042AFF7"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Kane</w:t>
            </w:r>
          </w:p>
          <w:p w14:paraId="3C6AF54B" w14:textId="09656868"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criteria</w:t>
            </w:r>
          </w:p>
        </w:tc>
        <w:tc>
          <w:tcPr>
            <w:tcW w:w="1260" w:type="dxa"/>
          </w:tcPr>
          <w:p w14:paraId="6E51014E" w14:textId="126310CF" w:rsidR="000C64BA" w:rsidRPr="006A1E5F" w:rsidRDefault="000C64BA" w:rsidP="000C64BA">
            <w:pPr>
              <w:rPr>
                <w:rStyle w:val="current-selection"/>
                <w:rFonts w:ascii="Palatino Linotype" w:hAnsi="Palatino Linotype"/>
                <w:sz w:val="18"/>
                <w:szCs w:val="18"/>
              </w:rPr>
            </w:pPr>
            <w:r w:rsidRPr="006A1E5F">
              <w:rPr>
                <w:rFonts w:ascii="Palatino Linotype" w:hAnsi="Palatino Linotype" w:cstheme="minorHAnsi"/>
                <w:sz w:val="18"/>
                <w:szCs w:val="18"/>
              </w:rPr>
              <w:t>NA</w:t>
            </w:r>
          </w:p>
        </w:tc>
        <w:tc>
          <w:tcPr>
            <w:tcW w:w="2382" w:type="dxa"/>
          </w:tcPr>
          <w:p w14:paraId="34ABFCFB" w14:textId="7D88A36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56A47C89" w14:textId="2DDC1C1D"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{"citationItems":[{"id":"ITEM-1","itemData":{"ISSN":"1180-4882","PMID":"12790158","abstract":"OBJECTIVE To establish if there is an association between cigarette smoking and tardive dyskinesia (TD) in patients with schizophrenia and to evaluate the role of the CYP1A2 polymorphism in TD in patients of Chinese descent. METHOD Two-hundred and ninety-one patients diagnosed with schizophrenia according to DSM-IV criteria were included in the study. Dyskinesia was assessed by the Abnormal Involuntary Movement Scale and TD by the criteria of Schooler and Kane. Demographic and clinical data and information on smoking habits were collected, and patients of Chinese descent with a well established smoking history were subsequently genotyped for CYP1A2. RESULTS Forty-three (41.3%) of the 104 patients with a history of smoking and 52 (27.8%) of the 187 non-smokers were diagnosed with TD. The prevalence of TD was significantly higher among smokers than non-smokers (chi2 = 5.57, p = 0.018). Logistic regression using TD as the dependent variable revealed smokers to be at a significantly higher risk for TD (p &lt; 0.005). Genotyping of smokers of Chinese descent for CYP1A2 polymorphism revealed no significant differences in the genotypic or allelic distribution between those with and without TD. CONCLUSIONS Consistent with other studies, the prevalence of TD was significantly higher among smokers than non-smokers; however, we did not find an association between the C --&gt; A genetic polymorphism of CYP1A2 and TD.","author":[{"dropping-particle":"","family":"Chong","given":"Siow-Ann","non-dropping-particle":"","parse-names":false,"suffix":""},{"dropping-particle":"","family":"Tan","given":"Ene-Choo","non-dropping-particle":"","parse-names":false,"suffix":""},{"dropping-particle":"","family":"Tan","given":"Chay Hoon","non-dropping-particle":"","parse-names":false,"suffix":""},{"dropping-particle":"","family":"Mythily","given":"","non-dropping-particle":"","parse-names":false,"suffix":""}],"container-title":"Journal of psychiatry &amp; neuroscience : JPN","id":"ITEM-1","issue":"3","issued":{"date-parts":[["2003","5"]]},"page":"185-9","title":"Smoking and tardive dyskinesia: lack of involvement of the CYP1A2 gene.","type":"article-journal","volume":"28"},"uris":["http://www.mendeley.com/documents/?uuid=d0899b61-7d3f-311f-812b-306469145f91"]}],"mendeley":{"formattedCitation":"(Chong et al. 2003b)","plainTextFormattedCitation":"(Chong et al. 2003b)","previouslyFormattedCitation":"(Chong et al. 2003b)"},"properties":{"noteIndex":0},"schema":"https://github.com/citation-style-language/schema/raw/master/csl-citation.json"}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(Chong et al. 2003b)</w:t>
            </w:r>
            <w:r w:rsidRPr="006A1E5F">
              <w:rPr>
                <w:rFonts w:ascii="Palatino Linotype" w:hAnsi="Palatino Linotype" w:cstheme="minorHAnsi"/>
                <w:sz w:val="18"/>
                <w:szCs w:val="18"/>
              </w:rPr>
              <w:fldChar w:fldCharType="end"/>
            </w:r>
          </w:p>
        </w:tc>
      </w:tr>
      <w:tr w:rsidR="000C64BA" w:rsidRPr="00A237AB" w14:paraId="37E1C1F2" w14:textId="7F4A8476" w:rsidTr="000C64BA">
        <w:tc>
          <w:tcPr>
            <w:tcW w:w="1056" w:type="dxa"/>
          </w:tcPr>
          <w:p w14:paraId="139FB4AE" w14:textId="7C1BB244" w:rsidR="000C64BA" w:rsidRPr="000F3F98" w:rsidRDefault="000C64BA" w:rsidP="000C64BA">
            <w:pPr>
              <w:rPr>
                <w:rFonts w:ascii="Palatino Linotype" w:hAnsi="Palatino Linotype" w:cstheme="minorHAnsi"/>
                <w:i/>
                <w:iCs/>
                <w:sz w:val="18"/>
                <w:szCs w:val="18"/>
              </w:rPr>
            </w:pPr>
            <w:r w:rsidRPr="000F3F98">
              <w:rPr>
                <w:rFonts w:ascii="Palatino Linotype" w:hAnsi="Palatino Linotype"/>
                <w:i/>
                <w:iCs/>
                <w:sz w:val="18"/>
                <w:szCs w:val="18"/>
              </w:rPr>
              <w:lastRenderedPageBreak/>
              <w:t>CYP2D6</w:t>
            </w:r>
            <w:r w:rsidR="001C785B">
              <w:rPr>
                <w:rFonts w:ascii="Palatino Linotype" w:hAnsi="Palatino Linotype"/>
                <w:i/>
                <w:iCs/>
                <w:sz w:val="18"/>
                <w:szCs w:val="18"/>
              </w:rPr>
              <w:t>, CYP3A5</w:t>
            </w:r>
          </w:p>
        </w:tc>
        <w:tc>
          <w:tcPr>
            <w:tcW w:w="1272" w:type="dxa"/>
          </w:tcPr>
          <w:p w14:paraId="70E33ADE" w14:textId="39705314" w:rsidR="000C64BA" w:rsidRPr="006A1E5F" w:rsidRDefault="000C64BA" w:rsidP="000C64BA">
            <w:pPr>
              <w:rPr>
                <w:rFonts w:ascii="Palatino Linotype" w:hAnsi="Palatino Linotype" w:cstheme="minorHAnsi"/>
                <w:sz w:val="18"/>
                <w:szCs w:val="18"/>
              </w:rPr>
            </w:pPr>
            <w:r w:rsidRPr="00875BDC">
              <w:rPr>
                <w:rFonts w:ascii="Palatino Linotype" w:hAnsi="Palatino Linotype"/>
                <w:sz w:val="18"/>
                <w:szCs w:val="18"/>
              </w:rPr>
              <w:t>CYP2D6</w:t>
            </w:r>
            <w:r>
              <w:rPr>
                <w:rFonts w:ascii="Palatino Linotype" w:hAnsi="Palatino Linotype"/>
                <w:sz w:val="18"/>
                <w:szCs w:val="18"/>
              </w:rPr>
              <w:t xml:space="preserve">*1, </w:t>
            </w:r>
            <w:r w:rsidRPr="00875BDC">
              <w:rPr>
                <w:rFonts w:ascii="Palatino Linotype" w:hAnsi="Palatino Linotype"/>
                <w:sz w:val="18"/>
                <w:szCs w:val="18"/>
              </w:rPr>
              <w:t>*2, *3, *4, *5, *6, *7, *8, *9, *10, *11, *14, *15, *17, *18,</w:t>
            </w:r>
            <w:r>
              <w:rPr>
                <w:rFonts w:ascii="Palatino Linotype" w:hAnsi="Palatino Linotype"/>
                <w:sz w:val="18"/>
                <w:szCs w:val="18"/>
              </w:rPr>
              <w:t xml:space="preserve"> </w:t>
            </w:r>
            <w:r w:rsidRPr="00875BDC">
              <w:rPr>
                <w:rFonts w:ascii="Palatino Linotype" w:hAnsi="Palatino Linotype"/>
                <w:sz w:val="18"/>
                <w:szCs w:val="18"/>
              </w:rPr>
              <w:t>*19, *20, *25, *26, *29, *30, *31, *35, *36, *37, *40, *41,</w:t>
            </w:r>
            <w:r>
              <w:rPr>
                <w:rFonts w:ascii="Palatino Linotype" w:hAnsi="Palatino Linotype"/>
                <w:sz w:val="18"/>
                <w:szCs w:val="18"/>
              </w:rPr>
              <w:t xml:space="preserve"> </w:t>
            </w:r>
            <w:r w:rsidRPr="00875BDC">
              <w:rPr>
                <w:rFonts w:ascii="Palatino Linotype" w:hAnsi="Palatino Linotype"/>
                <w:sz w:val="18"/>
                <w:szCs w:val="18"/>
              </w:rPr>
              <w:t>*43, *45,</w:t>
            </w:r>
            <w:r>
              <w:rPr>
                <w:rFonts w:ascii="Palatino Linotype" w:hAnsi="Palatino Linotype"/>
                <w:sz w:val="18"/>
                <w:szCs w:val="18"/>
              </w:rPr>
              <w:t xml:space="preserve"> CYP2D6 </w:t>
            </w:r>
            <w:r w:rsidRPr="00875BDC">
              <w:rPr>
                <w:rFonts w:ascii="Palatino Linotype" w:hAnsi="Palatino Linotype"/>
                <w:sz w:val="18"/>
                <w:szCs w:val="18"/>
              </w:rPr>
              <w:t>duplicat</w:t>
            </w:r>
            <w:r>
              <w:rPr>
                <w:rFonts w:ascii="Palatino Linotype" w:hAnsi="Palatino Linotype"/>
                <w:sz w:val="18"/>
                <w:szCs w:val="18"/>
              </w:rPr>
              <w:t>ion</w:t>
            </w:r>
            <w:r w:rsidR="00183105">
              <w:rPr>
                <w:rFonts w:ascii="Palatino Linotype" w:hAnsi="Palatino Linotype"/>
                <w:sz w:val="18"/>
                <w:szCs w:val="18"/>
              </w:rPr>
              <w:t xml:space="preserve">s, </w:t>
            </w:r>
            <w:r w:rsidR="001C785B" w:rsidRPr="00834F71">
              <w:rPr>
                <w:rFonts w:ascii="Palatino Linotype" w:hAnsi="Palatino Linotype"/>
                <w:sz w:val="18"/>
                <w:szCs w:val="18"/>
              </w:rPr>
              <w:t>CYP3A5*3</w:t>
            </w:r>
            <w:r w:rsidR="001C785B">
              <w:rPr>
                <w:rFonts w:ascii="Palatino Linotype" w:hAnsi="Palatino Linotype"/>
                <w:sz w:val="18"/>
                <w:szCs w:val="18"/>
              </w:rPr>
              <w:t xml:space="preserve">, </w:t>
            </w:r>
            <w:r w:rsidR="001C785B" w:rsidRPr="00834F71">
              <w:rPr>
                <w:rFonts w:ascii="Palatino Linotype" w:hAnsi="Palatino Linotype"/>
                <w:sz w:val="18"/>
                <w:szCs w:val="18"/>
              </w:rPr>
              <w:t>*6</w:t>
            </w:r>
          </w:p>
        </w:tc>
        <w:tc>
          <w:tcPr>
            <w:tcW w:w="1206" w:type="dxa"/>
          </w:tcPr>
          <w:p w14:paraId="5310C014" w14:textId="77777777" w:rsidR="000C64BA" w:rsidRPr="00AE2DED" w:rsidRDefault="000C64BA" w:rsidP="000C64BA">
            <w:pPr>
              <w:rPr>
                <w:rFonts w:ascii="Palatino Linotype" w:hAnsi="Palatino Linotype"/>
                <w:sz w:val="18"/>
                <w:szCs w:val="18"/>
                <w:lang w:val="it-IT"/>
                <w:rPrChange w:id="50" w:author="Samson Oyebanjo" w:date="2021-12-31T16:52:00Z">
                  <w:rPr>
                    <w:rFonts w:ascii="Palatino Linotype" w:hAnsi="Palatino Linotype"/>
                    <w:sz w:val="18"/>
                    <w:szCs w:val="18"/>
                  </w:rPr>
                </w:rPrChange>
              </w:rPr>
            </w:pPr>
            <w:r w:rsidRPr="00AE2DED">
              <w:rPr>
                <w:rFonts w:ascii="Palatino Linotype" w:hAnsi="Palatino Linotype"/>
                <w:sz w:val="18"/>
                <w:szCs w:val="18"/>
                <w:lang w:val="it-IT"/>
                <w:rPrChange w:id="51" w:author="Samson Oyebanjo" w:date="2021-12-31T16:52:00Z">
                  <w:rPr>
                    <w:rFonts w:ascii="Palatino Linotype" w:hAnsi="Palatino Linotype"/>
                    <w:sz w:val="18"/>
                    <w:szCs w:val="18"/>
                  </w:rPr>
                </w:rPrChange>
              </w:rPr>
              <w:t>risperidone, olanzapine,</w:t>
            </w:r>
          </w:p>
          <w:p w14:paraId="585657AC" w14:textId="1EFB4808" w:rsidR="001C785B" w:rsidRPr="00AE2DED" w:rsidRDefault="000C64BA" w:rsidP="000C64BA">
            <w:pPr>
              <w:rPr>
                <w:rFonts w:ascii="Palatino Linotype" w:hAnsi="Palatino Linotype"/>
                <w:sz w:val="18"/>
                <w:szCs w:val="18"/>
                <w:lang w:val="it-IT"/>
                <w:rPrChange w:id="52" w:author="Samson Oyebanjo" w:date="2021-12-31T16:52:00Z">
                  <w:rPr>
                    <w:rFonts w:ascii="Palatino Linotype" w:hAnsi="Palatino Linotype"/>
                    <w:sz w:val="18"/>
                    <w:szCs w:val="18"/>
                  </w:rPr>
                </w:rPrChange>
              </w:rPr>
            </w:pPr>
            <w:r w:rsidRPr="00AE2DED">
              <w:rPr>
                <w:rFonts w:ascii="Palatino Linotype" w:hAnsi="Palatino Linotype"/>
                <w:sz w:val="18"/>
                <w:szCs w:val="18"/>
                <w:lang w:val="it-IT"/>
                <w:rPrChange w:id="53" w:author="Samson Oyebanjo" w:date="2021-12-31T16:52:00Z">
                  <w:rPr>
                    <w:rFonts w:ascii="Palatino Linotype" w:hAnsi="Palatino Linotype"/>
                    <w:sz w:val="18"/>
                    <w:szCs w:val="18"/>
                  </w:rPr>
                </w:rPrChange>
              </w:rPr>
              <w:t>FGAs, and</w:t>
            </w:r>
            <w:r w:rsidR="00183105" w:rsidRPr="00AE2DED">
              <w:rPr>
                <w:rFonts w:ascii="Palatino Linotype" w:hAnsi="Palatino Linotype"/>
                <w:sz w:val="18"/>
                <w:szCs w:val="18"/>
                <w:lang w:val="it-IT"/>
                <w:rPrChange w:id="54" w:author="Samson Oyebanjo" w:date="2021-12-31T16:52:00Z">
                  <w:rPr>
                    <w:rFonts w:ascii="Palatino Linotype" w:hAnsi="Palatino Linotype"/>
                    <w:sz w:val="18"/>
                    <w:szCs w:val="18"/>
                  </w:rPr>
                </w:rPrChange>
              </w:rPr>
              <w:t xml:space="preserve"> q</w:t>
            </w:r>
            <w:r w:rsidRPr="00AE2DED">
              <w:rPr>
                <w:rFonts w:ascii="Palatino Linotype" w:hAnsi="Palatino Linotype"/>
                <w:sz w:val="18"/>
                <w:szCs w:val="18"/>
                <w:lang w:val="it-IT"/>
                <w:rPrChange w:id="55" w:author="Samson Oyebanjo" w:date="2021-12-31T16:52:00Z">
                  <w:rPr>
                    <w:rFonts w:ascii="Palatino Linotype" w:hAnsi="Palatino Linotype"/>
                    <w:sz w:val="18"/>
                    <w:szCs w:val="18"/>
                  </w:rPr>
                </w:rPrChange>
              </w:rPr>
              <w:t>uetiapine</w:t>
            </w:r>
          </w:p>
        </w:tc>
        <w:tc>
          <w:tcPr>
            <w:tcW w:w="924" w:type="dxa"/>
          </w:tcPr>
          <w:p w14:paraId="036E5999" w14:textId="12B4BA38" w:rsidR="000C64BA" w:rsidRPr="006A1E5F" w:rsidRDefault="000C64BA" w:rsidP="000C64BA">
            <w:pPr>
              <w:rPr>
                <w:rFonts w:ascii="Palatino Linotype" w:hAnsi="Palatino Linotype" w:cstheme="minorHAnsi"/>
                <w:sz w:val="18"/>
                <w:szCs w:val="18"/>
              </w:rPr>
            </w:pPr>
            <w:r w:rsidRPr="00B04EEF">
              <w:rPr>
                <w:rFonts w:ascii="Palatino Linotype" w:hAnsi="Palatino Linotype"/>
                <w:sz w:val="18"/>
                <w:szCs w:val="18"/>
              </w:rPr>
              <w:t>516</w:t>
            </w:r>
            <w:r>
              <w:rPr>
                <w:rFonts w:ascii="Palatino Linotype" w:hAnsi="Palatino Linotype"/>
                <w:sz w:val="18"/>
                <w:szCs w:val="18"/>
              </w:rPr>
              <w:t xml:space="preserve"> (</w:t>
            </w:r>
            <w:r w:rsidRPr="00B04EEF">
              <w:rPr>
                <w:rFonts w:ascii="Palatino Linotype" w:hAnsi="Palatino Linotype"/>
                <w:sz w:val="18"/>
                <w:szCs w:val="18"/>
              </w:rPr>
              <w:t>162</w:t>
            </w:r>
            <w:r>
              <w:rPr>
                <w:rFonts w:ascii="Palatino Linotype" w:hAnsi="Palatino Linotype"/>
                <w:sz w:val="18"/>
                <w:szCs w:val="18"/>
              </w:rPr>
              <w:t xml:space="preserve"> </w:t>
            </w:r>
            <w:r w:rsidRPr="00B04EEF">
              <w:rPr>
                <w:rFonts w:ascii="Palatino Linotype" w:hAnsi="Palatino Linotype"/>
                <w:sz w:val="18"/>
                <w:szCs w:val="18"/>
              </w:rPr>
              <w:t>with TD</w:t>
            </w:r>
            <w:r>
              <w:rPr>
                <w:rFonts w:ascii="Palatino Linotype" w:hAnsi="Palatino Linotype"/>
                <w:sz w:val="18"/>
                <w:szCs w:val="18"/>
              </w:rPr>
              <w:t>)</w:t>
            </w:r>
          </w:p>
        </w:tc>
        <w:tc>
          <w:tcPr>
            <w:tcW w:w="1236" w:type="dxa"/>
          </w:tcPr>
          <w:p w14:paraId="3B6FFC94" w14:textId="3A58A493" w:rsidR="000C64BA" w:rsidRPr="006A1E5F" w:rsidRDefault="000C64BA" w:rsidP="000C64BA">
            <w:pPr>
              <w:rPr>
                <w:rFonts w:ascii="Palatino Linotype" w:hAnsi="Palatino Linotype" w:cstheme="minorHAnsi"/>
                <w:sz w:val="18"/>
                <w:szCs w:val="18"/>
              </w:rPr>
            </w:pPr>
            <w:r>
              <w:rPr>
                <w:rFonts w:ascii="Palatino Linotype" w:hAnsi="Palatino Linotype"/>
                <w:sz w:val="18"/>
                <w:szCs w:val="18"/>
              </w:rPr>
              <w:t xml:space="preserve">Caucasian </w:t>
            </w:r>
          </w:p>
        </w:tc>
        <w:tc>
          <w:tcPr>
            <w:tcW w:w="1710" w:type="dxa"/>
          </w:tcPr>
          <w:p w14:paraId="75AE7803" w14:textId="77777777" w:rsidR="000C64BA" w:rsidRPr="00CB51F0" w:rsidRDefault="000C64BA" w:rsidP="000C64BA">
            <w:pPr>
              <w:rPr>
                <w:rFonts w:ascii="Palatino Linotype" w:hAnsi="Palatino Linotype"/>
                <w:sz w:val="18"/>
                <w:szCs w:val="18"/>
              </w:rPr>
            </w:pPr>
            <w:r w:rsidRPr="00CB51F0">
              <w:rPr>
                <w:rFonts w:ascii="Palatino Linotype" w:hAnsi="Palatino Linotype"/>
                <w:sz w:val="18"/>
                <w:szCs w:val="18"/>
              </w:rPr>
              <w:t>Schizophrenia</w:t>
            </w:r>
            <w:r>
              <w:rPr>
                <w:rFonts w:ascii="Palatino Linotype" w:hAnsi="Palatino Linotype"/>
                <w:sz w:val="18"/>
                <w:szCs w:val="18"/>
              </w:rPr>
              <w:t xml:space="preserve">, </w:t>
            </w:r>
            <w:r w:rsidRPr="00CB51F0">
              <w:rPr>
                <w:rFonts w:ascii="Palatino Linotype" w:hAnsi="Palatino Linotype"/>
                <w:sz w:val="18"/>
                <w:szCs w:val="18"/>
              </w:rPr>
              <w:t>schizoaffective</w:t>
            </w:r>
          </w:p>
          <w:p w14:paraId="413EF869" w14:textId="77777777" w:rsidR="000C64BA" w:rsidRPr="00CB51F0" w:rsidRDefault="000C64BA" w:rsidP="000C64BA">
            <w:pPr>
              <w:rPr>
                <w:rFonts w:ascii="Palatino Linotype" w:hAnsi="Palatino Linotype"/>
                <w:sz w:val="18"/>
                <w:szCs w:val="18"/>
              </w:rPr>
            </w:pPr>
            <w:r>
              <w:rPr>
                <w:rFonts w:ascii="Palatino Linotype" w:hAnsi="Palatino Linotype"/>
                <w:sz w:val="18"/>
                <w:szCs w:val="18"/>
              </w:rPr>
              <w:t>d</w:t>
            </w:r>
            <w:r w:rsidRPr="00CB51F0">
              <w:rPr>
                <w:rFonts w:ascii="Palatino Linotype" w:hAnsi="Palatino Linotype"/>
                <w:sz w:val="18"/>
                <w:szCs w:val="18"/>
              </w:rPr>
              <w:t>isorder</w:t>
            </w:r>
            <w:r>
              <w:rPr>
                <w:rFonts w:ascii="Palatino Linotype" w:hAnsi="Palatino Linotype"/>
                <w:sz w:val="18"/>
                <w:szCs w:val="18"/>
              </w:rPr>
              <w:t xml:space="preserve">, </w:t>
            </w:r>
            <w:r w:rsidRPr="00CB51F0">
              <w:rPr>
                <w:rFonts w:ascii="Palatino Linotype" w:hAnsi="Palatino Linotype"/>
                <w:sz w:val="18"/>
                <w:szCs w:val="18"/>
              </w:rPr>
              <w:t>bipolar</w:t>
            </w:r>
          </w:p>
          <w:p w14:paraId="523983DE" w14:textId="27CCAE96" w:rsidR="000C64BA" w:rsidRPr="006A1E5F" w:rsidRDefault="000C64BA" w:rsidP="000C64BA">
            <w:pPr>
              <w:rPr>
                <w:rFonts w:ascii="Palatino Linotype" w:hAnsi="Palatino Linotype" w:cstheme="minorHAnsi"/>
                <w:sz w:val="18"/>
                <w:szCs w:val="18"/>
              </w:rPr>
            </w:pPr>
            <w:r w:rsidRPr="00CB51F0">
              <w:rPr>
                <w:rFonts w:ascii="Palatino Linotype" w:hAnsi="Palatino Linotype"/>
                <w:sz w:val="18"/>
                <w:szCs w:val="18"/>
              </w:rPr>
              <w:t>disorder</w:t>
            </w:r>
            <w:r>
              <w:rPr>
                <w:rFonts w:ascii="Palatino Linotype" w:hAnsi="Palatino Linotype"/>
                <w:sz w:val="18"/>
                <w:szCs w:val="18"/>
              </w:rPr>
              <w:t xml:space="preserve"> </w:t>
            </w:r>
            <w:r w:rsidRPr="00CB51F0">
              <w:rPr>
                <w:rFonts w:ascii="Palatino Linotype" w:hAnsi="Palatino Linotype"/>
                <w:sz w:val="18"/>
                <w:szCs w:val="18"/>
              </w:rPr>
              <w:t>and major depressive disorder</w:t>
            </w:r>
          </w:p>
        </w:tc>
        <w:tc>
          <w:tcPr>
            <w:tcW w:w="1080" w:type="dxa"/>
          </w:tcPr>
          <w:p w14:paraId="0384CE25" w14:textId="72526D2E" w:rsidR="000C64BA" w:rsidRPr="006A1E5F" w:rsidRDefault="000C64BA" w:rsidP="000C64BA">
            <w:pPr>
              <w:rPr>
                <w:rFonts w:ascii="Palatino Linotype" w:hAnsi="Palatino Linotype" w:cstheme="minorHAnsi"/>
                <w:sz w:val="18"/>
                <w:szCs w:val="18"/>
              </w:rPr>
            </w:pPr>
            <w:r>
              <w:rPr>
                <w:rFonts w:ascii="Palatino Linotype" w:hAnsi="Palatino Linotype"/>
                <w:sz w:val="18"/>
                <w:szCs w:val="18"/>
              </w:rPr>
              <w:t>NA</w:t>
            </w:r>
          </w:p>
        </w:tc>
        <w:tc>
          <w:tcPr>
            <w:tcW w:w="1170" w:type="dxa"/>
          </w:tcPr>
          <w:p w14:paraId="18E50389" w14:textId="5F3382DB" w:rsidR="000C64BA" w:rsidRPr="006A1E5F" w:rsidRDefault="000C64BA" w:rsidP="000C64BA">
            <w:pPr>
              <w:rPr>
                <w:rFonts w:ascii="Palatino Linotype" w:hAnsi="Palatino Linotype" w:cstheme="minorHAnsi"/>
                <w:sz w:val="18"/>
                <w:szCs w:val="18"/>
              </w:rPr>
            </w:pPr>
            <w:r>
              <w:rPr>
                <w:rFonts w:ascii="Palatino Linotype" w:hAnsi="Palatino Linotype"/>
                <w:sz w:val="18"/>
                <w:szCs w:val="18"/>
              </w:rPr>
              <w:t>AIMS</w:t>
            </w:r>
          </w:p>
        </w:tc>
        <w:tc>
          <w:tcPr>
            <w:tcW w:w="1260" w:type="dxa"/>
          </w:tcPr>
          <w:p w14:paraId="24C56B0C" w14:textId="56300338" w:rsidR="000C64BA" w:rsidRPr="006A1E5F" w:rsidRDefault="000C64BA" w:rsidP="000C64BA">
            <w:pPr>
              <w:rPr>
                <w:rStyle w:val="current-selection"/>
                <w:rFonts w:ascii="Palatino Linotype" w:hAnsi="Palatino Linotype"/>
                <w:sz w:val="18"/>
                <w:szCs w:val="18"/>
              </w:rPr>
            </w:pPr>
            <w:r>
              <w:rPr>
                <w:rFonts w:ascii="Palatino Linotype" w:hAnsi="Palatino Linotype" w:cstheme="minorHAnsi"/>
                <w:sz w:val="18"/>
                <w:szCs w:val="18"/>
              </w:rPr>
              <w:t xml:space="preserve">Allele specific PCR or </w:t>
            </w:r>
            <w:proofErr w:type="spellStart"/>
            <w:r w:rsidRPr="00875BDC">
              <w:rPr>
                <w:rFonts w:ascii="Palatino Linotype" w:hAnsi="Palatino Linotype" w:cstheme="minorHAnsi"/>
                <w:sz w:val="18"/>
                <w:szCs w:val="18"/>
              </w:rPr>
              <w:t>Amplichip</w:t>
            </w:r>
            <w:proofErr w:type="spellEnd"/>
            <w:r>
              <w:rPr>
                <w:rFonts w:ascii="Palatino Linotype" w:hAnsi="Palatino Linotype" w:cstheme="minorHAnsi"/>
                <w:sz w:val="18"/>
                <w:szCs w:val="18"/>
              </w:rPr>
              <w:t xml:space="preserve"> </w:t>
            </w:r>
            <w:r w:rsidRPr="00875BDC">
              <w:rPr>
                <w:rFonts w:ascii="Palatino Linotype" w:hAnsi="Palatino Linotype" w:cstheme="minorHAnsi"/>
                <w:sz w:val="18"/>
                <w:szCs w:val="18"/>
              </w:rPr>
              <w:t>P450 microarray</w:t>
            </w:r>
            <w:r>
              <w:rPr>
                <w:rFonts w:ascii="Palatino Linotype" w:hAnsi="Palatino Linotype" w:cstheme="minorHAnsi"/>
                <w:sz w:val="18"/>
                <w:szCs w:val="18"/>
              </w:rPr>
              <w:t xml:space="preserve"> and others</w:t>
            </w:r>
          </w:p>
        </w:tc>
        <w:tc>
          <w:tcPr>
            <w:tcW w:w="2382" w:type="dxa"/>
          </w:tcPr>
          <w:p w14:paraId="44A881C0" w14:textId="336D064D"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No association between </w:t>
            </w:r>
            <w:r w:rsidRPr="00BD4E29">
              <w:rPr>
                <w:rFonts w:ascii="Palatino Linotype" w:hAnsi="Palatino Linotype" w:cstheme="minorHAnsi"/>
                <w:sz w:val="18"/>
                <w:szCs w:val="18"/>
              </w:rPr>
              <w:t>CYP2D6</w:t>
            </w:r>
            <w:r w:rsidR="00D318FC">
              <w:rPr>
                <w:rFonts w:ascii="Palatino Linotype" w:hAnsi="Palatino Linotype" w:cstheme="minorHAnsi"/>
                <w:sz w:val="18"/>
                <w:szCs w:val="18"/>
              </w:rPr>
              <w:t xml:space="preserve"> and CYP3A5</w:t>
            </w:r>
            <w:r>
              <w:rPr>
                <w:rFonts w:ascii="Palatino Linotype" w:hAnsi="Palatino Linotype" w:cstheme="minorHAnsi"/>
                <w:sz w:val="18"/>
                <w:szCs w:val="18"/>
              </w:rPr>
              <w:t xml:space="preserve"> alleles and TD</w:t>
            </w:r>
          </w:p>
        </w:tc>
        <w:tc>
          <w:tcPr>
            <w:tcW w:w="2382" w:type="dxa"/>
          </w:tcPr>
          <w:p w14:paraId="68C89AE6" w14:textId="720FE2A7"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{"citationItems":[{"id":"ITEM-1","itemData":{"ISSN":"0271-0749","PMID":"16160620","abstract":"This study tested the association between tardive dyskinesia (TD) and polymorphic variations in (a) 2 cytochrome P450 (CYP) genes (CYP2D6 or CYP3A5), (b) 2 DRD2 variants (Ser311Cys and -141C Ins/del) and the Ser9Gly DRD3 variants, (c) 2 glutathione S-transferases (GSTT1 and GSTM1), and (d) variations in the PgP gene, MDR1. The study sample included 516 severely mentally ill patients from Central Kentucky facilities. Logistic regression models that included clinical variables associated with TD were developed. Gene variants were added to these clinical models. The total sample included 31% (162/516) with TD where 30% (49/162) of those had severe TD. Polymorphisms in DRD2, MDR1, and GSTT1 were never significant. Two gene variants appeared to be significant after adding them to the clinical regression models: (1) Ser9Gly DRD3 polymorphism was associated with severe TD (odds ratio for patients with 1 mutant allele when compared with individuals with 2 wild types was 2.5, 95% confidence interval 1.1-5.6, whereas the odds ratio for patients with 2 mutant alleles when compared with individuals with 1 mutant was 2.8, 95% confidence interval 1.0-7.4), and (2) GSTM1 absence was associated with TD (odds ratio 1.7, 95% confidence interval 1.2-2.4) particularly in white women. The CYP2D6 and CYP3A5 absence showed potential for significant associations in larger samples, particularly in white men. New studies need to replicate whether these or other genes could be used conjointly with clinical variables to identify subjects at risk for TD in clinical settings.","author":[{"dropping-particle":"","family":"Leon","given":"Jose","non-dropping-particle":"de","parse-names":false,"suffix":""},{"dropping-particle":"","family":"Susce","given":"Margaret T","non-dropping-particle":"","parse-names":false,"suffix":""},{"dropping-particle":"","family":"Pan","given":"Run-Mei","non-dropping-particle":"","parse-names":false,"suffix":""},{"dropping-particle":"","family":"Koch","given":"Walter H","non-dropping-particle":"","parse-names":false,"suffix":""},{"dropping-particle":"","family":"Wedlund","given":"Peter J","non-dropping-particle":"","parse-names":false,"suffix":""}],"container-title":"Journal of clinical psychopharmacology","id":"ITEM-1","issue":"5","issued":{"date-parts":[["2005","10"]]},"page":"448-56","title":"Polymorphic variations in GSTM1, GSTT1, PgP, CYP2D6, CYP3A5, and dopamine D2 and D3 receptors and their association with tardive dyskinesia in severe mental illness.","type":"article-journal","volume":"25"},"uris":["http://www.mendeley.com/documents/?uuid=14fc4248-b70d-4d59-a120-10703a777b44"]}],"mendeley":{"formattedCitation":"(de Leon et al. 2005)","plainTextFormattedCitation":"(de Leon et al. 2005)","previouslyFormattedCitation":"(de Leon et al. 2005)"},"properties":{"noteIndex":0},"schema":"https://github.com/citation-style-language/schema/raw/master/csl-citation.json"}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(de Leon et al. 2005)</w:t>
            </w:r>
            <w:r>
              <w:rPr>
                <w:rFonts w:ascii="Palatino Linotype" w:hAnsi="Palatino Linotype" w:cstheme="minorHAnsi"/>
                <w:sz w:val="18"/>
                <w:szCs w:val="18"/>
              </w:rPr>
              <w:fldChar w:fldCharType="end"/>
            </w:r>
          </w:p>
        </w:tc>
      </w:tr>
      <w:tr w:rsidR="001C785B" w:rsidRPr="00EA57B8" w14:paraId="649F7D5E" w14:textId="77777777" w:rsidTr="0027754C">
        <w:tc>
          <w:tcPr>
            <w:tcW w:w="1056" w:type="dxa"/>
          </w:tcPr>
          <w:p w14:paraId="6969C4F7" w14:textId="77777777" w:rsidR="001C785B" w:rsidRPr="000F3F98" w:rsidRDefault="001C785B" w:rsidP="0027754C">
            <w:pPr>
              <w:rPr>
                <w:rFonts w:ascii="Palatino Linotype" w:hAnsi="Palatino Linotype" w:cstheme="minorHAnsi"/>
                <w:i/>
                <w:iCs/>
                <w:sz w:val="18"/>
                <w:szCs w:val="18"/>
              </w:rPr>
            </w:pPr>
            <w:r w:rsidRPr="005E78F7">
              <w:rPr>
                <w:rFonts w:ascii="Palatino Linotype" w:hAnsi="Palatino Linotype" w:cstheme="minorHAnsi"/>
                <w:sz w:val="18"/>
                <w:szCs w:val="18"/>
              </w:rPr>
              <w:t>MDR1</w:t>
            </w:r>
          </w:p>
        </w:tc>
        <w:tc>
          <w:tcPr>
            <w:tcW w:w="1272" w:type="dxa"/>
          </w:tcPr>
          <w:p w14:paraId="19B61E3C" w14:textId="77777777" w:rsidR="001C785B" w:rsidRPr="00EF15AA"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rs1045642</w:t>
            </w:r>
          </w:p>
        </w:tc>
        <w:tc>
          <w:tcPr>
            <w:tcW w:w="1206" w:type="dxa"/>
          </w:tcPr>
          <w:p w14:paraId="7AB2A9DA" w14:textId="77777777" w:rsidR="001C785B" w:rsidRPr="005E78F7"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risperidone, olanzapine,</w:t>
            </w:r>
          </w:p>
          <w:p w14:paraId="332B0A08" w14:textId="77777777" w:rsidR="001C785B" w:rsidRPr="005E78F7"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FGAs, and</w:t>
            </w:r>
          </w:p>
          <w:p w14:paraId="152C95DF" w14:textId="77777777" w:rsidR="001C785B"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quetiapine</w:t>
            </w:r>
          </w:p>
        </w:tc>
        <w:tc>
          <w:tcPr>
            <w:tcW w:w="924" w:type="dxa"/>
          </w:tcPr>
          <w:p w14:paraId="6A7E51FE" w14:textId="77777777" w:rsidR="001C785B" w:rsidRPr="007061D1"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516 (162 with TD)</w:t>
            </w:r>
          </w:p>
        </w:tc>
        <w:tc>
          <w:tcPr>
            <w:tcW w:w="1236" w:type="dxa"/>
          </w:tcPr>
          <w:p w14:paraId="0B1C7024" w14:textId="77777777" w:rsidR="001C785B" w:rsidRPr="007061D1"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Caucasian</w:t>
            </w:r>
          </w:p>
        </w:tc>
        <w:tc>
          <w:tcPr>
            <w:tcW w:w="1710" w:type="dxa"/>
          </w:tcPr>
          <w:p w14:paraId="5D06DA03" w14:textId="77777777" w:rsidR="001C785B" w:rsidRPr="005E78F7"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Schizophrenia, schizoaffective</w:t>
            </w:r>
          </w:p>
          <w:p w14:paraId="6AE6831F" w14:textId="77777777" w:rsidR="001C785B" w:rsidRPr="005E78F7"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disorder, bipolar</w:t>
            </w:r>
          </w:p>
          <w:p w14:paraId="28413AE4" w14:textId="77777777" w:rsidR="001C785B" w:rsidRPr="006A1E5F"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disorder and major depressive disorder</w:t>
            </w:r>
          </w:p>
        </w:tc>
        <w:tc>
          <w:tcPr>
            <w:tcW w:w="1080" w:type="dxa"/>
          </w:tcPr>
          <w:p w14:paraId="697D15C4" w14:textId="77777777" w:rsidR="001C785B" w:rsidRPr="00F53DE7"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N</w:t>
            </w:r>
            <w:r>
              <w:rPr>
                <w:rFonts w:ascii="Palatino Linotype" w:hAnsi="Palatino Linotype" w:cstheme="minorHAnsi"/>
                <w:sz w:val="18"/>
                <w:szCs w:val="18"/>
              </w:rPr>
              <w:t>A</w:t>
            </w:r>
          </w:p>
        </w:tc>
        <w:tc>
          <w:tcPr>
            <w:tcW w:w="1170" w:type="dxa"/>
          </w:tcPr>
          <w:p w14:paraId="7EB8F157" w14:textId="77777777" w:rsidR="001C785B"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 xml:space="preserve">AIMS </w:t>
            </w:r>
          </w:p>
        </w:tc>
        <w:tc>
          <w:tcPr>
            <w:tcW w:w="1260" w:type="dxa"/>
          </w:tcPr>
          <w:p w14:paraId="180FA173" w14:textId="77777777" w:rsidR="001C785B" w:rsidRPr="002B4721"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 xml:space="preserve">Allele specific PCR or </w:t>
            </w:r>
            <w:proofErr w:type="spellStart"/>
            <w:r w:rsidRPr="005E78F7">
              <w:rPr>
                <w:rFonts w:ascii="Palatino Linotype" w:hAnsi="Palatino Linotype" w:cstheme="minorHAnsi"/>
                <w:sz w:val="18"/>
                <w:szCs w:val="18"/>
              </w:rPr>
              <w:t>Amplichip</w:t>
            </w:r>
            <w:proofErr w:type="spellEnd"/>
            <w:r w:rsidRPr="005E78F7">
              <w:rPr>
                <w:rFonts w:ascii="Palatino Linotype" w:hAnsi="Palatino Linotype" w:cstheme="minorHAnsi"/>
                <w:sz w:val="18"/>
                <w:szCs w:val="18"/>
              </w:rPr>
              <w:t xml:space="preserve"> P450 microarray and others </w:t>
            </w:r>
          </w:p>
        </w:tc>
        <w:tc>
          <w:tcPr>
            <w:tcW w:w="2382" w:type="dxa"/>
          </w:tcPr>
          <w:p w14:paraId="2AB18295" w14:textId="77777777" w:rsidR="001C785B" w:rsidRPr="005E78F7" w:rsidRDefault="001C785B" w:rsidP="0027754C">
            <w:pPr>
              <w:rPr>
                <w:rFonts w:ascii="Palatino Linotype" w:hAnsi="Palatino Linotype" w:cstheme="minorHAnsi"/>
                <w:sz w:val="18"/>
                <w:szCs w:val="18"/>
              </w:rPr>
            </w:pPr>
            <w:r>
              <w:rPr>
                <w:rFonts w:ascii="Palatino Linotype" w:hAnsi="Palatino Linotype" w:cstheme="minorHAnsi"/>
                <w:sz w:val="18"/>
                <w:szCs w:val="18"/>
              </w:rPr>
              <w:t>No a</w:t>
            </w:r>
            <w:r w:rsidRPr="005E78F7">
              <w:rPr>
                <w:rFonts w:ascii="Palatino Linotype" w:hAnsi="Palatino Linotype" w:cstheme="minorHAnsi"/>
                <w:sz w:val="18"/>
                <w:szCs w:val="18"/>
              </w:rPr>
              <w:t>ssociation between rs1045642</w:t>
            </w:r>
            <w:r>
              <w:rPr>
                <w:rFonts w:ascii="Palatino Linotype" w:hAnsi="Palatino Linotype" w:cstheme="minorHAnsi"/>
                <w:sz w:val="18"/>
                <w:szCs w:val="18"/>
              </w:rPr>
              <w:t xml:space="preserve"> </w:t>
            </w:r>
            <w:r w:rsidRPr="005E78F7">
              <w:rPr>
                <w:rFonts w:ascii="Palatino Linotype" w:hAnsi="Palatino Linotype" w:cstheme="minorHAnsi"/>
                <w:sz w:val="18"/>
                <w:szCs w:val="18"/>
              </w:rPr>
              <w:t>and TD severity</w:t>
            </w:r>
            <w:r>
              <w:rPr>
                <w:rFonts w:ascii="Palatino Linotype" w:hAnsi="Palatino Linotype" w:cstheme="minorHAnsi"/>
                <w:sz w:val="18"/>
                <w:szCs w:val="18"/>
              </w:rPr>
              <w:t xml:space="preserve"> </w:t>
            </w:r>
            <w:r w:rsidRPr="005E78F7">
              <w:rPr>
                <w:rFonts w:ascii="Palatino Linotype" w:hAnsi="Palatino Linotype" w:cstheme="minorHAnsi"/>
                <w:sz w:val="18"/>
                <w:szCs w:val="18"/>
              </w:rPr>
              <w:t>and development</w:t>
            </w:r>
          </w:p>
          <w:p w14:paraId="76EB64BE" w14:textId="77777777" w:rsidR="001C785B" w:rsidRDefault="001C785B" w:rsidP="0027754C">
            <w:pPr>
              <w:rPr>
                <w:rFonts w:ascii="Palatino Linotype" w:hAnsi="Palatino Linotype" w:cstheme="minorHAnsi"/>
                <w:sz w:val="18"/>
                <w:szCs w:val="18"/>
              </w:rPr>
            </w:pPr>
          </w:p>
        </w:tc>
        <w:tc>
          <w:tcPr>
            <w:tcW w:w="2382" w:type="dxa"/>
          </w:tcPr>
          <w:p w14:paraId="3F84CC54" w14:textId="77777777" w:rsidR="001C785B"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(de Leon et al. 2005)</w:t>
            </w:r>
          </w:p>
        </w:tc>
      </w:tr>
      <w:tr w:rsidR="001C785B" w:rsidRPr="00EA57B8" w14:paraId="1314BAA9" w14:textId="77777777" w:rsidTr="0027754C">
        <w:tc>
          <w:tcPr>
            <w:tcW w:w="1056" w:type="dxa"/>
          </w:tcPr>
          <w:p w14:paraId="6F0F02CA" w14:textId="77777777" w:rsidR="001C785B" w:rsidRPr="000F3F98" w:rsidRDefault="001C785B" w:rsidP="0027754C">
            <w:pPr>
              <w:rPr>
                <w:rFonts w:ascii="Palatino Linotype" w:hAnsi="Palatino Linotype" w:cstheme="minorHAnsi"/>
                <w:i/>
                <w:iCs/>
                <w:sz w:val="18"/>
                <w:szCs w:val="18"/>
              </w:rPr>
            </w:pPr>
            <w:r w:rsidRPr="005E78F7">
              <w:rPr>
                <w:rFonts w:ascii="Palatino Linotype" w:hAnsi="Palatino Linotype" w:cstheme="minorHAnsi"/>
                <w:sz w:val="18"/>
                <w:szCs w:val="18"/>
              </w:rPr>
              <w:t>MDR1</w:t>
            </w:r>
          </w:p>
        </w:tc>
        <w:tc>
          <w:tcPr>
            <w:tcW w:w="1272" w:type="dxa"/>
          </w:tcPr>
          <w:p w14:paraId="2DEAF373" w14:textId="77777777" w:rsidR="001C785B" w:rsidRPr="00EF15AA" w:rsidRDefault="001C785B" w:rsidP="0027754C">
            <w:pPr>
              <w:rPr>
                <w:rFonts w:ascii="Palatino Linotype" w:hAnsi="Palatino Linotype" w:cstheme="minorHAnsi"/>
                <w:sz w:val="18"/>
                <w:szCs w:val="18"/>
              </w:rPr>
            </w:pPr>
            <w:r w:rsidRPr="005E78F7">
              <w:rPr>
                <w:rFonts w:ascii="Palatino Linotype" w:hAnsi="Palatino Linotype" w:cstheme="minorHAnsi"/>
                <w:sz w:val="18"/>
                <w:szCs w:val="18"/>
              </w:rPr>
              <w:t>rs1045642</w:t>
            </w:r>
            <w:r>
              <w:rPr>
                <w:rFonts w:ascii="Palatino Linotype" w:hAnsi="Palatino Linotype" w:cstheme="minorHAnsi"/>
                <w:sz w:val="18"/>
                <w:szCs w:val="18"/>
              </w:rPr>
              <w:t xml:space="preserve">, </w:t>
            </w:r>
            <w:r w:rsidRPr="00D634F6">
              <w:rPr>
                <w:rFonts w:ascii="Palatino Linotype" w:hAnsi="Palatino Linotype" w:cstheme="minorHAnsi"/>
                <w:sz w:val="18"/>
                <w:szCs w:val="18"/>
              </w:rPr>
              <w:t>rs1922242</w:t>
            </w:r>
          </w:p>
        </w:tc>
        <w:tc>
          <w:tcPr>
            <w:tcW w:w="1206" w:type="dxa"/>
          </w:tcPr>
          <w:p w14:paraId="298A4431" w14:textId="77777777" w:rsidR="001C785B" w:rsidRDefault="001C785B" w:rsidP="0027754C">
            <w:pPr>
              <w:rPr>
                <w:rFonts w:ascii="Palatino Linotype" w:hAnsi="Palatino Linotype" w:cstheme="minorHAnsi"/>
                <w:sz w:val="18"/>
                <w:szCs w:val="18"/>
              </w:rPr>
            </w:pPr>
            <w:r w:rsidRPr="00D634F6">
              <w:rPr>
                <w:rFonts w:ascii="Palatino Linotype" w:hAnsi="Palatino Linotype" w:cstheme="minorHAnsi"/>
                <w:sz w:val="18"/>
                <w:szCs w:val="18"/>
              </w:rPr>
              <w:t>long-term antipsychotic</w:t>
            </w:r>
            <w:r>
              <w:rPr>
                <w:rFonts w:ascii="Palatino Linotype" w:hAnsi="Palatino Linotype" w:cstheme="minorHAnsi"/>
                <w:sz w:val="18"/>
                <w:szCs w:val="18"/>
              </w:rPr>
              <w:t xml:space="preserve"> treatment</w:t>
            </w:r>
          </w:p>
        </w:tc>
        <w:tc>
          <w:tcPr>
            <w:tcW w:w="924" w:type="dxa"/>
          </w:tcPr>
          <w:p w14:paraId="3866D53B" w14:textId="77777777" w:rsidR="001C785B" w:rsidRDefault="001C785B" w:rsidP="0027754C">
            <w:pPr>
              <w:rPr>
                <w:rFonts w:ascii="Palatino Linotype" w:hAnsi="Palatino Linotype" w:cstheme="minorHAnsi"/>
                <w:sz w:val="18"/>
                <w:szCs w:val="18"/>
              </w:rPr>
            </w:pPr>
            <w:r w:rsidRPr="007061D1">
              <w:rPr>
                <w:rFonts w:ascii="Palatino Linotype" w:hAnsi="Palatino Linotype" w:cstheme="minorHAnsi"/>
                <w:sz w:val="18"/>
                <w:szCs w:val="18"/>
              </w:rPr>
              <w:t xml:space="preserve">187 </w:t>
            </w:r>
          </w:p>
        </w:tc>
        <w:tc>
          <w:tcPr>
            <w:tcW w:w="1236" w:type="dxa"/>
          </w:tcPr>
          <w:p w14:paraId="5C0F1292" w14:textId="77777777" w:rsidR="001C785B" w:rsidRDefault="001C785B" w:rsidP="0027754C">
            <w:pPr>
              <w:rPr>
                <w:rFonts w:ascii="Palatino Linotype" w:hAnsi="Palatino Linotype" w:cstheme="minorHAnsi"/>
                <w:sz w:val="18"/>
                <w:szCs w:val="18"/>
              </w:rPr>
            </w:pPr>
            <w:r w:rsidRPr="007061D1">
              <w:rPr>
                <w:rFonts w:ascii="Palatino Linotype" w:hAnsi="Palatino Linotype" w:cstheme="minorHAnsi"/>
                <w:sz w:val="18"/>
                <w:szCs w:val="18"/>
              </w:rPr>
              <w:t>Caucasian</w:t>
            </w:r>
          </w:p>
        </w:tc>
        <w:tc>
          <w:tcPr>
            <w:tcW w:w="1710" w:type="dxa"/>
          </w:tcPr>
          <w:p w14:paraId="49485895" w14:textId="77777777" w:rsidR="001C785B" w:rsidRPr="006A1E5F" w:rsidRDefault="001C785B" w:rsidP="0027754C">
            <w:pPr>
              <w:rPr>
                <w:rFonts w:ascii="Palatino Linotype" w:hAnsi="Palatino Linotype" w:cstheme="minorHAnsi"/>
                <w:sz w:val="18"/>
                <w:szCs w:val="18"/>
              </w:rPr>
            </w:pPr>
            <w:r w:rsidRPr="00D634F6">
              <w:rPr>
                <w:rFonts w:ascii="Palatino Linotype" w:hAnsi="Palatino Linotype" w:cstheme="minorHAnsi"/>
                <w:sz w:val="18"/>
                <w:szCs w:val="18"/>
              </w:rPr>
              <w:t>schizophrenia</w:t>
            </w:r>
          </w:p>
        </w:tc>
        <w:tc>
          <w:tcPr>
            <w:tcW w:w="1080" w:type="dxa"/>
          </w:tcPr>
          <w:p w14:paraId="777B3B65" w14:textId="77777777" w:rsidR="001C785B" w:rsidRPr="00F53DE7" w:rsidRDefault="001C785B" w:rsidP="0027754C">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4DA287C7" w14:textId="77777777" w:rsidR="001C785B" w:rsidRDefault="001C785B" w:rsidP="0027754C">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6F3FC152" w14:textId="77777777" w:rsidR="001C785B" w:rsidRPr="002B4721" w:rsidRDefault="001C785B" w:rsidP="0027754C">
            <w:pPr>
              <w:rPr>
                <w:rFonts w:ascii="Palatino Linotype" w:hAnsi="Palatino Linotype" w:cstheme="minorHAnsi"/>
                <w:sz w:val="18"/>
                <w:szCs w:val="18"/>
              </w:rPr>
            </w:pPr>
            <w:r>
              <w:rPr>
                <w:rFonts w:ascii="Palatino Linotype" w:hAnsi="Palatino Linotype" w:cstheme="minorHAnsi"/>
                <w:sz w:val="18"/>
                <w:szCs w:val="18"/>
              </w:rPr>
              <w:t>T</w:t>
            </w:r>
            <w:r w:rsidRPr="00D634F6">
              <w:rPr>
                <w:rFonts w:ascii="Palatino Linotype" w:hAnsi="Palatino Linotype" w:cstheme="minorHAnsi"/>
                <w:sz w:val="18"/>
                <w:szCs w:val="18"/>
              </w:rPr>
              <w:t>aqMan</w:t>
            </w:r>
            <w:r>
              <w:rPr>
                <w:rFonts w:ascii="Palatino Linotype" w:hAnsi="Palatino Linotype" w:cstheme="minorHAnsi"/>
                <w:sz w:val="18"/>
                <w:szCs w:val="18"/>
              </w:rPr>
              <w:t xml:space="preserve"> assay </w:t>
            </w:r>
          </w:p>
        </w:tc>
        <w:tc>
          <w:tcPr>
            <w:tcW w:w="2382" w:type="dxa"/>
          </w:tcPr>
          <w:p w14:paraId="7BE8536F" w14:textId="77777777" w:rsidR="001C785B" w:rsidRDefault="001C785B" w:rsidP="0027754C">
            <w:pPr>
              <w:rPr>
                <w:rFonts w:ascii="Palatino Linotype" w:hAnsi="Palatino Linotype" w:cstheme="minorHAnsi"/>
                <w:sz w:val="18"/>
                <w:szCs w:val="18"/>
              </w:rPr>
            </w:pPr>
            <w:r w:rsidRPr="0040509B">
              <w:rPr>
                <w:rFonts w:ascii="Palatino Linotype" w:hAnsi="Palatino Linotype" w:cstheme="minorHAnsi"/>
                <w:sz w:val="18"/>
                <w:szCs w:val="18"/>
              </w:rPr>
              <w:t>No statistically significant genotypic or allele frequencies</w:t>
            </w:r>
            <w:r>
              <w:rPr>
                <w:rFonts w:ascii="Palatino Linotype" w:hAnsi="Palatino Linotype" w:cstheme="minorHAnsi"/>
                <w:sz w:val="18"/>
                <w:szCs w:val="18"/>
              </w:rPr>
              <w:t xml:space="preserve">. However, </w:t>
            </w:r>
            <w:r w:rsidRPr="0040509B">
              <w:rPr>
                <w:rFonts w:ascii="Palatino Linotype" w:hAnsi="Palatino Linotype" w:cstheme="minorHAnsi"/>
                <w:sz w:val="18"/>
                <w:szCs w:val="18"/>
              </w:rPr>
              <w:t>the T–A and T-T haplotypes of rs1045642 and rs1922242 were associated with lower and higher AIMS scores, respectively</w:t>
            </w:r>
          </w:p>
        </w:tc>
        <w:tc>
          <w:tcPr>
            <w:tcW w:w="2382" w:type="dxa"/>
          </w:tcPr>
          <w:p w14:paraId="1AD5B1DA" w14:textId="5F44F027" w:rsidR="001C785B" w:rsidRDefault="001C785B" w:rsidP="0027754C">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F95979">
              <w:rPr>
                <w:rFonts w:ascii="Palatino Linotype" w:hAnsi="Palatino Linotype" w:cstheme="minorHAnsi"/>
                <w:sz w:val="18"/>
                <w:szCs w:val="18"/>
              </w:rPr>
              <w:instrText>ADDIN CSL_CITATION {"citationItems":[{"id":"ITEM-1","itemData":{"DOI":"10.1016/j.schres.2009.01.021","ISSN":"09209964","author":[{"dropping-particle":"","family":"Luca","given":"Vincenzo","non-dropping-particle":"De","parse-names":false,"suffix":""},{"dropping-particle":"","family":"Souza","given":"Renan P.","non-dropping-particle":"","parse-names":false,"suffix":""},{"dropping-particle":"","family":"Viggiano","given":"Emanuella","non-dropping-particle":"","parse-names":false,"suffix":""},{"dropping-particle":"","family":"Zai","given":"Clement C.","non-dropping-particle":"","parse-names":false,"suffix":""},{"dropping-particle":"","family":"Shinkai","given":"Takahiro","non-dropping-particle":"","parse-names":false,"suffix":""},{"dropping-particle":"","family":"Lieberman","given":"Jeffrey A.","non-dropping-particle":"","parse-names":false,"suffix":""},{"dropping-particle":"","family":"Potkin","given":"Steve G.","non-dropping-particle":"","parse-names":false,"suffix":""},{"dropping-particle":"","family":"Meltzer","given":"Herbert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L.","non-dropping-particle":"","parse-names":false,"suffix":""}],"container-title":"Schizophrenia Research","id":"ITEM-1","issue":"1-3","issued":{"date-parts":[["2009"]]},"title":"MDR1 gene in tardive dyskinesia scale scores: Comparison of strategies for quantitative trait haplotype analysis","type":"article","volume":"110"},"uris":["http://www.mendeley.com/documents/?uuid=8c20c17a-ab17-318b-bb74-b62d0272a28d"]}],"mendeley":{"formattedCitation":"(De Luca et al. 2009)","plainTextFormattedCitation":"(De Luca et al. 2009)","previouslyFormattedCitation":"(De Luca et al. 2009)"},"properties":{"noteIndex":0},"schema":"https://github.com/citation-style-language/schema/raw/master/csl-citation.json"}</w:instrText>
            </w:r>
            <w:r>
              <w:rPr>
                <w:rFonts w:ascii="Palatino Linotype" w:hAnsi="Palatino Linotype" w:cstheme="minorHAnsi"/>
                <w:sz w:val="18"/>
                <w:szCs w:val="18"/>
              </w:rPr>
              <w:fldChar w:fldCharType="separate"/>
            </w:r>
            <w:r w:rsidRPr="005E78F7">
              <w:rPr>
                <w:rFonts w:ascii="Palatino Linotype" w:hAnsi="Palatino Linotype" w:cstheme="minorHAnsi"/>
                <w:noProof/>
                <w:sz w:val="18"/>
                <w:szCs w:val="18"/>
              </w:rPr>
              <w:t>(De Luca et al. 2009)</w:t>
            </w:r>
            <w:r>
              <w:rPr>
                <w:rFonts w:ascii="Palatino Linotype" w:hAnsi="Palatino Linotype" w:cstheme="minorHAnsi"/>
                <w:sz w:val="18"/>
                <w:szCs w:val="18"/>
              </w:rPr>
              <w:fldChar w:fldCharType="end"/>
            </w:r>
          </w:p>
        </w:tc>
      </w:tr>
      <w:tr w:rsidR="000C64BA" w:rsidRPr="00A237AB" w14:paraId="54CD78A5" w14:textId="72EB6974" w:rsidTr="000C64BA">
        <w:tc>
          <w:tcPr>
            <w:tcW w:w="1056" w:type="dxa"/>
          </w:tcPr>
          <w:p w14:paraId="74743C42" w14:textId="4918A79A"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2A38B74C" w14:textId="12B69A1B"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and CYP2D6*4</w:t>
            </w:r>
          </w:p>
        </w:tc>
        <w:tc>
          <w:tcPr>
            <w:tcW w:w="1206" w:type="dxa"/>
          </w:tcPr>
          <w:p w14:paraId="5CDCBA3F" w14:textId="0242AEBE"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Antipsychotics</w:t>
            </w:r>
          </w:p>
        </w:tc>
        <w:tc>
          <w:tcPr>
            <w:tcW w:w="924" w:type="dxa"/>
          </w:tcPr>
          <w:p w14:paraId="1AE1E259" w14:textId="53365396"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37</w:t>
            </w:r>
          </w:p>
        </w:tc>
        <w:tc>
          <w:tcPr>
            <w:tcW w:w="1236" w:type="dxa"/>
          </w:tcPr>
          <w:p w14:paraId="66B5338A" w14:textId="663193E8"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Americans </w:t>
            </w:r>
          </w:p>
        </w:tc>
        <w:tc>
          <w:tcPr>
            <w:tcW w:w="1710" w:type="dxa"/>
          </w:tcPr>
          <w:p w14:paraId="508732B6" w14:textId="17042A23"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6DB15A70" w14:textId="15D1480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47E77139" w14:textId="18C5CB34"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14EF7F56" w14:textId="7711515F" w:rsidR="000C64BA" w:rsidRPr="00B55266" w:rsidRDefault="000C64BA" w:rsidP="000C64BA">
            <w:pPr>
              <w:rPr>
                <w:rFonts w:ascii="Palatino Linotype" w:hAnsi="Palatino Linotype" w:cstheme="minorHAnsi"/>
                <w:sz w:val="18"/>
                <w:szCs w:val="18"/>
              </w:rPr>
            </w:pPr>
            <w:r w:rsidRPr="006A1E5F">
              <w:rPr>
                <w:rStyle w:val="current-selection"/>
                <w:rFonts w:ascii="Palatino Linotype" w:hAnsi="Palatino Linotype"/>
                <w:sz w:val="18"/>
                <w:szCs w:val="18"/>
              </w:rPr>
              <w:t xml:space="preserve">Allele specific PCR </w:t>
            </w:r>
          </w:p>
        </w:tc>
        <w:tc>
          <w:tcPr>
            <w:tcW w:w="2382" w:type="dxa"/>
          </w:tcPr>
          <w:p w14:paraId="42F4C1BC" w14:textId="6E6B8E4A"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Most smokers with</w:t>
            </w:r>
            <w:r>
              <w:rPr>
                <w:rFonts w:ascii="Palatino Linotype" w:hAnsi="Palatino Linotype" w:cstheme="minorHAnsi"/>
                <w:sz w:val="18"/>
                <w:szCs w:val="18"/>
              </w:rPr>
              <w:t xml:space="preserve"> </w:t>
            </w:r>
            <w:r w:rsidRPr="006A1E5F">
              <w:rPr>
                <w:rFonts w:ascii="Palatino Linotype" w:hAnsi="Palatino Linotype" w:cstheme="minorHAnsi"/>
                <w:sz w:val="18"/>
                <w:szCs w:val="18"/>
              </w:rPr>
              <w:t xml:space="preserve">CYP2D6*1/*3, *4 genotype had </w:t>
            </w:r>
            <w:r>
              <w:rPr>
                <w:rFonts w:ascii="Palatino Linotype" w:hAnsi="Palatino Linotype" w:cstheme="minorHAnsi"/>
                <w:sz w:val="18"/>
                <w:szCs w:val="18"/>
              </w:rPr>
              <w:t>TD</w:t>
            </w:r>
            <w:r w:rsidRPr="006A1E5F">
              <w:rPr>
                <w:rFonts w:ascii="Palatino Linotype" w:hAnsi="Palatino Linotype" w:cstheme="minorHAnsi"/>
                <w:sz w:val="18"/>
                <w:szCs w:val="18"/>
              </w:rPr>
              <w:t xml:space="preserve"> </w:t>
            </w:r>
          </w:p>
        </w:tc>
        <w:tc>
          <w:tcPr>
            <w:tcW w:w="2382" w:type="dxa"/>
          </w:tcPr>
          <w:p w14:paraId="4C3989AA" w14:textId="418F77DF"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{"citationItems":[{"id":"ITEM-1","itemData":{"ISSN":"0277-0008","PMID":"12432967","abstract":"STUDY OBJECTIVE To investigate the relationships between cytochrome P450 (CYP) 2D6 genotype, antipsychotic drug exposure, abnormal movements and tardive dyskinesia, and cigarette smoking. DESIGN Prospective, longitudinal study. SETTING University mental health research center. PATIENTS Thirty-seven patients with schizophrenia. INTERVENTION Patients were genotyped for CYP2D6*1, *3, and *4 alleles, and data were collected on their psychiatric symptoms, cigarette smoking status, and antipsychotic drug exposure. Abnormal movements were measured using the Abnormal Involuntary Movement Scale (AIMS). Presence of tardive dyskinesia was also evaluated. MEASUREMENTS AND MAIN RESULTS A linear regression model used the AIMS scores as the dependent variable, and genotype, sex, smoking status, and antipsychotic drug exposure as independent variables. Antipsychotic drug exposure, genotype, and cigarette smoking interaction was significant (p&lt;0.0212) for patients with the CYP2D6*1/*3, *4 genotype. Seventy-eight percent of smokers with the CYP2D6*1/*3, *4 genotype had tardive dyskinesia compared with 20-33% of patients in other groups. CONCLUSION Patients with a CYP2D6*3 or *4 allele may shunt antipsychotic metabolism through other pathways that are induced by cigarette smoke. This induction may result in formation of neurotoxic metabolites, leading to increased AIMS scores and a higher frequency of tardive dyskinesia compared with patients without these alleles.","author":[{"dropping-particle":"","family":"Ellingrod","given":"Vicki L","non-dropping-particle":"","parse-names":false,"suffix":""},{"dropping-particle":"","family":"Schultz","given":"Susan K","non-dropping-particle":"","parse-names":false,"suffix":""},{"dropping-particle":"","family":"Arndt","given":"Stephan","non-dropping-particle":"","parse-names":false,"suffix":""}],"container-title":"Pharmacotherapy","id":"ITEM-1","issue":"11","issued":{"date-parts":[["2002","11"]]},"page":"1416-9","title":"Abnormal movements and tardive dyskinesia in smokers and nonsmokers with schizophrenia genotyped for cytochrome P450 2D6.","type":"article-journal","volume":"22"},"uris":["http://www.mendeley.com/documents/?uuid=b2e943be-e28f-31a9-a573-870efa58843b"]}],"mendeley":{"formattedCitation":"(Ellingrod et al. 2002)","plainTextFormattedCitation":"(Ellingrod et al. 2002)","previouslyFormattedCitation":"(Ellingrod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(Ellingrod et al. 2002)</w:t>
            </w:r>
            <w:r w:rsidRPr="006A1E5F">
              <w:rPr>
                <w:rFonts w:ascii="Palatino Linotype" w:hAnsi="Palatino Linotype" w:cstheme="minorHAnsi"/>
                <w:sz w:val="18"/>
                <w:szCs w:val="18"/>
              </w:rPr>
              <w:fldChar w:fldCharType="end"/>
            </w:r>
          </w:p>
        </w:tc>
      </w:tr>
      <w:tr w:rsidR="000C64BA" w:rsidRPr="00A237AB" w14:paraId="50179160" w14:textId="566328C8" w:rsidTr="000C64BA">
        <w:tc>
          <w:tcPr>
            <w:tcW w:w="1056" w:type="dxa"/>
          </w:tcPr>
          <w:p w14:paraId="699A21E3" w14:textId="7BAA989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lastRenderedPageBreak/>
              <w:t>CYP2D6, CYP1A2</w:t>
            </w:r>
          </w:p>
        </w:tc>
        <w:tc>
          <w:tcPr>
            <w:tcW w:w="1272" w:type="dxa"/>
          </w:tcPr>
          <w:p w14:paraId="5912FA66" w14:textId="0188F0E7" w:rsidR="000C64BA" w:rsidRPr="00B55266" w:rsidRDefault="000C64BA" w:rsidP="000C64BA">
            <w:pPr>
              <w:rPr>
                <w:rFonts w:ascii="Palatino Linotype" w:hAnsi="Palatino Linotype" w:cstheme="minorHAnsi"/>
                <w:sz w:val="18"/>
                <w:szCs w:val="18"/>
              </w:rPr>
            </w:pPr>
            <w:r w:rsidRPr="006B134C">
              <w:rPr>
                <w:rFonts w:ascii="Palatino Linotype" w:hAnsi="Palatino Linotype" w:cstheme="minorHAnsi"/>
                <w:sz w:val="18"/>
                <w:szCs w:val="18"/>
              </w:rPr>
              <w:t>CYP2D6</w:t>
            </w:r>
            <w:r>
              <w:rPr>
                <w:rFonts w:ascii="Palatino Linotype" w:hAnsi="Palatino Linotype" w:cstheme="minorHAnsi"/>
                <w:sz w:val="18"/>
                <w:szCs w:val="18"/>
              </w:rPr>
              <w:t xml:space="preserve">*10, </w:t>
            </w:r>
            <w:r w:rsidRPr="003F3349">
              <w:rPr>
                <w:rFonts w:ascii="Palatino Linotype" w:hAnsi="Palatino Linotype" w:cstheme="minorHAnsi"/>
                <w:sz w:val="18"/>
                <w:szCs w:val="18"/>
              </w:rPr>
              <w:t xml:space="preserve">CYP1A2*1F </w:t>
            </w:r>
          </w:p>
        </w:tc>
        <w:tc>
          <w:tcPr>
            <w:tcW w:w="1206" w:type="dxa"/>
          </w:tcPr>
          <w:p w14:paraId="481CFB56" w14:textId="7D8E7C12"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FGAs</w:t>
            </w:r>
          </w:p>
        </w:tc>
        <w:tc>
          <w:tcPr>
            <w:tcW w:w="924" w:type="dxa"/>
          </w:tcPr>
          <w:p w14:paraId="1AE2FBBE" w14:textId="5E3ABA8C"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182 (91 with TD)</w:t>
            </w:r>
          </w:p>
        </w:tc>
        <w:tc>
          <w:tcPr>
            <w:tcW w:w="1236" w:type="dxa"/>
          </w:tcPr>
          <w:p w14:paraId="10E07846" w14:textId="0E13638E"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Chinese </w:t>
            </w:r>
          </w:p>
        </w:tc>
        <w:tc>
          <w:tcPr>
            <w:tcW w:w="1710" w:type="dxa"/>
          </w:tcPr>
          <w:p w14:paraId="0E72DD84" w14:textId="18DEF822"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67A8BA63" w14:textId="3CE1F702" w:rsidR="000C64BA" w:rsidRPr="00B55266" w:rsidRDefault="000C64BA" w:rsidP="000C64BA">
            <w:pPr>
              <w:rPr>
                <w:rFonts w:ascii="Palatino Linotype" w:hAnsi="Palatino Linotype" w:cstheme="minorHAnsi"/>
                <w:sz w:val="18"/>
                <w:szCs w:val="18"/>
              </w:rPr>
            </w:pPr>
            <w:r w:rsidRPr="003317A6">
              <w:rPr>
                <w:rFonts w:ascii="Palatino Linotype" w:hAnsi="Palatino Linotype" w:cstheme="minorHAnsi"/>
                <w:sz w:val="18"/>
                <w:szCs w:val="18"/>
              </w:rPr>
              <w:t>DSM-IV</w:t>
            </w:r>
          </w:p>
        </w:tc>
        <w:tc>
          <w:tcPr>
            <w:tcW w:w="1170" w:type="dxa"/>
          </w:tcPr>
          <w:p w14:paraId="4F0352F6" w14:textId="43CDEC95"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4D928FE4" w14:textId="4DF9D656"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PCR-RFLP (</w:t>
            </w:r>
            <w:proofErr w:type="spellStart"/>
            <w:r w:rsidRPr="000D4D5D">
              <w:rPr>
                <w:rFonts w:ascii="Palatino Linotype" w:hAnsi="Palatino Linotype" w:cstheme="minorHAnsi"/>
                <w:sz w:val="18"/>
                <w:szCs w:val="18"/>
              </w:rPr>
              <w:t>HphI</w:t>
            </w:r>
            <w:proofErr w:type="spellEnd"/>
            <w:r w:rsidRPr="000D4D5D">
              <w:rPr>
                <w:rFonts w:ascii="Palatino Linotype" w:hAnsi="Palatino Linotype" w:cstheme="minorHAnsi"/>
                <w:sz w:val="18"/>
                <w:szCs w:val="18"/>
              </w:rPr>
              <w:t xml:space="preserve"> </w:t>
            </w:r>
            <w:r>
              <w:rPr>
                <w:rFonts w:ascii="Palatino Linotype" w:hAnsi="Palatino Linotype" w:cstheme="minorHAnsi"/>
                <w:sz w:val="18"/>
                <w:szCs w:val="18"/>
              </w:rPr>
              <w:t xml:space="preserve">for CYP2D6*10 and </w:t>
            </w:r>
            <w:r w:rsidRPr="000D4D5D">
              <w:rPr>
                <w:rFonts w:ascii="Palatino Linotype" w:hAnsi="Palatino Linotype" w:cstheme="minorHAnsi"/>
                <w:sz w:val="18"/>
                <w:szCs w:val="18"/>
              </w:rPr>
              <w:t>Bsp120I</w:t>
            </w:r>
            <w:r>
              <w:rPr>
                <w:rFonts w:ascii="Palatino Linotype" w:hAnsi="Palatino Linotype" w:cstheme="minorHAnsi"/>
                <w:sz w:val="18"/>
                <w:szCs w:val="18"/>
              </w:rPr>
              <w:t xml:space="preserve"> for CYP1A2*1F)</w:t>
            </w:r>
          </w:p>
        </w:tc>
        <w:tc>
          <w:tcPr>
            <w:tcW w:w="2382" w:type="dxa"/>
          </w:tcPr>
          <w:p w14:paraId="0AA70695" w14:textId="04A082A7"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Association between the T allele of CYP2D6*10 and C allele of CYP1A2 and TD</w:t>
            </w:r>
          </w:p>
        </w:tc>
        <w:tc>
          <w:tcPr>
            <w:tcW w:w="2382" w:type="dxa"/>
          </w:tcPr>
          <w:p w14:paraId="35205B52" w14:textId="40F12B97"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{"citationItems":[{"id":"ITEM-1","itemData":{"DOI":"10.1111/j.1745-7254.2006.00279.x","ISSN":"1671-4083","PMID":"16490169","abstract":"AIM To investigate the possible association of the CYP2D6 gene C100T polymorphism and the CYP1A2 gene C163A polymorphism with tardive dyskinesia (TD) in Chinese patients with schizophrenia. METHODS The recruited schizophrenic patients were assessed with the Abnormal Involuntary Movement Scale (AIMS), and divided into groups with TD (n=91) and without TD (n=91) according to the AIMS score. Polymorphisms of the CYP2D6 and CYP1A2 genes were determined by polymerase chain reaction (PCR)-restriction fragment length polymorphism (RFLP). RESULTS No allele frequencies deviated from Hardy-Weinberg equilibrium. No significant differences in genotypes frequencies of the CYP2D6 C100T polymorphism were observed between patients with TD and without TD (Chi2=4.078, P&gt;0.05), but patients with TD had a significant excess of the T allele compared with those without TD (Chi2=4.28, P&lt;0.05). Moreover, the frequency of the CYP1A2 C allele in patients with TD was significantly higher than that in those without TD (Chi2=6.38, P&lt;0.05). An association between TD and the CYP2D6 100T and CYP1A2 163C alleles was observed. Additionally, there were no differences in the mean AIMS scores among different genotypes in TD patients as a group or in smokers. The results of logistic regression analysis demonstrated that mean age and duration of illness were risk factors for TD, but not sex, cumulative exposure to neuroleptic drugs in years, CYP2D6 or CYP1A2 genotype. CONCLUSION The C100T polymorphism of the CYP2D6 gene and the C163A polymorphism of the CYP1A2 gene may be associated with neuroleptic drug-induced tardive dyskinesia in Chinese patients with schizophrenia. However, genetic factors have a weaker association with susceptibility to TD compared with mean age and duration of illness.","author":[{"dropping-particle":"","family":"Fu","given":"Yan","non-dropping-particle":"","parse-names":false,"suffix":""},{"dropping-particle":"","family":"Fan","given":"Chang-he","non-dropping-particle":"","parse-names":false,"suffix":""},{"dropping-particle":"","family":"Deng","given":"He-huang","non-dropping-particle":"","parse-names":false,"suffix":""},{"dropping-particle":"","family":"Hu","given":"San-hong","non-dropping-particle":"","parse-names":false,"suffix":""},{"dropping-particle":"","family":"Lv","given":"De-peng","non-dropping-particle":"","parse-names":false,"suffix":""},{"dropping-particle":"","family":"Li","given":"Li-hua","non-dropping-particle":"","parse-names":false,"suffix":""},{"dropping-particle":"","family":"Wang","given":"Jun-jie","non-dropping-particle":"","parse-names":false,"suffix":""},{"dropping-particle":"","family":"Lu","given":"Xin-qiao","non-dropping-particle":"","parse-names":false,"suffix":""}],"container-title":"Acta pharmacologica Sinica","id":"ITEM-1","issue":"3","issued":{"date-parts":[["2006","3"]]},"page":"328-32","title":"Association of CYP2D6 and CYP1A2 gene polymorphism with tardive dyskinesia in Chinese schizophrenic patients.","type":"article-journal","volume":"27"},"uris":["http://www.mendeley.com/documents/?uuid=5e3ee07c-2d08-38eb-92e5-b68e174bff65"]}],"mendeley":{"formattedCitation":"(Fu et al. 2006)","plainTextFormattedCitation":"(Fu et al. 2006)","previouslyFormattedCitation":"(Fu et al. 2006)"},"properties":{"noteIndex":0},"schema":"https://github.com/citation-style-language/schema/raw/master/csl-citation.json"}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(Fu et al. 2006)</w:t>
            </w:r>
            <w:r>
              <w:rPr>
                <w:rFonts w:ascii="Palatino Linotype" w:hAnsi="Palatino Linotype" w:cstheme="minorHAnsi"/>
                <w:sz w:val="18"/>
                <w:szCs w:val="18"/>
              </w:rPr>
              <w:fldChar w:fldCharType="end"/>
            </w:r>
          </w:p>
        </w:tc>
      </w:tr>
      <w:tr w:rsidR="000C64BA" w:rsidRPr="00A237AB" w14:paraId="6DAB064F" w14:textId="355C2A63" w:rsidTr="000C64BA">
        <w:tc>
          <w:tcPr>
            <w:tcW w:w="1056" w:type="dxa"/>
          </w:tcPr>
          <w:p w14:paraId="1A0401C3" w14:textId="3AF7B6BC"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 CYP1A2</w:t>
            </w:r>
          </w:p>
        </w:tc>
        <w:tc>
          <w:tcPr>
            <w:tcW w:w="1272" w:type="dxa"/>
          </w:tcPr>
          <w:p w14:paraId="553CEADD" w14:textId="77777777" w:rsidR="000C64BA" w:rsidRPr="001132EB" w:rsidRDefault="000C64BA" w:rsidP="000C64BA">
            <w:pPr>
              <w:rPr>
                <w:rFonts w:ascii="Palatino Linotype" w:hAnsi="Palatino Linotype" w:cstheme="minorHAnsi"/>
                <w:sz w:val="18"/>
                <w:szCs w:val="18"/>
              </w:rPr>
            </w:pPr>
            <w:r>
              <w:rPr>
                <w:rFonts w:ascii="Palatino Linotype" w:hAnsi="Palatino Linotype" w:cstheme="minorHAnsi"/>
                <w:sz w:val="18"/>
                <w:szCs w:val="18"/>
              </w:rPr>
              <w:t>CYP2D6*1,</w:t>
            </w:r>
            <w:r>
              <w:t xml:space="preserve"> *</w:t>
            </w:r>
            <w:r w:rsidRPr="001132EB">
              <w:rPr>
                <w:rFonts w:ascii="Palatino Linotype" w:hAnsi="Palatino Linotype" w:cstheme="minorHAnsi"/>
                <w:sz w:val="18"/>
                <w:szCs w:val="18"/>
              </w:rPr>
              <w:t>2, *3, *4,</w:t>
            </w:r>
          </w:p>
          <w:p w14:paraId="26C46664" w14:textId="1D0B0F42" w:rsidR="000C64BA" w:rsidRPr="00B55266" w:rsidRDefault="000C64BA" w:rsidP="000C64BA">
            <w:pPr>
              <w:rPr>
                <w:rFonts w:ascii="Palatino Linotype" w:hAnsi="Palatino Linotype" w:cstheme="minorHAnsi"/>
                <w:sz w:val="18"/>
                <w:szCs w:val="18"/>
              </w:rPr>
            </w:pPr>
            <w:r w:rsidRPr="001132EB">
              <w:rPr>
                <w:rFonts w:ascii="Palatino Linotype" w:hAnsi="Palatino Linotype" w:cstheme="minorHAnsi"/>
                <w:sz w:val="18"/>
                <w:szCs w:val="18"/>
              </w:rPr>
              <w:t>*5, *6, *9, *10, *17, *29</w:t>
            </w:r>
            <w:r>
              <w:rPr>
                <w:rFonts w:ascii="Palatino Linotype" w:hAnsi="Palatino Linotype" w:cstheme="minorHAnsi"/>
                <w:sz w:val="18"/>
                <w:szCs w:val="18"/>
              </w:rPr>
              <w:t xml:space="preserve">, </w:t>
            </w:r>
            <w:r w:rsidRPr="001132EB">
              <w:rPr>
                <w:rFonts w:ascii="Palatino Linotype" w:hAnsi="Palatino Linotype" w:cstheme="minorHAnsi"/>
                <w:sz w:val="18"/>
                <w:szCs w:val="18"/>
              </w:rPr>
              <w:t>*41</w:t>
            </w:r>
            <w:r>
              <w:rPr>
                <w:rFonts w:ascii="Palatino Linotype" w:hAnsi="Palatino Linotype" w:cstheme="minorHAnsi"/>
                <w:sz w:val="18"/>
                <w:szCs w:val="18"/>
              </w:rPr>
              <w:t xml:space="preserve">, </w:t>
            </w:r>
            <w:r w:rsidRPr="00AB5C19">
              <w:rPr>
                <w:rFonts w:ascii="Palatino Linotype" w:hAnsi="Palatino Linotype" w:cstheme="minorHAnsi"/>
                <w:sz w:val="18"/>
                <w:szCs w:val="18"/>
              </w:rPr>
              <w:t>CYP1A2*1F</w:t>
            </w:r>
          </w:p>
        </w:tc>
        <w:tc>
          <w:tcPr>
            <w:tcW w:w="1206" w:type="dxa"/>
          </w:tcPr>
          <w:p w14:paraId="5798C7EB" w14:textId="4C550AD4" w:rsidR="000C64BA" w:rsidRDefault="000C64BA" w:rsidP="000C64BA">
            <w:pPr>
              <w:rPr>
                <w:rFonts w:ascii="Palatino Linotype" w:hAnsi="Palatino Linotype" w:cstheme="minorHAnsi"/>
                <w:sz w:val="18"/>
                <w:szCs w:val="18"/>
              </w:rPr>
            </w:pPr>
            <w:r w:rsidRPr="00CD1D67">
              <w:rPr>
                <w:rFonts w:ascii="Palatino Linotype" w:hAnsi="Palatino Linotype"/>
                <w:sz w:val="18"/>
                <w:szCs w:val="18"/>
              </w:rPr>
              <w:t>olanzapine, quetiapine, risperidone, ziprasidone and perphenazine</w:t>
            </w:r>
          </w:p>
        </w:tc>
        <w:tc>
          <w:tcPr>
            <w:tcW w:w="924" w:type="dxa"/>
          </w:tcPr>
          <w:p w14:paraId="1B3A680D" w14:textId="758D352A" w:rsidR="000C64BA" w:rsidRPr="00B55266" w:rsidRDefault="000C64BA" w:rsidP="000C64BA">
            <w:pPr>
              <w:rPr>
                <w:rFonts w:ascii="Palatino Linotype" w:hAnsi="Palatino Linotype" w:cstheme="minorHAnsi"/>
                <w:sz w:val="18"/>
                <w:szCs w:val="18"/>
              </w:rPr>
            </w:pPr>
            <w:r w:rsidRPr="00CD1D67">
              <w:rPr>
                <w:rFonts w:ascii="Palatino Linotype" w:hAnsi="Palatino Linotype"/>
                <w:sz w:val="18"/>
                <w:szCs w:val="18"/>
              </w:rPr>
              <w:t>750</w:t>
            </w:r>
            <w:r>
              <w:rPr>
                <w:rFonts w:ascii="Palatino Linotype" w:hAnsi="Palatino Linotype"/>
                <w:sz w:val="18"/>
                <w:szCs w:val="18"/>
              </w:rPr>
              <w:t xml:space="preserve"> (180 with TD)</w:t>
            </w:r>
          </w:p>
        </w:tc>
        <w:tc>
          <w:tcPr>
            <w:tcW w:w="1236" w:type="dxa"/>
          </w:tcPr>
          <w:p w14:paraId="2AB680DB" w14:textId="453D7768"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Caucasian</w:t>
            </w:r>
            <w:r w:rsidRPr="00CD1D67">
              <w:rPr>
                <w:rFonts w:ascii="Palatino Linotype" w:hAnsi="Palatino Linotype" w:cstheme="minorHAnsi"/>
                <w:sz w:val="18"/>
                <w:szCs w:val="18"/>
              </w:rPr>
              <w:t>, African American</w:t>
            </w:r>
          </w:p>
        </w:tc>
        <w:tc>
          <w:tcPr>
            <w:tcW w:w="1710" w:type="dxa"/>
          </w:tcPr>
          <w:p w14:paraId="367A2BFF" w14:textId="621AA107" w:rsidR="000C64BA" w:rsidRPr="00B55266" w:rsidRDefault="000C64BA" w:rsidP="000C64BA">
            <w:pPr>
              <w:rPr>
                <w:rFonts w:ascii="Palatino Linotype" w:hAnsi="Palatino Linotype" w:cstheme="minorHAnsi"/>
                <w:sz w:val="18"/>
                <w:szCs w:val="18"/>
              </w:rPr>
            </w:pPr>
            <w:r w:rsidRPr="00CD1D67">
              <w:rPr>
                <w:rFonts w:ascii="Palatino Linotype" w:hAnsi="Palatino Linotype"/>
                <w:sz w:val="18"/>
                <w:szCs w:val="18"/>
              </w:rPr>
              <w:t>Schizophrenia</w:t>
            </w:r>
            <w:r>
              <w:rPr>
                <w:rFonts w:ascii="Palatino Linotype" w:hAnsi="Palatino Linotype"/>
                <w:sz w:val="18"/>
                <w:szCs w:val="18"/>
              </w:rPr>
              <w:t xml:space="preserve"> </w:t>
            </w:r>
          </w:p>
        </w:tc>
        <w:tc>
          <w:tcPr>
            <w:tcW w:w="1080" w:type="dxa"/>
          </w:tcPr>
          <w:p w14:paraId="07F6B8B2" w14:textId="32A077FD"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1F183D16" w14:textId="5127F4B5" w:rsidR="000C64BA" w:rsidRDefault="000C64BA" w:rsidP="000C64BA">
            <w:pPr>
              <w:rPr>
                <w:rFonts w:ascii="Palatino Linotype" w:hAnsi="Palatino Linotype" w:cstheme="minorHAnsi"/>
                <w:sz w:val="18"/>
                <w:szCs w:val="18"/>
              </w:rPr>
            </w:pPr>
            <w:r w:rsidRPr="00D340B9">
              <w:rPr>
                <w:rFonts w:ascii="Palatino Linotype" w:hAnsi="Palatino Linotype" w:cstheme="minorHAnsi"/>
                <w:sz w:val="18"/>
                <w:szCs w:val="18"/>
              </w:rPr>
              <w:t>Schooler-Kane criteria</w:t>
            </w:r>
          </w:p>
        </w:tc>
        <w:tc>
          <w:tcPr>
            <w:tcW w:w="1260" w:type="dxa"/>
          </w:tcPr>
          <w:p w14:paraId="7FEC4636" w14:textId="04E3AEC1" w:rsidR="000C64BA" w:rsidRPr="00B55266" w:rsidRDefault="000C64BA" w:rsidP="000C64BA">
            <w:pPr>
              <w:rPr>
                <w:rFonts w:ascii="Palatino Linotype" w:hAnsi="Palatino Linotype" w:cstheme="minorHAnsi"/>
                <w:sz w:val="18"/>
                <w:szCs w:val="18"/>
              </w:rPr>
            </w:pPr>
            <w:r w:rsidRPr="00AB5C19">
              <w:rPr>
                <w:rFonts w:ascii="Palatino Linotype" w:hAnsi="Palatino Linotype" w:cstheme="minorHAnsi"/>
                <w:sz w:val="18"/>
                <w:szCs w:val="18"/>
              </w:rPr>
              <w:t>TaqMan</w:t>
            </w:r>
          </w:p>
        </w:tc>
        <w:tc>
          <w:tcPr>
            <w:tcW w:w="2382" w:type="dxa"/>
          </w:tcPr>
          <w:p w14:paraId="264E81ED" w14:textId="2DB3E447"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 xml:space="preserve">No association between </w:t>
            </w:r>
            <w:r w:rsidRPr="00BD4E29">
              <w:rPr>
                <w:rFonts w:ascii="Palatino Linotype" w:hAnsi="Palatino Linotype" w:cstheme="minorHAnsi"/>
                <w:sz w:val="18"/>
                <w:szCs w:val="18"/>
              </w:rPr>
              <w:t>CYP2D6</w:t>
            </w:r>
            <w:r>
              <w:rPr>
                <w:rFonts w:ascii="Palatino Linotype" w:hAnsi="Palatino Linotype" w:cstheme="minorHAnsi"/>
                <w:sz w:val="18"/>
                <w:szCs w:val="18"/>
              </w:rPr>
              <w:t xml:space="preserve"> and CYP1A2 and TD</w:t>
            </w:r>
          </w:p>
        </w:tc>
        <w:tc>
          <w:tcPr>
            <w:tcW w:w="2382" w:type="dxa"/>
          </w:tcPr>
          <w:p w14:paraId="2BD2EA63" w14:textId="54DCB717"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{"citationItems":[{"id":"ITEM-1","itemData":{"DOI":"10.1097/GIM.0b013e3181863239","ISSN":"1530-0366","PMID":"18813134","abstract":"PURPOSE To evaluate systematically in real clinical settings whether functional genetic variations in drug metabolizing enzymes influence optimized doses, efficacy, and safety of antipsychotic medications. METHODS DNA was collected from 750 patients with chronic schizophrenia treated with five antipsychotic drugs (olanzapine, quetiapine, risperidone, ziprasidone, and perphenazine) as part of the Clinical Antipsychotic Trials of Intervention Effectiveness study. Doses for each of the medicines were optimized to 1, 2, 3, or 4x units in identically appearing capsules in a double-blind design. We analyzed 25 known functional genetic variants in the major and minor metabolizing enzymes for each medication. These variants were tested for association with optimized dose and other relevant clinical outcomes. RESULTS None of the tested variants showed a nominally significant main effect in association with any of the tested phenotypes in European-Americans, African-Americans, or all patients. Even after accounting for potential covariates, no genetic variant was found to be associated with dosing, efficacy, overall tolerability, or tardive dyskinesia. CONCLUSION There are no strong associations between common functional genetic variants in drug metabolizing enzymes and dosing, safety, or efficacy of leading antipsychotics, strongly suggesting merely modest effects on the use of these medicines in most patients in typical clinical settings.","author":[{"dropping-particle":"","family":"Grossman","given":"Iris","non-dropping-particle":"","parse-names":false,"suffix":""},{"dropping-particle":"","family":"Sullivan","given":"Patrick F","non-dropping-particle":"","parse-names":false,"suffix":""},{"dropping-particle":"","family":"Walley","given":"Nicole","non-dropping-particle":"","parse-names":false,"suffix":""},{"dropping-particle":"","family":"Liu","given":"Youfang","non-dropping-particle":"","parse-names":false,"suffix":""},{"dropping-particle":"","family":"Dawson","given":"Jeffrey R","non-dropping-particle":"","parse-names":false,"suffix":""},{"dropping-particle":"","family":"Gumbs","given":"Curtis","non-dropping-particle":"","parse-names":false,"suffix":""},{"dropping-particle":"","family":"Gaedigk","given":"Andrea","non-dropping-particle":"","parse-names":false,"suffix":""},{"dropping-particle":"","family":"Leeder","given":"J Steven","non-dropping-particle":"","parse-names":false,"suffix":""},{"dropping-particle":"","family":"McEvoy","given":"Joseph P","non-dropping-particle":"","parse-names":false,"suffix":""},{"dropping-particle":"","family":"Weale","given":"Michael E","non-dropping-particle":"","parse-names":false,"suffix":""},{"dropping-particle":"","family":"Goldstein","given":"David B","non-dropping-particle":"","parse-names":false,"suffix":""}],"container-title":"Genetics in medicine : official journal of the American College of Medical Genetics","id":"ITEM-1","issue":"10","issued":{"date-parts":[["2008","10"]]},"page":"720-9","publisher":"Genet Med","title":"Genetic determinants of variable metabolism have little impact on the clinical use of leading antipsychotics in the CATIE study.","type":"article-journal","volume":"10"},"uris":["http://www.mendeley.com/documents/?uuid=bdef0282-7791-3638-bb67-a73841a45444"]}],"mendeley":{"formattedCitation":"(Grossman et al. 2008)","plainTextFormattedCitation":"(Grossman et al. 2008)","previouslyFormattedCitation":"(Grossman et al. 2008)"},"properties":{"noteIndex":0},"schema":"https://github.com/citation-style-language/schema/raw/master/csl-citation.json"}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(Grossman et al. 2008)</w:t>
            </w:r>
            <w:r>
              <w:rPr>
                <w:rFonts w:ascii="Palatino Linotype" w:hAnsi="Palatino Linotype" w:cstheme="minorHAnsi"/>
                <w:sz w:val="18"/>
                <w:szCs w:val="18"/>
              </w:rPr>
              <w:fldChar w:fldCharType="end"/>
            </w:r>
          </w:p>
        </w:tc>
      </w:tr>
      <w:tr w:rsidR="000C64BA" w:rsidRPr="00A237AB" w14:paraId="2F0A8763" w14:textId="5576AA4F" w:rsidTr="000C64BA">
        <w:tc>
          <w:tcPr>
            <w:tcW w:w="1056" w:type="dxa"/>
          </w:tcPr>
          <w:p w14:paraId="76747DA3" w14:textId="095FB161" w:rsidR="000C64BA" w:rsidRPr="000F3F98" w:rsidRDefault="000C64BA" w:rsidP="000C64BA">
            <w:pPr>
              <w:rPr>
                <w:rFonts w:ascii="Palatino Linotype" w:hAnsi="Palatino Linotype" w:cstheme="minorHAnsi"/>
                <w:i/>
                <w:iCs/>
                <w:sz w:val="18"/>
                <w:szCs w:val="18"/>
              </w:rPr>
            </w:pPr>
            <w:r w:rsidRPr="000F3F98">
              <w:rPr>
                <w:rFonts w:ascii="Palatino Linotype" w:hAnsi="Palatino Linotype"/>
                <w:i/>
                <w:iCs/>
                <w:sz w:val="18"/>
                <w:szCs w:val="18"/>
              </w:rPr>
              <w:t>CYP2D6</w:t>
            </w:r>
          </w:p>
        </w:tc>
        <w:tc>
          <w:tcPr>
            <w:tcW w:w="1272" w:type="dxa"/>
          </w:tcPr>
          <w:p w14:paraId="5A0720ED" w14:textId="77777777" w:rsidR="000C64BA" w:rsidRPr="00662454" w:rsidRDefault="000C64BA" w:rsidP="000C64BA">
            <w:pPr>
              <w:rPr>
                <w:rFonts w:ascii="Palatino Linotype" w:hAnsi="Palatino Linotype"/>
                <w:sz w:val="18"/>
                <w:szCs w:val="18"/>
              </w:rPr>
            </w:pPr>
            <w:r w:rsidRPr="00662454">
              <w:rPr>
                <w:rFonts w:ascii="Palatino Linotype" w:hAnsi="Palatino Linotype"/>
                <w:sz w:val="18"/>
                <w:szCs w:val="18"/>
              </w:rPr>
              <w:t>CYP2D6*2,</w:t>
            </w:r>
          </w:p>
          <w:p w14:paraId="6E04D5E4" w14:textId="5E870607" w:rsidR="000C64BA" w:rsidRPr="00B55266" w:rsidRDefault="000C64BA" w:rsidP="000C64BA">
            <w:pPr>
              <w:rPr>
                <w:rFonts w:ascii="Palatino Linotype" w:hAnsi="Palatino Linotype" w:cstheme="minorHAnsi"/>
                <w:sz w:val="18"/>
                <w:szCs w:val="18"/>
              </w:rPr>
            </w:pPr>
            <w:r w:rsidRPr="00662454">
              <w:rPr>
                <w:rFonts w:ascii="Palatino Linotype" w:hAnsi="Palatino Linotype"/>
                <w:sz w:val="18"/>
                <w:szCs w:val="18"/>
              </w:rPr>
              <w:t>CYP2D6*3, CYP2D6*4, CYP2D6*10, and CYP2D6*12</w:t>
            </w:r>
          </w:p>
        </w:tc>
        <w:tc>
          <w:tcPr>
            <w:tcW w:w="1206" w:type="dxa"/>
          </w:tcPr>
          <w:p w14:paraId="4A8E7973" w14:textId="7CFF23E4"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Neuroleptics </w:t>
            </w:r>
          </w:p>
        </w:tc>
        <w:tc>
          <w:tcPr>
            <w:tcW w:w="924" w:type="dxa"/>
          </w:tcPr>
          <w:p w14:paraId="56D600BA" w14:textId="6310CA80" w:rsidR="000C64BA" w:rsidRPr="00B55266" w:rsidRDefault="000C64BA" w:rsidP="000C64BA">
            <w:pPr>
              <w:rPr>
                <w:rFonts w:ascii="Palatino Linotype" w:hAnsi="Palatino Linotype" w:cstheme="minorHAnsi"/>
                <w:sz w:val="18"/>
                <w:szCs w:val="18"/>
              </w:rPr>
            </w:pPr>
            <w:r>
              <w:rPr>
                <w:rFonts w:ascii="Palatino Linotype" w:hAnsi="Palatino Linotype"/>
                <w:sz w:val="18"/>
                <w:szCs w:val="18"/>
              </w:rPr>
              <w:t xml:space="preserve">309 (41 with TD) and </w:t>
            </w:r>
            <w:r w:rsidRPr="00662454">
              <w:rPr>
                <w:rFonts w:ascii="Palatino Linotype" w:hAnsi="Palatino Linotype"/>
                <w:sz w:val="18"/>
                <w:szCs w:val="18"/>
              </w:rPr>
              <w:t>196 controls</w:t>
            </w:r>
          </w:p>
        </w:tc>
        <w:tc>
          <w:tcPr>
            <w:tcW w:w="1236" w:type="dxa"/>
          </w:tcPr>
          <w:p w14:paraId="6AE6B224" w14:textId="16358744"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Japanese </w:t>
            </w:r>
          </w:p>
        </w:tc>
        <w:tc>
          <w:tcPr>
            <w:tcW w:w="1710" w:type="dxa"/>
          </w:tcPr>
          <w:p w14:paraId="2F4CEF5D" w14:textId="1E92EB5C" w:rsidR="000C64BA" w:rsidRPr="00B55266" w:rsidRDefault="000C64BA" w:rsidP="000C64BA">
            <w:pPr>
              <w:rPr>
                <w:rFonts w:ascii="Palatino Linotype" w:hAnsi="Palatino Linotype" w:cstheme="minorHAnsi"/>
                <w:sz w:val="18"/>
                <w:szCs w:val="18"/>
              </w:rPr>
            </w:pPr>
            <w:r w:rsidRPr="00662454">
              <w:rPr>
                <w:rFonts w:ascii="Palatino Linotype" w:hAnsi="Palatino Linotype"/>
                <w:sz w:val="18"/>
                <w:szCs w:val="18"/>
              </w:rPr>
              <w:t>Schizophreni</w:t>
            </w:r>
            <w:r>
              <w:rPr>
                <w:rFonts w:ascii="Palatino Linotype" w:hAnsi="Palatino Linotype"/>
                <w:sz w:val="18"/>
                <w:szCs w:val="18"/>
              </w:rPr>
              <w:t>a</w:t>
            </w:r>
          </w:p>
        </w:tc>
        <w:tc>
          <w:tcPr>
            <w:tcW w:w="1080" w:type="dxa"/>
          </w:tcPr>
          <w:p w14:paraId="358785FF" w14:textId="055BEFFB" w:rsidR="000C64BA" w:rsidRPr="00B55266" w:rsidRDefault="000C64BA" w:rsidP="000C64BA">
            <w:pPr>
              <w:rPr>
                <w:rFonts w:ascii="Palatino Linotype" w:hAnsi="Palatino Linotype" w:cstheme="minorHAnsi"/>
                <w:sz w:val="18"/>
                <w:szCs w:val="18"/>
              </w:rPr>
            </w:pPr>
            <w:r w:rsidRPr="00687ECD">
              <w:rPr>
                <w:rFonts w:ascii="Palatino Linotype" w:hAnsi="Palatino Linotype"/>
                <w:sz w:val="18"/>
                <w:szCs w:val="18"/>
              </w:rPr>
              <w:t>DSM-III-R</w:t>
            </w:r>
          </w:p>
        </w:tc>
        <w:tc>
          <w:tcPr>
            <w:tcW w:w="1170" w:type="dxa"/>
          </w:tcPr>
          <w:p w14:paraId="2B2C5EDB" w14:textId="33123591"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Japanese version of AIMS</w:t>
            </w:r>
          </w:p>
        </w:tc>
        <w:tc>
          <w:tcPr>
            <w:tcW w:w="1260" w:type="dxa"/>
          </w:tcPr>
          <w:p w14:paraId="603FBB84" w14:textId="5C9DDD28"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PCR-RFLP</w:t>
            </w:r>
          </w:p>
        </w:tc>
        <w:tc>
          <w:tcPr>
            <w:tcW w:w="2382" w:type="dxa"/>
          </w:tcPr>
          <w:p w14:paraId="0809AD7E" w14:textId="2F3A2D6F"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 xml:space="preserve">No association between </w:t>
            </w:r>
            <w:r w:rsidRPr="00BD4E29">
              <w:rPr>
                <w:rFonts w:ascii="Palatino Linotype" w:hAnsi="Palatino Linotype" w:cstheme="minorHAnsi"/>
                <w:sz w:val="18"/>
                <w:szCs w:val="18"/>
              </w:rPr>
              <w:t>CYP2D6</w:t>
            </w:r>
            <w:r>
              <w:rPr>
                <w:rFonts w:ascii="Palatino Linotype" w:hAnsi="Palatino Linotype" w:cstheme="minorHAnsi"/>
                <w:sz w:val="18"/>
                <w:szCs w:val="18"/>
              </w:rPr>
              <w:t xml:space="preserve"> alleles and TD</w:t>
            </w:r>
          </w:p>
        </w:tc>
        <w:tc>
          <w:tcPr>
            <w:tcW w:w="2382" w:type="dxa"/>
          </w:tcPr>
          <w:p w14:paraId="44708A71" w14:textId="4DE48AF9"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{"citationItems":[{"id":"ITEM-1","itemData":{"DOI":"10.1097/00041444-200309000-00005","ISSN":"0955-8829","PMID":"12960748","abstract":"OBJECTIVE The purpose of this study was to examine whether the neuroleptic-induced extrapyramidal symptoms are associated with the CYP2D6 activity. METHODS The CYP2D6 gene polymorphisms (CYP2D6*2, CYP2D6*3, CYP2D6*4, CYP2D6*10, and CYP2D6*12) were genotyped in 196 normal controls and 320 schizophrenic patients receiving neuroleptics. The relationships with susceptibility to extrapyramidal symptoms (EPS) and tardive dyskinesia, and with steady-state serum haloperidol levels in maintenance therapy, were investigated. RESULTS The allele frequency of CYP2D6*2 was significantly higher, while that of CYP2D6*10 tended to be higher in the schizophrenic patients susceptible to acute EPS. The steady-state serum haloperidol levels per daily dosage were observed to be significantly higher in schizophrenic patients with the mutant-type homozygote of CYP2D6*2, while this difference was trend level in those of CYP2D6*10. However, no significant difference was observed in the distribution of both CYP2D6*2 (C2938T) and CYP2D6*10 (C188T) polymorphisms between schizophrenic patients with or without tardive dyskinesia. CONCLUSION The present results suggest that the homozygotes of CYP2D6*2 and CYP2D6*10 appear to be a susceptibility factor for developing acute EPS in schizophrenic patients and for impaired neuroleptic metabolism in Japanese schizophrenic patients.","author":[{"dropping-particle":"","family":"Inada","given":"Toshiya","non-dropping-particle":"","parse-names":false,"suffix":""},{"dropping-particle":"","family":"Senoo","given":"Hisashi","non-dropping-particle":"","parse-names":false,"suffix":""},{"dropping-particle":"","family":"Iijima","given":"Yoshimi","non-dropping-particle":"","parse-names":false,"suffix":""},{"dropping-particle":"","family":"Yamauchi","given":"Tadamitsu","non-dropping-particle":"","parse-names":false,"suffix":""},{"dropping-particle":"","family":"Yagi","given":"Gohei","non-dropping-particle":"","parse-names":false,"suffix":""}],"container-title":"Psychiatric genetics","id":"ITEM-1","issue":"3","issued":{"date-parts":[["2003","9"]]},"page":"163-8","publisher":"Psychiatr Genet","title":"Cytochrome P450 II D6 gene polymorphisms and the neuroleptic-induced extrapyramidal symptoms in Japanese schizophrenic patients.","type":"article-journal","volume":"13"},"uris":["http://www.mendeley.com/documents/?uuid=2ff0a95c-be91-32fe-84d9-678c145cc3ee"]}],"mendeley":{"formattedCitation":"(Inada et al. 2003)","plainTextFormattedCitation":"(Inada et al. 2003)","previouslyFormattedCitation":"(Inada et al. 2003)"},"properties":{"noteIndex":0},"schema":"https://github.com/citation-style-language/schema/raw/master/csl-citation.json"}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(Inada et al. 2003)</w:t>
            </w:r>
            <w:r>
              <w:rPr>
                <w:rFonts w:ascii="Palatino Linotype" w:hAnsi="Palatino Linotype" w:cstheme="minorHAnsi"/>
                <w:sz w:val="18"/>
                <w:szCs w:val="18"/>
              </w:rPr>
              <w:fldChar w:fldCharType="end"/>
            </w:r>
          </w:p>
        </w:tc>
      </w:tr>
      <w:tr w:rsidR="000C64BA" w:rsidRPr="00A237AB" w14:paraId="7A8661A4" w14:textId="2C7BE08D" w:rsidTr="000C64BA">
        <w:tc>
          <w:tcPr>
            <w:tcW w:w="1056" w:type="dxa"/>
          </w:tcPr>
          <w:p w14:paraId="41F8A53A" w14:textId="10E6561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CYP17</w:t>
            </w:r>
          </w:p>
        </w:tc>
        <w:tc>
          <w:tcPr>
            <w:tcW w:w="1272" w:type="dxa"/>
          </w:tcPr>
          <w:p w14:paraId="7AE767C0" w14:textId="3B4F90F6"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rs743572</w:t>
            </w:r>
          </w:p>
        </w:tc>
        <w:tc>
          <w:tcPr>
            <w:tcW w:w="1206" w:type="dxa"/>
          </w:tcPr>
          <w:p w14:paraId="1A842E1C" w14:textId="7678FEBC"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NA</w:t>
            </w:r>
          </w:p>
        </w:tc>
        <w:tc>
          <w:tcPr>
            <w:tcW w:w="924" w:type="dxa"/>
          </w:tcPr>
          <w:p w14:paraId="5BE9974D" w14:textId="1AD17C8B" w:rsidR="000C64BA" w:rsidRPr="00B55266" w:rsidRDefault="000C64BA" w:rsidP="000C64BA">
            <w:pPr>
              <w:rPr>
                <w:rFonts w:ascii="Palatino Linotype" w:hAnsi="Palatino Linotype" w:cstheme="minorHAnsi"/>
                <w:sz w:val="18"/>
                <w:szCs w:val="18"/>
              </w:rPr>
            </w:pPr>
            <w:r>
              <w:rPr>
                <w:rFonts w:ascii="Palatino Linotype" w:hAnsi="Palatino Linotype"/>
                <w:sz w:val="18"/>
                <w:szCs w:val="18"/>
              </w:rPr>
              <w:t>146</w:t>
            </w:r>
          </w:p>
        </w:tc>
        <w:tc>
          <w:tcPr>
            <w:tcW w:w="1236" w:type="dxa"/>
          </w:tcPr>
          <w:p w14:paraId="2B5E487B" w14:textId="71A398EA"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 (Siberia</w:t>
            </w:r>
            <w:r>
              <w:rPr>
                <w:rFonts w:ascii="Palatino Linotype" w:hAnsi="Palatino Linotype" w:cstheme="minorHAnsi"/>
                <w:sz w:val="18"/>
                <w:szCs w:val="18"/>
              </w:rPr>
              <w:t>n</w:t>
            </w:r>
            <w:r w:rsidRPr="006A1E5F">
              <w:rPr>
                <w:rFonts w:ascii="Palatino Linotype" w:hAnsi="Palatino Linotype" w:cstheme="minorHAnsi"/>
                <w:sz w:val="18"/>
                <w:szCs w:val="18"/>
              </w:rPr>
              <w:t>)</w:t>
            </w:r>
          </w:p>
        </w:tc>
        <w:tc>
          <w:tcPr>
            <w:tcW w:w="1710" w:type="dxa"/>
          </w:tcPr>
          <w:p w14:paraId="5B0F528D" w14:textId="2C2E4098" w:rsidR="000C64BA" w:rsidRPr="00B55266" w:rsidRDefault="000C64BA" w:rsidP="000C64BA">
            <w:pPr>
              <w:rPr>
                <w:rFonts w:ascii="Palatino Linotype" w:hAnsi="Palatino Linotype" w:cstheme="minorHAnsi"/>
                <w:sz w:val="18"/>
                <w:szCs w:val="18"/>
              </w:rPr>
            </w:pPr>
            <w:r w:rsidRPr="003C33CF">
              <w:rPr>
                <w:rFonts w:ascii="Palatino Linotype" w:hAnsi="Palatino Linotype" w:cstheme="minorHAnsi"/>
                <w:sz w:val="18"/>
                <w:szCs w:val="18"/>
              </w:rPr>
              <w:t>schizophrenia or</w:t>
            </w:r>
            <w:r>
              <w:rPr>
                <w:rFonts w:ascii="Palatino Linotype" w:hAnsi="Palatino Linotype" w:cstheme="minorHAnsi"/>
                <w:sz w:val="18"/>
                <w:szCs w:val="18"/>
              </w:rPr>
              <w:t xml:space="preserve"> </w:t>
            </w:r>
            <w:r w:rsidRPr="003C33CF">
              <w:rPr>
                <w:rFonts w:ascii="Palatino Linotype" w:hAnsi="Palatino Linotype" w:cstheme="minorHAnsi"/>
                <w:sz w:val="18"/>
                <w:szCs w:val="18"/>
              </w:rPr>
              <w:t>schizotypal disorder</w:t>
            </w:r>
          </w:p>
        </w:tc>
        <w:tc>
          <w:tcPr>
            <w:tcW w:w="1080" w:type="dxa"/>
          </w:tcPr>
          <w:p w14:paraId="75DECA14" w14:textId="0570DD2A" w:rsidR="000C64BA" w:rsidRPr="00B55266" w:rsidRDefault="000C64BA" w:rsidP="000C64BA">
            <w:pPr>
              <w:rPr>
                <w:rFonts w:ascii="Palatino Linotype" w:hAnsi="Palatino Linotype" w:cstheme="minorHAnsi"/>
                <w:sz w:val="18"/>
                <w:szCs w:val="18"/>
              </w:rPr>
            </w:pPr>
            <w:r w:rsidRPr="003C33CF">
              <w:rPr>
                <w:rFonts w:ascii="Palatino Linotype" w:hAnsi="Palatino Linotype" w:cstheme="minorHAnsi"/>
                <w:sz w:val="18"/>
                <w:szCs w:val="18"/>
              </w:rPr>
              <w:t>ICD-10</w:t>
            </w:r>
          </w:p>
        </w:tc>
        <w:tc>
          <w:tcPr>
            <w:tcW w:w="1170" w:type="dxa"/>
          </w:tcPr>
          <w:p w14:paraId="7EFB5FD1" w14:textId="55E154D8"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0C97CD30" w14:textId="4080D256"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T</w:t>
            </w:r>
            <w:r w:rsidRPr="00916E14">
              <w:rPr>
                <w:rFonts w:ascii="Palatino Linotype" w:hAnsi="Palatino Linotype" w:cstheme="minorHAnsi"/>
                <w:sz w:val="18"/>
                <w:szCs w:val="18"/>
              </w:rPr>
              <w:t>aqMan</w:t>
            </w:r>
            <w:r>
              <w:rPr>
                <w:rFonts w:ascii="Palatino Linotype" w:hAnsi="Palatino Linotype" w:cstheme="minorHAnsi"/>
                <w:sz w:val="18"/>
                <w:szCs w:val="18"/>
              </w:rPr>
              <w:t xml:space="preserve"> </w:t>
            </w:r>
            <w:r w:rsidRPr="00916E14">
              <w:rPr>
                <w:rFonts w:ascii="Palatino Linotype" w:hAnsi="Palatino Linotype" w:cstheme="minorHAnsi"/>
                <w:sz w:val="18"/>
                <w:szCs w:val="18"/>
              </w:rPr>
              <w:t>assay</w:t>
            </w:r>
          </w:p>
        </w:tc>
        <w:tc>
          <w:tcPr>
            <w:tcW w:w="2382" w:type="dxa"/>
          </w:tcPr>
          <w:p w14:paraId="36A77272" w14:textId="29120E5A"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Association between rs743572 CC genotype and lower risk for</w:t>
            </w:r>
            <w:r w:rsidRPr="00493446">
              <w:rPr>
                <w:rFonts w:ascii="Palatino Linotype" w:hAnsi="Palatino Linotype" w:cstheme="minorHAnsi"/>
                <w:sz w:val="18"/>
                <w:szCs w:val="18"/>
              </w:rPr>
              <w:t xml:space="preserve"> TD</w:t>
            </w:r>
          </w:p>
        </w:tc>
        <w:tc>
          <w:tcPr>
            <w:tcW w:w="2382" w:type="dxa"/>
          </w:tcPr>
          <w:p w14:paraId="27625059" w14:textId="16247AA9"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{"citationItems":[{"id":"ITEM-1","itemData":{"DOI":"10.1016/j.pnpbp.2013.12.015","ISSN":"1878-4216","PMID":"24389397","abstract":"BACKGROUND Tardive dyskinesia (TD) is a potentially irreversible consequence of long term treatment with antipsychotic drugs which is according to a well-known theory believed to be related to oxidative stress induced neurotoxicity. Dehydroepiandrosterone (DHEA) is an endogenous antioxidant with neuroprotective activity. The biosynthesis of DHEA depends upon the activity of cytochrome P450c17α (CYP17). The gene that encodes for CYP17 has a (T34C) single nucleotide polymorphism which enhances CYP17 transcription and expression. OBJECTIVE To test the hypothesis that carriership of a more active CYP17 variant would result in higher DHEA(S) levels and protect against neurotoxicity which results in orofaciolingual TD (TDof), limb-truncal TD (TDlt) or both (TDsum). METHOD Tardive dyskinesia was assessed cross-sectionally in 146 Caucasian psychiatric inpatients from Siberia. RESULTS Patients who are carriers of the Cyp17 genotype CC have less chance of developing TD compared to patients who are carriers of the Cyp17 genotypes TC or TT (p&lt;0.05). However, these carriers have significant lower circulating DHEAS levels compared to carriers of the Cyp17 genotypes TC and TT (p&lt;0.05). Conversely, carriers of the CYP17 T-allele have significant elevated DHEAS levels. After correcting for gender and age no significant relationship between Cyp17 genotype CC, the T-allelle and the C-allele and the DHEAS concentration of patients was observed. CONCLUSIONS Although an association between the CYP17 CC genotype and TD is indicated, our findings do not support the hypothesis that this is mediated through increased DHEA(S) levels. We believe that the relationship between this polymorphism and neuroprotective effects of steroids is more complex and cannot be elucidated without taking the posttranslational regulation of the enzyme into account.","author":[{"dropping-particle":"","family":"Ivanova","given":"Svetlana A","non-dropping-particle":"","parse-names":false,"suffix":""},{"dropping-particle":"","family":"Geers","given":"Lisanne M","non-dropping-particle":"","parse-names":false,"suffix":""},{"dropping-particle":"","family":"Hadithy","given":"Asmar F Y","non-dropping-particle":"Al","parse-names":false,"suffix":""},{"dropping-particle":"","family":"Pechlivanoglou","given":"Petros","non-dropping-particle":"","parse-names":false,"suffix":""},{"dropping-particle":"V","family":"Semke","given":"Arkadiy","non-dropping-particle":"","parse-names":false,"suffix":""},{"dropping-particle":"","family":"Vyalova","given":"Natalia M","non-dropping-particle":"","parse-names":false,"suffix":""},{"dropping-particle":"V","family":"Rudikov","given":"Evgeniy","non-dropping-particle":"","parse-names":false,"suffix":""},{"dropping-particle":"","family":"Fedorenko","given":"Olga Y","non-dropping-particle":"","parse-names":false,"suffix":""},{"dropping-particle":"","family":"Wilffert","given":"Bob","non-dropping-particle":"","parse-names":false,"suffix":""},{"dropping-particle":"","family":"Bokhan","given":"Nikolay A","non-dropping-particle":"","parse-names":false,"suffix":""},{"dropping-particle":"","family":"Brouwers","given":"Jacobus R B J","non-dropping-particle":"","parse-names":false,"suffix":""},{"dropping-particle":"","family":"Loonen","given":"Anton J M","non-dropping-particle":"","parse-names":false,"suffix":""}],"container-title":"Progress in neuro-psychopharmacology &amp; biological psychiatry","id":"ITEM-1","issued":{"date-parts":[["2014","4","3"]]},"page":"172-7","publisher":"Prog Neuropsychopharmacol Biol Psychiatry","title":"Dehydroepiandrosterone sulphate as a putative protective factor against tardive dyskinesia.","type":"article-journal","volume":"50"},"uris":["http://www.mendeley.com/documents/?uuid=88cde125-fa55-38d6-8bab-7095691ac9d5"]}],"mendeley":{"formattedCitation":"(Ivanova et al. 2014)","plainTextFormattedCitation":"(Ivanova et al. 2014)","previouslyFormattedCitation":"(Ivanova et al. 2014)"},"properties":{"noteIndex":0},"schema":"https://github.com/citation-style-language/schema/raw/master/csl-citation.json"}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(Ivanova et al. 2014)</w:t>
            </w:r>
            <w:r>
              <w:rPr>
                <w:rFonts w:ascii="Palatino Linotype" w:hAnsi="Palatino Linotype" w:cstheme="minorHAnsi"/>
                <w:sz w:val="18"/>
                <w:szCs w:val="18"/>
              </w:rPr>
              <w:fldChar w:fldCharType="end"/>
            </w:r>
          </w:p>
        </w:tc>
      </w:tr>
      <w:tr w:rsidR="000C64BA" w:rsidRPr="00A237AB" w14:paraId="70C7491F" w14:textId="01B138FB" w:rsidTr="000C64BA">
        <w:tc>
          <w:tcPr>
            <w:tcW w:w="1056" w:type="dxa"/>
          </w:tcPr>
          <w:p w14:paraId="7F345204" w14:textId="586B88A7"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CYP1A2</w:t>
            </w:r>
          </w:p>
        </w:tc>
        <w:tc>
          <w:tcPr>
            <w:tcW w:w="1272" w:type="dxa"/>
          </w:tcPr>
          <w:p w14:paraId="153B4E9B" w14:textId="733EF226"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rs762551</w:t>
            </w:r>
            <w:r>
              <w:rPr>
                <w:rFonts w:ascii="Palatino Linotype" w:hAnsi="Palatino Linotype"/>
                <w:sz w:val="18"/>
                <w:szCs w:val="18"/>
              </w:rPr>
              <w:t xml:space="preserve"> (CYP1A2*1F)</w:t>
            </w:r>
          </w:p>
        </w:tc>
        <w:tc>
          <w:tcPr>
            <w:tcW w:w="1206" w:type="dxa"/>
          </w:tcPr>
          <w:p w14:paraId="1F433A32" w14:textId="50DC8E85"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FGAs</w:t>
            </w:r>
            <w:r>
              <w:rPr>
                <w:rFonts w:ascii="Palatino Linotype" w:hAnsi="Palatino Linotype" w:cstheme="minorHAnsi"/>
                <w:sz w:val="18"/>
                <w:szCs w:val="18"/>
              </w:rPr>
              <w:t xml:space="preserve"> and SGAs</w:t>
            </w:r>
          </w:p>
        </w:tc>
        <w:tc>
          <w:tcPr>
            <w:tcW w:w="924" w:type="dxa"/>
          </w:tcPr>
          <w:p w14:paraId="711C583E" w14:textId="385461C1"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319</w:t>
            </w:r>
            <w:r>
              <w:rPr>
                <w:rFonts w:ascii="Palatino Linotype" w:hAnsi="Palatino Linotype"/>
                <w:sz w:val="18"/>
                <w:szCs w:val="18"/>
              </w:rPr>
              <w:t xml:space="preserve"> and </w:t>
            </w:r>
            <w:r w:rsidRPr="007A2075">
              <w:rPr>
                <w:rFonts w:ascii="Palatino Linotype" w:hAnsi="Palatino Linotype"/>
                <w:sz w:val="18"/>
                <w:szCs w:val="18"/>
              </w:rPr>
              <w:t>117 healthy</w:t>
            </w:r>
            <w:r>
              <w:rPr>
                <w:rFonts w:ascii="Palatino Linotype" w:hAnsi="Palatino Linotype"/>
                <w:sz w:val="18"/>
                <w:szCs w:val="18"/>
              </w:rPr>
              <w:t xml:space="preserve"> individuals</w:t>
            </w:r>
          </w:p>
        </w:tc>
        <w:tc>
          <w:tcPr>
            <w:tcW w:w="1236" w:type="dxa"/>
          </w:tcPr>
          <w:p w14:paraId="677238AF" w14:textId="1836F000"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w:t>
            </w:r>
            <w:r>
              <w:rPr>
                <w:rFonts w:ascii="Palatino Linotype" w:hAnsi="Palatino Linotype" w:cstheme="minorHAnsi"/>
                <w:sz w:val="18"/>
                <w:szCs w:val="18"/>
              </w:rPr>
              <w:t xml:space="preserve"> </w:t>
            </w:r>
            <w:r w:rsidRPr="006A1E5F">
              <w:rPr>
                <w:rFonts w:ascii="Palatino Linotype" w:hAnsi="Palatino Linotype" w:cstheme="minorHAnsi"/>
                <w:sz w:val="18"/>
                <w:szCs w:val="18"/>
              </w:rPr>
              <w:t>(Siberia</w:t>
            </w:r>
            <w:r>
              <w:rPr>
                <w:rFonts w:ascii="Palatino Linotype" w:hAnsi="Palatino Linotype" w:cstheme="minorHAnsi"/>
                <w:sz w:val="18"/>
                <w:szCs w:val="18"/>
              </w:rPr>
              <w:t>n</w:t>
            </w:r>
            <w:r w:rsidRPr="006A1E5F">
              <w:rPr>
                <w:rFonts w:ascii="Palatino Linotype" w:hAnsi="Palatino Linotype" w:cstheme="minorHAnsi"/>
                <w:sz w:val="18"/>
                <w:szCs w:val="18"/>
              </w:rPr>
              <w:t>)</w:t>
            </w:r>
          </w:p>
        </w:tc>
        <w:tc>
          <w:tcPr>
            <w:tcW w:w="1710" w:type="dxa"/>
          </w:tcPr>
          <w:p w14:paraId="23F57CA6" w14:textId="0EA1DD09"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1BBBB570" w14:textId="72A95C1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0B2C47F5" w14:textId="663FA710"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3CD1334F" w14:textId="32F90B9F" w:rsidR="000C64BA" w:rsidRPr="00B55266" w:rsidRDefault="000C64BA" w:rsidP="000C64BA">
            <w:pPr>
              <w:rPr>
                <w:rFonts w:ascii="Palatino Linotype" w:hAnsi="Palatino Linotype" w:cstheme="minorHAnsi"/>
                <w:sz w:val="18"/>
                <w:szCs w:val="18"/>
              </w:rPr>
            </w:pPr>
            <w:r w:rsidRPr="00EB32C2">
              <w:rPr>
                <w:rFonts w:ascii="Palatino Linotype" w:hAnsi="Palatino Linotype" w:cstheme="minorHAnsi"/>
                <w:sz w:val="18"/>
                <w:szCs w:val="18"/>
              </w:rPr>
              <w:t>Real-Time PCR</w:t>
            </w:r>
          </w:p>
        </w:tc>
        <w:tc>
          <w:tcPr>
            <w:tcW w:w="2382" w:type="dxa"/>
          </w:tcPr>
          <w:p w14:paraId="40AA251B" w14:textId="173FA170"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 xml:space="preserve">Association between rs762551 and </w:t>
            </w:r>
            <w:proofErr w:type="spellStart"/>
            <w:r w:rsidRPr="002602E0">
              <w:rPr>
                <w:rFonts w:ascii="Palatino Linotype" w:hAnsi="Palatino Linotype" w:cstheme="minorHAnsi"/>
                <w:sz w:val="18"/>
                <w:szCs w:val="18"/>
              </w:rPr>
              <w:t>TDlt</w:t>
            </w:r>
            <w:proofErr w:type="spellEnd"/>
            <w:r>
              <w:rPr>
                <w:rFonts w:ascii="Palatino Linotype" w:hAnsi="Palatino Linotype" w:cstheme="minorHAnsi"/>
                <w:sz w:val="18"/>
                <w:szCs w:val="18"/>
              </w:rPr>
              <w:t xml:space="preserve">; </w:t>
            </w:r>
            <w:r w:rsidRPr="00AB31DF">
              <w:rPr>
                <w:rFonts w:ascii="Palatino Linotype" w:hAnsi="Palatino Linotype" w:cstheme="minorHAnsi"/>
                <w:sz w:val="18"/>
                <w:szCs w:val="18"/>
              </w:rPr>
              <w:t>smoking may decrease the plasma levels</w:t>
            </w:r>
            <w:r w:rsidRPr="00AB31DF" w:rsidDel="0066509F">
              <w:rPr>
                <w:rFonts w:ascii="Palatino Linotype" w:hAnsi="Palatino Linotype" w:cstheme="minorHAnsi"/>
                <w:sz w:val="18"/>
                <w:szCs w:val="18"/>
              </w:rPr>
              <w:t xml:space="preserve"> </w:t>
            </w:r>
            <w:r>
              <w:rPr>
                <w:rFonts w:ascii="Palatino Linotype" w:hAnsi="Palatino Linotype" w:cstheme="minorHAnsi"/>
                <w:sz w:val="18"/>
                <w:szCs w:val="18"/>
              </w:rPr>
              <w:t xml:space="preserve">of antipsychotics, through </w:t>
            </w:r>
            <w:r w:rsidRPr="00045A71">
              <w:rPr>
                <w:rFonts w:ascii="Palatino Linotype" w:hAnsi="Palatino Linotype" w:cstheme="minorHAnsi"/>
                <w:sz w:val="18"/>
                <w:szCs w:val="18"/>
              </w:rPr>
              <w:t>increased CYP1A2</w:t>
            </w:r>
            <w:r>
              <w:rPr>
                <w:rFonts w:ascii="Palatino Linotype" w:hAnsi="Palatino Linotype" w:cstheme="minorHAnsi"/>
                <w:sz w:val="18"/>
                <w:szCs w:val="18"/>
              </w:rPr>
              <w:t xml:space="preserve"> </w:t>
            </w:r>
            <w:r w:rsidRPr="00045A71">
              <w:rPr>
                <w:rFonts w:ascii="Palatino Linotype" w:hAnsi="Palatino Linotype" w:cstheme="minorHAnsi"/>
                <w:sz w:val="18"/>
                <w:szCs w:val="18"/>
              </w:rPr>
              <w:t>metabolism</w:t>
            </w:r>
            <w:r w:rsidRPr="00045A71" w:rsidDel="0066509F">
              <w:rPr>
                <w:rFonts w:ascii="Palatino Linotype" w:hAnsi="Palatino Linotype" w:cstheme="minorHAnsi"/>
                <w:sz w:val="18"/>
                <w:szCs w:val="18"/>
              </w:rPr>
              <w:t xml:space="preserve"> </w:t>
            </w:r>
          </w:p>
        </w:tc>
        <w:tc>
          <w:tcPr>
            <w:tcW w:w="2382" w:type="dxa"/>
          </w:tcPr>
          <w:p w14:paraId="06E3B613" w14:textId="7B052237"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{"citationItems":[{"id":"ITEM-1","itemData":{"DOI":"10.3109/15622975.2014.995222","ISSN":"1814-1412","PMID":"25602162","abstract":"OBJECTIVES The aim of this study was to investigate a possible association between tardive dyskinesia (TD) and CYP1A2 (*1F, -163C&gt;А, rs762551) polymorphism in Russian psychiatric inpatients. METHODS TD was assessed cross-sectionally using the Abnormal Involuntary Movement Scale (AIMS). Orofacial and limb-truncal dyskinesia were assessed with AIMS 1-4 and 5-7, respectively. Standard protocols were applied for genotyping. Analysis of covariance (ANCOVA) was used to compare the mean AIMS scores for each of the genotypic classes. RESULTS A total of 319 Caucasian patients from West Siberia with schizophrenia and 117 healthy volunteers were investigated. No significant differences between the patients and the controls in genotype frequencies were found. Analysis of covariance (ANCOVA) with age, sex, duration of disease, chlorpromazine equivalent (CPZEQ) incorporated as covariates showed that limb-truncal, but not orofacial TD, is associated with CYP1A2 (-163C&gt;, rs762551) polymorphism (F = 3.27, P = 0.039). Patients with the C/C genotype had a higher mean AIMS 5-7 score than those with the A/C or the A/A genotype. CONCLUSIONS Our results support the hypothesis that not only with clozapine, but also with other classical and atypical antipsychotics, smoking may decrease plasma levels; this is most extensively expressed in carriers of the CYP1A2*1F (-163C&gt; A) polymorphism.","author":[{"dropping-particle":"","family":"Ivanova","given":"Svetlana A","non-dropping-particle":"","parse-names":false,"suffix":""},{"dropping-particle":"","family":"Toshchakova","given":"Valentina A","non-dropping-particle":"","parse-names":false,"suffix":""},{"dropping-particle":"","family":"Filipenko","given":"Maxim L","non-dropping-particle":"","parse-names":false,"suffix":""},{"dropping-particle":"","family":"Fedorenko","given":"Olga Yu","non-dropping-particle":"","parse-names":false,"suffix":""},{"dropping-particle":"","family":"Boyarko","given":"Evgenia G","non-dropping-particle":"","parse-names":false,"suffix":""},{"dropping-particle":"","family":"Boiko","given":"Anastasia S","non-dropping-particle":"","parse-names":false,"suffix":""},{"dropping-particle":"V","family":"Semke","given":"Arkadiy","non-dropping-particle":"","parse-names":false,"suffix":""},{"dropping-particle":"","family":"Bokhan","given":"Nikolay A","non-dropping-particle":"","parse-names":false,"suffix":""},{"dropping-particle":"","family":"Aftanas","given":"Lyubomir I","non-dropping-particle":"","parse-names":false,"suffix":""},{"dropping-particle":"","family":"Loonen","given":"Anton J M","non-dropping-particle":"","parse-names":false,"suffix":""}],"container-title":"The world journal of biological psychiatry : the official journal of the World Federation of Societies of Biological Psychiatry","id":"ITEM-1","issue":"3","issued":{"date-parts":[["2015","4","3"]]},"page":"200-5","title":"Cytochrome P450 1A2 co-determines neuroleptic load and may diminish tardive dyskinesia by increased inducibility.","type":"article-journal","volume":"16"},"uris":["http://www.mendeley.com/documents/?uuid=aaaba67c-4b5e-3e4a-88d7-a6e13f9ff963"]}],"mendeley":{"formattedCitation":"(Ivanova et al. 2015)","plainTextFormattedCitation":"(Ivanova et al. 2015)","previouslyFormattedCitation":"(Ivanova et al. 2015)"},"properties":{"noteIndex":0},"schema":"https://github.com/citation-style-language/schema/raw/master/csl-citation.json"}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(Ivanova et al. 2015)</w:t>
            </w:r>
            <w:r w:rsidRPr="006A1E5F">
              <w:rPr>
                <w:rFonts w:ascii="Palatino Linotype" w:hAnsi="Palatino Linotype" w:cstheme="minorHAnsi"/>
                <w:sz w:val="18"/>
                <w:szCs w:val="18"/>
              </w:rPr>
              <w:fldChar w:fldCharType="end"/>
            </w:r>
          </w:p>
        </w:tc>
      </w:tr>
      <w:tr w:rsidR="000C64BA" w:rsidRPr="00A237AB" w14:paraId="4FE3CEF3" w14:textId="68CCB5EB" w:rsidTr="000C64BA">
        <w:tc>
          <w:tcPr>
            <w:tcW w:w="1056" w:type="dxa"/>
          </w:tcPr>
          <w:p w14:paraId="332B2215" w14:textId="610F1CD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p w14:paraId="284D0F6B" w14:textId="18C73C66"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CYP1A2</w:t>
            </w:r>
          </w:p>
        </w:tc>
        <w:tc>
          <w:tcPr>
            <w:tcW w:w="1272" w:type="dxa"/>
          </w:tcPr>
          <w:p w14:paraId="2E64D472"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CYP2D6*3,  </w:t>
            </w:r>
          </w:p>
          <w:p w14:paraId="6D36E683"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CYP2D6*4, </w:t>
            </w:r>
          </w:p>
          <w:p w14:paraId="2F5537BD" w14:textId="6E362C45"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CYP1A2*1F</w:t>
            </w:r>
          </w:p>
        </w:tc>
        <w:tc>
          <w:tcPr>
            <w:tcW w:w="1206" w:type="dxa"/>
          </w:tcPr>
          <w:p w14:paraId="73482C84" w14:textId="2F4D367F" w:rsidR="000C64BA" w:rsidRDefault="000C64BA" w:rsidP="000C64BA">
            <w:pPr>
              <w:rPr>
                <w:rFonts w:ascii="Palatino Linotype" w:hAnsi="Palatino Linotype" w:cstheme="minorHAnsi"/>
                <w:sz w:val="18"/>
                <w:szCs w:val="18"/>
              </w:rPr>
            </w:pPr>
            <w:r w:rsidRPr="00DF3D9F">
              <w:rPr>
                <w:rFonts w:ascii="Palatino Linotype" w:hAnsi="Palatino Linotype" w:cstheme="minorHAnsi"/>
                <w:sz w:val="18"/>
                <w:szCs w:val="18"/>
              </w:rPr>
              <w:t>monotherapy or</w:t>
            </w:r>
            <w:r>
              <w:rPr>
                <w:rFonts w:ascii="Palatino Linotype" w:hAnsi="Palatino Linotype" w:cstheme="minorHAnsi"/>
                <w:sz w:val="18"/>
                <w:szCs w:val="18"/>
              </w:rPr>
              <w:t xml:space="preserve"> </w:t>
            </w:r>
            <w:r w:rsidRPr="00DF3D9F">
              <w:rPr>
                <w:rFonts w:ascii="Palatino Linotype" w:hAnsi="Palatino Linotype" w:cstheme="minorHAnsi"/>
                <w:sz w:val="18"/>
                <w:szCs w:val="18"/>
              </w:rPr>
              <w:t>combination</w:t>
            </w:r>
            <w:r>
              <w:rPr>
                <w:rFonts w:ascii="Palatino Linotype" w:hAnsi="Palatino Linotype" w:cstheme="minorHAnsi"/>
                <w:sz w:val="18"/>
                <w:szCs w:val="18"/>
              </w:rPr>
              <w:t xml:space="preserve"> </w:t>
            </w:r>
            <w:r w:rsidRPr="00DF3D9F">
              <w:rPr>
                <w:rFonts w:ascii="Palatino Linotype" w:hAnsi="Palatino Linotype" w:cstheme="minorHAnsi"/>
                <w:sz w:val="18"/>
                <w:szCs w:val="18"/>
              </w:rPr>
              <w:t>of</w:t>
            </w:r>
            <w:r>
              <w:rPr>
                <w:rFonts w:ascii="Palatino Linotype" w:hAnsi="Palatino Linotype" w:cstheme="minorHAnsi"/>
                <w:sz w:val="18"/>
                <w:szCs w:val="18"/>
              </w:rPr>
              <w:t xml:space="preserve"> </w:t>
            </w:r>
            <w:r w:rsidRPr="00DF3D9F">
              <w:rPr>
                <w:rFonts w:ascii="Palatino Linotype" w:hAnsi="Palatino Linotype" w:cstheme="minorHAnsi"/>
                <w:sz w:val="18"/>
                <w:szCs w:val="18"/>
              </w:rPr>
              <w:lastRenderedPageBreak/>
              <w:t xml:space="preserve">haloperidol, </w:t>
            </w:r>
            <w:proofErr w:type="spellStart"/>
            <w:r w:rsidRPr="00DF3D9F">
              <w:rPr>
                <w:rFonts w:ascii="Palatino Linotype" w:hAnsi="Palatino Linotype" w:cstheme="minorHAnsi"/>
                <w:sz w:val="18"/>
                <w:szCs w:val="18"/>
              </w:rPr>
              <w:t>chloroprotixene</w:t>
            </w:r>
            <w:proofErr w:type="spellEnd"/>
            <w:r w:rsidRPr="00DF3D9F">
              <w:rPr>
                <w:rFonts w:ascii="Palatino Linotype" w:hAnsi="Palatino Linotype" w:cstheme="minorHAnsi"/>
                <w:sz w:val="18"/>
                <w:szCs w:val="18"/>
              </w:rPr>
              <w:t xml:space="preserve">, </w:t>
            </w:r>
            <w:proofErr w:type="spellStart"/>
            <w:r w:rsidRPr="00DF3D9F">
              <w:rPr>
                <w:rFonts w:ascii="Palatino Linotype" w:hAnsi="Palatino Linotype" w:cstheme="minorHAnsi"/>
                <w:sz w:val="18"/>
                <w:szCs w:val="18"/>
              </w:rPr>
              <w:t>chloropromazin</w:t>
            </w:r>
            <w:proofErr w:type="spellEnd"/>
            <w:r w:rsidRPr="00DF3D9F">
              <w:rPr>
                <w:rFonts w:ascii="Palatino Linotype" w:hAnsi="Palatino Linotype" w:cstheme="minorHAnsi"/>
                <w:sz w:val="18"/>
                <w:szCs w:val="18"/>
              </w:rPr>
              <w:t xml:space="preserve">, </w:t>
            </w:r>
            <w:proofErr w:type="spellStart"/>
            <w:r w:rsidRPr="00DF3D9F">
              <w:rPr>
                <w:rFonts w:ascii="Palatino Linotype" w:hAnsi="Palatino Linotype" w:cstheme="minorHAnsi"/>
                <w:sz w:val="18"/>
                <w:szCs w:val="18"/>
              </w:rPr>
              <w:t>trifluoperazin</w:t>
            </w:r>
            <w:proofErr w:type="spellEnd"/>
            <w:r w:rsidRPr="00DF3D9F">
              <w:rPr>
                <w:rFonts w:ascii="Palatino Linotype" w:hAnsi="Palatino Linotype" w:cstheme="minorHAnsi"/>
                <w:sz w:val="18"/>
                <w:szCs w:val="18"/>
              </w:rPr>
              <w:t>,</w:t>
            </w:r>
            <w:r>
              <w:rPr>
                <w:rFonts w:ascii="Palatino Linotype" w:hAnsi="Palatino Linotype" w:cstheme="minorHAnsi"/>
                <w:sz w:val="18"/>
                <w:szCs w:val="18"/>
              </w:rPr>
              <w:t xml:space="preserve"> zuclopenthixol, </w:t>
            </w:r>
            <w:r w:rsidRPr="00DF3D9F">
              <w:rPr>
                <w:rFonts w:ascii="Palatino Linotype" w:hAnsi="Palatino Linotype" w:cstheme="minorHAnsi"/>
                <w:sz w:val="18"/>
                <w:szCs w:val="18"/>
              </w:rPr>
              <w:t xml:space="preserve">risperidone  </w:t>
            </w:r>
          </w:p>
        </w:tc>
        <w:tc>
          <w:tcPr>
            <w:tcW w:w="924" w:type="dxa"/>
          </w:tcPr>
          <w:p w14:paraId="32E0C282" w14:textId="4030817A" w:rsidR="000C64BA" w:rsidRPr="00B55266" w:rsidRDefault="000C64BA" w:rsidP="000C64BA">
            <w:pPr>
              <w:rPr>
                <w:rFonts w:ascii="Palatino Linotype" w:hAnsi="Palatino Linotype" w:cstheme="minorHAnsi"/>
                <w:sz w:val="18"/>
                <w:szCs w:val="18"/>
              </w:rPr>
            </w:pPr>
            <w:r>
              <w:rPr>
                <w:rFonts w:ascii="Palatino Linotype" w:hAnsi="Palatino Linotype"/>
                <w:sz w:val="18"/>
                <w:szCs w:val="18"/>
              </w:rPr>
              <w:lastRenderedPageBreak/>
              <w:t>353 (140 with TD)</w:t>
            </w:r>
          </w:p>
        </w:tc>
        <w:tc>
          <w:tcPr>
            <w:tcW w:w="1236" w:type="dxa"/>
          </w:tcPr>
          <w:p w14:paraId="7392C71F" w14:textId="1FE3E8E8" w:rsidR="000C64BA" w:rsidRDefault="000C64BA" w:rsidP="000C64BA">
            <w:pPr>
              <w:rPr>
                <w:rFonts w:ascii="Palatino Linotype" w:hAnsi="Palatino Linotype" w:cstheme="minorHAnsi"/>
                <w:sz w:val="18"/>
                <w:szCs w:val="18"/>
              </w:rPr>
            </w:pPr>
            <w:r w:rsidRPr="00833900">
              <w:rPr>
                <w:rFonts w:ascii="Palatino Linotype" w:hAnsi="Palatino Linotype" w:cstheme="minorHAnsi"/>
                <w:sz w:val="18"/>
                <w:szCs w:val="18"/>
              </w:rPr>
              <w:t xml:space="preserve">Caucasian  </w:t>
            </w:r>
          </w:p>
        </w:tc>
        <w:tc>
          <w:tcPr>
            <w:tcW w:w="1710" w:type="dxa"/>
          </w:tcPr>
          <w:p w14:paraId="60EDDE8E" w14:textId="056ADFFB" w:rsidR="000C64BA" w:rsidRPr="00B55266" w:rsidRDefault="000C64BA" w:rsidP="000C64BA">
            <w:pPr>
              <w:rPr>
                <w:rFonts w:ascii="Palatino Linotype" w:hAnsi="Palatino Linotype" w:cstheme="minorHAnsi"/>
                <w:sz w:val="18"/>
                <w:szCs w:val="18"/>
              </w:rPr>
            </w:pPr>
            <w:r w:rsidRPr="00833900">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080" w:type="dxa"/>
          </w:tcPr>
          <w:p w14:paraId="207FD5D0" w14:textId="701F4F89" w:rsidR="000C64BA" w:rsidRPr="00B55266" w:rsidRDefault="000C64BA" w:rsidP="000C64BA">
            <w:pPr>
              <w:rPr>
                <w:rFonts w:ascii="Palatino Linotype" w:hAnsi="Palatino Linotype" w:cstheme="minorHAnsi"/>
                <w:sz w:val="18"/>
                <w:szCs w:val="18"/>
              </w:rPr>
            </w:pPr>
            <w:r w:rsidRPr="00833900">
              <w:rPr>
                <w:rFonts w:ascii="Palatino Linotype" w:hAnsi="Palatino Linotype" w:cstheme="minorHAnsi"/>
                <w:sz w:val="18"/>
                <w:szCs w:val="18"/>
              </w:rPr>
              <w:t>IDC-10</w:t>
            </w:r>
          </w:p>
        </w:tc>
        <w:tc>
          <w:tcPr>
            <w:tcW w:w="1170" w:type="dxa"/>
          </w:tcPr>
          <w:p w14:paraId="633A5970" w14:textId="7C3B332D"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50860576" w14:textId="062741A8" w:rsidR="000C64BA" w:rsidRPr="00B55266" w:rsidRDefault="000C64BA" w:rsidP="000C64BA">
            <w:pPr>
              <w:rPr>
                <w:rFonts w:ascii="Palatino Linotype" w:hAnsi="Palatino Linotype" w:cstheme="minorHAnsi"/>
                <w:sz w:val="18"/>
                <w:szCs w:val="18"/>
              </w:rPr>
            </w:pPr>
            <w:r w:rsidRPr="00290429">
              <w:rPr>
                <w:rFonts w:ascii="Palatino Linotype" w:hAnsi="Palatino Linotype" w:cstheme="minorHAnsi"/>
                <w:sz w:val="18"/>
                <w:szCs w:val="18"/>
              </w:rPr>
              <w:t>real time PCR with fluorescent probes</w:t>
            </w:r>
          </w:p>
        </w:tc>
        <w:tc>
          <w:tcPr>
            <w:tcW w:w="2382" w:type="dxa"/>
          </w:tcPr>
          <w:p w14:paraId="2B0E8AB2" w14:textId="77777777" w:rsidR="000C64BA" w:rsidRPr="007E0802" w:rsidRDefault="000C64BA" w:rsidP="000C64BA">
            <w:pPr>
              <w:rPr>
                <w:rFonts w:ascii="Palatino Linotype" w:hAnsi="Palatino Linotype" w:cstheme="minorHAnsi"/>
                <w:sz w:val="18"/>
                <w:szCs w:val="18"/>
              </w:rPr>
            </w:pPr>
            <w:r>
              <w:rPr>
                <w:rFonts w:ascii="Palatino Linotype" w:hAnsi="Palatino Linotype" w:cstheme="minorHAnsi"/>
                <w:sz w:val="18"/>
                <w:szCs w:val="18"/>
              </w:rPr>
              <w:t>A</w:t>
            </w:r>
            <w:r w:rsidRPr="007E0802">
              <w:rPr>
                <w:rFonts w:ascii="Palatino Linotype" w:hAnsi="Palatino Linotype" w:cstheme="minorHAnsi"/>
                <w:sz w:val="18"/>
                <w:szCs w:val="18"/>
              </w:rPr>
              <w:t>ssociation</w:t>
            </w:r>
            <w:r>
              <w:rPr>
                <w:rFonts w:ascii="Palatino Linotype" w:hAnsi="Palatino Linotype" w:cstheme="minorHAnsi"/>
                <w:sz w:val="18"/>
                <w:szCs w:val="18"/>
              </w:rPr>
              <w:t xml:space="preserve"> between</w:t>
            </w:r>
            <w:r w:rsidRPr="007E0802">
              <w:rPr>
                <w:rFonts w:ascii="Palatino Linotype" w:hAnsi="Palatino Linotype" w:cstheme="minorHAnsi"/>
                <w:sz w:val="18"/>
                <w:szCs w:val="18"/>
              </w:rPr>
              <w:t xml:space="preserve"> CYP2D6*4</w:t>
            </w:r>
            <w:r>
              <w:rPr>
                <w:rFonts w:ascii="Palatino Linotype" w:hAnsi="Palatino Linotype" w:cstheme="minorHAnsi"/>
                <w:sz w:val="18"/>
                <w:szCs w:val="18"/>
              </w:rPr>
              <w:t xml:space="preserve"> and </w:t>
            </w:r>
            <w:proofErr w:type="spellStart"/>
            <w:r w:rsidRPr="007E0802">
              <w:rPr>
                <w:rFonts w:ascii="Palatino Linotype" w:hAnsi="Palatino Linotype" w:cstheme="minorHAnsi"/>
                <w:sz w:val="18"/>
                <w:szCs w:val="18"/>
              </w:rPr>
              <w:t>limbotruncal</w:t>
            </w:r>
            <w:proofErr w:type="spellEnd"/>
            <w:r>
              <w:rPr>
                <w:rFonts w:ascii="Palatino Linotype" w:hAnsi="Palatino Linotype" w:cstheme="minorHAnsi"/>
                <w:sz w:val="18"/>
                <w:szCs w:val="18"/>
              </w:rPr>
              <w:t xml:space="preserve"> </w:t>
            </w:r>
            <w:r w:rsidRPr="007E0802">
              <w:rPr>
                <w:rFonts w:ascii="Palatino Linotype" w:hAnsi="Palatino Linotype" w:cstheme="minorHAnsi"/>
                <w:sz w:val="18"/>
                <w:szCs w:val="18"/>
              </w:rPr>
              <w:t>TD</w:t>
            </w:r>
            <w:r>
              <w:rPr>
                <w:rFonts w:ascii="Palatino Linotype" w:hAnsi="Palatino Linotype" w:cstheme="minorHAnsi"/>
                <w:sz w:val="18"/>
                <w:szCs w:val="18"/>
              </w:rPr>
              <w:t>, a</w:t>
            </w:r>
            <w:r w:rsidRPr="007E0802">
              <w:rPr>
                <w:rFonts w:ascii="Palatino Linotype" w:hAnsi="Palatino Linotype" w:cstheme="minorHAnsi"/>
                <w:sz w:val="18"/>
                <w:szCs w:val="18"/>
              </w:rPr>
              <w:t>ss</w:t>
            </w:r>
            <w:r>
              <w:rPr>
                <w:rFonts w:ascii="Palatino Linotype" w:hAnsi="Palatino Linotype" w:cstheme="minorHAnsi"/>
                <w:sz w:val="18"/>
                <w:szCs w:val="18"/>
              </w:rPr>
              <w:t>o</w:t>
            </w:r>
            <w:r w:rsidRPr="007E0802">
              <w:rPr>
                <w:rFonts w:ascii="Palatino Linotype" w:hAnsi="Palatino Linotype" w:cstheme="minorHAnsi"/>
                <w:sz w:val="18"/>
                <w:szCs w:val="18"/>
              </w:rPr>
              <w:t>ciation</w:t>
            </w:r>
            <w:r>
              <w:rPr>
                <w:rFonts w:ascii="Palatino Linotype" w:hAnsi="Palatino Linotype" w:cstheme="minorHAnsi"/>
                <w:sz w:val="18"/>
                <w:szCs w:val="18"/>
              </w:rPr>
              <w:t xml:space="preserve"> between</w:t>
            </w:r>
          </w:p>
          <w:p w14:paraId="408C6FA9" w14:textId="67EB9F23" w:rsidR="000C64BA" w:rsidRPr="00BD59C4" w:rsidRDefault="000C64BA" w:rsidP="000C64BA">
            <w:pPr>
              <w:rPr>
                <w:rFonts w:ascii="Palatino Linotype" w:hAnsi="Palatino Linotype" w:cstheme="minorHAnsi"/>
                <w:i/>
                <w:iCs/>
                <w:sz w:val="18"/>
                <w:szCs w:val="18"/>
              </w:rPr>
            </w:pPr>
            <w:r w:rsidRPr="007E0802">
              <w:rPr>
                <w:rFonts w:ascii="Palatino Linotype" w:hAnsi="Palatino Linotype" w:cstheme="minorHAnsi"/>
                <w:sz w:val="18"/>
                <w:szCs w:val="18"/>
              </w:rPr>
              <w:lastRenderedPageBreak/>
              <w:t>CYP1A2*1F</w:t>
            </w:r>
            <w:r>
              <w:rPr>
                <w:rFonts w:ascii="Palatino Linotype" w:hAnsi="Palatino Linotype" w:cstheme="minorHAnsi"/>
                <w:sz w:val="18"/>
                <w:szCs w:val="18"/>
              </w:rPr>
              <w:t xml:space="preserve"> and TD </w:t>
            </w:r>
            <w:r w:rsidRPr="007E0802">
              <w:rPr>
                <w:rFonts w:ascii="Palatino Linotype" w:hAnsi="Palatino Linotype" w:cstheme="minorHAnsi"/>
                <w:sz w:val="18"/>
                <w:szCs w:val="18"/>
              </w:rPr>
              <w:t>develop</w:t>
            </w:r>
            <w:r>
              <w:rPr>
                <w:rFonts w:ascii="Palatino Linotype" w:hAnsi="Palatino Linotype" w:cstheme="minorHAnsi"/>
                <w:sz w:val="18"/>
                <w:szCs w:val="18"/>
              </w:rPr>
              <w:t>ment</w:t>
            </w:r>
          </w:p>
        </w:tc>
        <w:tc>
          <w:tcPr>
            <w:tcW w:w="2382" w:type="dxa"/>
          </w:tcPr>
          <w:p w14:paraId="106BDFFE" w14:textId="6D83C02B"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lastRenderedPageBreak/>
              <w:fldChar w:fldCharType="begin" w:fldLock="1"/>
            </w:r>
            <w:r w:rsidR="005E78F7">
              <w:rPr>
                <w:rFonts w:ascii="Palatino Linotype" w:hAnsi="Palatino Linotype" w:cstheme="minorHAnsi"/>
                <w:sz w:val="18"/>
                <w:szCs w:val="18"/>
              </w:rPr>
              <w:instrText>ADDIN CSL_CITATION {"citationItems":[{"id":"ITEM-1","itemData":{"DOI":"10.1007/s10517-016-3250-4","ISSN":"1573-8221","PMID":"27021090","abstract":"Polymorphic variants of CYP1A2 and CYP2D6 genes of the cytochrome P450 system were studied in patients with schizophrenia with drug-induced motor disorders and hyperprolactinemia against the background of long-term neuroleptic therapy. We revealed an association of polymorphic variant C-163A CYP1A2*1F of CYP1A2 gene with tardive dyskinesia and association of polymorphic variant 1846G&gt;A CY2D6*4 and genotype A/A of CYP2D6 gene (responsible for debrisoquin-4-hydroxylase synthesis) with limbotruncal tardive dyskinesia in patients with schizophrenia receiving neuroleptics for a long time.","author":[{"dropping-particle":"","family":"Ivanova","given":"S A","non-dropping-particle":"","parse-names":false,"suffix":""},{"dropping-particle":"","family":"Filipenko","given":"M L","non-dropping-particle":"","parse-names":false,"suffix":""},{"dropping-particle":"","family":"Vyalova","given":"N M","non-dropping-particle":"","parse-names":false,"suffix":""},{"dropping-particle":"","family":"Voronina","given":"E N","non-dropping-particle":"","parse-names":false,"suffix":""},{"dropping-particle":"V","family":"Pozhidaev","given":"I","non-dropping-particle":"","parse-names":false,"suffix":""},{"dropping-particle":"","family":"Osmanova","given":"D Z","non-dropping-particle":"","parse-names":false,"suffix":""},{"dropping-particle":"V","family":"Ivanov","given":"M","non-dropping-particle":"","parse-names":false,"suffix":""},{"dropping-particle":"","family":"Fedorenko","given":"O Yu","non-dropping-particle":"","parse-names":false,"suffix":""},{"dropping-particle":"V","family":"Semke","given":"A","non-dropping-particle":"","parse-names":false,"suffix":""},{"dropping-particle":"","family":"Bokhan","given":"N A","non-dropping-particle":"","parse-names":false,"suffix":""}],"container-title":"Bulletin of experimental biology and medicine","id":"ITEM-1","issue":"5","issued":{"date-parts":[["2016","3"]]},"page":"687-90","publisher":"Bull Exp Biol Med","title":"CYP1A2 and CYP2D6 Gene Polymorphisms in Schizophrenic Patients with Neuroleptic Drug-Induced Side Effects.","type":"article-journal","volume":"160"},"uris":["http://www.mendeley.com/documents/?uuid=48165c32-b73c-36aa-9dc0-94e46f12b9ac"]}],"mendeley":{"formattedCitation":"(Ivanova et al. 2016a)","plainTextFormattedCitation":"(Ivanova et al. 2016a)","previouslyFormattedCitation":"(Ivanova et al. 2016a)"},"properties":{"noteIndex":0},"schema":"https://github.com/citation-style-language/schema/raw/master/csl-citation.json"}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(Ivanova et al. 2016a)</w:t>
            </w:r>
            <w:r>
              <w:rPr>
                <w:rFonts w:ascii="Palatino Linotype" w:hAnsi="Palatino Linotype" w:cstheme="minorHAnsi"/>
                <w:sz w:val="18"/>
                <w:szCs w:val="18"/>
              </w:rPr>
              <w:fldChar w:fldCharType="end"/>
            </w:r>
          </w:p>
        </w:tc>
      </w:tr>
      <w:tr w:rsidR="000C64BA" w:rsidRPr="00A237AB" w14:paraId="76184573" w14:textId="157CBF7C" w:rsidTr="000C64BA">
        <w:tc>
          <w:tcPr>
            <w:tcW w:w="1056" w:type="dxa"/>
          </w:tcPr>
          <w:p w14:paraId="79026F0C" w14:textId="716A7BDA"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6D6B0A94" w14:textId="2850561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and CYP2D6*4</w:t>
            </w:r>
          </w:p>
        </w:tc>
        <w:tc>
          <w:tcPr>
            <w:tcW w:w="1206" w:type="dxa"/>
          </w:tcPr>
          <w:p w14:paraId="3E81CD45" w14:textId="2D0464E9"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Zuclopenthixol </w:t>
            </w:r>
          </w:p>
        </w:tc>
        <w:tc>
          <w:tcPr>
            <w:tcW w:w="924" w:type="dxa"/>
          </w:tcPr>
          <w:p w14:paraId="14ACB380" w14:textId="1CA01856"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52</w:t>
            </w:r>
          </w:p>
        </w:tc>
        <w:tc>
          <w:tcPr>
            <w:tcW w:w="1236" w:type="dxa"/>
          </w:tcPr>
          <w:p w14:paraId="406EEA66" w14:textId="44D25EFA"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Estonian or Russian</w:t>
            </w:r>
          </w:p>
        </w:tc>
        <w:tc>
          <w:tcPr>
            <w:tcW w:w="1710" w:type="dxa"/>
          </w:tcPr>
          <w:p w14:paraId="55927E73"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 or schizoaffective</w:t>
            </w:r>
          </w:p>
          <w:p w14:paraId="7A232E08" w14:textId="7009F59D"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disorder</w:t>
            </w:r>
          </w:p>
        </w:tc>
        <w:tc>
          <w:tcPr>
            <w:tcW w:w="1080" w:type="dxa"/>
          </w:tcPr>
          <w:p w14:paraId="32A9E716" w14:textId="49208132"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ICD-10</w:t>
            </w:r>
          </w:p>
        </w:tc>
        <w:tc>
          <w:tcPr>
            <w:tcW w:w="1170" w:type="dxa"/>
          </w:tcPr>
          <w:p w14:paraId="3B130C56" w14:textId="7F092A0F"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1D9F8BEB"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Allele </w:t>
            </w:r>
          </w:p>
          <w:p w14:paraId="64CD14CF" w14:textId="0CC783A0"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specific PCR</w:t>
            </w:r>
          </w:p>
        </w:tc>
        <w:tc>
          <w:tcPr>
            <w:tcW w:w="2382" w:type="dxa"/>
          </w:tcPr>
          <w:p w14:paraId="5D114F04"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 trend of association between patients carrying at least one mutated CYP2D6 and increased TD risk</w:t>
            </w:r>
          </w:p>
          <w:p w14:paraId="2AA433AD" w14:textId="77777777" w:rsidR="000C64BA" w:rsidRPr="00BD59C4" w:rsidRDefault="000C64BA" w:rsidP="000C64BA">
            <w:pPr>
              <w:rPr>
                <w:rFonts w:ascii="Palatino Linotype" w:hAnsi="Palatino Linotype" w:cstheme="minorHAnsi"/>
                <w:i/>
                <w:iCs/>
                <w:sz w:val="18"/>
                <w:szCs w:val="18"/>
              </w:rPr>
            </w:pPr>
          </w:p>
        </w:tc>
        <w:tc>
          <w:tcPr>
            <w:tcW w:w="2382" w:type="dxa"/>
          </w:tcPr>
          <w:p w14:paraId="6DCAB1F7" w14:textId="2A3452A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{"citationItems":[{"id":"ITEM-1","itemData":{"DOI":"10.1007/s00213-002-1059-5","ISSN":"0033-3158","PMID":"12107620","abstract":"RATIONALE Several antipsychotic drugs are metabolised by the polymorphic cytochrome P(450) CYP2D6. The impact of the polymorphism on the plasma levels and the occurrence of side effects have not been clearly established. OBJECTIVE To investigate the impact of the CYP2D6 polymorphism on the steady-state plasma concentrations of zuclopenthixol and the occurrence of extrapyramidal side effects (EPS) and tardive dyskinesia (TD) during treatment with zuclopenthixol-decanoate. METHODS Fifty-two clinically stable schizophrenic outpatients on monotherapy with zuclopenthixol-decanoate (100-400 mg/4 weeks) were genotyped for the CYP2D6 variants CYP2D6*3 and CYP2D6*4. Steady-state plasma levels of zuclopenthixol were analysed using high-performance liquid chromatography. Assessments of EPS, TD and psychopathology were performed twice with an 8-week interval using the extrapyramidal symptoms rating scale, the abnormal involuntary movement scale and the brief psychiatric rating scale. RESULTS Thirty-five patients were homozygous extensive metabolisers (EMs), 13 were heterozygous EMs and 4 were poor metabolisers (PMs). While there were no significant genotype-related differences in the doses of zuclopenthixol decanoate, PMs as well as heterozygous EMs had significantly higher steady-state plasma levels of zuclopenthixol than homozygous EMs (median 9.5 nmol/l; 8.2 nmol/l and 5.9 nmol/l, respectively, P&lt;0.05). The median dose-corrected plasma concentrations were 0.029, 0.038 and 0.048 nmol.l(-1).mg(-1) in homozygous EMs, heterozygous EMs and PMs, respectively, with statistically significant differences between homozygous EMs and heterozygous EMs ( P=0.014) and homozygous EMs and PMs ( P=0.03). Patients with neurological side effects were significantly older than patients without ( P=0.02 in case of parkinsonism and P=0.04 in case of TD). Mutant CYP2D6*3 and *4 alleles tended to occur more frequently in patients with neurological side effects. An odds ratio (OR) of 2.3 (95% confidence interval 0.7-6.9) for development of parkinsonism and an OR of 1.7 (95% confidence interval 0.5-4.9) for TD was calculated in an individual with at least one mutated allele. However, the ORs were not statistically significant. CONCLUSIONS The higher zuclopenthixol steady-state plasma concentrations in heterozygous EM and PM schizophrenic patients receiving monotherapy with zuclopenthixol-decanoate than in homozygous EMs indicates a significant role of CYP2D6 in the systemic elimination of …","author":[{"dropping-particle":"","family":"Jaanson","given":"Peeter","non-dropping-particle":"","parse-names":false,"suffix":""},{"dropping-particle":"","family":"Marandi","given":"Toomas","non-dropping-particle":"","parse-names":false,"suffix":""},{"dropping-particle":"","family":"Kiivet","given":"Raul-Allan","non-dropping-particle":"","parse-names":false,"suffix":""},{"dropping-particle":"","family":"Vasar","given":"Veiko","non-dropping-particle":"","parse-names":false,"suffix":""},{"dropping-particle":"","family":"Vään","given":"Siiri","non-dropping-particle":"","parse-names":false,"suffix":""},{"dropping-particle":"","family":"Svensson","given":"Jan-Olof","non-dropping-particle":"","parse-names":false,"suffix":""},{"dropping-particle":"","family":"Dahl","given":"Marja-Liisa","non-dropping-particle":"","parse-names":false,"suffix":""}],"container-title":"Psychopharmacology","id":"ITEM-1","issue":"1","issued":{"date-parts":[["2002","6","20"]]},"page":"67-73","title":"Maintenance therapy with zuclopenthixol decanoate: associations between plasma concentrations, neurological side effects and CYP2D6 genotype.","type":"article-journal","volume":"162"},"uris":["http://www.mendeley.com/documents/?uuid=8a879dd7-3104-39b4-a8df-62722006acf8"]}],"mendeley":{"formattedCitation":"(Jaanson et al. 2002)","plainTextFormattedCitation":"(Jaanson et al. 2002)","previouslyFormattedCitation":"(Jaanson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(Jaanson et al. 2002)</w:t>
            </w:r>
            <w:r w:rsidRPr="006A1E5F">
              <w:rPr>
                <w:rFonts w:ascii="Palatino Linotype" w:hAnsi="Palatino Linotype" w:cstheme="minorHAnsi"/>
                <w:sz w:val="18"/>
                <w:szCs w:val="18"/>
              </w:rPr>
              <w:fldChar w:fldCharType="end"/>
            </w:r>
          </w:p>
        </w:tc>
      </w:tr>
      <w:tr w:rsidR="000C64BA" w:rsidRPr="00A237AB" w14:paraId="1977FA54" w14:textId="141A3A3C" w:rsidTr="000C64BA">
        <w:tc>
          <w:tcPr>
            <w:tcW w:w="1056" w:type="dxa"/>
          </w:tcPr>
          <w:p w14:paraId="4CE4FCF0" w14:textId="2DF52A0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07C860C7" w14:textId="2CBFA3EB"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CYP2D6*3, CYP2D6*4 and CYP2D6*5</w:t>
            </w:r>
          </w:p>
        </w:tc>
        <w:tc>
          <w:tcPr>
            <w:tcW w:w="1206" w:type="dxa"/>
          </w:tcPr>
          <w:p w14:paraId="2D3560C0" w14:textId="4F0038B3"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Neuroleptic treatment </w:t>
            </w:r>
          </w:p>
        </w:tc>
        <w:tc>
          <w:tcPr>
            <w:tcW w:w="924" w:type="dxa"/>
          </w:tcPr>
          <w:p w14:paraId="73CD70E6" w14:textId="568C0C0F"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26</w:t>
            </w:r>
          </w:p>
        </w:tc>
        <w:tc>
          <w:tcPr>
            <w:tcW w:w="1236" w:type="dxa"/>
          </w:tcPr>
          <w:p w14:paraId="2B712EE0" w14:textId="55B77DE7"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 (Austrian origin)</w:t>
            </w:r>
          </w:p>
        </w:tc>
        <w:tc>
          <w:tcPr>
            <w:tcW w:w="1710" w:type="dxa"/>
          </w:tcPr>
          <w:p w14:paraId="30202303" w14:textId="7B65FAAE"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5BEC098C" w14:textId="124ED768"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 IV</w:t>
            </w:r>
          </w:p>
        </w:tc>
        <w:tc>
          <w:tcPr>
            <w:tcW w:w="1170" w:type="dxa"/>
          </w:tcPr>
          <w:p w14:paraId="09372970" w14:textId="75AA5D5C"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Schooler-Kane criteria</w:t>
            </w:r>
          </w:p>
        </w:tc>
        <w:tc>
          <w:tcPr>
            <w:tcW w:w="1260" w:type="dxa"/>
          </w:tcPr>
          <w:p w14:paraId="243D5E8B" w14:textId="23CC958C"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382" w:type="dxa"/>
          </w:tcPr>
          <w:p w14:paraId="6160BE74" w14:textId="7A91F0E6"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 xml:space="preserve">Association between heterozygosis and </w:t>
            </w:r>
            <w:r w:rsidRPr="006A1E5F">
              <w:rPr>
                <w:rFonts w:ascii="Palatino Linotype" w:hAnsi="Palatino Linotype" w:cstheme="minorHAnsi"/>
                <w:sz w:val="18"/>
                <w:szCs w:val="18"/>
              </w:rPr>
              <w:t xml:space="preserve">higher </w:t>
            </w:r>
            <w:r>
              <w:rPr>
                <w:rFonts w:ascii="Palatino Linotype" w:hAnsi="Palatino Linotype" w:cstheme="minorHAnsi"/>
                <w:sz w:val="18"/>
                <w:szCs w:val="18"/>
              </w:rPr>
              <w:t xml:space="preserve">TD </w:t>
            </w:r>
            <w:r w:rsidRPr="006A1E5F">
              <w:rPr>
                <w:rFonts w:ascii="Palatino Linotype" w:hAnsi="Palatino Linotype" w:cstheme="minorHAnsi"/>
                <w:sz w:val="18"/>
                <w:szCs w:val="18"/>
              </w:rPr>
              <w:t xml:space="preserve">incidence </w:t>
            </w:r>
          </w:p>
        </w:tc>
        <w:tc>
          <w:tcPr>
            <w:tcW w:w="2382" w:type="dxa"/>
          </w:tcPr>
          <w:p w14:paraId="4D38B9AE" w14:textId="1A2F5D0C"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{"citationItems":[{"id":"ITEM-1","itemData":{"ISSN":"0920-9964","PMID":"9713905","abstract":"In the present study, the occurrence of tardive dyskinesia (TD) in chronic schizophrenia patients was investigated in relation to pharmacogenetic polymorphisms. It is known that the metabolism of important neuroleptic drugs is influenced by polymorphisms of the CYP2D6 gene, which encodes the cytochrome P450 enzyme debrisoquine/spartein hydroxylase. Forty-five patients meeting the DSM IV criteria for schizophrenia, chronic course, were recruited. The patients were examined for the mutations CYP2D6*3, CYP2D6*4 and CYP2D6*5. The CYP2D6 genotype distribution in the patient group did not differ from that in healthy Caucasian populations. Tardive dyskinesia was found in 26 patients (57.8%). When comparing patients without CYP2D6 mutations with patients heterozygous for one mutation, we found a higher incidence of TD in the latter (81.3% vs. 46.4%, p = 0.031, multiple regression analysis), which demonstrates a significant influence of the CYP2D6 genotype of the manifestation of TD. As slight differences in the metabolism of drugs in patients heterozygous for CYP2D6 mutations and patients without such mutations are known, we conclude that heterozygous carriers of 2D6 mutated alleles may show an increased susceptibility to developing TD.","author":[{"dropping-particle":"","family":"Kapitany","given":"T","non-dropping-particle":"","parse-names":false,"suffix":""},{"dropping-particle":"","family":"Meszaros","given":"K","non-dropping-particle":"","parse-names":false,"suffix":""},{"dropping-particle":"","family":"Lenzinger","given":"E","non-dropping-particle":"","parse-names":false,"suffix":""},{"dropping-particle":"","family":"Schindler","given":"S D","non-dropping-particle":"","parse-names":false,"suffix":""},{"dropping-particle":"","family":"Barnas","given":"C","non-dropping-particle":"","parse-names":false,"suffix":""},{"dropping-particle":"","family":"Fuchs","given":"K","non-dropping-particle":"","parse-names":false,"suffix":""},{"dropping-particle":"","family":"Sieghart","given":"W","non-dropping-particle":"","parse-names":false,"suffix":""},{"dropping-particle":"","family":"Aschauer","given":"H N","non-dropping-particle":"","parse-names":false,"suffix":""},{"dropping-particle":"","family":"Kasper","given":"S","non-dropping-particle":"","parse-names":false,"suffix":""}],"container-title":"Schizophrenia research","id":"ITEM-1","issue":"2","issued":{"date-parts":[["1998","7","27"]]},"page":"101-6","title":"Genetic polymorphisms for drug metabolism (CYP2D6) and tardive dyskinesia in schizophrenia.","type":"article-journal","volume":"32"},"uris":["http://www.mendeley.com/documents/?uuid=ed3d92c1-152c-3c33-972f-e938f217aeef"]}],"mendeley":{"formattedCitation":"(Kapitany et al. 1998)","plainTextFormattedCitation":"(Kapitany et al. 1998)","previouslyFormattedCitation":"(Kapitany et al. 1998)"},"properties":{"noteIndex":0},"schema":"https://github.com/citation-style-language/schema/raw/master/csl-citation.json"}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(Kapitany et al. 1998)</w:t>
            </w:r>
            <w:r w:rsidRPr="006A1E5F">
              <w:rPr>
                <w:rFonts w:ascii="Palatino Linotype" w:hAnsi="Palatino Linotype" w:cstheme="minorHAnsi"/>
                <w:sz w:val="18"/>
                <w:szCs w:val="18"/>
              </w:rPr>
              <w:fldChar w:fldCharType="end"/>
            </w:r>
          </w:p>
        </w:tc>
      </w:tr>
      <w:tr w:rsidR="000C64BA" w:rsidRPr="00A237AB" w14:paraId="6C76E6BC" w14:textId="143836A9" w:rsidTr="000C64BA">
        <w:tc>
          <w:tcPr>
            <w:tcW w:w="1056" w:type="dxa"/>
          </w:tcPr>
          <w:p w14:paraId="12660100" w14:textId="6D5E4BA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28B744E8"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CYP2D6*41,  </w:t>
            </w:r>
          </w:p>
          <w:p w14:paraId="19DB3BA5"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CYP2D6*3,  </w:t>
            </w:r>
          </w:p>
          <w:p w14:paraId="0A8BE7BC"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CYP2D6*4, </w:t>
            </w:r>
          </w:p>
          <w:p w14:paraId="3445D304"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CYP2D6*5, CYP2D6*2</w:t>
            </w:r>
          </w:p>
          <w:p w14:paraId="6E411D70" w14:textId="77777777" w:rsidR="000C64BA" w:rsidRPr="00B55266" w:rsidRDefault="000C64BA" w:rsidP="000C64BA">
            <w:pPr>
              <w:rPr>
                <w:rFonts w:ascii="Palatino Linotype" w:hAnsi="Palatino Linotype" w:cstheme="minorHAnsi"/>
                <w:sz w:val="18"/>
                <w:szCs w:val="18"/>
              </w:rPr>
            </w:pPr>
          </w:p>
        </w:tc>
        <w:tc>
          <w:tcPr>
            <w:tcW w:w="1206" w:type="dxa"/>
          </w:tcPr>
          <w:p w14:paraId="5313339E" w14:textId="75BD115F"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924" w:type="dxa"/>
          </w:tcPr>
          <w:p w14:paraId="22B01DD3" w14:textId="7150704E"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13</w:t>
            </w:r>
            <w:r>
              <w:rPr>
                <w:rFonts w:ascii="Palatino Linotype" w:hAnsi="Palatino Linotype"/>
                <w:sz w:val="18"/>
                <w:szCs w:val="18"/>
              </w:rPr>
              <w:t xml:space="preserve"> with TD and 57 without TD </w:t>
            </w:r>
          </w:p>
        </w:tc>
        <w:tc>
          <w:tcPr>
            <w:tcW w:w="1236" w:type="dxa"/>
          </w:tcPr>
          <w:p w14:paraId="5974F0EE" w14:textId="35F157D9"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Caucasian </w:t>
            </w:r>
            <w:r>
              <w:rPr>
                <w:rFonts w:ascii="Palatino Linotype" w:hAnsi="Palatino Linotype" w:cstheme="minorHAnsi"/>
                <w:sz w:val="18"/>
                <w:szCs w:val="18"/>
              </w:rPr>
              <w:t>(</w:t>
            </w:r>
            <w:r w:rsidRPr="006A1E5F">
              <w:rPr>
                <w:rFonts w:ascii="Palatino Linotype" w:hAnsi="Palatino Linotype" w:cstheme="minorHAnsi"/>
                <w:sz w:val="18"/>
                <w:szCs w:val="18"/>
              </w:rPr>
              <w:t>European</w:t>
            </w:r>
            <w:r>
              <w:rPr>
                <w:rFonts w:ascii="Palatino Linotype" w:hAnsi="Palatino Linotype" w:cstheme="minorHAnsi"/>
                <w:sz w:val="18"/>
                <w:szCs w:val="18"/>
              </w:rPr>
              <w:t>)</w:t>
            </w:r>
            <w:r w:rsidRPr="006A1E5F">
              <w:rPr>
                <w:rFonts w:ascii="Palatino Linotype" w:hAnsi="Palatino Linotype" w:cstheme="minorHAnsi"/>
                <w:sz w:val="18"/>
                <w:szCs w:val="18"/>
              </w:rPr>
              <w:t xml:space="preserve"> </w:t>
            </w:r>
          </w:p>
        </w:tc>
        <w:tc>
          <w:tcPr>
            <w:tcW w:w="1710" w:type="dxa"/>
          </w:tcPr>
          <w:p w14:paraId="764BCD06" w14:textId="06C3EEE3"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550554F7" w14:textId="25B01FC8"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DSM-IIIR</w:t>
            </w:r>
          </w:p>
        </w:tc>
        <w:tc>
          <w:tcPr>
            <w:tcW w:w="1170" w:type="dxa"/>
          </w:tcPr>
          <w:p w14:paraId="70C000AA"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 &amp; Schooler</w:t>
            </w:r>
          </w:p>
          <w:p w14:paraId="10E65EC4"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and</w:t>
            </w:r>
          </w:p>
          <w:p w14:paraId="70CE32FB"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Kane</w:t>
            </w:r>
          </w:p>
          <w:p w14:paraId="48997640" w14:textId="3186C6B6"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criteria</w:t>
            </w:r>
          </w:p>
        </w:tc>
        <w:tc>
          <w:tcPr>
            <w:tcW w:w="1260" w:type="dxa"/>
          </w:tcPr>
          <w:p w14:paraId="425A4C04" w14:textId="1A8213F4"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1D231C55" w14:textId="0B443755" w:rsidR="000C64BA" w:rsidRPr="00BD59C4" w:rsidRDefault="000C64BA" w:rsidP="000C64BA">
            <w:pPr>
              <w:rPr>
                <w:rFonts w:ascii="Palatino Linotype" w:hAnsi="Palatino Linotype" w:cstheme="minorHAnsi"/>
                <w:i/>
                <w:iCs/>
                <w:sz w:val="18"/>
                <w:szCs w:val="18"/>
              </w:rPr>
            </w:pPr>
            <w:r w:rsidRPr="00C56BA8">
              <w:rPr>
                <w:rFonts w:ascii="Palatino Linotype" w:hAnsi="Palatino Linotype" w:cstheme="minorHAnsi"/>
                <w:sz w:val="18"/>
                <w:szCs w:val="18"/>
              </w:rPr>
              <w:t xml:space="preserve">TD risk </w:t>
            </w:r>
            <w:r>
              <w:rPr>
                <w:rFonts w:ascii="Palatino Linotype" w:hAnsi="Palatino Linotype" w:cstheme="minorHAnsi"/>
                <w:sz w:val="18"/>
                <w:szCs w:val="18"/>
              </w:rPr>
              <w:t>is</w:t>
            </w:r>
            <w:r w:rsidRPr="00C56BA8">
              <w:rPr>
                <w:rFonts w:ascii="Palatino Linotype" w:hAnsi="Palatino Linotype" w:cstheme="minorHAnsi"/>
                <w:sz w:val="18"/>
                <w:szCs w:val="18"/>
              </w:rPr>
              <w:t xml:space="preserve"> associated with an increase in the number of functional CYP2D6 genes</w:t>
            </w:r>
          </w:p>
        </w:tc>
        <w:tc>
          <w:tcPr>
            <w:tcW w:w="2382" w:type="dxa"/>
          </w:tcPr>
          <w:p w14:paraId="4B959AD4" w14:textId="07AB73C4" w:rsidR="000C64BA" w:rsidRPr="00C56BA8"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{"citationItems":[{"id":"ITEM-1","itemData":{"DOI":"10.1177/0269881114523861","ISSN":"1461-7285","PMID":"24595968","abstract":"BACKGROUND The aim of this study was to examine whether there was an association between tardive dyskinesia (TD) and number of functional CYP2D6 genes. METHODS A Caucasian sample of 70 patients was recruited in 1996-1997 from South London and Maudsley National Health Service (NHS) Foundation Trust, UK. Subjects had a DSM-IIIR diagnosis of schizophrenia and were treated with typical antipsychotics at doses equivalent to at least 100 mg chlorpromazine daily for at least 12 months prior to assessment. All patients were genotyped for CYP2D6 alleles*3-5, *41, and for amplifications of the gene. RESULTS There were 13 patients with TD. The mean (standard deviation (SD)) years of duration of antipsychotic treatment in TD-positive was 15.8 (7.9) vs TD-negative 11.1 (7.4) (p=0.04). Increased odds of experiencing TD were associated with increased ability to metabolize CYP2D6, as measured by genotypic category (odds ratio (OR)=4.2), increasing duration in treatment (OR=1.0), and having drug-induced Parkinsonism (OR=9.7). DISCUSSION We found a significant association between CYP2D6 genotypic category and TD with the direction of effect being an increase in the number of functional CYP2D6 genes being associated with an increased risk of TD. This is the first study to examine the association between TD and CYP2D6 in Caucasians with this number of genotypic categories. In the future, metabolomics may be utilized in the discovery of biomarkers and novel drug targets.","author":[{"dropping-particle":"","family":"Koola","given":"Maju M","non-dropping-particle":"","parse-names":false,"suffix":""},{"dropping-particle":"","family":"Tsapakis","given":"Evangelia M","non-dropping-particle":"","parse-names":false,"suffix":""},{"dropping-particle":"","family":"Wright","given":"Padraig","non-dropping-particle":"","parse-names":false,"suffix":""},{"dropping-particle":"","family":"Smith","given":"Shubulade","non-dropping-particle":"","parse-names":false,"suffix":""},{"dropping-particle":"","family":"Kerwin Rip","given":"Robert W","non-dropping-particle":"","parse-names":false,"suffix":""},{"dropping-particle":"","family":"Nugent","given":"Katie L","non-dropping-particle":"","parse-names":false,"suffix":""},{"dropping-particle":"","family":"Aitchison","given":"Katherine J","non-dropping-particle":"","parse-names":false,"suffix":""}],"container-title":"Journal of psychopharmacology (Oxford, England)","id":"ITEM-1","issue":"7","issued":{"date-parts":[["2014","7","4"]]},"page":"665-70","title":"Association of tardive dyskinesia with variation in CYP2D6: Is there a role for active metabolites?","type":"article-journal","volume":"28"},"uris":["http://www.mendeley.com/documents/?uuid=592c2027-3d12-35db-9209-f988f9c5ed5c"]}],"mendeley":{"formattedCitation":"(Koola et al. 2014)","plainTextFormattedCitation":"(Koola et al. 2014)","previouslyFormattedCitation":"(Koola et al. 2014)"},"properties":{"noteIndex":0},"schema":"https://github.com/citation-style-language/schema/raw/master/csl-citation.json"}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(Koola et al. 2014)</w:t>
            </w:r>
            <w:r w:rsidRPr="006A1E5F">
              <w:rPr>
                <w:rFonts w:ascii="Palatino Linotype" w:hAnsi="Palatino Linotype" w:cstheme="minorHAnsi"/>
                <w:sz w:val="18"/>
                <w:szCs w:val="18"/>
              </w:rPr>
              <w:fldChar w:fldCharType="end"/>
            </w:r>
          </w:p>
        </w:tc>
      </w:tr>
      <w:tr w:rsidR="000C64BA" w:rsidRPr="00A237AB" w14:paraId="1A832797" w14:textId="4561A203" w:rsidTr="000C64BA">
        <w:tc>
          <w:tcPr>
            <w:tcW w:w="1056" w:type="dxa"/>
          </w:tcPr>
          <w:p w14:paraId="2D6B2160" w14:textId="1086541A"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01EC18C0" w14:textId="175D628A"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and CYP2D6*10</w:t>
            </w:r>
          </w:p>
        </w:tc>
        <w:tc>
          <w:tcPr>
            <w:tcW w:w="1206" w:type="dxa"/>
          </w:tcPr>
          <w:p w14:paraId="597E2C0E" w14:textId="749A045F"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586CF8AB" w14:textId="53A6B236"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76</w:t>
            </w:r>
          </w:p>
        </w:tc>
        <w:tc>
          <w:tcPr>
            <w:tcW w:w="1236" w:type="dxa"/>
          </w:tcPr>
          <w:p w14:paraId="678C91F5" w14:textId="3D0FABA4"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Chinese </w:t>
            </w:r>
          </w:p>
        </w:tc>
        <w:tc>
          <w:tcPr>
            <w:tcW w:w="1710" w:type="dxa"/>
          </w:tcPr>
          <w:p w14:paraId="16C85C0B" w14:textId="1D388D3E"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1F7FC506" w14:textId="1D8F551F"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1EC158AF"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 &amp; Schooler</w:t>
            </w:r>
          </w:p>
          <w:p w14:paraId="7A7403EB"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and</w:t>
            </w:r>
          </w:p>
          <w:p w14:paraId="4FC7401D"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Kane</w:t>
            </w:r>
          </w:p>
          <w:p w14:paraId="29F36830" w14:textId="77777777" w:rsidR="000C64BA" w:rsidRPr="006A1E5F" w:rsidRDefault="000C64BA" w:rsidP="000C64BA">
            <w:pPr>
              <w:rPr>
                <w:rFonts w:ascii="Palatino Linotype" w:hAnsi="Palatino Linotype" w:cs="Arial"/>
                <w:sz w:val="18"/>
                <w:szCs w:val="18"/>
                <w:lang w:eastAsia="el-GR"/>
              </w:rPr>
            </w:pPr>
            <w:r w:rsidRPr="006A1E5F">
              <w:rPr>
                <w:rFonts w:ascii="Palatino Linotype" w:hAnsi="Palatino Linotype" w:cstheme="minorHAnsi"/>
                <w:sz w:val="18"/>
                <w:szCs w:val="18"/>
              </w:rPr>
              <w:t>criteria</w:t>
            </w:r>
          </w:p>
          <w:p w14:paraId="03B64569" w14:textId="79F0B022"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 </w:t>
            </w:r>
          </w:p>
        </w:tc>
        <w:tc>
          <w:tcPr>
            <w:tcW w:w="1260" w:type="dxa"/>
          </w:tcPr>
          <w:p w14:paraId="0291728A" w14:textId="21A1F91F"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20E3BDC0" w14:textId="5DDEDBF9"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 xml:space="preserve">No statistically significant association between CYP2D6*10 genotypes and TD in men. However, a significant increase in CYP2D6*10 allele </w:t>
            </w:r>
            <w:r w:rsidRPr="006A1E5F">
              <w:rPr>
                <w:rFonts w:ascii="Palatino Linotype" w:hAnsi="Palatino Linotype" w:cstheme="minorHAnsi"/>
                <w:sz w:val="18"/>
                <w:szCs w:val="18"/>
              </w:rPr>
              <w:lastRenderedPageBreak/>
              <w:t>frequency in female patients with TD.</w:t>
            </w:r>
          </w:p>
        </w:tc>
        <w:tc>
          <w:tcPr>
            <w:tcW w:w="2382" w:type="dxa"/>
          </w:tcPr>
          <w:p w14:paraId="4D91359D" w14:textId="45A4B1DF"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lastRenderedPageBreak/>
              <w:fldChar w:fldCharType="begin" w:fldLock="1"/>
            </w:r>
            <w:r w:rsidR="005E78F7">
              <w:rPr>
                <w:rFonts w:ascii="Palatino Linotype" w:hAnsi="Palatino Linotype" w:cstheme="minorHAnsi"/>
                <w:sz w:val="18"/>
                <w:szCs w:val="18"/>
              </w:rPr>
              <w:instrText>ADDIN CSL_CITATION {"citationItems":[{"id":"ITEM-1","itemData":{"DOI":"10.1055/s-2001-18035","ISSN":"0176-3679","PMID":"11778144","abstract":"BACKGROUND The discovery of Cytochrome P450 2D6 (CYP 2D6) polymorphism is implicated in individual differences in drug metabolism rate. Mutation with defective alleles is associated with reduced metabolism of many anti-psychotic drugs metabolized by CYP 2D6. This may contribute to the development of tardive dyskinesia (TD) in patients with prolonged exposure to anti-psychotic drugs. METHODS In this controlled study, the genotype of CYP 2D6*10 alleles, movement disorders and clinical characteristics in 38 Chinese schizophrenic patients with TD were compared with 38 age- and sex-matched schizophrenia patients without TD. RESULTS There was no significant correlation between CYP 2D6*10 genotypes and TD in men. However, a significant increase in the frequency of CYP 2D6*10 allele was found in female patients with TD. CONCLUSIONS The sex differences in CYP 2D6 genotyping and vulnerability to develop TD suggest that a biological predisposition that affects pharmacokinetics may be more significant in women, whereas other factors may be more important in men.","author":[{"dropping-particle":"","family":"Lam","given":"L C","non-dropping-particle":"","parse-names":false,"suffix":""},{"dropping-particle":"","family":"Garcia-Barcelo","given":"M M","non-dropping-particle":"","parse-names":false,"suffix":""},{"dropping-particle":"","family":"Ungvari","given":"G S","non-dropping-particle":"","parse-names":false,"suffix":""},{"dropping-particle":"","family":"Tang","given":"W K","non-dropping-particle":"","parse-names":false,"suffix":""},{"dropping-particle":"","family":"Lam","given":"V K","non-dropping-particle":"","parse-names":false,"suffix":""},{"dropping-particle":"","family":"Kwong","given":"S L","non-dropping-particle":"","parse-names":false,"suffix":""},{"dropping-particle":"","family":"Lau","given":"B S","non-dropping-particle":"","parse-names":false,"suffix":""},{"dropping-particle":"","family":"Kwong","given":"P P","non-dropping-particle":"","parse-names":false,"suffix":""},{"dropping-particle":"","family":"Waye","given":"M M","non-dropping-particle":"","parse-names":false,"suffix":""},{"dropping-particle":"","family":"Chiu","given":"H F","non-dropping-particle":"","parse-names":false,"suffix":""}],"container-title":"Pharmacopsychiatry","id":"ITEM-1","issue":"6","issued":{"date-parts":[["2001","11","26"]]},"page":"238-41","title":"Cytochrome P450 2D6 genotyping and association with tardive dyskinesia in Chinese schizophrenic patients.","type":"article-journal","volume":"34"},"uris":["http://www.mendeley.com/documents/?uuid=0b168a02-8cb5-3a5e-9f4d-c5926e34a03f"]}],"mendeley":{"formattedCitation":"(Lam et al. 2001)","plainTextFormattedCitation":"(Lam et al. 2001)","previouslyFormattedCitation":"(Lam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(Lam et al. 2001)</w:t>
            </w:r>
            <w:r w:rsidRPr="006A1E5F">
              <w:rPr>
                <w:rFonts w:ascii="Palatino Linotype" w:hAnsi="Palatino Linotype" w:cstheme="minorHAnsi"/>
                <w:sz w:val="18"/>
                <w:szCs w:val="18"/>
              </w:rPr>
              <w:fldChar w:fldCharType="end"/>
            </w:r>
          </w:p>
        </w:tc>
      </w:tr>
      <w:tr w:rsidR="000C64BA" w:rsidRPr="00A237AB" w14:paraId="3D3062EC" w14:textId="56C2B0C9" w:rsidTr="000C64BA">
        <w:tc>
          <w:tcPr>
            <w:tcW w:w="1056" w:type="dxa"/>
          </w:tcPr>
          <w:p w14:paraId="3492986F" w14:textId="381DFD17"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76EEA639" w14:textId="78B24C35" w:rsidR="000C64BA" w:rsidRPr="00B55266" w:rsidRDefault="000C64BA" w:rsidP="000C64BA">
            <w:pPr>
              <w:rPr>
                <w:rFonts w:ascii="Palatino Linotype" w:hAnsi="Palatino Linotype" w:cstheme="minorHAnsi"/>
                <w:sz w:val="18"/>
                <w:szCs w:val="18"/>
              </w:rPr>
            </w:pPr>
            <w:r w:rsidRPr="00A03BDE">
              <w:rPr>
                <w:rFonts w:ascii="Palatino Linotype" w:hAnsi="Palatino Linotype" w:cstheme="minorHAnsi"/>
                <w:sz w:val="18"/>
                <w:szCs w:val="18"/>
              </w:rPr>
              <w:t>CYP2D6*10</w:t>
            </w:r>
          </w:p>
        </w:tc>
        <w:tc>
          <w:tcPr>
            <w:tcW w:w="1206" w:type="dxa"/>
          </w:tcPr>
          <w:p w14:paraId="3C6BD8FC" w14:textId="6B2281FD"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NA</w:t>
            </w:r>
          </w:p>
        </w:tc>
        <w:tc>
          <w:tcPr>
            <w:tcW w:w="924" w:type="dxa"/>
          </w:tcPr>
          <w:p w14:paraId="10701431" w14:textId="25E1C71D" w:rsidR="000C64BA" w:rsidRPr="00B55266" w:rsidRDefault="000C64BA" w:rsidP="000C64BA">
            <w:pPr>
              <w:rPr>
                <w:rFonts w:ascii="Palatino Linotype" w:hAnsi="Palatino Linotype" w:cstheme="minorHAnsi"/>
                <w:sz w:val="18"/>
                <w:szCs w:val="18"/>
              </w:rPr>
            </w:pPr>
            <w:r w:rsidRPr="00A03BDE">
              <w:rPr>
                <w:rFonts w:ascii="Palatino Linotype" w:hAnsi="Palatino Linotype" w:cstheme="minorHAnsi"/>
                <w:sz w:val="18"/>
                <w:szCs w:val="18"/>
              </w:rPr>
              <w:t>216 (113 with TD</w:t>
            </w:r>
            <w:r>
              <w:rPr>
                <w:rFonts w:ascii="Palatino Linotype" w:hAnsi="Palatino Linotype" w:cstheme="minorHAnsi"/>
                <w:sz w:val="18"/>
                <w:szCs w:val="18"/>
              </w:rPr>
              <w:t>)</w:t>
            </w:r>
          </w:p>
        </w:tc>
        <w:tc>
          <w:tcPr>
            <w:tcW w:w="1236" w:type="dxa"/>
          </w:tcPr>
          <w:p w14:paraId="36C34AB5" w14:textId="61A07548" w:rsidR="000C64BA" w:rsidRDefault="000C64BA" w:rsidP="000C64BA">
            <w:pPr>
              <w:rPr>
                <w:rFonts w:ascii="Palatino Linotype" w:hAnsi="Palatino Linotype" w:cstheme="minorHAnsi"/>
                <w:sz w:val="18"/>
                <w:szCs w:val="18"/>
              </w:rPr>
            </w:pPr>
            <w:r w:rsidRPr="00A03BDE">
              <w:rPr>
                <w:rFonts w:ascii="Palatino Linotype" w:hAnsi="Palatino Linotype" w:cstheme="minorHAnsi"/>
                <w:sz w:val="18"/>
                <w:szCs w:val="18"/>
              </w:rPr>
              <w:t>Chinese</w:t>
            </w:r>
          </w:p>
        </w:tc>
        <w:tc>
          <w:tcPr>
            <w:tcW w:w="1710" w:type="dxa"/>
          </w:tcPr>
          <w:p w14:paraId="7D15D05A" w14:textId="63C02B83" w:rsidR="000C64BA" w:rsidRPr="00B55266" w:rsidRDefault="000C64BA" w:rsidP="000C64BA">
            <w:pPr>
              <w:rPr>
                <w:rFonts w:ascii="Palatino Linotype" w:hAnsi="Palatino Linotype" w:cstheme="minorHAnsi"/>
                <w:sz w:val="18"/>
                <w:szCs w:val="18"/>
              </w:rPr>
            </w:pPr>
            <w:r w:rsidRPr="00A03BDE">
              <w:rPr>
                <w:rFonts w:ascii="Palatino Linotype" w:hAnsi="Palatino Linotype" w:cstheme="minorHAnsi"/>
                <w:sz w:val="18"/>
                <w:szCs w:val="18"/>
              </w:rPr>
              <w:t>Schizophreni</w:t>
            </w:r>
            <w:r>
              <w:rPr>
                <w:rFonts w:ascii="Palatino Linotype" w:hAnsi="Palatino Linotype" w:cstheme="minorHAnsi"/>
                <w:sz w:val="18"/>
                <w:szCs w:val="18"/>
              </w:rPr>
              <w:t xml:space="preserve">a </w:t>
            </w:r>
          </w:p>
        </w:tc>
        <w:tc>
          <w:tcPr>
            <w:tcW w:w="1080" w:type="dxa"/>
          </w:tcPr>
          <w:p w14:paraId="48E6FB4A" w14:textId="5E52310E"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6043239E" w14:textId="1230D894"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0ABA4728" w14:textId="76F16E38"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NA</w:t>
            </w:r>
          </w:p>
        </w:tc>
        <w:tc>
          <w:tcPr>
            <w:tcW w:w="2382" w:type="dxa"/>
          </w:tcPr>
          <w:p w14:paraId="27488C72" w14:textId="271E4CFC"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t>M</w:t>
            </w:r>
            <w:r w:rsidRPr="00AF689E">
              <w:rPr>
                <w:rFonts w:ascii="Palatino Linotype" w:hAnsi="Palatino Linotype" w:cstheme="minorHAnsi"/>
                <w:sz w:val="18"/>
                <w:szCs w:val="18"/>
              </w:rPr>
              <w:t xml:space="preserve">odest association between </w:t>
            </w:r>
            <w:r>
              <w:rPr>
                <w:rFonts w:ascii="Palatino Linotype" w:hAnsi="Palatino Linotype" w:cstheme="minorHAnsi"/>
                <w:sz w:val="18"/>
                <w:szCs w:val="18"/>
              </w:rPr>
              <w:t xml:space="preserve">CYP2D6*10 genotypes and </w:t>
            </w:r>
            <w:r w:rsidRPr="00AF689E">
              <w:rPr>
                <w:rFonts w:ascii="Palatino Linotype" w:hAnsi="Palatino Linotype" w:cstheme="minorHAnsi"/>
                <w:sz w:val="18"/>
                <w:szCs w:val="18"/>
              </w:rPr>
              <w:t xml:space="preserve">TD </w:t>
            </w:r>
          </w:p>
        </w:tc>
        <w:tc>
          <w:tcPr>
            <w:tcW w:w="2382" w:type="dxa"/>
          </w:tcPr>
          <w:p w14:paraId="0604E651" w14:textId="38C8C12C"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{"citationItems":[{"id":"ITEM-1","itemData":{"DOI":"10.1159/000077360","ISSN":"0302-282X","PMID":"15118351","abstract":"Typical antipsychotic treatment had been postulated to be a risk factor for the susceptibility to tardive dyskinesia (TD). The cytochrome P-450 debrisoquine/sparteine hydroxylase (CYP2D6) metabolizes a majority of antipsychotics and exhibits various phenotypes on enzymatic activities from poor metabolizers to ultrarapid metabolizers. The various phenotypes are encoded by polymorphic genetic variants on the CYP2D6 gene. Although several studies had explored the association between the CYP2D6*10 C188T polymorphism, which encodes the phenotype intermediate metabolizers, and TD in Orientals, the findings were inconclusive. In the present study, we examined the relationship between the CYP2D6*10 C188T polymorphism and the TD occurrence in 216 Chinese schizophrenic patients (113 patients with TD and 103 patients without TD) and explored the correlation between the TD severity assessed by the Abnormal Involuntary Movement Scale (AIMS) and each C188T genotype in the 113 TD patients. Using logistic regression analysis, we found a modest association (p = 0.045) between TD and C188T genotypes. This positive finding was only observed in male patients (p = 0.001), but not in females. Our findings also support the correlation between AIMS scores and C188T polymorphism within the TD group after adjusting for confounding effects with the multiple regression analysis (p = 0.033). We concluded that the CYP2D6*10 C188T polymorphism may be associated with the susceptibility to the occurrence of TD induced by typical antipsychotics, especially in male patients, and may also be correlated with AIMS scores in TD patients.","author":[{"dropping-particle":"","family":"Liou","given":"Ying-Jay","non-dropping-particle":"","parse-names":false,"suffix":""},{"dropping-particle":"","family":"Wang","given":"Ying-Chieh","non-dropping-particle":"","parse-names":false,"suffix":""},{"dropping-particle":"","family":"Bai","given":"Ya-Mei","non-dropping-particle":"","parse-names":false,"suffix":""},{"dropping-particle":"","family":"Lin","given":"Chao-Cheng","non-dropping-particle":"","parse-names":false,"suffix":""},{"dropping-particle":"","family":"Yu","given":"Shun-Chieh","non-dropping-particle":"","parse-names":false,"suffix":""},{"dropping-particle":"","family":"Liao","given":"Ding-Lieh","non-dropping-particle":"","parse-names":false,"suffix":""},{"dropping-particle":"","family":"Lin","given":"Ming-Wei","non-dropping-particle":"","parse-names":false,"suffix":""},{"dropping-particle":"","family":"Chen","given":"Jen-Yeu","non-dropping-particle":"","parse-names":false,"suffix":""},{"dropping-particle":"","family":"Lai","given":"I-Ching","non-dropping-particle":"","parse-names":false,"suffix":""}],"container-title":"Neuropsychobiology","id":"ITEM-1","issue":"4","issued":{"date-parts":[["2004"]]},"page":"167-73","publisher":"Neuropsychobiology","title":"Cytochrome P-450 2D6*10 C188T polymorphism is associated with antipsychotic-induced persistent tardive dyskinesia in Chinese schizophrenic patients.","type":"article-journal","volume":"49"},"uris":["http://www.mendeley.com/documents/?uuid=d7cf8b9c-10ee-3428-9001-c60621d67fdb"]}],"mendeley":{"formattedCitation":"(Liou et al. 2004)","plainTextFormattedCitation":"(Liou et al. 2004)","previouslyFormattedCitation":"(Liou et al. 2004)"},"properties":{"noteIndex":0},"schema":"https://github.com/citation-style-language/schema/raw/master/csl-citation.json"}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(Liou et al. 2004)</w:t>
            </w:r>
            <w:r>
              <w:rPr>
                <w:rFonts w:ascii="Palatino Linotype" w:hAnsi="Palatino Linotype" w:cstheme="minorHAnsi"/>
                <w:sz w:val="18"/>
                <w:szCs w:val="18"/>
              </w:rPr>
              <w:fldChar w:fldCharType="end"/>
            </w:r>
          </w:p>
        </w:tc>
      </w:tr>
      <w:tr w:rsidR="000C64BA" w:rsidRPr="00A237AB" w14:paraId="3D3DE31B" w14:textId="050455FF" w:rsidTr="000C64BA">
        <w:tc>
          <w:tcPr>
            <w:tcW w:w="1056" w:type="dxa"/>
          </w:tcPr>
          <w:p w14:paraId="287EA359" w14:textId="4E131993"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1D4D5A49" w14:textId="62BA2556"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CYP2D6*1, CYP2D6*3, CYP2D6*4, CYP2D6*5</w:t>
            </w:r>
            <w:r w:rsidRPr="006A1E5F">
              <w:rPr>
                <w:rFonts w:ascii="Palatino Linotype" w:hAnsi="Palatino Linotype"/>
                <w:sz w:val="18"/>
                <w:szCs w:val="18"/>
              </w:rPr>
              <w:t xml:space="preserve"> and </w:t>
            </w:r>
            <w:r w:rsidRPr="006A1E5F">
              <w:rPr>
                <w:rFonts w:ascii="Palatino Linotype" w:hAnsi="Palatino Linotype" w:cstheme="minorHAnsi"/>
                <w:sz w:val="18"/>
                <w:szCs w:val="18"/>
              </w:rPr>
              <w:t>CYP2D6*6</w:t>
            </w:r>
          </w:p>
        </w:tc>
        <w:tc>
          <w:tcPr>
            <w:tcW w:w="1206" w:type="dxa"/>
          </w:tcPr>
          <w:p w14:paraId="3B8D6AE7" w14:textId="1A374BE8"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Antipsychotic drugs </w:t>
            </w:r>
          </w:p>
        </w:tc>
        <w:tc>
          <w:tcPr>
            <w:tcW w:w="924" w:type="dxa"/>
          </w:tcPr>
          <w:p w14:paraId="3B4AE53A" w14:textId="5667B9D4"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109</w:t>
            </w:r>
          </w:p>
        </w:tc>
        <w:tc>
          <w:tcPr>
            <w:tcW w:w="1236" w:type="dxa"/>
          </w:tcPr>
          <w:p w14:paraId="4348BC95" w14:textId="6450DCD8"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Caucasian (German)</w:t>
            </w:r>
          </w:p>
        </w:tc>
        <w:tc>
          <w:tcPr>
            <w:tcW w:w="1710" w:type="dxa"/>
          </w:tcPr>
          <w:p w14:paraId="58778A27" w14:textId="0D353AB7"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 or schizoaffective disorder</w:t>
            </w:r>
          </w:p>
        </w:tc>
        <w:tc>
          <w:tcPr>
            <w:tcW w:w="1080" w:type="dxa"/>
          </w:tcPr>
          <w:p w14:paraId="7CFBD4D4" w14:textId="4E1A35B4" w:rsidR="000C64BA" w:rsidRPr="00B55266"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 IV</w:t>
            </w:r>
          </w:p>
        </w:tc>
        <w:tc>
          <w:tcPr>
            <w:tcW w:w="1170" w:type="dxa"/>
          </w:tcPr>
          <w:p w14:paraId="6420C0F9" w14:textId="5E8B0F35"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TDRS</w:t>
            </w:r>
          </w:p>
        </w:tc>
        <w:tc>
          <w:tcPr>
            <w:tcW w:w="1260" w:type="dxa"/>
          </w:tcPr>
          <w:p w14:paraId="57980951" w14:textId="17D355C6" w:rsidR="000C64BA" w:rsidRPr="00B55266" w:rsidRDefault="000C64BA" w:rsidP="000C64BA">
            <w:pPr>
              <w:rPr>
                <w:rFonts w:ascii="Palatino Linotype" w:hAnsi="Palatino Linotype" w:cstheme="minorHAnsi"/>
                <w:sz w:val="18"/>
                <w:szCs w:val="18"/>
              </w:rPr>
            </w:pPr>
            <w:r w:rsidRPr="006A1E5F">
              <w:rPr>
                <w:rFonts w:ascii="Palatino Linotype" w:hAnsi="Palatino Linotype"/>
                <w:sz w:val="18"/>
                <w:szCs w:val="18"/>
              </w:rPr>
              <w:t xml:space="preserve">SSCP analysis </w:t>
            </w:r>
          </w:p>
        </w:tc>
        <w:tc>
          <w:tcPr>
            <w:tcW w:w="2382" w:type="dxa"/>
          </w:tcPr>
          <w:p w14:paraId="7EAA41BD" w14:textId="218E4787" w:rsidR="000C64BA" w:rsidRPr="00BD59C4" w:rsidRDefault="000C64BA" w:rsidP="000C64BA">
            <w:pPr>
              <w:rPr>
                <w:rFonts w:ascii="Palatino Linotype" w:hAnsi="Palatino Linotype" w:cstheme="minorHAnsi"/>
                <w:i/>
                <w:iCs/>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1263BD54" w14:textId="0B06FA56"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{"citationItems":[{"id":"ITEM-1","itemData":{"DOI":"10.1055/s-2003-39048","ISSN":"0176-3679","PMID":"12734765","abstract":"Antipsychotic drug-induced tardive dyskinesia (TD) is a serious problem during psychopharmacologic treatment of schizophrenic patients. In search of genetic factors contributing to TD, there is a lack of consensus regarding the role of the polymorphic isozyme cytochrome P450 CYP2D6, which is involved in the oxidative metabolism of antipsychotic drugs. In the present case-control study, we tested the putative influence of the CYP2D6 genotype on the development of TD. Out of 157 patients, 109 were retrospectively selected meeting DSM IV criteria for schizophrenia or schizoaffective disorder, and 50 of them persistently presenting with TD. Genotyping detected the functional allele CYP2D6 *1, the known major defective alleles CYP2D6 *3, *4, *5, *6, and gene duplication. According to their number of functional CYP2D6 alleles, subjects were divided into carriers of none, one, or at least two functional CYP2D6 alleles. The proportions of these categories did not differ between patients and an ethnically homogenous control population (n = 195, p = 0.99) or between patients with and without TD (p = 0.818). Schizophrenic patients were carriers of gene duplication more often than healthy probands, without revealing statistical significance (p = 0.10). Out of seven patients with gene duplication, three developed persistent TD. Furthermore, patients with and without TD were comparable according to age, age of onset, gender, and duration of illness, but subjects with TD had taken more lifetime chlorpromazine equivalents (CPZ) than had patients without TD (chi 2-test, Student's t-test). Forward as well as backward logistic regression analyses confirmed that the presence of TD was influenced by lifetime CPZ but not by age, age of onset, gender, duration of illness, or CYP2D6 genotype. In contrast to the relevance of lifetime CPZ, the lifetime dose of antipsychotic drugs known to be metabolized by CYP2D6 did not significantly influence the presence of TD. In conclusion, our results provide no evidence for the contribution of CYP2D6 genotype to the development of TD in schizophrenic patients receiving long-term antipsychotic medication.","author":[{"dropping-particle":"","family":"Lohmann","given":"P L","non-dropping-particle":"","parse-names":false,"suffix":""},{"dropping-particle":"","family":"Bagli","given":"M","non-dropping-particle":"","parse-names":false,"suffix":""},{"dropping-particle":"","family":"Krauss","given":"H","non-dropping-particle":"","parse-names":false,"suffix":""},{"dropping-particle":"","family":"Müller","given":"D J","non-dropping-particle":"","parse-names":false,"suffix":""},{"dropping-particle":"","family":"Schulze","given":"T G","non-dropping-particle":"","parse-names":false,"suffix":""},{"dropping-particle":"","family":"Fangerau","given":"H","non-dropping-particle":"","parse-names":false,"suffix":""},{"dropping-particle":"","family":"Ludwig","given":"M","non-dropping-particle":"","parse-names":false,"suffix":""},{"dropping-particle":"","family":"Barkow","given":"K","non-dropping-particle":"","parse-names":false,"suffix":""},{"dropping-particle":"","family":"Held","given":"T","non-dropping-particle":"","parse-names":false,"suffix":""},{"dropping-particle":"","family":"Heun","given":"R","non-dropping-particle":"","parse-names":false,"suffix":""},{"dropping-particle":"","family":"Maier","given":"W","non-dropping-particle":"","parse-names":false,"suffix":""},{"dropping-particle":"","family":"Rietschel","given":"M","non-dropping-particle":"","parse-names":false,"suffix":""},{"dropping-particle":"","family":"Rao","given":"M L","non-dropping-particle":"","parse-names":false,"suffix":""}],"container-title":"Pharmacopsychiatry","id":"ITEM-1","issue":"2","issued":{"date-parts":[["2003","3"]]},"page":"73-8","title":"CYP2D6 polymorphism and tardive dyskinesia in schizophrenic patients.","type":"article-journal","volume":"36"},"uris":["http://www.mendeley.com/documents/?uuid=7645f44a-420b-3e1d-8552-158a3f8e5f9b"]}],"mendeley":{"formattedCitation":"(Lohmann et al. 2003)","plainTextFormattedCitation":"(Lohmann et al. 2003)","previouslyFormattedCitation":"(Lohmann et al. 2003)"},"properties":{"noteIndex":0},"schema":"https://github.com/citation-style-language/schema/raw/master/csl-citation.json"}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(Lohmann et al. 2003)</w:t>
            </w:r>
            <w:r w:rsidRPr="006A1E5F">
              <w:rPr>
                <w:rFonts w:ascii="Palatino Linotype" w:hAnsi="Palatino Linotype" w:cstheme="minorHAnsi"/>
                <w:sz w:val="18"/>
                <w:szCs w:val="18"/>
              </w:rPr>
              <w:fldChar w:fldCharType="end"/>
            </w:r>
          </w:p>
        </w:tc>
      </w:tr>
      <w:tr w:rsidR="000C64BA" w:rsidRPr="00A237AB" w14:paraId="315E583D" w14:textId="17630101" w:rsidTr="000C64BA">
        <w:tc>
          <w:tcPr>
            <w:tcW w:w="1056" w:type="dxa"/>
          </w:tcPr>
          <w:p w14:paraId="4C283339" w14:textId="309E8594"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68C1B0DE" w14:textId="77777777" w:rsidR="000C64BA" w:rsidRPr="00B55266"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CAUS</w:t>
            </w:r>
            <w:r>
              <w:rPr>
                <w:rFonts w:ascii="Palatino Linotype" w:hAnsi="Palatino Linotype" w:cstheme="minorHAnsi"/>
                <w:sz w:val="18"/>
                <w:szCs w:val="18"/>
              </w:rPr>
              <w:t xml:space="preserve">: </w:t>
            </w:r>
            <w:r w:rsidRPr="00B55266">
              <w:rPr>
                <w:rFonts w:ascii="Palatino Linotype" w:hAnsi="Palatino Linotype" w:cstheme="minorHAnsi"/>
                <w:sz w:val="18"/>
                <w:szCs w:val="18"/>
              </w:rPr>
              <w:t>rs1135840, rs16947, rs28371706, rs28371725, rs35742686,</w:t>
            </w:r>
          </w:p>
          <w:p w14:paraId="69AB1C6C" w14:textId="77777777" w:rsidR="000C64BA"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rs3892097, rs5030655, rs5030656 and rs1065852</w:t>
            </w:r>
            <w:r>
              <w:rPr>
                <w:rFonts w:ascii="Palatino Linotype" w:hAnsi="Palatino Linotype" w:cstheme="minorHAnsi"/>
                <w:sz w:val="18"/>
                <w:szCs w:val="18"/>
              </w:rPr>
              <w:t xml:space="preserve"> (</w:t>
            </w:r>
            <w:r w:rsidRPr="000F3F98">
              <w:rPr>
                <w:rFonts w:ascii="Palatino Linotype" w:hAnsi="Palatino Linotype" w:cstheme="minorHAnsi"/>
                <w:i/>
                <w:iCs/>
                <w:sz w:val="18"/>
                <w:szCs w:val="18"/>
              </w:rPr>
              <w:t>CYP2D6</w:t>
            </w:r>
            <w:r w:rsidRPr="00B55266">
              <w:rPr>
                <w:rFonts w:ascii="Palatino Linotype" w:hAnsi="Palatino Linotype" w:cstheme="minorHAnsi"/>
                <w:sz w:val="18"/>
                <w:szCs w:val="18"/>
              </w:rPr>
              <w:t xml:space="preserve">) </w:t>
            </w:r>
          </w:p>
          <w:p w14:paraId="2C47AB2B" w14:textId="77777777" w:rsidR="000C64BA" w:rsidRPr="00B55266" w:rsidRDefault="000C64BA" w:rsidP="000C64BA">
            <w:pPr>
              <w:rPr>
                <w:rFonts w:ascii="Palatino Linotype" w:hAnsi="Palatino Linotype" w:cstheme="minorHAnsi"/>
                <w:sz w:val="18"/>
                <w:szCs w:val="18"/>
              </w:rPr>
            </w:pPr>
          </w:p>
        </w:tc>
        <w:tc>
          <w:tcPr>
            <w:tcW w:w="1206" w:type="dxa"/>
          </w:tcPr>
          <w:p w14:paraId="3926CB29" w14:textId="0D1562FA" w:rsidR="000C64BA" w:rsidRPr="00B55266" w:rsidRDefault="000C64BA" w:rsidP="000C64BA">
            <w:pPr>
              <w:rPr>
                <w:rFonts w:ascii="Palatino Linotype" w:hAnsi="Palatino Linotype" w:cstheme="minorHAnsi"/>
                <w:sz w:val="18"/>
                <w:szCs w:val="18"/>
              </w:rPr>
            </w:pPr>
            <w:r>
              <w:rPr>
                <w:rFonts w:ascii="Palatino Linotype" w:hAnsi="Palatino Linotype" w:cstheme="minorHAnsi"/>
                <w:sz w:val="18"/>
                <w:szCs w:val="18"/>
              </w:rPr>
              <w:t>FGAs, SGAs, or no exposure</w:t>
            </w:r>
          </w:p>
        </w:tc>
        <w:tc>
          <w:tcPr>
            <w:tcW w:w="924" w:type="dxa"/>
          </w:tcPr>
          <w:p w14:paraId="76407B85" w14:textId="42C5CBC3" w:rsidR="000C64BA"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CAUS</w:t>
            </w:r>
            <w:r>
              <w:rPr>
                <w:rFonts w:ascii="Palatino Linotype" w:hAnsi="Palatino Linotype" w:cstheme="minorHAnsi"/>
                <w:sz w:val="18"/>
                <w:szCs w:val="18"/>
              </w:rPr>
              <w:t xml:space="preserve">: </w:t>
            </w:r>
            <w:r w:rsidRPr="00A0015C">
              <w:rPr>
                <w:rFonts w:ascii="Palatino Linotype" w:hAnsi="Palatino Linotype" w:cstheme="minorHAnsi"/>
                <w:sz w:val="18"/>
                <w:szCs w:val="18"/>
              </w:rPr>
              <w:t>1</w:t>
            </w:r>
            <w:r>
              <w:rPr>
                <w:rFonts w:ascii="Palatino Linotype" w:hAnsi="Palatino Linotype" w:cstheme="minorHAnsi"/>
                <w:sz w:val="18"/>
                <w:szCs w:val="18"/>
              </w:rPr>
              <w:t>4</w:t>
            </w:r>
            <w:r w:rsidRPr="00A0015C">
              <w:rPr>
                <w:rFonts w:ascii="Palatino Linotype" w:hAnsi="Palatino Linotype" w:cstheme="minorHAnsi"/>
                <w:sz w:val="18"/>
                <w:szCs w:val="18"/>
              </w:rPr>
              <w:t xml:space="preserve">8 </w:t>
            </w:r>
            <w:r>
              <w:rPr>
                <w:rFonts w:ascii="Palatino Linotype" w:hAnsi="Palatino Linotype" w:cstheme="minorHAnsi"/>
                <w:sz w:val="18"/>
                <w:szCs w:val="18"/>
              </w:rPr>
              <w:t>(63</w:t>
            </w:r>
            <w:r w:rsidRPr="00A0015C">
              <w:rPr>
                <w:rFonts w:ascii="Palatino Linotype" w:hAnsi="Palatino Linotype" w:cstheme="minorHAnsi"/>
                <w:sz w:val="18"/>
                <w:szCs w:val="18"/>
              </w:rPr>
              <w:t xml:space="preserve"> </w:t>
            </w:r>
            <w:r>
              <w:rPr>
                <w:rFonts w:ascii="Palatino Linotype" w:hAnsi="Palatino Linotype" w:cstheme="minorHAnsi"/>
                <w:sz w:val="18"/>
                <w:szCs w:val="18"/>
              </w:rPr>
              <w:t>with</w:t>
            </w:r>
            <w:r w:rsidRPr="00A0015C">
              <w:rPr>
                <w:rFonts w:ascii="Palatino Linotype" w:hAnsi="Palatino Linotype" w:cstheme="minorHAnsi"/>
                <w:sz w:val="18"/>
                <w:szCs w:val="18"/>
              </w:rPr>
              <w:t xml:space="preserve"> TD)</w:t>
            </w:r>
            <w:r>
              <w:rPr>
                <w:rFonts w:ascii="Palatino Linotype" w:hAnsi="Palatino Linotype" w:cstheme="minorHAnsi"/>
                <w:sz w:val="18"/>
                <w:szCs w:val="18"/>
              </w:rPr>
              <w:t xml:space="preserve">, </w:t>
            </w:r>
          </w:p>
          <w:p w14:paraId="4F8ACBDE" w14:textId="53B17ADD"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PGx: </w:t>
            </w:r>
            <w:r w:rsidRPr="00B55266">
              <w:rPr>
                <w:rFonts w:ascii="Palatino Linotype" w:hAnsi="Palatino Linotype" w:cstheme="minorHAnsi"/>
                <w:sz w:val="18"/>
                <w:szCs w:val="18"/>
              </w:rPr>
              <w:t>58 (19</w:t>
            </w:r>
            <w:r>
              <w:rPr>
                <w:rFonts w:ascii="Palatino Linotype" w:hAnsi="Palatino Linotype" w:cstheme="minorHAnsi"/>
                <w:sz w:val="18"/>
                <w:szCs w:val="18"/>
              </w:rPr>
              <w:t xml:space="preserve"> with TD)</w:t>
            </w:r>
          </w:p>
        </w:tc>
        <w:tc>
          <w:tcPr>
            <w:tcW w:w="1236" w:type="dxa"/>
          </w:tcPr>
          <w:p w14:paraId="1ABBE68E" w14:textId="17B9D144"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Caucasian (</w:t>
            </w:r>
            <w:r w:rsidRPr="00B55266">
              <w:rPr>
                <w:rFonts w:ascii="Palatino Linotype" w:hAnsi="Palatino Linotype" w:cstheme="minorHAnsi"/>
                <w:sz w:val="18"/>
                <w:szCs w:val="18"/>
              </w:rPr>
              <w:t>European</w:t>
            </w:r>
            <w:r>
              <w:rPr>
                <w:rFonts w:ascii="Palatino Linotype" w:hAnsi="Palatino Linotype" w:cstheme="minorHAnsi"/>
                <w:sz w:val="18"/>
                <w:szCs w:val="18"/>
              </w:rPr>
              <w:t>)</w:t>
            </w:r>
          </w:p>
        </w:tc>
        <w:tc>
          <w:tcPr>
            <w:tcW w:w="1710" w:type="dxa"/>
          </w:tcPr>
          <w:p w14:paraId="3588A66F" w14:textId="086877CF" w:rsidR="000C64BA" w:rsidRPr="006A1E5F"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Schizophrenia</w:t>
            </w:r>
            <w:r>
              <w:rPr>
                <w:rFonts w:ascii="Palatino Linotype" w:hAnsi="Palatino Linotype" w:cstheme="minorHAnsi"/>
                <w:sz w:val="18"/>
                <w:szCs w:val="18"/>
              </w:rPr>
              <w:t xml:space="preserve"> or </w:t>
            </w:r>
            <w:r w:rsidRPr="00B55266">
              <w:rPr>
                <w:rFonts w:ascii="Palatino Linotype" w:hAnsi="Palatino Linotype" w:cstheme="minorHAnsi"/>
                <w:sz w:val="18"/>
                <w:szCs w:val="18"/>
              </w:rPr>
              <w:t>schizoaffective disorder</w:t>
            </w:r>
          </w:p>
        </w:tc>
        <w:tc>
          <w:tcPr>
            <w:tcW w:w="1080" w:type="dxa"/>
          </w:tcPr>
          <w:p w14:paraId="5665C9CA" w14:textId="678C7C72" w:rsidR="000C64BA" w:rsidRPr="006A1E5F"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DSM-III-R or DSM-IV</w:t>
            </w:r>
          </w:p>
        </w:tc>
        <w:tc>
          <w:tcPr>
            <w:tcW w:w="1170" w:type="dxa"/>
          </w:tcPr>
          <w:p w14:paraId="19FB1F94" w14:textId="5D0DA6EF"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AIMS or the modified </w:t>
            </w:r>
            <w:r w:rsidRPr="005725A7">
              <w:rPr>
                <w:rFonts w:ascii="Palatino Linotype" w:hAnsi="Palatino Linotype" w:cstheme="minorHAnsi"/>
                <w:sz w:val="18"/>
                <w:szCs w:val="18"/>
              </w:rPr>
              <w:t>H</w:t>
            </w:r>
            <w:r>
              <w:rPr>
                <w:rFonts w:ascii="Palatino Linotype" w:hAnsi="Palatino Linotype" w:cstheme="minorHAnsi"/>
                <w:sz w:val="18"/>
                <w:szCs w:val="18"/>
              </w:rPr>
              <w:t>SDS</w:t>
            </w:r>
          </w:p>
        </w:tc>
        <w:tc>
          <w:tcPr>
            <w:tcW w:w="1260" w:type="dxa"/>
          </w:tcPr>
          <w:p w14:paraId="3D6F2E7A" w14:textId="77777777" w:rsidR="000C64BA" w:rsidRDefault="000C64BA" w:rsidP="000C64BA">
            <w:pPr>
              <w:rPr>
                <w:rFonts w:ascii="Palatino Linotype" w:hAnsi="Palatino Linotype" w:cstheme="minorHAnsi"/>
                <w:sz w:val="18"/>
                <w:szCs w:val="18"/>
              </w:rPr>
            </w:pPr>
            <w:r w:rsidRPr="00B55266">
              <w:rPr>
                <w:rFonts w:ascii="Palatino Linotype" w:hAnsi="Palatino Linotype" w:cstheme="minorHAnsi"/>
                <w:sz w:val="18"/>
                <w:szCs w:val="18"/>
              </w:rPr>
              <w:t>CAUS</w:t>
            </w:r>
            <w:r>
              <w:rPr>
                <w:rFonts w:ascii="Palatino Linotype" w:hAnsi="Palatino Linotype" w:cstheme="minorHAnsi"/>
                <w:sz w:val="18"/>
                <w:szCs w:val="18"/>
              </w:rPr>
              <w:t xml:space="preserve">: TaqMan assay (SNPs), </w:t>
            </w:r>
            <w:r w:rsidRPr="00B55266">
              <w:rPr>
                <w:rFonts w:ascii="Palatino Linotype" w:hAnsi="Palatino Linotype" w:cstheme="minorHAnsi"/>
                <w:sz w:val="18"/>
                <w:szCs w:val="18"/>
              </w:rPr>
              <w:t>Real-Time PCR</w:t>
            </w:r>
            <w:r>
              <w:rPr>
                <w:rFonts w:ascii="Palatino Linotype" w:hAnsi="Palatino Linotype" w:cstheme="minorHAnsi"/>
                <w:sz w:val="18"/>
                <w:szCs w:val="18"/>
              </w:rPr>
              <w:t xml:space="preserve"> (</w:t>
            </w:r>
            <w:r w:rsidRPr="00B55266">
              <w:rPr>
                <w:rFonts w:ascii="Palatino Linotype" w:hAnsi="Palatino Linotype" w:cstheme="minorHAnsi"/>
                <w:sz w:val="18"/>
                <w:szCs w:val="18"/>
              </w:rPr>
              <w:t xml:space="preserve">copy number of </w:t>
            </w:r>
            <w:r w:rsidRPr="000F3F98">
              <w:rPr>
                <w:rFonts w:ascii="Palatino Linotype" w:hAnsi="Palatino Linotype" w:cstheme="minorHAnsi"/>
                <w:i/>
                <w:iCs/>
                <w:sz w:val="18"/>
                <w:szCs w:val="18"/>
              </w:rPr>
              <w:t>CYP2D6</w:t>
            </w:r>
            <w:r>
              <w:rPr>
                <w:rFonts w:ascii="Palatino Linotype" w:hAnsi="Palatino Linotype" w:cstheme="minorHAnsi"/>
                <w:sz w:val="18"/>
                <w:szCs w:val="18"/>
              </w:rPr>
              <w:t xml:space="preserve">), </w:t>
            </w:r>
          </w:p>
          <w:p w14:paraId="429BA75B" w14:textId="1FDFEC35"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PGx: </w:t>
            </w:r>
            <w:r w:rsidRPr="00B55266">
              <w:rPr>
                <w:rFonts w:ascii="Palatino Linotype" w:hAnsi="Palatino Linotype" w:cstheme="minorHAnsi"/>
                <w:sz w:val="18"/>
                <w:szCs w:val="18"/>
              </w:rPr>
              <w:t xml:space="preserve">multiplex Luminex </w:t>
            </w:r>
            <w:proofErr w:type="spellStart"/>
            <w:r w:rsidRPr="00B55266">
              <w:rPr>
                <w:rFonts w:ascii="Palatino Linotype" w:hAnsi="Palatino Linotype" w:cstheme="minorHAnsi"/>
                <w:sz w:val="18"/>
                <w:szCs w:val="18"/>
              </w:rPr>
              <w:t>xTAG</w:t>
            </w:r>
            <w:proofErr w:type="spellEnd"/>
            <w:r w:rsidRPr="00B55266">
              <w:rPr>
                <w:rFonts w:ascii="Palatino Linotype" w:hAnsi="Palatino Linotype" w:cstheme="minorHAnsi"/>
                <w:sz w:val="18"/>
                <w:szCs w:val="18"/>
              </w:rPr>
              <w:t xml:space="preserve"> bead array</w:t>
            </w:r>
          </w:p>
        </w:tc>
        <w:tc>
          <w:tcPr>
            <w:tcW w:w="2382" w:type="dxa"/>
          </w:tcPr>
          <w:p w14:paraId="68702593" w14:textId="5E56A090" w:rsidR="000C64BA" w:rsidRPr="006A1E5F" w:rsidRDefault="000C64BA" w:rsidP="000C64BA">
            <w:pPr>
              <w:rPr>
                <w:rFonts w:ascii="Palatino Linotype" w:hAnsi="Palatino Linotype" w:cstheme="minorHAnsi"/>
                <w:sz w:val="18"/>
                <w:szCs w:val="18"/>
              </w:rPr>
            </w:pPr>
            <w:r w:rsidRPr="00BD59C4">
              <w:rPr>
                <w:rFonts w:ascii="Palatino Linotype" w:hAnsi="Palatino Linotype" w:cstheme="minorHAnsi"/>
                <w:i/>
                <w:iCs/>
                <w:sz w:val="18"/>
                <w:szCs w:val="18"/>
              </w:rPr>
              <w:t>CYP2D6</w:t>
            </w:r>
            <w:r w:rsidRPr="005A21C2">
              <w:rPr>
                <w:rFonts w:ascii="Palatino Linotype" w:hAnsi="Palatino Linotype" w:cstheme="minorHAnsi"/>
                <w:sz w:val="18"/>
                <w:szCs w:val="18"/>
              </w:rPr>
              <w:t xml:space="preserve"> UM</w:t>
            </w:r>
            <w:r>
              <w:rPr>
                <w:rFonts w:ascii="Palatino Linotype" w:hAnsi="Palatino Linotype" w:cstheme="minorHAnsi"/>
                <w:sz w:val="18"/>
                <w:szCs w:val="18"/>
              </w:rPr>
              <w:t xml:space="preserve">s and </w:t>
            </w:r>
            <w:r w:rsidRPr="005A21C2">
              <w:rPr>
                <w:rFonts w:ascii="Palatino Linotype" w:hAnsi="Palatino Linotype" w:cstheme="minorHAnsi"/>
                <w:sz w:val="18"/>
                <w:szCs w:val="18"/>
              </w:rPr>
              <w:t>PM</w:t>
            </w:r>
            <w:r>
              <w:rPr>
                <w:rFonts w:ascii="Palatino Linotype" w:hAnsi="Palatino Linotype" w:cstheme="minorHAnsi"/>
                <w:sz w:val="18"/>
                <w:szCs w:val="18"/>
              </w:rPr>
              <w:t>s</w:t>
            </w:r>
            <w:r w:rsidRPr="005A21C2">
              <w:rPr>
                <w:rFonts w:ascii="Palatino Linotype" w:hAnsi="Palatino Linotype" w:cstheme="minorHAnsi"/>
                <w:sz w:val="18"/>
                <w:szCs w:val="18"/>
              </w:rPr>
              <w:t xml:space="preserve"> have higher risk for TD </w:t>
            </w:r>
            <w:r>
              <w:rPr>
                <w:rFonts w:ascii="Palatino Linotype" w:hAnsi="Palatino Linotype" w:cstheme="minorHAnsi"/>
                <w:sz w:val="18"/>
                <w:szCs w:val="18"/>
              </w:rPr>
              <w:t xml:space="preserve">development and </w:t>
            </w:r>
            <w:r w:rsidRPr="005A21C2">
              <w:rPr>
                <w:rFonts w:ascii="Palatino Linotype" w:hAnsi="Palatino Linotype" w:cstheme="minorHAnsi"/>
                <w:sz w:val="18"/>
                <w:szCs w:val="18"/>
              </w:rPr>
              <w:t xml:space="preserve">severity </w:t>
            </w:r>
            <w:r>
              <w:rPr>
                <w:rFonts w:ascii="Palatino Linotype" w:hAnsi="Palatino Linotype" w:cstheme="minorHAnsi"/>
                <w:sz w:val="18"/>
                <w:szCs w:val="18"/>
              </w:rPr>
              <w:t>in comparison with</w:t>
            </w:r>
            <w:r w:rsidRPr="005A21C2">
              <w:rPr>
                <w:rFonts w:ascii="Palatino Linotype" w:hAnsi="Palatino Linotype" w:cstheme="minorHAnsi"/>
                <w:sz w:val="18"/>
                <w:szCs w:val="18"/>
              </w:rPr>
              <w:t xml:space="preserve"> IM</w:t>
            </w:r>
            <w:r>
              <w:rPr>
                <w:rFonts w:ascii="Palatino Linotype" w:hAnsi="Palatino Linotype" w:cstheme="minorHAnsi"/>
                <w:sz w:val="18"/>
                <w:szCs w:val="18"/>
              </w:rPr>
              <w:t xml:space="preserve">s and </w:t>
            </w:r>
            <w:r w:rsidRPr="005A21C2">
              <w:rPr>
                <w:rFonts w:ascii="Palatino Linotype" w:hAnsi="Palatino Linotype" w:cstheme="minorHAnsi"/>
                <w:sz w:val="18"/>
                <w:szCs w:val="18"/>
              </w:rPr>
              <w:t>EM</w:t>
            </w:r>
            <w:r>
              <w:rPr>
                <w:rFonts w:ascii="Palatino Linotype" w:hAnsi="Palatino Linotype" w:cstheme="minorHAnsi"/>
                <w:sz w:val="18"/>
                <w:szCs w:val="18"/>
              </w:rPr>
              <w:t>s</w:t>
            </w:r>
          </w:p>
        </w:tc>
        <w:tc>
          <w:tcPr>
            <w:tcW w:w="2382" w:type="dxa"/>
          </w:tcPr>
          <w:p w14:paraId="4C2A53C3" w14:textId="64F34CDB" w:rsidR="000C64BA" w:rsidRPr="00BD59C4" w:rsidRDefault="000C64BA" w:rsidP="000C64BA">
            <w:pPr>
              <w:rPr>
                <w:rFonts w:ascii="Palatino Linotype" w:hAnsi="Palatino Linotype" w:cstheme="minorHAnsi"/>
                <w:i/>
                <w:iCs/>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{"citationItems":[{"id":"ITEM-1","itemData":{"DOI":"10.2217/pgs-2020-0065","ISSN":"1744-8042","PMID":"32969762","abstract":"Background: Tardive dyskinesia (TD) is an iatrogenic involuntary movement disorder occurring after extended antipsychotic use with unclear pathogenesis. CYP2D6 is a liver enzyme involved in antipsychotic metabolism and a well-studied gene candidate for TD. Materials &amp; methods: We tested predicted CYP2D6 metabolizer phenotype with TD occurrence and severity in our two samples of European chronic schizophrenia patients (total n = 198, of which 82 had TD). Results: TD occurrence were associated with extreme metabolizer phenotype, controlling for age and sex (p = 0.012). In other words, individuals with either increased and no CYP2D6 activity were at higher risk of having TD. Conclusion: Unlike most previous findings, TD occurrence may be associated with both extremes of CYP2D6 metabolic activity rather than solely for poor metabolizers.","author":[{"dropping-particle":"","family":"Lu","given":"Justin Y","non-dropping-particle":"","parse-names":false,"suffix":""},{"dropping-particle":"","family":"Tiwari","given":"Arun K","non-dropping-particle":"","parse-names":false,"suffix":""},{"dropping-particle":"","family":"Freeman","given":"Natalie","non-dropping-particle":"","parse-names":false,"suffix":""},{"dropping-particle":"","family":"Zai","given":"Gwyneth C","non-dropping-particle":"","parse-names":false,"suffix":""},{"dropping-particle":"de","family":"Luca","given":"Vincenzo","non-dropping-particle":"","parse-names":false,"suffix":""},{"dropping-particle":"","family":"Müller","given":"Daniel J","non-dropping-particle":"","parse-names":false,"suffix":""},{"dropping-particle":"","family":"Tampakeras","given":"Maria","non-dropping-particle":"","parse-names":false,"suffix":""},{"dropping-particle":"","family":"Herbert","given":"Deanna","non-dropping-particle":"","parse-names":false,"suffix":""},{"dropping-particle":"","family":"Emmerson","given":"Heather","non-dropping-particle":"","parse-names":false,"suffix":""},{"dropping-particle":"","family":"Cheema","given":"Sheraz Y","non-dropping-particle":"","parse-names":false,"suffix":""},{"dropping-particle":"","family":"King","given":"Nicole","non-dropping-particle":"","parse-names":false,"suffix":""},{"dropping-particle":"","family":"Voineskos","given":"Aristotle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L","non-dropping-particle":"","parse-names":false,"suffix":""},{"dropping-particle":"","family":"Zai","given":"Clement C","non-dropping-particle":"","parse-names":false,"suffix":""}],"container-title":"Pharmacogenomics","id":"ITEM-1","issue":"15","issued":{"date-parts":[["2020"]]},"page":"1065-1072","publisher":"Pharmacogenomics","title":"Liver enzyme CYP2D6 gene and tardive dyskinesia.","type":"article-journal","volume":"21"},"uris":["http://www.mendeley.com/documents/?uuid=f88f976d-62d3-330b-9a7f-6604a383db34"]}],"mendeley":{"formattedCitation":"(Lu et al. 2020)","plainTextFormattedCitation":"(Lu et al. 2020)","previouslyFormattedCitation":"(Lu et al. 2020)"},"properties":{"noteIndex":0},"schema":"https://github.com/citation-style-language/schema/raw/master/csl-citation.json"}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(Lu et al. 2020)</w:t>
            </w:r>
            <w:r>
              <w:rPr>
                <w:rFonts w:ascii="Palatino Linotype" w:hAnsi="Palatino Linotype" w:cstheme="minorHAnsi"/>
                <w:sz w:val="18"/>
                <w:szCs w:val="18"/>
              </w:rPr>
              <w:fldChar w:fldCharType="end"/>
            </w:r>
          </w:p>
        </w:tc>
      </w:tr>
      <w:tr w:rsidR="000C64BA" w:rsidRPr="00A237AB" w14:paraId="6B1E301D" w14:textId="0EDC35DC" w:rsidTr="000C64BA">
        <w:tc>
          <w:tcPr>
            <w:tcW w:w="1056" w:type="dxa"/>
          </w:tcPr>
          <w:p w14:paraId="23A5DAAA" w14:textId="1658E8F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CYP1A2 </w:t>
            </w:r>
          </w:p>
        </w:tc>
        <w:tc>
          <w:tcPr>
            <w:tcW w:w="1272" w:type="dxa"/>
          </w:tcPr>
          <w:p w14:paraId="10906500" w14:textId="646E4B0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734C/A and -2964G/A</w:t>
            </w:r>
          </w:p>
        </w:tc>
        <w:tc>
          <w:tcPr>
            <w:tcW w:w="1206" w:type="dxa"/>
          </w:tcPr>
          <w:p w14:paraId="3B00A801" w14:textId="0882DB9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6537B3CE" w14:textId="204CBD23"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199</w:t>
            </w:r>
          </w:p>
        </w:tc>
        <w:tc>
          <w:tcPr>
            <w:tcW w:w="1236" w:type="dxa"/>
          </w:tcPr>
          <w:p w14:paraId="24F9C2D3"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Japanese </w:t>
            </w:r>
          </w:p>
        </w:tc>
        <w:tc>
          <w:tcPr>
            <w:tcW w:w="1710" w:type="dxa"/>
          </w:tcPr>
          <w:p w14:paraId="1CB3DC17"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3B0F241D"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4EE94A7F"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50A5A85E"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7E38FBBB" w14:textId="0B2A9653"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r w:rsidRPr="006A1E5F" w:rsidDel="001D4C44">
              <w:rPr>
                <w:rFonts w:ascii="Palatino Linotype" w:hAnsi="Palatino Linotype" w:cstheme="minorHAnsi"/>
                <w:sz w:val="18"/>
                <w:szCs w:val="18"/>
              </w:rPr>
              <w:t xml:space="preserve"> </w:t>
            </w:r>
          </w:p>
        </w:tc>
        <w:tc>
          <w:tcPr>
            <w:tcW w:w="2382" w:type="dxa"/>
          </w:tcPr>
          <w:p w14:paraId="310B007B" w14:textId="7D6E759D"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{"citationItems":[{"id":"ITEM-1","itemData":{"ISSN":"0955-8829","PMID":"15564895","abstract":"OBJECTIVE Recent studies have revealed positive associations between tardive dyskinesia (TD) and genetic polymorphisms of several cytochrome P450 (CYP) subfamilies that are involved in pharmacokinetic process of antipsychotic drugs. In the present study, we analyzed the relationship between TD and two polymorphisms of the CYP1A2 gene, 734C/A and -2964G/A, in a sample of Japanese patients with schizophrenia. METHODS We studied 199 Japanese patients with schizophrenia. We used the Abnormal Involuntary Movement Scale to evaluate TD. Two polymorphisms of the CYP1A2 gene, 734C/A and -2964 G/A were genotyped by means of polymerase chain reaction and restriction fragment length polymorphism analysis. RESULTS Neither the 734C/A nor the -2964G/A polymorphism was associated with TD [734C/A genotype: chi2=0.02, degrees of freedom (df)=2, P=1.00; allele: chi2=0.02, df=1, P=0.89; -2964G/A genotype: chi2=0.21, df=2, P=0.90; allele: chi2=0.15, df=1, P=0.70]. In addition, CYP1A2 haplotype was associated with TD (chi2=0.24, df=3, P=0.97). Furthermore, in both the subgroup of smokers and the subgroup of patients receiving high-dosage antipsychotics (chlorpromazine equivalent &gt;1000 mg), neither the 734C/A nor the -2964G/A polymorphism was associated with TD. CONCLUSIONS We did not find significant associations between the 734C/A and -2964G/A polymorphisms of CYP1A2 gene and TD in Japanese patients with schizophrenia. Our results suggest that these CYP1A2 gene polymorphisms may not contribute to TD susceptibility.","author":[{"dropping-particle":"","family":"Matsumoto","given":"Chima","non-dropping-particle":"","parse-names":false,"suffix":""},{"dropping-particle":"","family":"Ohmori","given":"Osamu","non-dropping-particle":"","parse-names":false,"suffix":""},{"dropping-particle":"","family":"Shinkai","given":"Takahiro","non-dropping-particle":"","parse-names":false,"suffix":""},{"dropping-particle":"","family":"Hori","given":"Hiroko","non-dropping-particle":"","parse-names":false,"suffix":""},{"dropping-particle":"","family":"Nakamura","given":"Jun","non-dropping-particle":"","parse-names":false,"suffix":""}],"container-title":"Psychiatric genetics","id":"ITEM-1","issue":"4","issued":{"date-parts":[["2004","12"]]},"page":"209-13","title":"Genetic association analysis of functional polymorphisms in the cytochrome P450 1A2 (CYP1A2) gene with tardive dyskinesia in Japanese patients with schizophrenia.","type":"article-journal","volume":"14"},"uris":["http://www.mendeley.com/documents/?uuid=e37f48b6-1859-3fef-a099-391cd5896e91"]}],"mendeley":{"formattedCitation":"(Matsumoto et al. 2004a)","plainTextFormattedCitation":"(Matsumoto et al. 2004a)","previouslyFormattedCitation":"(Matsumoto et al. 2004a)"},"properties":{"noteIndex":0},"schema":"https://github.com/citation-style-language/schema/raw/master/csl-citation.json"}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(Matsumoto et al. 2004a)</w:t>
            </w:r>
            <w:r w:rsidRPr="006A1E5F">
              <w:rPr>
                <w:rFonts w:ascii="Palatino Linotype" w:hAnsi="Palatino Linotype" w:cstheme="minorHAnsi"/>
                <w:sz w:val="18"/>
                <w:szCs w:val="18"/>
              </w:rPr>
              <w:fldChar w:fldCharType="end"/>
            </w:r>
          </w:p>
        </w:tc>
      </w:tr>
      <w:tr w:rsidR="000C64BA" w:rsidRPr="00A237AB" w14:paraId="73F953D2" w14:textId="0E1E3412" w:rsidTr="000C64BA">
        <w:tc>
          <w:tcPr>
            <w:tcW w:w="1056" w:type="dxa"/>
          </w:tcPr>
          <w:p w14:paraId="0D83A631" w14:textId="2E3A74A3"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0E8B63D8" w14:textId="5201B234"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CYP2D6*1 to CYP2D6*1, CYP2D6*10B, CYP2D6*14, CYP2D6*18, </w:t>
            </w:r>
            <w:r w:rsidRPr="006A1E5F">
              <w:rPr>
                <w:rFonts w:ascii="Palatino Linotype" w:hAnsi="Palatino Linotype" w:cstheme="minorHAnsi"/>
                <w:sz w:val="18"/>
                <w:szCs w:val="18"/>
              </w:rPr>
              <w:lastRenderedPageBreak/>
              <w:t>CYP2D6*19, CYP2D6*25, CYP2D6*26, CYP2D6*31, CYP2D6*36 and CYP2D6*41</w:t>
            </w:r>
          </w:p>
        </w:tc>
        <w:tc>
          <w:tcPr>
            <w:tcW w:w="1206" w:type="dxa"/>
          </w:tcPr>
          <w:p w14:paraId="1482183C" w14:textId="261E4F7B"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lastRenderedPageBreak/>
              <w:t>Conventional neuroleptics such as haloperidol, chlorproma</w:t>
            </w:r>
            <w:r w:rsidRPr="006A1E5F">
              <w:rPr>
                <w:rFonts w:ascii="Palatino Linotype" w:hAnsi="Palatino Linotype" w:cstheme="minorHAnsi"/>
                <w:sz w:val="18"/>
                <w:szCs w:val="18"/>
              </w:rPr>
              <w:lastRenderedPageBreak/>
              <w:t xml:space="preserve">zine, thioridazine, </w:t>
            </w:r>
            <w:proofErr w:type="spellStart"/>
            <w:r w:rsidRPr="006A1E5F">
              <w:rPr>
                <w:rFonts w:ascii="Palatino Linotype" w:hAnsi="Palatino Linotype" w:cstheme="minorHAnsi"/>
                <w:sz w:val="18"/>
                <w:szCs w:val="18"/>
              </w:rPr>
              <w:t>trifluperazine</w:t>
            </w:r>
            <w:proofErr w:type="spellEnd"/>
            <w:r w:rsidRPr="006A1E5F">
              <w:rPr>
                <w:rFonts w:ascii="Palatino Linotype" w:hAnsi="Palatino Linotype" w:cstheme="minorHAnsi"/>
                <w:sz w:val="18"/>
                <w:szCs w:val="18"/>
              </w:rPr>
              <w:t>, fluphenazine, perphenazine, zuclopenthixol and pimozide</w:t>
            </w:r>
          </w:p>
        </w:tc>
        <w:tc>
          <w:tcPr>
            <w:tcW w:w="924" w:type="dxa"/>
          </w:tcPr>
          <w:p w14:paraId="5DE86334" w14:textId="73DBEC4F"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lastRenderedPageBreak/>
              <w:t>202</w:t>
            </w:r>
          </w:p>
        </w:tc>
        <w:tc>
          <w:tcPr>
            <w:tcW w:w="1236" w:type="dxa"/>
          </w:tcPr>
          <w:p w14:paraId="37329E94" w14:textId="57058F9B"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Korean </w:t>
            </w:r>
          </w:p>
        </w:tc>
        <w:tc>
          <w:tcPr>
            <w:tcW w:w="1710" w:type="dxa"/>
          </w:tcPr>
          <w:p w14:paraId="2BFA61B1" w14:textId="0B62FF5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3F82998B" w14:textId="6FEB1BE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104945F6" w14:textId="299B3315"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42037A54"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Affymetrix CYP450</w:t>
            </w:r>
          </w:p>
          <w:p w14:paraId="1A78D038"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GeneChip</w:t>
            </w:r>
          </w:p>
          <w:p w14:paraId="27D8B6CF"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system</w:t>
            </w:r>
          </w:p>
          <w:p w14:paraId="660DA763" w14:textId="77777777" w:rsidR="000C64BA" w:rsidRPr="006A1E5F" w:rsidRDefault="000C64BA" w:rsidP="000C64BA">
            <w:pPr>
              <w:rPr>
                <w:rFonts w:ascii="Palatino Linotype" w:hAnsi="Palatino Linotype" w:cstheme="minorHAnsi"/>
                <w:sz w:val="18"/>
                <w:szCs w:val="18"/>
              </w:rPr>
            </w:pPr>
          </w:p>
        </w:tc>
        <w:tc>
          <w:tcPr>
            <w:tcW w:w="2382" w:type="dxa"/>
          </w:tcPr>
          <w:p w14:paraId="3FE9DB19" w14:textId="77777777"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M</w:t>
            </w:r>
            <w:r w:rsidRPr="006A1E5F">
              <w:rPr>
                <w:rFonts w:ascii="Palatino Linotype" w:hAnsi="Palatino Linotype" w:cstheme="minorHAnsi"/>
                <w:sz w:val="18"/>
                <w:szCs w:val="18"/>
              </w:rPr>
              <w:t>ales with at least</w:t>
            </w:r>
          </w:p>
          <w:p w14:paraId="34DB6392" w14:textId="1EFF548A" w:rsidR="000C64BA" w:rsidRPr="006A1E5F" w:rsidRDefault="000C64BA" w:rsidP="00E80F54">
            <w:pPr>
              <w:rPr>
                <w:rFonts w:ascii="Palatino Linotype" w:hAnsi="Palatino Linotype" w:cstheme="minorHAnsi"/>
                <w:sz w:val="18"/>
                <w:szCs w:val="18"/>
              </w:rPr>
            </w:pPr>
            <w:r w:rsidRPr="006A1E5F">
              <w:rPr>
                <w:rFonts w:ascii="Palatino Linotype" w:hAnsi="Palatino Linotype" w:cstheme="minorHAnsi"/>
                <w:sz w:val="18"/>
                <w:szCs w:val="18"/>
              </w:rPr>
              <w:t>one decreased or loss of function allele have a moderately greater chance of</w:t>
            </w:r>
            <w:r w:rsidR="00E80F54">
              <w:rPr>
                <w:rFonts w:ascii="Palatino Linotype" w:hAnsi="Palatino Linotype" w:cstheme="minorHAnsi"/>
                <w:sz w:val="18"/>
                <w:szCs w:val="18"/>
              </w:rPr>
              <w:t xml:space="preserve"> </w:t>
            </w:r>
            <w:r w:rsidRPr="006A1E5F">
              <w:rPr>
                <w:rFonts w:ascii="Palatino Linotype" w:hAnsi="Palatino Linotype" w:cstheme="minorHAnsi"/>
                <w:sz w:val="18"/>
                <w:szCs w:val="18"/>
              </w:rPr>
              <w:t xml:space="preserve">developing TD than </w:t>
            </w:r>
            <w:r w:rsidRPr="006A1E5F">
              <w:rPr>
                <w:rFonts w:ascii="Palatino Linotype" w:hAnsi="Palatino Linotype" w:cstheme="minorHAnsi"/>
                <w:sz w:val="18"/>
                <w:szCs w:val="18"/>
              </w:rPr>
              <w:lastRenderedPageBreak/>
              <w:t>males with only wild-type alleles</w:t>
            </w:r>
          </w:p>
        </w:tc>
        <w:tc>
          <w:tcPr>
            <w:tcW w:w="2382" w:type="dxa"/>
          </w:tcPr>
          <w:p w14:paraId="37C051A9" w14:textId="01D3E6FC" w:rsidR="000C64BA"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lastRenderedPageBreak/>
              <w:fldChar w:fldCharType="begin" w:fldLock="1"/>
            </w:r>
            <w:r w:rsidR="005E78F7">
              <w:rPr>
                <w:rFonts w:ascii="Palatino Linotype" w:hAnsi="Palatino Linotype" w:cstheme="minorHAnsi"/>
                <w:sz w:val="18"/>
                <w:szCs w:val="18"/>
              </w:rPr>
              <w:instrText>ADDIN CSL_CITATION {"citationItems":[{"id":"ITEM-1","itemData":{"DOI":"10.1038/sj.tpj.6500138","ISSN":"1470-269X","PMID":"12629505","abstract":"The CYP2D6 gene codes for human cytochrome P450 2D6 enzyme, which is responsible for the metabolism of many psychiatric drugs. In schizophrenic patients treated with neuroleptics, decreased or loss of function CYP2D6 alleles may contribute to the development of tardive dyskinesia (TD), a movement disorder that frequently occurs with chronic neuroleptic treatment. The goal of this study was to determine whether the occurrence of TD is associated with CYP2D6 genotype in a cohort of Korean schizophrenics by employing a CYP450 GeneChip((R)) oligonucleotide microarray and PCR assays to screen for 19 CYP2D6 alleles. Our results revealed that males with at least one decreased or loss of function allele have a moderately greater chance of developing TD than males with only wild-type alleles. Female schizophrenics did not have a significantly greater chance of developing TD. Our results demonstrate the utility of CYP2D6 microarrays to assess genotype status in this Korean cohort.","author":[{"dropping-particle":"","family":"Nikoloff","given":"D","non-dropping-particle":"","parse-names":false,"suffix":""},{"dropping-particle":"","family":"Shim","given":"J C","non-dropping-particle":"","parse-names":false,"suffix":""},{"dropping-particle":"","family":"Fairchild","given":"M","non-dropping-particle":"","parse-names":false,"suffix":""},{"dropping-particle":"","family":"Patten","given":"N","non-dropping-particle":"","parse-names":false,"suffix":""},{"dropping-particle":"","family":"Fijal","given":"B A","non-dropping-particle":"","parse-names":false,"suffix":""},{"dropping-particle":"","family":"Koch","given":"W H","non-dropping-particle":"","parse-names":false,"suffix":""},{"dropping-particle":"","family":"MacPherson","given":"A","non-dropping-particle":"","parse-names":false,"suffix":""},{"dropping-particle":"","family":"Flockhart","given":"D","non-dropping-particle":"","parse-names":false,"suffix":""},{"dropping-particle":"","family":"Yoon","given":"Y R","non-dropping-particle":"","parse-names":false,"suffix":""},{"dropping-particle":"","family":"Yoon","given":"J S","non-dropping-particle":"","parse-names":false,"suffix":""},{"dropping-particle":"","family":"Kim","given":"Y H","non-dropping-particle":"","parse-names":false,"suffix":""},{"dropping-particle":"","family":"Shin","given":"J G","non-dropping-particle":"","parse-names":false,"suffix":""}],"container-title":"The pharmacogenomics journal","id":"ITEM-1","issue":"6","issued":{"date-parts":[["2002","6","21"]]},"page":"400-7","title":"Association between CYP2D6 genotype and tardive dyskinesia in Korean schizophrenics.","type":"article-journal","volume":"2"},"uris":["http://www.mendeley.com/documents/?uuid=3249aa00-f356-331e-8fac-8674325c7af6"]}],"mendeley":{"formattedCitation":"(Nikoloff et al. 2002)","plainTextFormattedCitation":"(Nikoloff et al. 2002)","previouslyFormattedCitation":"(Nikoloff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(Nikoloff et al. 2002)</w:t>
            </w:r>
            <w:r w:rsidRPr="006A1E5F">
              <w:rPr>
                <w:rFonts w:ascii="Palatino Linotype" w:hAnsi="Palatino Linotype" w:cstheme="minorHAnsi"/>
                <w:sz w:val="18"/>
                <w:szCs w:val="18"/>
              </w:rPr>
              <w:fldChar w:fldCharType="end"/>
            </w:r>
          </w:p>
        </w:tc>
      </w:tr>
      <w:tr w:rsidR="000C64BA" w:rsidRPr="00A237AB" w14:paraId="256CABD9" w14:textId="68097FEE" w:rsidTr="000C64BA">
        <w:tc>
          <w:tcPr>
            <w:tcW w:w="1056" w:type="dxa"/>
          </w:tcPr>
          <w:p w14:paraId="3F119959" w14:textId="7F0BD0FF"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2134C121" w14:textId="5F4B8B92"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CYP2D6*3, CYP2D6*4 and CYP2D6*10</w:t>
            </w:r>
          </w:p>
        </w:tc>
        <w:tc>
          <w:tcPr>
            <w:tcW w:w="1206" w:type="dxa"/>
          </w:tcPr>
          <w:p w14:paraId="7FE1C1A3" w14:textId="70363E39"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Haloperidol, levomepromazine, </w:t>
            </w:r>
            <w:proofErr w:type="spellStart"/>
            <w:r w:rsidRPr="006A1E5F">
              <w:rPr>
                <w:rFonts w:ascii="Palatino Linotype" w:hAnsi="Palatino Linotype" w:cstheme="minorHAnsi"/>
                <w:sz w:val="18"/>
                <w:szCs w:val="18"/>
              </w:rPr>
              <w:t>bromperidol</w:t>
            </w:r>
            <w:proofErr w:type="spellEnd"/>
            <w:r w:rsidRPr="006A1E5F">
              <w:rPr>
                <w:rFonts w:ascii="Palatino Linotype" w:hAnsi="Palatino Linotype" w:cstheme="minorHAnsi"/>
                <w:sz w:val="18"/>
                <w:szCs w:val="18"/>
              </w:rPr>
              <w:t xml:space="preserve">, </w:t>
            </w:r>
            <w:proofErr w:type="spellStart"/>
            <w:r w:rsidRPr="006A1E5F">
              <w:rPr>
                <w:rFonts w:ascii="Palatino Linotype" w:hAnsi="Palatino Linotype" w:cstheme="minorHAnsi"/>
                <w:sz w:val="18"/>
                <w:szCs w:val="18"/>
              </w:rPr>
              <w:t>mosapramine</w:t>
            </w:r>
            <w:proofErr w:type="spellEnd"/>
            <w:r w:rsidRPr="006A1E5F">
              <w:rPr>
                <w:rFonts w:ascii="Palatino Linotype" w:hAnsi="Palatino Linotype" w:cstheme="minorHAnsi"/>
                <w:sz w:val="18"/>
                <w:szCs w:val="18"/>
              </w:rPr>
              <w:t>, chlorpromazine, clocapramine</w:t>
            </w:r>
          </w:p>
        </w:tc>
        <w:tc>
          <w:tcPr>
            <w:tcW w:w="924" w:type="dxa"/>
          </w:tcPr>
          <w:p w14:paraId="12CE8254" w14:textId="6BFDF6E8"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100</w:t>
            </w:r>
          </w:p>
        </w:tc>
        <w:tc>
          <w:tcPr>
            <w:tcW w:w="1236" w:type="dxa"/>
          </w:tcPr>
          <w:p w14:paraId="176A8A96" w14:textId="08F61932"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Japanese </w:t>
            </w:r>
          </w:p>
        </w:tc>
        <w:tc>
          <w:tcPr>
            <w:tcW w:w="1710" w:type="dxa"/>
          </w:tcPr>
          <w:p w14:paraId="6D536D90" w14:textId="643150D4"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349F1BAF" w14:textId="52F6C1A9"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56F5D17A" w14:textId="5F7058C5"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AIMS </w:t>
            </w:r>
          </w:p>
        </w:tc>
        <w:tc>
          <w:tcPr>
            <w:tcW w:w="1260" w:type="dxa"/>
          </w:tcPr>
          <w:p w14:paraId="2F722B69" w14:textId="740A5860"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382" w:type="dxa"/>
          </w:tcPr>
          <w:p w14:paraId="49F818CF" w14:textId="4BED60C5"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Statistically significant difference of CYP2D6*10 </w:t>
            </w:r>
            <w:r>
              <w:rPr>
                <w:rFonts w:ascii="Palatino Linotype" w:hAnsi="Palatino Linotype" w:cstheme="minorHAnsi"/>
                <w:sz w:val="18"/>
                <w:szCs w:val="18"/>
              </w:rPr>
              <w:t>alleles and patients</w:t>
            </w:r>
            <w:r w:rsidRPr="006A1E5F">
              <w:rPr>
                <w:rFonts w:ascii="Palatino Linotype" w:hAnsi="Palatino Linotype" w:cstheme="minorHAnsi"/>
                <w:sz w:val="18"/>
                <w:szCs w:val="18"/>
              </w:rPr>
              <w:t xml:space="preserve"> with and without TD. </w:t>
            </w:r>
            <w:r>
              <w:rPr>
                <w:rFonts w:ascii="Palatino Linotype" w:hAnsi="Palatino Linotype" w:cstheme="minorHAnsi"/>
                <w:sz w:val="18"/>
                <w:szCs w:val="18"/>
              </w:rPr>
              <w:t>S</w:t>
            </w:r>
            <w:r w:rsidRPr="006A1E5F">
              <w:rPr>
                <w:rFonts w:ascii="Palatino Linotype" w:hAnsi="Palatino Linotype" w:cstheme="minorHAnsi"/>
                <w:sz w:val="18"/>
                <w:szCs w:val="18"/>
              </w:rPr>
              <w:t>ignificant genotypic and allelic associations with dichotomized total AIMS scores</w:t>
            </w:r>
            <w:r>
              <w:rPr>
                <w:rFonts w:ascii="Palatino Linotype" w:hAnsi="Palatino Linotype" w:cstheme="minorHAnsi"/>
                <w:sz w:val="18"/>
                <w:szCs w:val="18"/>
              </w:rPr>
              <w:t xml:space="preserve">. Significant association between </w:t>
            </w:r>
            <w:r w:rsidRPr="006A1E5F">
              <w:rPr>
                <w:rFonts w:ascii="Palatino Linotype" w:hAnsi="Palatino Linotype" w:cstheme="minorHAnsi"/>
                <w:sz w:val="18"/>
                <w:szCs w:val="18"/>
              </w:rPr>
              <w:t xml:space="preserve">CYP2D6*10 genotype </w:t>
            </w:r>
            <w:r>
              <w:rPr>
                <w:rFonts w:ascii="Palatino Linotype" w:hAnsi="Palatino Linotype" w:cstheme="minorHAnsi"/>
                <w:sz w:val="18"/>
                <w:szCs w:val="18"/>
              </w:rPr>
              <w:t>and</w:t>
            </w:r>
            <w:r w:rsidRPr="006A1E5F">
              <w:rPr>
                <w:rFonts w:ascii="Palatino Linotype" w:hAnsi="Palatino Linotype" w:cstheme="minorHAnsi"/>
                <w:sz w:val="18"/>
                <w:szCs w:val="18"/>
              </w:rPr>
              <w:t xml:space="preserve"> total AIMS score, and modest association with TD occurrence</w:t>
            </w:r>
          </w:p>
        </w:tc>
        <w:tc>
          <w:tcPr>
            <w:tcW w:w="2382" w:type="dxa"/>
          </w:tcPr>
          <w:p w14:paraId="4F7DCEDD" w14:textId="6F23A3F6"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{"citationItems":[{"id":"ITEM-1","itemData":{"ISSN":"0920-9964","PMID":"9713906","abstract":"Previous studies have shown that many neuroleptics are metabolized by debrisoquine 4-hydrolase (CYP2D6), which exhibits genetic polymorphisms. In Oriental populations, poor metabolizers (PMs) with a lack of CYP2D6 activity are rare, although the CYP2D6*10 allele, which is associated with decreased CYP2D6 activity, is commonly found. The authors examined the relationship between tardive dyskinesia (TD) and CYP2D6 polymorphisms, including the CYP2D6*10 allele. Subjects consisted of 100 Japanese schizophrenics. TD was evaluated using the Abnormal Involuntary Movement Scale (AIMS). Genotyping for the presence of the CYP2D6*3, CYP2D6*4 and CYP2D6*10 alleles was performed using allele-specific PCR amplification and endonuclease digestions. The frequency of the CYP2D6*10 allele was 0.52, and only one allele showed the PM genotype. There was a significant difference in the allelic distribution of CYP2D6*10 between subjects with and without TD. We also found significant genotypic and allelic associations with dichotomized total AIMS scores of 6 or more (moderate or severe abnormal movements) and with scores of less than 6 (mild or no movements). After these associations were adjusted for confounding variables (gender, age, duration of illness and neuroleptic dose) by regression analysis, the CYP2D6*10 genotype showed significant association with the total AIMS score, and a modest association with TD occurrence. These results indicate that the CYP2D6*10 genotype may play a role in the development of moderate or severe abnormal movements.","author":[{"dropping-particle":"","family":"Ohmori","given":"O","non-dropping-particle":"","parse-names":false,"suffix":""},{"dropping-particle":"","family":"Suzuki","given":"T","non-dropping-particle":"","parse-names":false,"suffix":""},{"dropping-particle":"","family":"Kojima","given":"H","non-dropping-particle":"","parse-names":false,"suffix":""},{"dropping-particle":"","family":"Shinkai","given":"T","non-dropping-particle":"","parse-names":false,"suffix":""},{"dropping-particle":"","family":"Terao","given":"T","non-dropping-particle":"","parse-names":false,"suffix":""},{"dropping-particle":"","family":"Mita","given":"T","non-dropping-particle":"","parse-names":false,"suffix":""},{"dropping-particle":"","family":"Abe","given":"K","non-dropping-particle":"","parse-names":false,"suffix":""}],"container-title":"Schizophrenia research","id":"ITEM-1","issue":"2","issued":{"date-parts":[["1998","7","27"]]},"page":"107-13","title":"Tardive dyskinesia and debrisoquine 4-hydroxylase (CYP2D6) genotype in Japanese schizophrenics.","type":"article-journal","volume":"32"},"uris":["http://www.mendeley.com/documents/?uuid=1c31743c-bc92-3d69-83f1-49996ffd3537"]}],"mendeley":{"formattedCitation":"(Ohmori et al. 1998)","plainTextFormattedCitation":"(Ohmori et al. 1998)","previouslyFormattedCitation":"(Ohmori et al. 1998)"},"properties":{"noteIndex":0},"schema":"https://github.com/citation-style-language/schema/raw/master/csl-citation.json"}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(Ohmori et al. 1998)</w:t>
            </w:r>
            <w:r w:rsidRPr="006A1E5F">
              <w:rPr>
                <w:rFonts w:ascii="Palatino Linotype" w:hAnsi="Palatino Linotype" w:cstheme="minorHAnsi"/>
                <w:sz w:val="18"/>
                <w:szCs w:val="18"/>
              </w:rPr>
              <w:fldChar w:fldCharType="end"/>
            </w:r>
          </w:p>
        </w:tc>
      </w:tr>
      <w:tr w:rsidR="000C64BA" w:rsidRPr="00A237AB" w14:paraId="34607DAC" w14:textId="2875C25D" w:rsidTr="000C64BA">
        <w:tc>
          <w:tcPr>
            <w:tcW w:w="1056" w:type="dxa"/>
          </w:tcPr>
          <w:p w14:paraId="3AFF8D9D" w14:textId="3FA7B798"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48698C0D" w14:textId="764125AE"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CYP2D6*2 </w:t>
            </w:r>
          </w:p>
        </w:tc>
        <w:tc>
          <w:tcPr>
            <w:tcW w:w="1206" w:type="dxa"/>
          </w:tcPr>
          <w:p w14:paraId="03794EA7" w14:textId="1F2F6110"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357665C1" w14:textId="233A025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99</w:t>
            </w:r>
          </w:p>
        </w:tc>
        <w:tc>
          <w:tcPr>
            <w:tcW w:w="1236" w:type="dxa"/>
          </w:tcPr>
          <w:p w14:paraId="1A2A7F93"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Japanese </w:t>
            </w:r>
          </w:p>
        </w:tc>
        <w:tc>
          <w:tcPr>
            <w:tcW w:w="1710" w:type="dxa"/>
          </w:tcPr>
          <w:p w14:paraId="6B6CDFD3"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4AD38F0C"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3123A0B1"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260" w:type="dxa"/>
          </w:tcPr>
          <w:p w14:paraId="2FBC073C"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382" w:type="dxa"/>
          </w:tcPr>
          <w:p w14:paraId="5B6E5FDD" w14:textId="77777777"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48AE279A" w14:textId="53A00DB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{"citationItems":[{"id":"ITEM-1","itemData":{"ISSN":"1872-7123","PMID":"10579557","abstract":"Previous studies have shown a possible association between tardive dyskinesia (TD) and debrisoquine 4-hydroxylase (CYP2D6) polymorphisms, which result in absent enzyme activity. We have recently found a positive association between TD and the CYP2D6*10 allele, which codes for the intermediate metabolizer (IM) phenotype and is characterized by decreased but not absent CYP2D6 activity in Japanese schizophrenic patients. In addition, the CYP2D6* 2 allele with the HhaI site mutation in exon 6 has also been reported to be an IM allele and a risk factor for Parkinson's disease (PD) in the Japanese population. In the present study, we investigated potential contributions of the CYP2D6*2 allele to TD using case-control and regression analysis in 99 schizophrenic patients. No significant differences in genotypic and allelic frequencies were found between patients with and without TD. Even after using regression analysis to adjust for the confounding variables, there was no significant association of the CYP2D6*2 genotype with either outcome variable, the occurrence of TD or the total AIMS score. These results suggest that the CYP2D6*2 allele may not contribute to the pathogenesis of TD.","author":[{"dropping-particle":"","family":"Ohmori","given":"","non-dropping-particle":"","parse-names":false,"suffix":""},{"dropping-particle":"","family":"Kojima","given":"","non-dropping-particle":"","parse-names":false,"suffix":""},{"dropping-particle":"","family":"Shinkai","given":"","non-dropping-particle":"","parse-names":false,"suffix":""},{"dropping-particle":"","family":"Terao","given":"","non-dropping-particle":"","parse-names":false,"suffix":""},{"dropping-particle":"","family":"Suzuki","given":"","non-dropping-particle":"","parse-names":false,"suffix":""},{"dropping-particle":"","family":"Abe","given":"","non-dropping-particle":"","parse-names":false,"suffix":""}],"container-title":"Psychiatry research","id":"ITEM-1","issue":"2-3","issued":{"date-parts":[["1999","10","11"]]},"page":"239-44","title":"Genetic association analysis between CYP2D6*2 allele and tardive dyskinesia in schizophrenic patients","type":"article-journal","volume":"87"},"uris":["http://www.mendeley.com/documents/?uuid=d1fb2732-9bdf-3578-920d-1fa42e1c9f69"]}],"mendeley":{"formattedCitation":"(Ohmori et al. 1999)","plainTextFormattedCitation":"(Ohmori et al. 1999)","previouslyFormattedCitation":"(Ohmori et al. 1999)"},"properties":{"noteIndex":0},"schema":"https://github.com/citation-style-language/schema/raw/master/csl-citation.json"}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(Ohmori et al. 1999)</w:t>
            </w:r>
            <w:r w:rsidRPr="006A1E5F">
              <w:rPr>
                <w:rFonts w:ascii="Palatino Linotype" w:hAnsi="Palatino Linotype" w:cstheme="minorHAnsi"/>
                <w:sz w:val="18"/>
                <w:szCs w:val="18"/>
              </w:rPr>
              <w:fldChar w:fldCharType="end"/>
            </w:r>
          </w:p>
        </w:tc>
      </w:tr>
      <w:tr w:rsidR="000C64BA" w:rsidRPr="00A237AB" w14:paraId="526DDEC1" w14:textId="5C32132A" w:rsidTr="000C64BA">
        <w:tc>
          <w:tcPr>
            <w:tcW w:w="1056" w:type="dxa"/>
          </w:tcPr>
          <w:p w14:paraId="0AC94190" w14:textId="166E2019"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CYP2D6</w:t>
            </w:r>
          </w:p>
        </w:tc>
        <w:tc>
          <w:tcPr>
            <w:tcW w:w="1272" w:type="dxa"/>
          </w:tcPr>
          <w:p w14:paraId="5F303506" w14:textId="54EAC40D"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CYP2D6*1, </w:t>
            </w:r>
            <w:r w:rsidRPr="00D21E33">
              <w:rPr>
                <w:rFonts w:ascii="Palatino Linotype" w:hAnsi="Palatino Linotype" w:cstheme="minorHAnsi"/>
                <w:sz w:val="18"/>
                <w:szCs w:val="18"/>
              </w:rPr>
              <w:t xml:space="preserve">*2, </w:t>
            </w:r>
            <w:r>
              <w:rPr>
                <w:rFonts w:ascii="Palatino Linotype" w:hAnsi="Palatino Linotype" w:cstheme="minorHAnsi"/>
                <w:sz w:val="18"/>
                <w:szCs w:val="18"/>
              </w:rPr>
              <w:t xml:space="preserve">*3, *4, *5, </w:t>
            </w:r>
            <w:r w:rsidRPr="00D21E33">
              <w:rPr>
                <w:rFonts w:ascii="Palatino Linotype" w:hAnsi="Palatino Linotype" w:cstheme="minorHAnsi"/>
                <w:sz w:val="18"/>
                <w:szCs w:val="18"/>
              </w:rPr>
              <w:t>*6, *8, *9, *10, *11, *12, *14</w:t>
            </w:r>
            <w:r>
              <w:rPr>
                <w:rFonts w:ascii="Palatino Linotype" w:hAnsi="Palatino Linotype" w:cstheme="minorHAnsi"/>
                <w:sz w:val="18"/>
                <w:szCs w:val="18"/>
              </w:rPr>
              <w:t xml:space="preserve">, </w:t>
            </w:r>
            <w:r w:rsidRPr="00D21E33">
              <w:rPr>
                <w:rFonts w:ascii="Palatino Linotype" w:hAnsi="Palatino Linotype" w:cstheme="minorHAnsi"/>
                <w:sz w:val="18"/>
                <w:szCs w:val="18"/>
              </w:rPr>
              <w:t>*15</w:t>
            </w:r>
            <w:r>
              <w:rPr>
                <w:rFonts w:ascii="Palatino Linotype" w:hAnsi="Palatino Linotype" w:cstheme="minorHAnsi"/>
                <w:sz w:val="18"/>
                <w:szCs w:val="18"/>
              </w:rPr>
              <w:t xml:space="preserve">, and </w:t>
            </w:r>
            <w:r>
              <w:rPr>
                <w:rFonts w:ascii="Palatino Linotype" w:hAnsi="Palatino Linotype" w:cstheme="minorHAnsi"/>
                <w:sz w:val="18"/>
                <w:szCs w:val="18"/>
              </w:rPr>
              <w:lastRenderedPageBreak/>
              <w:t>CYP2D6 duplications</w:t>
            </w:r>
          </w:p>
        </w:tc>
        <w:tc>
          <w:tcPr>
            <w:tcW w:w="1206" w:type="dxa"/>
          </w:tcPr>
          <w:p w14:paraId="0E5394CE" w14:textId="4D6FFEB0" w:rsidR="000C64BA" w:rsidRPr="006A1E5F" w:rsidRDefault="000C64BA" w:rsidP="000C64BA">
            <w:pPr>
              <w:rPr>
                <w:rFonts w:ascii="Palatino Linotype" w:hAnsi="Palatino Linotype" w:cstheme="minorHAnsi"/>
                <w:sz w:val="18"/>
                <w:szCs w:val="18"/>
              </w:rPr>
            </w:pPr>
            <w:r w:rsidRPr="00EE271D">
              <w:rPr>
                <w:rFonts w:ascii="Palatino Linotype" w:hAnsi="Palatino Linotype" w:cstheme="minorHAnsi"/>
                <w:sz w:val="18"/>
                <w:szCs w:val="18"/>
              </w:rPr>
              <w:lastRenderedPageBreak/>
              <w:t>haloperidol, fluphenazine, zuclopenthi</w:t>
            </w:r>
            <w:r w:rsidRPr="00EE271D">
              <w:rPr>
                <w:rFonts w:ascii="Palatino Linotype" w:hAnsi="Palatino Linotype" w:cstheme="minorHAnsi"/>
                <w:sz w:val="18"/>
                <w:szCs w:val="18"/>
              </w:rPr>
              <w:lastRenderedPageBreak/>
              <w:t xml:space="preserve">xol or risperidone </w:t>
            </w:r>
          </w:p>
        </w:tc>
        <w:tc>
          <w:tcPr>
            <w:tcW w:w="924" w:type="dxa"/>
          </w:tcPr>
          <w:p w14:paraId="5C8A8937" w14:textId="77777777" w:rsidR="000C64BA" w:rsidRPr="00EE271D" w:rsidRDefault="000C64BA" w:rsidP="000C64BA">
            <w:pPr>
              <w:rPr>
                <w:rFonts w:ascii="Palatino Linotype" w:hAnsi="Palatino Linotype" w:cstheme="minorHAnsi"/>
                <w:sz w:val="18"/>
                <w:szCs w:val="18"/>
              </w:rPr>
            </w:pPr>
            <w:r w:rsidRPr="00EE271D">
              <w:rPr>
                <w:rFonts w:ascii="Palatino Linotype" w:hAnsi="Palatino Linotype" w:cstheme="minorHAnsi"/>
                <w:sz w:val="18"/>
                <w:szCs w:val="18"/>
              </w:rPr>
              <w:lastRenderedPageBreak/>
              <w:t xml:space="preserve">131 </w:t>
            </w:r>
            <w:r>
              <w:rPr>
                <w:rFonts w:ascii="Palatino Linotype" w:hAnsi="Palatino Linotype" w:cstheme="minorHAnsi"/>
                <w:sz w:val="18"/>
                <w:szCs w:val="18"/>
              </w:rPr>
              <w:t>(23 with TD)</w:t>
            </w:r>
          </w:p>
          <w:p w14:paraId="52B5E948" w14:textId="1A7243A0" w:rsidR="000C64BA" w:rsidRPr="006A1E5F" w:rsidRDefault="000C64BA" w:rsidP="000C64BA">
            <w:pPr>
              <w:rPr>
                <w:rFonts w:ascii="Palatino Linotype" w:hAnsi="Palatino Linotype" w:cstheme="minorHAnsi"/>
                <w:sz w:val="18"/>
                <w:szCs w:val="18"/>
              </w:rPr>
            </w:pPr>
          </w:p>
        </w:tc>
        <w:tc>
          <w:tcPr>
            <w:tcW w:w="1236" w:type="dxa"/>
          </w:tcPr>
          <w:p w14:paraId="27C34A32" w14:textId="49BEF6AB" w:rsidR="000C64BA" w:rsidRPr="006A1E5F" w:rsidRDefault="000C64BA" w:rsidP="000C64BA">
            <w:pPr>
              <w:rPr>
                <w:rFonts w:ascii="Palatino Linotype" w:hAnsi="Palatino Linotype" w:cstheme="minorHAnsi"/>
                <w:sz w:val="18"/>
                <w:szCs w:val="18"/>
              </w:rPr>
            </w:pPr>
            <w:r w:rsidRPr="00EE271D">
              <w:rPr>
                <w:rFonts w:ascii="Palatino Linotype" w:hAnsi="Palatino Linotype" w:cstheme="minorHAnsi"/>
                <w:sz w:val="18"/>
                <w:szCs w:val="18"/>
              </w:rPr>
              <w:t>Caucasian</w:t>
            </w:r>
            <w:r>
              <w:rPr>
                <w:rFonts w:ascii="Palatino Linotype" w:hAnsi="Palatino Linotype" w:cstheme="minorHAnsi"/>
                <w:sz w:val="18"/>
                <w:szCs w:val="18"/>
              </w:rPr>
              <w:t xml:space="preserve"> (</w:t>
            </w:r>
            <w:r w:rsidRPr="00EE271D">
              <w:rPr>
                <w:rFonts w:ascii="Palatino Linotype" w:hAnsi="Palatino Linotype" w:cstheme="minorHAnsi"/>
                <w:sz w:val="18"/>
                <w:szCs w:val="18"/>
              </w:rPr>
              <w:t>Slovenian</w:t>
            </w:r>
            <w:r>
              <w:rPr>
                <w:rFonts w:ascii="Palatino Linotype" w:hAnsi="Palatino Linotype" w:cstheme="minorHAnsi"/>
                <w:sz w:val="18"/>
                <w:szCs w:val="18"/>
              </w:rPr>
              <w:t>)</w:t>
            </w:r>
            <w:r w:rsidRPr="00EE271D">
              <w:rPr>
                <w:rFonts w:ascii="Palatino Linotype" w:hAnsi="Palatino Linotype" w:cstheme="minorHAnsi"/>
                <w:sz w:val="18"/>
                <w:szCs w:val="18"/>
              </w:rPr>
              <w:t xml:space="preserve">  </w:t>
            </w:r>
          </w:p>
        </w:tc>
        <w:tc>
          <w:tcPr>
            <w:tcW w:w="1710" w:type="dxa"/>
          </w:tcPr>
          <w:p w14:paraId="0A022E3E" w14:textId="3E09E958" w:rsidR="000C64BA" w:rsidRPr="006A1E5F" w:rsidRDefault="000C64BA" w:rsidP="000C64BA">
            <w:pPr>
              <w:rPr>
                <w:rFonts w:ascii="Palatino Linotype" w:hAnsi="Palatino Linotype" w:cstheme="minorHAnsi"/>
                <w:sz w:val="18"/>
                <w:szCs w:val="18"/>
              </w:rPr>
            </w:pPr>
            <w:r w:rsidRPr="00EE271D">
              <w:rPr>
                <w:rFonts w:ascii="Palatino Linotype" w:hAnsi="Palatino Linotype" w:cstheme="minorHAnsi"/>
                <w:sz w:val="18"/>
                <w:szCs w:val="18"/>
              </w:rPr>
              <w:t>schizophrenia or schizoaffective disorder alleles.</w:t>
            </w:r>
          </w:p>
        </w:tc>
        <w:tc>
          <w:tcPr>
            <w:tcW w:w="1080" w:type="dxa"/>
          </w:tcPr>
          <w:p w14:paraId="10B4BE58" w14:textId="1D49AC0A" w:rsidR="000C64BA" w:rsidRPr="006A1E5F" w:rsidRDefault="000C64BA" w:rsidP="000C64BA">
            <w:pPr>
              <w:rPr>
                <w:rFonts w:ascii="Palatino Linotype" w:hAnsi="Palatino Linotype" w:cstheme="minorHAnsi"/>
                <w:sz w:val="18"/>
                <w:szCs w:val="18"/>
              </w:rPr>
            </w:pPr>
            <w:r w:rsidRPr="00EE271D">
              <w:rPr>
                <w:rFonts w:ascii="Palatino Linotype" w:hAnsi="Palatino Linotype" w:cstheme="minorHAnsi"/>
                <w:sz w:val="18"/>
                <w:szCs w:val="18"/>
              </w:rPr>
              <w:t>DSM IV</w:t>
            </w:r>
            <w:r>
              <w:rPr>
                <w:rFonts w:ascii="Palatino Linotype" w:hAnsi="Palatino Linotype" w:cstheme="minorHAnsi"/>
                <w:sz w:val="18"/>
                <w:szCs w:val="18"/>
              </w:rPr>
              <w:t>, PANSS</w:t>
            </w:r>
          </w:p>
        </w:tc>
        <w:tc>
          <w:tcPr>
            <w:tcW w:w="1170" w:type="dxa"/>
          </w:tcPr>
          <w:p w14:paraId="00F6E3D4" w14:textId="2E59B1A8"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42015272" w14:textId="77777777" w:rsidR="000C64BA" w:rsidRPr="00D21E33" w:rsidRDefault="000C64BA" w:rsidP="000C64BA">
            <w:pPr>
              <w:rPr>
                <w:rFonts w:ascii="Palatino Linotype" w:hAnsi="Palatino Linotype" w:cstheme="minorHAnsi"/>
                <w:sz w:val="18"/>
                <w:szCs w:val="18"/>
              </w:rPr>
            </w:pPr>
            <w:r w:rsidRPr="00D21E33">
              <w:rPr>
                <w:rFonts w:ascii="Palatino Linotype" w:hAnsi="Palatino Linotype" w:cstheme="minorHAnsi"/>
                <w:sz w:val="18"/>
                <w:szCs w:val="18"/>
              </w:rPr>
              <w:t>long-PCR</w:t>
            </w:r>
            <w:r>
              <w:rPr>
                <w:rFonts w:ascii="Palatino Linotype" w:hAnsi="Palatino Linotype" w:cstheme="minorHAnsi"/>
                <w:sz w:val="18"/>
                <w:szCs w:val="18"/>
              </w:rPr>
              <w:t xml:space="preserve"> (</w:t>
            </w:r>
            <w:r w:rsidRPr="00D21E33">
              <w:rPr>
                <w:rFonts w:ascii="Palatino Linotype" w:hAnsi="Palatino Linotype" w:cstheme="minorHAnsi"/>
                <w:sz w:val="18"/>
                <w:szCs w:val="18"/>
              </w:rPr>
              <w:t>CYP2D6 gene</w:t>
            </w:r>
            <w:r>
              <w:rPr>
                <w:rFonts w:ascii="Palatino Linotype" w:hAnsi="Palatino Linotype" w:cstheme="minorHAnsi"/>
                <w:sz w:val="18"/>
                <w:szCs w:val="18"/>
              </w:rPr>
              <w:t xml:space="preserve"> </w:t>
            </w:r>
            <w:r w:rsidRPr="00D21E33">
              <w:rPr>
                <w:rFonts w:ascii="Palatino Linotype" w:hAnsi="Palatino Linotype" w:cstheme="minorHAnsi"/>
                <w:sz w:val="18"/>
                <w:szCs w:val="18"/>
              </w:rPr>
              <w:t>duplications</w:t>
            </w:r>
            <w:r>
              <w:rPr>
                <w:rFonts w:ascii="Palatino Linotype" w:hAnsi="Palatino Linotype" w:cstheme="minorHAnsi"/>
                <w:sz w:val="18"/>
                <w:szCs w:val="18"/>
              </w:rPr>
              <w:t xml:space="preserve"> and </w:t>
            </w:r>
            <w:r>
              <w:rPr>
                <w:rFonts w:ascii="Palatino Linotype" w:hAnsi="Palatino Linotype" w:cstheme="minorHAnsi"/>
                <w:sz w:val="18"/>
                <w:szCs w:val="18"/>
              </w:rPr>
              <w:lastRenderedPageBreak/>
              <w:t xml:space="preserve">deletion), </w:t>
            </w:r>
            <w:r w:rsidRPr="00D21E33">
              <w:rPr>
                <w:rFonts w:ascii="Palatino Linotype" w:hAnsi="Palatino Linotype" w:cstheme="minorHAnsi"/>
                <w:sz w:val="18"/>
                <w:szCs w:val="18"/>
              </w:rPr>
              <w:t>nested PCR-RFLP</w:t>
            </w:r>
            <w:r>
              <w:rPr>
                <w:rFonts w:ascii="Palatino Linotype" w:hAnsi="Palatino Linotype" w:cstheme="minorHAnsi"/>
                <w:sz w:val="18"/>
                <w:szCs w:val="18"/>
              </w:rPr>
              <w:t xml:space="preserve"> low resolution (</w:t>
            </w:r>
            <w:r w:rsidRPr="00D21E33">
              <w:rPr>
                <w:rFonts w:ascii="Palatino Linotype" w:hAnsi="Palatino Linotype" w:cstheme="minorHAnsi"/>
                <w:sz w:val="18"/>
                <w:szCs w:val="18"/>
              </w:rPr>
              <w:t>CYP2D6*3 and *4</w:t>
            </w:r>
            <w:r>
              <w:rPr>
                <w:rFonts w:ascii="Palatino Linotype" w:hAnsi="Palatino Linotype" w:cstheme="minorHAnsi"/>
                <w:sz w:val="18"/>
                <w:szCs w:val="18"/>
              </w:rPr>
              <w:t>) high resolution (CYP2D6</w:t>
            </w:r>
            <w:r w:rsidRPr="00D21E33">
              <w:rPr>
                <w:rFonts w:ascii="Palatino Linotype" w:hAnsi="Palatino Linotype" w:cstheme="minorHAnsi"/>
                <w:sz w:val="18"/>
                <w:szCs w:val="18"/>
              </w:rPr>
              <w:t>*2, *6, *8, *9, *10, *11, *12, *14 and *15</w:t>
            </w:r>
            <w:r>
              <w:rPr>
                <w:rFonts w:ascii="Palatino Linotype" w:hAnsi="Palatino Linotype" w:cstheme="minorHAnsi"/>
                <w:sz w:val="18"/>
                <w:szCs w:val="18"/>
              </w:rPr>
              <w:t>), a</w:t>
            </w:r>
            <w:r w:rsidRPr="00D21E33">
              <w:rPr>
                <w:rFonts w:ascii="Palatino Linotype" w:hAnsi="Palatino Linotype" w:cstheme="minorHAnsi"/>
                <w:sz w:val="18"/>
                <w:szCs w:val="18"/>
              </w:rPr>
              <w:t>llele-specific PCR</w:t>
            </w:r>
          </w:p>
          <w:p w14:paraId="47C4C624" w14:textId="77777777" w:rsidR="000C64BA" w:rsidRPr="00D21E33" w:rsidRDefault="000C64BA" w:rsidP="000C64BA">
            <w:pPr>
              <w:rPr>
                <w:rFonts w:ascii="Palatino Linotype" w:hAnsi="Palatino Linotype" w:cstheme="minorHAnsi"/>
                <w:sz w:val="18"/>
                <w:szCs w:val="18"/>
              </w:rPr>
            </w:pPr>
          </w:p>
          <w:p w14:paraId="69AFE65A" w14:textId="62F22E0A"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 </w:t>
            </w:r>
            <w:r w:rsidRPr="00D21E33">
              <w:rPr>
                <w:rFonts w:ascii="Palatino Linotype" w:hAnsi="Palatino Linotype" w:cstheme="minorHAnsi"/>
                <w:sz w:val="18"/>
                <w:szCs w:val="18"/>
              </w:rPr>
              <w:t xml:space="preserve">  </w:t>
            </w:r>
          </w:p>
        </w:tc>
        <w:tc>
          <w:tcPr>
            <w:tcW w:w="2382" w:type="dxa"/>
          </w:tcPr>
          <w:p w14:paraId="1C24FF96" w14:textId="7FDD2319"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lastRenderedPageBreak/>
              <w:t xml:space="preserve">No association between </w:t>
            </w:r>
            <w:r w:rsidRPr="00BD4E29">
              <w:rPr>
                <w:rFonts w:ascii="Palatino Linotype" w:hAnsi="Palatino Linotype" w:cstheme="minorHAnsi"/>
                <w:sz w:val="18"/>
                <w:szCs w:val="18"/>
              </w:rPr>
              <w:t>CYP2D6</w:t>
            </w:r>
            <w:r>
              <w:rPr>
                <w:rFonts w:ascii="Palatino Linotype" w:hAnsi="Palatino Linotype" w:cstheme="minorHAnsi"/>
                <w:sz w:val="18"/>
                <w:szCs w:val="18"/>
              </w:rPr>
              <w:t xml:space="preserve"> alleles and TD</w:t>
            </w:r>
            <w:r w:rsidRPr="00BD4E29">
              <w:rPr>
                <w:rFonts w:ascii="Palatino Linotype" w:hAnsi="Palatino Linotype" w:cstheme="minorHAnsi"/>
                <w:sz w:val="18"/>
                <w:szCs w:val="18"/>
              </w:rPr>
              <w:t xml:space="preserve"> </w:t>
            </w:r>
          </w:p>
        </w:tc>
        <w:tc>
          <w:tcPr>
            <w:tcW w:w="2382" w:type="dxa"/>
          </w:tcPr>
          <w:p w14:paraId="08161265" w14:textId="663F2B07"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{"citationItems":[{"id":"ITEM-1","itemData":{"DOI":"10.1177/0269881106062894","ISSN":"0269-8811","PMID":"16478753","abstract":"Poor response to antipsychotics treatment and extrapyramidal side effects (EPS) are the most challenging problems in the treatment of schizophrenia. Several studies were investigating the impact of polymorphic cytochrome P450 2D6 gene (CYP2D6) on EPS but the results were conflicting. There are practically no clinical studies of long-term treatment of schizophrenia and CYP2D6 polymorphism. Our aim was to evaluate the influence of CYP2D6 genotype on psychopathological symptoms and the occurrence of EPS in Slovenian outpatients with schizophrenia or schizoaffective disorder in stable remission, receiving long-term maintenance antipsychotic treatment. In total 131 outpatients meeting the DSM IV criteria for schizophrenia or schizoaffective disorder and receiving maintenance therapy with haloperidol, fluphenazine, zuclopethixole or risperidone were genotyped for 14 polymorphic CYP2D6 alleles. Psychopathological symptoms were assessed with the Positive and Negative Symptom Scale for Schizophrenia (PANSS). EPS were assessed with the Simpson Angus Scale (SAS), the Barnes Akathisia Scale and the Abnormal Involuntary Movement Scale (AIMS). Six patients (4.6%) were genotyped as poor metabolizers (PMs). PMs scored significantly higher on the negative subscale for PANSS. There were no statistically significant differences between the group of PMs and the group of patients with at least one functional CYP2D6 allele in view of patient's characteristics or any of the items of the AIMS, the SAS or the Barnes Akathisia Scale. CYP2D6 genotype may not be the major factor that determines the susceptibility to antipsychotic-induced EPS in Slovenian patients in stable remission and on maintenance therapy with antipsychotics that are mainly CYP2D6 substrates. However, CYP2D6 genotype might be a factor contributing to the persistent negative symptoms of schizophrenia.","author":[{"dropping-particle":"","family":"Plesnicar","given":"Blanka Kores","non-dropping-particle":"","parse-names":false,"suffix":""},{"dropping-particle":"","family":"Zalar","given":"Bojan","non-dropping-particle":"","parse-names":false,"suffix":""},{"dropping-particle":"","family":"Breskvar","given":"Katja","non-dropping-particle":"","parse-names":false,"suffix":""},{"dropping-particle":"","family":"Dolzan","given":"Vita","non-dropping-particle":"","parse-names":false,"suffix":""}],"container-title":"Journal of psychopharmacology (Oxford, England)","id":"ITEM-1","issue":"6","issued":{"date-parts":[["2006","11"]]},"page":"829-33","publisher":"J Psychopharmacol","title":"The influence of the CYP2D6 polymorphism on psychopathological and extrapyramidal symptoms in the patients on long-term antipsychotic treatment.","type":"article-journal","volume":"20"},"uris":["http://www.mendeley.com/documents/?uuid=c52bba8d-9953-30b6-8179-e8c72c03300c"]}],"mendeley":{"formattedCitation":"(Plesnicar et al. 2006)","plainTextFormattedCitation":"(Plesnicar et al. 2006)","previouslyFormattedCitation":"(Plesnicar et al. 2006)"},"properties":{"noteIndex":0},"schema":"https://github.com/citation-style-language/schema/raw/master/csl-citation.json"}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(Plesnicar et al. 2006)</w:t>
            </w:r>
            <w:r>
              <w:rPr>
                <w:rFonts w:ascii="Palatino Linotype" w:hAnsi="Palatino Linotype" w:cstheme="minorHAnsi"/>
                <w:sz w:val="18"/>
                <w:szCs w:val="18"/>
              </w:rPr>
              <w:fldChar w:fldCharType="end"/>
            </w:r>
          </w:p>
        </w:tc>
      </w:tr>
      <w:tr w:rsidR="000C64BA" w:rsidRPr="00A237AB" w14:paraId="4DAF7E6D" w14:textId="51CC61E4" w:rsidTr="000C64BA">
        <w:tc>
          <w:tcPr>
            <w:tcW w:w="1056" w:type="dxa"/>
          </w:tcPr>
          <w:p w14:paraId="4A6B1AA1" w14:textId="2DC24B3B" w:rsidR="000C64BA" w:rsidRPr="000F3F98" w:rsidRDefault="000C64BA" w:rsidP="000C64BA">
            <w:pPr>
              <w:rPr>
                <w:rFonts w:ascii="Palatino Linotype" w:hAnsi="Palatino Linotype" w:cstheme="minorHAnsi"/>
                <w:i/>
                <w:iCs/>
                <w:sz w:val="18"/>
                <w:szCs w:val="18"/>
              </w:rPr>
            </w:pPr>
            <w:r w:rsidRPr="000F3F98">
              <w:rPr>
                <w:rFonts w:ascii="Palatino Linotype" w:hAnsi="Palatino Linotype" w:cstheme="minorHAnsi"/>
                <w:i/>
                <w:iCs/>
                <w:sz w:val="18"/>
                <w:szCs w:val="18"/>
              </w:rPr>
              <w:t>CYP1A2</w:t>
            </w:r>
          </w:p>
        </w:tc>
        <w:tc>
          <w:tcPr>
            <w:tcW w:w="1272" w:type="dxa"/>
          </w:tcPr>
          <w:p w14:paraId="4D1D88A4" w14:textId="586A2B01"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734C/A</w:t>
            </w:r>
          </w:p>
        </w:tc>
        <w:tc>
          <w:tcPr>
            <w:tcW w:w="1206" w:type="dxa"/>
          </w:tcPr>
          <w:p w14:paraId="1E681910" w14:textId="7C00B5FA"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924" w:type="dxa"/>
          </w:tcPr>
          <w:p w14:paraId="020A3365" w14:textId="4252383F" w:rsidR="000C64BA" w:rsidRPr="006A1E5F" w:rsidRDefault="000C64BA" w:rsidP="000C64BA">
            <w:pPr>
              <w:rPr>
                <w:rFonts w:ascii="Palatino Linotype" w:hAnsi="Palatino Linotype" w:cstheme="minorHAnsi"/>
                <w:sz w:val="18"/>
                <w:szCs w:val="18"/>
              </w:rPr>
            </w:pPr>
            <w:r w:rsidRPr="006A1E5F">
              <w:rPr>
                <w:rFonts w:ascii="Palatino Linotype" w:hAnsi="Palatino Linotype"/>
                <w:sz w:val="18"/>
                <w:szCs w:val="18"/>
              </w:rPr>
              <w:t>119</w:t>
            </w:r>
          </w:p>
        </w:tc>
        <w:tc>
          <w:tcPr>
            <w:tcW w:w="1236" w:type="dxa"/>
          </w:tcPr>
          <w:p w14:paraId="5C625F1D" w14:textId="6744AF9D"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Caucasian (German) </w:t>
            </w:r>
          </w:p>
        </w:tc>
        <w:tc>
          <w:tcPr>
            <w:tcW w:w="1710" w:type="dxa"/>
          </w:tcPr>
          <w:p w14:paraId="44E7C8EF" w14:textId="5111F4FF"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080" w:type="dxa"/>
          </w:tcPr>
          <w:p w14:paraId="0B144ACD" w14:textId="38F0C81C"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24864303" w14:textId="08399C1D"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260" w:type="dxa"/>
          </w:tcPr>
          <w:p w14:paraId="337BE336" w14:textId="2526B205"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382" w:type="dxa"/>
          </w:tcPr>
          <w:p w14:paraId="32C86AA1" w14:textId="5888271B"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382" w:type="dxa"/>
          </w:tcPr>
          <w:p w14:paraId="28D44052" w14:textId="5DC4AB49"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{"citationItems":[{"id":"ITEM-1","itemData":{"ISSN":"0148-7299","PMID":"11496364","abstract":"Tardive dyskinesia (TD) is a common side effect of long-term medication with typical neuroleptics. TD presents itself by abnormal involuntary movements and may lead to a potentially disabling and chronic clinical course. A vast majority of patients suffering from schizophrenia are smokers. Smoking has been reported to induce the activity of the CYP1A2 enzyme, which is an established metabolic pathway within the disposition of antipsychotics. Recently, a C--&gt;A genetic polymorphism in the first intron of the CYP1A2 gene was reported to influence CYP1A2 activity in smokers. Subsequently, a pharmacogenetic study in 85 U.S. patients with schizophrenia (44 smokers, 41 individuals with unknown smoking status) showed the C/C genotype to be associated with higher TD severity (measured by the Abnormal Involuntary Movement Scale, AIMS) than the A/C or A/A genotype. This finding prompted us to investigate whether this effect was also present in a larger German sample of 119 patients with schizophrenia (82 smokers, 37 individuals with unknown smoking status). However, we could not replicate the reported association. The median AIMS scores did not differ between individuals with the A/A, A/C, or C/C genotypes. In an additional analysis, we compared the genotypic and allelic distribution among individuals grouped according to the criteria established by Schooler and Kane [1982: Arch Gen Psychiatry 39:486-487] (persistent TD vs. absent TD). We did not observe a differential genotypic or allelic distribution between the two diagnostic groups. Thus, our results do not support the hypothesis that the C--&gt;A polymorphism in the CYP1A2 gene is involved in the etiology of TD in the German population.","author":[{"dropping-particle":"","family":"Schulze","given":"T G","non-dropping-particle":"","parse-names":false,"suffix":""},{"dropping-particle":"","family":"Schumacher","given":"J","non-dropping-particle":"","parse-names":false,"suffix":""},{"dropping-particle":"","family":"Müller","given":"D J","non-dropping-particle":"","parse-names":false,"suffix":""},{"dropping-particle":"","family":"Krauss","given":"H","non-dropping-particle":"","parse-names":false,"suffix":""},{"dropping-particle":"","family":"Alfter","given":"D","non-dropping-particle":"","parse-names":false,"suffix":""},{"dropping-particle":"","family":"Maroldt","given":"A","non-dropping-particle":"","parse-names":false,"suffix":""},{"dropping-particle":"","family":"Ahle","given":"G","non-dropping-particle":"","parse-names":false,"suffix":""},{"dropping-particle":"","family":"Maroldt","given":"A O","non-dropping-particle":"","parse-names":false,"suffix":""},{"dropping-particle":"","family":"Novo y Fernández","given":"A","non-dropping-particle":"","parse-names":false,"suffix":""},{"dropping-particle":"","family":"Weber","given":"T","non-dropping-particle":"","parse-names":false,"suffix":""},{"dropping-particle":"","family":"Held","given":"T","non-dropping-particle":"","parse-names":false,"suffix":""},{"dropping-particle":"","family":"Propping","given":"P","non-dropping-particle":"","parse-names":false,"suffix":""},{"dropping-particle":"","family":"Maier","given":"W","non-dropping-particle":"","parse-names":false,"suffix":""},{"dropping-particle":"","family":"Nöthen","given":"M M","non-dropping-particle":"","parse-names":false,"suffix":""},{"dropping-particle":"","family":"Rietschel","given":"M","non-dropping-particle":"","parse-names":false,"suffix":""}],"container-title":"American journal of medical genetics","id":"ITEM-1","issue":"6","issued":{"date-parts":[["2001","8","8"]]},"page":"498-501","title":"Lack of association between a functional polymorphism of the cytochrome P450 1A2 (CYP1A2) gene and tardive dyskinesia in schizophrenia.","type":"article-journal","volume":"105"},"uris":["http://www.mendeley.com/documents/?uuid=a5bef29c-79ab-3537-b882-e2c57fa240f2"]}],"mendeley":{"formattedCitation":"(Schulze et al. 2001)","plainTextFormattedCitation":"(Schulze et al. 2001)","previouslyFormattedCitation":"(Schulze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(Schulze et al. 2001)</w:t>
            </w:r>
            <w:r w:rsidRPr="006A1E5F">
              <w:rPr>
                <w:rFonts w:ascii="Palatino Linotype" w:hAnsi="Palatino Linotype" w:cstheme="minorHAnsi"/>
                <w:sz w:val="18"/>
                <w:szCs w:val="18"/>
              </w:rPr>
              <w:fldChar w:fldCharType="end"/>
            </w:r>
          </w:p>
        </w:tc>
      </w:tr>
      <w:tr w:rsidR="000C64BA" w:rsidRPr="00A237AB" w14:paraId="543B373A" w14:textId="71B4511E" w:rsidTr="000C64BA">
        <w:tc>
          <w:tcPr>
            <w:tcW w:w="1056" w:type="dxa"/>
          </w:tcPr>
          <w:p w14:paraId="58D6FC3E" w14:textId="7CB1F00A" w:rsidR="000C64BA" w:rsidRPr="000F3F98" w:rsidRDefault="000C64BA" w:rsidP="000C64BA">
            <w:pPr>
              <w:rPr>
                <w:rFonts w:ascii="Palatino Linotype" w:hAnsi="Palatino Linotype"/>
                <w:i/>
                <w:iCs/>
                <w:sz w:val="18"/>
                <w:szCs w:val="18"/>
              </w:rPr>
            </w:pPr>
            <w:r w:rsidRPr="000F3F98">
              <w:rPr>
                <w:rFonts w:ascii="Palatino Linotype" w:hAnsi="Palatino Linotype" w:cstheme="minorHAnsi"/>
                <w:i/>
                <w:iCs/>
                <w:sz w:val="18"/>
                <w:szCs w:val="18"/>
              </w:rPr>
              <w:t>CYP2D6</w:t>
            </w:r>
          </w:p>
        </w:tc>
        <w:tc>
          <w:tcPr>
            <w:tcW w:w="1272" w:type="dxa"/>
          </w:tcPr>
          <w:p w14:paraId="556A5357" w14:textId="5C6B15A0" w:rsidR="000C64BA" w:rsidRPr="006A1E5F" w:rsidRDefault="000C64BA" w:rsidP="000C64BA">
            <w:pPr>
              <w:rPr>
                <w:rFonts w:ascii="Palatino Linotype" w:hAnsi="Palatino Linotype"/>
                <w:sz w:val="18"/>
                <w:szCs w:val="18"/>
              </w:rPr>
            </w:pPr>
            <w:r>
              <w:rPr>
                <w:rFonts w:ascii="Palatino Linotype" w:hAnsi="Palatino Linotype" w:cstheme="minorHAnsi"/>
                <w:sz w:val="18"/>
                <w:szCs w:val="18"/>
              </w:rPr>
              <w:t xml:space="preserve">CYP2D6*1, *3, *4, *5, *6, </w:t>
            </w:r>
            <w:r w:rsidRPr="003223C7">
              <w:rPr>
                <w:rFonts w:ascii="Palatino Linotype" w:hAnsi="Palatino Linotype" w:cstheme="minorHAnsi"/>
                <w:sz w:val="18"/>
                <w:szCs w:val="18"/>
              </w:rPr>
              <w:t>duplicat</w:t>
            </w:r>
            <w:r>
              <w:rPr>
                <w:rFonts w:ascii="Palatino Linotype" w:hAnsi="Palatino Linotype" w:cstheme="minorHAnsi"/>
                <w:sz w:val="18"/>
                <w:szCs w:val="18"/>
              </w:rPr>
              <w:t xml:space="preserve">ions in </w:t>
            </w:r>
            <w:r w:rsidRPr="003223C7">
              <w:rPr>
                <w:rFonts w:ascii="Palatino Linotype" w:hAnsi="Palatino Linotype" w:cstheme="minorHAnsi"/>
                <w:sz w:val="18"/>
                <w:szCs w:val="18"/>
              </w:rPr>
              <w:t>CYP2D6</w:t>
            </w:r>
          </w:p>
        </w:tc>
        <w:tc>
          <w:tcPr>
            <w:tcW w:w="1206" w:type="dxa"/>
          </w:tcPr>
          <w:p w14:paraId="0FAE30B8" w14:textId="132980CE" w:rsidR="000C64BA" w:rsidRPr="006A1E5F" w:rsidRDefault="000C64BA" w:rsidP="000C64BA">
            <w:pPr>
              <w:rPr>
                <w:rFonts w:ascii="Palatino Linotype" w:hAnsi="Palatino Linotype"/>
                <w:sz w:val="18"/>
                <w:szCs w:val="18"/>
              </w:rPr>
            </w:pPr>
            <w:r w:rsidRPr="00A0245A">
              <w:rPr>
                <w:rFonts w:ascii="Palatino Linotype" w:hAnsi="Palatino Linotype" w:cstheme="minorHAnsi"/>
                <w:sz w:val="18"/>
                <w:szCs w:val="18"/>
              </w:rPr>
              <w:t>haloperidol,</w:t>
            </w:r>
            <w:r>
              <w:rPr>
                <w:rFonts w:ascii="Palatino Linotype" w:hAnsi="Palatino Linotype" w:cstheme="minorHAnsi"/>
                <w:sz w:val="18"/>
                <w:szCs w:val="18"/>
              </w:rPr>
              <w:t xml:space="preserve"> </w:t>
            </w:r>
            <w:r w:rsidRPr="00A0245A">
              <w:rPr>
                <w:rFonts w:ascii="Palatino Linotype" w:hAnsi="Palatino Linotype" w:cstheme="minorHAnsi"/>
                <w:sz w:val="18"/>
                <w:szCs w:val="18"/>
              </w:rPr>
              <w:t>perphenazine</w:t>
            </w:r>
            <w:r>
              <w:rPr>
                <w:rFonts w:ascii="Palatino Linotype" w:hAnsi="Palatino Linotype" w:cstheme="minorHAnsi"/>
                <w:sz w:val="18"/>
                <w:szCs w:val="18"/>
              </w:rPr>
              <w:t xml:space="preserve">, </w:t>
            </w:r>
            <w:r w:rsidRPr="00A0245A">
              <w:rPr>
                <w:rFonts w:ascii="Palatino Linotype" w:hAnsi="Palatino Linotype" w:cstheme="minorHAnsi"/>
                <w:sz w:val="18"/>
                <w:szCs w:val="18"/>
              </w:rPr>
              <w:t>levomepromazine</w:t>
            </w:r>
            <w:r>
              <w:rPr>
                <w:rFonts w:ascii="Palatino Linotype" w:hAnsi="Palatino Linotype" w:cstheme="minorHAnsi"/>
                <w:sz w:val="18"/>
                <w:szCs w:val="18"/>
              </w:rPr>
              <w:t>, fl</w:t>
            </w:r>
            <w:r w:rsidRPr="00A0245A">
              <w:rPr>
                <w:rFonts w:ascii="Palatino Linotype" w:hAnsi="Palatino Linotype" w:cstheme="minorHAnsi"/>
                <w:sz w:val="18"/>
                <w:szCs w:val="18"/>
              </w:rPr>
              <w:t>uphenazine</w:t>
            </w:r>
            <w:r>
              <w:rPr>
                <w:rFonts w:ascii="Palatino Linotype" w:hAnsi="Palatino Linotype" w:cstheme="minorHAnsi"/>
                <w:sz w:val="18"/>
                <w:szCs w:val="18"/>
              </w:rPr>
              <w:t>,</w:t>
            </w:r>
            <w:r w:rsidRPr="00A0245A">
              <w:rPr>
                <w:rFonts w:ascii="Palatino Linotype" w:hAnsi="Palatino Linotype" w:cstheme="minorHAnsi"/>
                <w:sz w:val="18"/>
                <w:szCs w:val="18"/>
              </w:rPr>
              <w:t xml:space="preserve"> chlorpromazine, thioridazine, and zuclopenthixol</w:t>
            </w:r>
          </w:p>
        </w:tc>
        <w:tc>
          <w:tcPr>
            <w:tcW w:w="924" w:type="dxa"/>
          </w:tcPr>
          <w:p w14:paraId="59C6C3C4" w14:textId="3A3F24F8"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71 (15 with TD)</w:t>
            </w:r>
          </w:p>
        </w:tc>
        <w:tc>
          <w:tcPr>
            <w:tcW w:w="1236" w:type="dxa"/>
          </w:tcPr>
          <w:p w14:paraId="39510EEB" w14:textId="237A1889"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Caucasian (European)</w:t>
            </w:r>
          </w:p>
        </w:tc>
        <w:tc>
          <w:tcPr>
            <w:tcW w:w="1710" w:type="dxa"/>
          </w:tcPr>
          <w:p w14:paraId="75B6299B" w14:textId="1E0BFC77" w:rsidR="000C64BA" w:rsidRPr="006A1E5F" w:rsidRDefault="000C64BA" w:rsidP="000C64BA">
            <w:pPr>
              <w:rPr>
                <w:rFonts w:ascii="Palatino Linotype" w:hAnsi="Palatino Linotype" w:cstheme="minorHAnsi"/>
                <w:sz w:val="18"/>
                <w:szCs w:val="18"/>
              </w:rPr>
            </w:pPr>
            <w:r w:rsidRPr="008B3385">
              <w:rPr>
                <w:rFonts w:ascii="Palatino Linotype" w:hAnsi="Palatino Linotype" w:cstheme="minorHAnsi"/>
                <w:sz w:val="18"/>
                <w:szCs w:val="18"/>
              </w:rPr>
              <w:t>Paranoid</w:t>
            </w:r>
            <w:r>
              <w:rPr>
                <w:rFonts w:ascii="Palatino Linotype" w:hAnsi="Palatino Linotype" w:cstheme="minorHAnsi"/>
                <w:sz w:val="18"/>
                <w:szCs w:val="18"/>
              </w:rPr>
              <w:t xml:space="preserve">, disorganized, undifferentiated, catatonic, residual </w:t>
            </w:r>
            <w:r w:rsidRPr="008B3385">
              <w:rPr>
                <w:rFonts w:ascii="Palatino Linotype" w:hAnsi="Palatino Linotype" w:cstheme="minorHAnsi"/>
                <w:sz w:val="18"/>
                <w:szCs w:val="18"/>
              </w:rPr>
              <w:t>schizophrenia</w:t>
            </w:r>
          </w:p>
        </w:tc>
        <w:tc>
          <w:tcPr>
            <w:tcW w:w="1080" w:type="dxa"/>
          </w:tcPr>
          <w:p w14:paraId="68671026" w14:textId="4CE119A7" w:rsidR="000C64BA" w:rsidRPr="006A1E5F" w:rsidRDefault="000C64BA" w:rsidP="000C64BA">
            <w:pPr>
              <w:rPr>
                <w:rFonts w:ascii="Palatino Linotype" w:hAnsi="Palatino Linotype" w:cstheme="minorHAnsi"/>
                <w:sz w:val="18"/>
                <w:szCs w:val="18"/>
              </w:rPr>
            </w:pPr>
            <w:r w:rsidRPr="00690F79">
              <w:rPr>
                <w:rFonts w:ascii="Palatino Linotype" w:hAnsi="Palatino Linotype" w:cstheme="minorHAnsi"/>
                <w:sz w:val="18"/>
                <w:szCs w:val="18"/>
              </w:rPr>
              <w:t>DSM IV</w:t>
            </w:r>
          </w:p>
        </w:tc>
        <w:tc>
          <w:tcPr>
            <w:tcW w:w="1170" w:type="dxa"/>
          </w:tcPr>
          <w:p w14:paraId="54E370EC" w14:textId="72A1ECE3"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01607034" w14:textId="4909BCC5" w:rsidR="000C64BA" w:rsidRPr="006A1E5F" w:rsidRDefault="000C64BA" w:rsidP="000C64BA">
            <w:pPr>
              <w:rPr>
                <w:rFonts w:ascii="Palatino Linotype" w:hAnsi="Palatino Linotype" w:cstheme="minorHAnsi"/>
                <w:sz w:val="18"/>
                <w:szCs w:val="18"/>
              </w:rPr>
            </w:pPr>
            <w:r w:rsidRPr="003223C7">
              <w:rPr>
                <w:rFonts w:ascii="Palatino Linotype" w:hAnsi="Palatino Linotype" w:cstheme="minorHAnsi"/>
                <w:sz w:val="18"/>
                <w:szCs w:val="18"/>
              </w:rPr>
              <w:t>allele-speci</w:t>
            </w:r>
            <w:r>
              <w:rPr>
                <w:rFonts w:ascii="Palatino Linotype" w:hAnsi="Palatino Linotype" w:cstheme="minorHAnsi"/>
                <w:sz w:val="18"/>
                <w:szCs w:val="18"/>
              </w:rPr>
              <w:t>fic</w:t>
            </w:r>
            <w:r w:rsidRPr="003223C7">
              <w:rPr>
                <w:rFonts w:ascii="Palatino Linotype" w:hAnsi="Palatino Linotype" w:cstheme="minorHAnsi"/>
                <w:sz w:val="18"/>
                <w:szCs w:val="18"/>
              </w:rPr>
              <w:t xml:space="preserve"> PCR</w:t>
            </w:r>
            <w:r>
              <w:rPr>
                <w:rFonts w:ascii="Palatino Linotype" w:hAnsi="Palatino Linotype" w:cstheme="minorHAnsi"/>
                <w:sz w:val="18"/>
                <w:szCs w:val="18"/>
              </w:rPr>
              <w:t>, PCR-RFLP (</w:t>
            </w:r>
            <w:proofErr w:type="spellStart"/>
            <w:r w:rsidRPr="003223C7">
              <w:rPr>
                <w:rFonts w:ascii="Palatino Linotype" w:hAnsi="Palatino Linotype" w:cstheme="minorHAnsi"/>
                <w:sz w:val="18"/>
                <w:szCs w:val="18"/>
              </w:rPr>
              <w:t>XbaI</w:t>
            </w:r>
            <w:proofErr w:type="spellEnd"/>
            <w:r>
              <w:rPr>
                <w:rFonts w:ascii="Palatino Linotype" w:hAnsi="Palatino Linotype" w:cstheme="minorHAnsi"/>
                <w:sz w:val="18"/>
                <w:szCs w:val="18"/>
              </w:rPr>
              <w:t>), long PCR</w:t>
            </w:r>
          </w:p>
        </w:tc>
        <w:tc>
          <w:tcPr>
            <w:tcW w:w="2382" w:type="dxa"/>
          </w:tcPr>
          <w:p w14:paraId="6BBD322F" w14:textId="159BB899"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No association between </w:t>
            </w:r>
            <w:r w:rsidRPr="00BD4E29">
              <w:rPr>
                <w:rFonts w:ascii="Palatino Linotype" w:hAnsi="Palatino Linotype" w:cstheme="minorHAnsi"/>
                <w:sz w:val="18"/>
                <w:szCs w:val="18"/>
              </w:rPr>
              <w:t>CYP2D6</w:t>
            </w:r>
            <w:r>
              <w:rPr>
                <w:rFonts w:ascii="Palatino Linotype" w:hAnsi="Palatino Linotype" w:cstheme="minorHAnsi"/>
                <w:sz w:val="18"/>
                <w:szCs w:val="18"/>
              </w:rPr>
              <w:t xml:space="preserve"> alleles and TD</w:t>
            </w:r>
          </w:p>
        </w:tc>
        <w:tc>
          <w:tcPr>
            <w:tcW w:w="2382" w:type="dxa"/>
          </w:tcPr>
          <w:p w14:paraId="2D98E91B" w14:textId="59A4BFE4"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{"citationItems":[{"id":"ITEM-1","itemData":{"DOI":"10.1007/s002280000222","ISSN":"0031-6970","PMID":"11214775","abstract":"OBJECTIVE In order to evaluate whether poor metabolizers (PM) of debrisoquine are overrepresented among patients with acute dystonic reactions and chronic movement disorders associated with the administration of antipsychotic drugs, the CYP2D6 genotype was determined in schizophrenic patients. METHODS Allele status for CYP2D6*3, CYP2D6*4, CYP2D6*5, and CYP2D6*6 as well as gene duplication was determined by allele-specific PCR, long-PCR and restriction fragment length polymorphism analysis (RFLP) in 119 schizophrenic patients (99 males and 20 females). All subjects were treated with antipsychotics metabolized, at least partially, by this isozyme. Sixty-three of the patients (52.9%) had a history of extrapyramidal side effects (EPS), while 56 (47.1%) had not experienced such problems (controls). RESULTS Sixty-five patients (54.6%) were homozygous for a functional CYP2D6*1 allele, 44 (37.0%) were heterozygous for detrimental alleles, and 4 (3.4%), who carried two detrimental alleles, were classified as PM. In six patients (5.0%) duplication of a functional CYP2D6 gene was found, and they were consequently classified as ultrarapid metabolizers (UM). Homo- and heterozygous extensive metabolizers (EM) as well as UM were equally distributed between patients with and without EPS, whereas all the PM had a history of EPS. No significant differences in allele frequencies between the two groups were found. CONCLUSION Although the results cannot be considered conclusive due to the small number of PM patients in our study, the PM genotype may be a predisposing factor for antipsychotic-induced EPS. Knowledge of the CYP2D6 genotype, before starting antipsychotic therapy, might be useful in identifying subjects at risk of developing EPS.","author":[{"dropping-particle":"","family":"Scordo","given":"M G","non-dropping-particle":"","parse-names":false,"suffix":""},{"dropping-particle":"","family":"Spina","given":"E","non-dropping-particle":"","parse-names":false,"suffix":""},{"dropping-particle":"","family":"Romeo","given":"P","non-dropping-particle":"","parse-names":false,"suffix":""},{"dropping-particle":"","family":"Dahl","given":"M L","non-dropping-particle":"","parse-names":false,"suffix":""},{"dropping-particle":"","family":"Bertilsson","given":"L","non-dropping-particle":"","parse-names":false,"suffix":""},{"dropping-particle":"","family":"Johansson","given":"I","non-dropping-particle":"","parse-names":false,"suffix":""},{"dropping-particle":"","family":"Sjöqvist","given":"F","non-dropping-particle":"","parse-names":false,"suffix":""}],"container-title":"European journal of clinical pharmacology","id":"ITEM-1","issue":"9-10","issued":{"date-parts":[["2000","12"]]},"page":"679-83","publisher":"Eur J Clin Pharmacol","title":"CYP2D6 genotype and antipsychotic-induced extrapyramidal side effects in schizophrenic patients.","type":"article-journal","volume":"56"},"uris":["http://www.mendeley.com/documents/?uuid=0976efe5-b78c-35ce-9418-afa904bf2b11"]}],"mendeley":{"formattedCitation":"(Scordo et al. 2000)","plainTextFormattedCitation":"(Scordo et al. 2000)","previouslyFormattedCitation":"(Scordo et al. 2000)"},"properties":{"noteIndex":0},"schema":"https://github.com/citation-style-language/schema/raw/master/csl-citation.json"}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(Scordo et al. 2000)</w:t>
            </w:r>
            <w:r>
              <w:rPr>
                <w:rFonts w:ascii="Palatino Linotype" w:hAnsi="Palatino Linotype" w:cstheme="minorHAnsi"/>
                <w:sz w:val="18"/>
                <w:szCs w:val="18"/>
              </w:rPr>
              <w:fldChar w:fldCharType="end"/>
            </w:r>
          </w:p>
        </w:tc>
      </w:tr>
      <w:tr w:rsidR="000C64BA" w:rsidRPr="00A237AB" w14:paraId="02677A3A" w14:textId="5E33785D" w:rsidTr="000C64BA">
        <w:tc>
          <w:tcPr>
            <w:tcW w:w="1056" w:type="dxa"/>
          </w:tcPr>
          <w:p w14:paraId="3827B387" w14:textId="6C89928D" w:rsidR="000C64BA" w:rsidRPr="000F3F98" w:rsidRDefault="000C64BA" w:rsidP="000C64BA">
            <w:pPr>
              <w:rPr>
                <w:rFonts w:ascii="Palatino Linotype" w:hAnsi="Palatino Linotype"/>
                <w:i/>
                <w:iCs/>
                <w:sz w:val="18"/>
                <w:szCs w:val="18"/>
              </w:rPr>
            </w:pPr>
            <w:r w:rsidRPr="000F3F98">
              <w:rPr>
                <w:rFonts w:ascii="Palatino Linotype" w:hAnsi="Palatino Linotype" w:cstheme="minorHAnsi"/>
                <w:i/>
                <w:iCs/>
                <w:sz w:val="18"/>
                <w:szCs w:val="18"/>
              </w:rPr>
              <w:lastRenderedPageBreak/>
              <w:t>CYP17</w:t>
            </w:r>
          </w:p>
        </w:tc>
        <w:tc>
          <w:tcPr>
            <w:tcW w:w="1272" w:type="dxa"/>
          </w:tcPr>
          <w:p w14:paraId="468F64D8" w14:textId="4E75E991" w:rsidR="000C64BA" w:rsidRPr="006A1E5F" w:rsidRDefault="000C64BA" w:rsidP="000C64BA">
            <w:pPr>
              <w:rPr>
                <w:rFonts w:ascii="Palatino Linotype" w:hAnsi="Palatino Linotype"/>
                <w:sz w:val="18"/>
                <w:szCs w:val="18"/>
              </w:rPr>
            </w:pPr>
            <w:r w:rsidRPr="003E2E63">
              <w:rPr>
                <w:rFonts w:ascii="Palatino Linotype" w:hAnsi="Palatino Linotype" w:cstheme="minorHAnsi"/>
                <w:sz w:val="18"/>
                <w:szCs w:val="18"/>
              </w:rPr>
              <w:t>T</w:t>
            </w:r>
            <w:r>
              <w:rPr>
                <w:rFonts w:ascii="Palatino Linotype" w:hAnsi="Palatino Linotype" w:cstheme="minorHAnsi"/>
                <w:sz w:val="18"/>
                <w:szCs w:val="18"/>
              </w:rPr>
              <w:t>/</w:t>
            </w:r>
            <w:r w:rsidRPr="003E2E63">
              <w:rPr>
                <w:rFonts w:ascii="Palatino Linotype" w:hAnsi="Palatino Linotype" w:cstheme="minorHAnsi"/>
                <w:sz w:val="18"/>
                <w:szCs w:val="18"/>
              </w:rPr>
              <w:t>C in the 5</w:t>
            </w:r>
            <w:r>
              <w:rPr>
                <w:rFonts w:ascii="Palatino Linotype" w:hAnsi="Palatino Linotype" w:cstheme="minorHAnsi"/>
                <w:sz w:val="18"/>
                <w:szCs w:val="18"/>
              </w:rPr>
              <w:t xml:space="preserve">’ </w:t>
            </w:r>
            <w:r w:rsidRPr="003E2E63">
              <w:rPr>
                <w:rFonts w:ascii="Palatino Linotype" w:hAnsi="Palatino Linotype" w:cstheme="minorHAnsi"/>
                <w:sz w:val="18"/>
                <w:szCs w:val="18"/>
              </w:rPr>
              <w:t>promoter</w:t>
            </w:r>
            <w:r>
              <w:rPr>
                <w:rFonts w:ascii="Palatino Linotype" w:hAnsi="Palatino Linotype" w:cstheme="minorHAnsi"/>
                <w:sz w:val="18"/>
                <w:szCs w:val="18"/>
              </w:rPr>
              <w:t xml:space="preserve"> </w:t>
            </w:r>
            <w:r w:rsidRPr="003E2E63">
              <w:rPr>
                <w:rFonts w:ascii="Palatino Linotype" w:hAnsi="Palatino Linotype" w:cstheme="minorHAnsi"/>
                <w:sz w:val="18"/>
                <w:szCs w:val="18"/>
              </w:rPr>
              <w:t>region</w:t>
            </w:r>
          </w:p>
        </w:tc>
        <w:tc>
          <w:tcPr>
            <w:tcW w:w="1206" w:type="dxa"/>
          </w:tcPr>
          <w:p w14:paraId="2F2978BE" w14:textId="1C8E3805" w:rsidR="000C64BA" w:rsidRPr="006A1E5F" w:rsidRDefault="000C64BA" w:rsidP="000C64BA">
            <w:pPr>
              <w:rPr>
                <w:rFonts w:ascii="Palatino Linotype" w:hAnsi="Palatino Linotype"/>
                <w:sz w:val="18"/>
                <w:szCs w:val="18"/>
              </w:rPr>
            </w:pPr>
            <w:r>
              <w:rPr>
                <w:rFonts w:ascii="Palatino Linotype" w:hAnsi="Palatino Linotype" w:cstheme="minorHAnsi"/>
                <w:sz w:val="18"/>
                <w:szCs w:val="18"/>
              </w:rPr>
              <w:t>FGAs</w:t>
            </w:r>
          </w:p>
        </w:tc>
        <w:tc>
          <w:tcPr>
            <w:tcW w:w="924" w:type="dxa"/>
          </w:tcPr>
          <w:p w14:paraId="068419BC" w14:textId="1707D137" w:rsidR="000C64BA" w:rsidRPr="006A1E5F" w:rsidRDefault="000C64BA" w:rsidP="000C64BA">
            <w:pPr>
              <w:rPr>
                <w:rFonts w:ascii="Palatino Linotype" w:hAnsi="Palatino Linotype"/>
                <w:sz w:val="18"/>
                <w:szCs w:val="18"/>
              </w:rPr>
            </w:pPr>
            <w:r>
              <w:rPr>
                <w:rFonts w:ascii="Palatino Linotype" w:hAnsi="Palatino Linotype"/>
                <w:sz w:val="18"/>
                <w:szCs w:val="18"/>
              </w:rPr>
              <w:t>113 (55 with TD)</w:t>
            </w:r>
          </w:p>
        </w:tc>
        <w:tc>
          <w:tcPr>
            <w:tcW w:w="1236" w:type="dxa"/>
          </w:tcPr>
          <w:p w14:paraId="14DC0077" w14:textId="21F1E3B4" w:rsidR="000C64BA" w:rsidRPr="006A1E5F" w:rsidRDefault="000C64BA" w:rsidP="000C64BA">
            <w:pPr>
              <w:rPr>
                <w:rFonts w:ascii="Palatino Linotype" w:hAnsi="Palatino Linotype" w:cstheme="minorHAnsi"/>
                <w:sz w:val="18"/>
                <w:szCs w:val="18"/>
              </w:rPr>
            </w:pPr>
            <w:r w:rsidRPr="00924ABD">
              <w:rPr>
                <w:rFonts w:ascii="Palatino Linotype" w:hAnsi="Palatino Linotype" w:cstheme="minorHAnsi"/>
                <w:sz w:val="18"/>
                <w:szCs w:val="18"/>
              </w:rPr>
              <w:t>Ashkenazi and non-Ashkenazi</w:t>
            </w:r>
          </w:p>
        </w:tc>
        <w:tc>
          <w:tcPr>
            <w:tcW w:w="1710" w:type="dxa"/>
          </w:tcPr>
          <w:p w14:paraId="570A8D6D" w14:textId="57B9371F" w:rsidR="000C64BA" w:rsidRPr="006A1E5F" w:rsidRDefault="000C64BA" w:rsidP="000C64BA">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4AE07147" w14:textId="77848C15" w:rsidR="000C64BA" w:rsidRPr="006A1E5F" w:rsidRDefault="000C64BA" w:rsidP="000C64BA">
            <w:pPr>
              <w:rPr>
                <w:rFonts w:ascii="Palatino Linotype" w:hAnsi="Palatino Linotype" w:cstheme="minorHAnsi"/>
                <w:sz w:val="18"/>
                <w:szCs w:val="18"/>
              </w:rPr>
            </w:pPr>
            <w:r w:rsidRPr="003E2E63">
              <w:rPr>
                <w:rFonts w:ascii="Palatino Linotype" w:hAnsi="Palatino Linotype" w:cstheme="minorHAnsi"/>
                <w:sz w:val="18"/>
                <w:szCs w:val="18"/>
              </w:rPr>
              <w:t>DSM-IV</w:t>
            </w:r>
          </w:p>
        </w:tc>
        <w:tc>
          <w:tcPr>
            <w:tcW w:w="1170" w:type="dxa"/>
          </w:tcPr>
          <w:p w14:paraId="5FB1E7AD" w14:textId="32FEEA15" w:rsidR="000C64BA" w:rsidRPr="006A1E5F" w:rsidRDefault="000C64BA" w:rsidP="000C64BA">
            <w:pPr>
              <w:rPr>
                <w:rFonts w:ascii="Palatino Linotype" w:hAnsi="Palatino Linotype" w:cs="Arial"/>
                <w:sz w:val="18"/>
                <w:szCs w:val="18"/>
                <w:lang w:eastAsia="el-GR"/>
              </w:rPr>
            </w:pPr>
            <w:r>
              <w:rPr>
                <w:rFonts w:ascii="Palatino Linotype" w:hAnsi="Palatino Linotype" w:cstheme="minorHAnsi"/>
                <w:sz w:val="18"/>
                <w:szCs w:val="18"/>
              </w:rPr>
              <w:t>AIMS</w:t>
            </w:r>
          </w:p>
        </w:tc>
        <w:tc>
          <w:tcPr>
            <w:tcW w:w="1260" w:type="dxa"/>
          </w:tcPr>
          <w:p w14:paraId="7A592F35" w14:textId="7866E332"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PCR-RFLP (</w:t>
            </w:r>
            <w:proofErr w:type="spellStart"/>
            <w:r w:rsidRPr="00924ABD">
              <w:rPr>
                <w:rFonts w:ascii="Palatino Linotype" w:hAnsi="Palatino Linotype" w:cstheme="minorHAnsi"/>
                <w:sz w:val="18"/>
                <w:szCs w:val="18"/>
              </w:rPr>
              <w:t>MspAI</w:t>
            </w:r>
            <w:proofErr w:type="spellEnd"/>
            <w:r>
              <w:rPr>
                <w:rFonts w:ascii="Palatino Linotype" w:hAnsi="Palatino Linotype" w:cstheme="minorHAnsi"/>
                <w:sz w:val="18"/>
                <w:szCs w:val="18"/>
              </w:rPr>
              <w:t>)</w:t>
            </w:r>
          </w:p>
        </w:tc>
        <w:tc>
          <w:tcPr>
            <w:tcW w:w="2382" w:type="dxa"/>
          </w:tcPr>
          <w:p w14:paraId="4A74EAFB" w14:textId="1E26DE84" w:rsidR="000C64BA" w:rsidRPr="006A1E5F" w:rsidRDefault="000C64BA" w:rsidP="000C64BA">
            <w:pPr>
              <w:rPr>
                <w:rFonts w:ascii="Palatino Linotype" w:hAnsi="Palatino Linotype" w:cstheme="minorHAnsi"/>
                <w:sz w:val="18"/>
                <w:szCs w:val="18"/>
              </w:rPr>
            </w:pPr>
            <w:r>
              <w:rPr>
                <w:rFonts w:ascii="Palatino Linotype" w:hAnsi="Palatino Linotype" w:cstheme="minorHAnsi"/>
                <w:sz w:val="18"/>
                <w:szCs w:val="18"/>
              </w:rPr>
              <w:t xml:space="preserve">Association between the carriers of CYP17 A2-A2 genotype and risk of </w:t>
            </w:r>
            <w:r w:rsidRPr="00924ABD">
              <w:rPr>
                <w:rFonts w:ascii="Palatino Linotype" w:hAnsi="Palatino Linotype" w:cstheme="minorHAnsi"/>
                <w:sz w:val="18"/>
                <w:szCs w:val="18"/>
              </w:rPr>
              <w:t>abnormal orofacial and distal</w:t>
            </w:r>
            <w:r>
              <w:rPr>
                <w:rFonts w:ascii="Palatino Linotype" w:hAnsi="Palatino Linotype" w:cstheme="minorHAnsi"/>
                <w:sz w:val="18"/>
                <w:szCs w:val="18"/>
              </w:rPr>
              <w:t xml:space="preserve"> </w:t>
            </w:r>
            <w:r w:rsidRPr="00924ABD">
              <w:rPr>
                <w:rFonts w:ascii="Palatino Linotype" w:hAnsi="Palatino Linotype" w:cstheme="minorHAnsi"/>
                <w:sz w:val="18"/>
                <w:szCs w:val="18"/>
              </w:rPr>
              <w:t>involuntary movements</w:t>
            </w:r>
          </w:p>
        </w:tc>
        <w:tc>
          <w:tcPr>
            <w:tcW w:w="2382" w:type="dxa"/>
          </w:tcPr>
          <w:p w14:paraId="779D7387" w14:textId="5C84152C" w:rsidR="000C64BA" w:rsidRDefault="000C64BA" w:rsidP="000C64B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{"citationItems":[{"id":"ITEM-1","itemData":{"DOI":"10.1016/s0006-3223(01)01302-6","ISSN":"0006-3223","PMID":"11839369","abstract":"BACKGROUND Tardive dyskinesia is a chronic adverse effect of anti psychotic drugs, where association with a polymorphic site in the dopamine D3 receptor gene has been previously reported. Cytochrome P 450 17alpha-hydroxylase activity has been implicated with modulation of central dopamine release as well as neuroprotection. We investigated the association of a T --&gt;C variation in the cytochrome P 450 17alpha-hydroxylase gene with tardive dyskinesia in patients with chronic schizophrenia. METHODS Cytochrome P 450 17 allele and genotype frequencies were compared between matched schizophrenia patients with (n = 55) or without tardive dyskinesia (n = 58). Interactive effects of cytochrome P 450 17alpha-hydroxylase with the dopamine D3 Ser9Gly polymorphism on abnormal involuntary movements were examined. RESULTS There was no difference in cytochrome P 450 17alpha-hydroxylase genotype distribution between patients with and without tardive dyskinesia; however, patients carrying the cytochrome P 450 17alpha-hydroxylase A2-A2 genotype and the dopamine D3gly allele had the highest orofacial (p &lt;.04), distal (p &lt;.05), and incapacitation (p &lt;.04) scores on the Abnormal Involuntary Movements Scale. CONCLUSIONS Schizophrenia patients who carry the dopamine D3gly allele and the cytochrome P 450 17alpha-hydroxylase A2-A2 genotype may be more likely to develop abnormal orofoacial and distal involuntary movements and to be incapacitated by these movements when chronically exposed to classical antipsychotic drugs.","author":[{"dropping-particle":"","family":"Segman","given":"Ronnen H","non-dropping-particle":"","parse-names":false,"suffix":""},{"dropping-particle":"","family":"Heresco-Levy","given":"Uriel","non-dropping-particle":"","parse-names":false,"suffix":""},{"dropping-particle":"","family":"Yakir","given":"Avi","non-dropping-particle":"","parse-names":false,"suffix":""},{"dropping-particle":"","family":"Goltser","given":"Tanya","non-dropping-particle":"","parse-names":false,"suffix":""},{"dropping-particle":"","family":"Strous","given":"Rael","non-dropping-particle":"","parse-names":false,"suffix":""},{"dropping-particle":"","family":"Greenberg","given":"David A","non-dropping-particle":"","parse-names":false,"suffix":""},{"dropping-particle":"","family":"Lerer","given":"Bernard","non-dropping-particle":"","parse-names":false,"suffix":""}],"container-title":"Biological psychiatry","id":"ITEM-1","issue":"3","issued":{"date-parts":[["2002","2","1"]]},"page":"261-3","publisher":"Biol Psychiatry","title":"Interactive effect of cytochrome P450 17alpha-hydroxylase and dopamine D3 receptor gene polymorphisms on abnormal involuntary movements in chronic schizophrenia.","type":"article-journal","volume":"51"},"uris":["http://www.mendeley.com/documents/?uuid=67883f02-112c-31f5-adf3-64e112b09c47"]}],"mendeley":{"formattedCitation":"(Segman et al. 2002a)","plainTextFormattedCitation":"(Segman et al. 2002a)","previouslyFormattedCitation":"(Segman et al. 2002a)"},"properties":{"noteIndex":0},"schema":"https://github.com/citation-style-language/schema/raw/master/csl-citation.json"}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2002a)</w:t>
            </w:r>
            <w:r>
              <w:rPr>
                <w:rFonts w:ascii="Palatino Linotype" w:hAnsi="Palatino Linotype" w:cstheme="minorHAnsi"/>
                <w:sz w:val="18"/>
                <w:szCs w:val="18"/>
              </w:rPr>
              <w:fldChar w:fldCharType="end"/>
            </w:r>
          </w:p>
        </w:tc>
      </w:tr>
      <w:tr w:rsidR="00F07982" w:rsidRPr="00EA57B8" w14:paraId="44A56740" w14:textId="77777777" w:rsidTr="000C64BA">
        <w:tc>
          <w:tcPr>
            <w:tcW w:w="1056" w:type="dxa"/>
          </w:tcPr>
          <w:p w14:paraId="4B65F7D4" w14:textId="5D806853" w:rsidR="00F07982" w:rsidRPr="000F3F98" w:rsidRDefault="00F07982" w:rsidP="00F07982">
            <w:pPr>
              <w:rPr>
                <w:rFonts w:ascii="Palatino Linotype" w:hAnsi="Palatino Linotype" w:cstheme="minorHAnsi"/>
                <w:i/>
                <w:iCs/>
                <w:sz w:val="18"/>
                <w:szCs w:val="18"/>
              </w:rPr>
            </w:pPr>
            <w:r w:rsidRPr="00F07982">
              <w:rPr>
                <w:rFonts w:ascii="Palatino Linotype" w:hAnsi="Palatino Linotype" w:cstheme="minorHAnsi"/>
                <w:i/>
                <w:iCs/>
                <w:sz w:val="18"/>
                <w:szCs w:val="18"/>
              </w:rPr>
              <w:t>CYP1A2</w:t>
            </w:r>
          </w:p>
        </w:tc>
        <w:tc>
          <w:tcPr>
            <w:tcW w:w="1272" w:type="dxa"/>
          </w:tcPr>
          <w:p w14:paraId="21E1610D" w14:textId="61497523" w:rsidR="00F07982" w:rsidRPr="00EF15AA" w:rsidRDefault="003F4A06" w:rsidP="00F07982">
            <w:pPr>
              <w:rPr>
                <w:rFonts w:ascii="Palatino Linotype" w:hAnsi="Palatino Linotype" w:cstheme="minorHAnsi"/>
                <w:sz w:val="18"/>
                <w:szCs w:val="18"/>
              </w:rPr>
            </w:pPr>
            <w:r w:rsidRPr="00F07982">
              <w:rPr>
                <w:rFonts w:ascii="Palatino Linotype" w:hAnsi="Palatino Linotype" w:cstheme="minorHAnsi"/>
                <w:sz w:val="18"/>
                <w:szCs w:val="18"/>
              </w:rPr>
              <w:t>CYP1A2*2, *4, *5, *6</w:t>
            </w:r>
            <w:r>
              <w:rPr>
                <w:rFonts w:ascii="Palatino Linotype" w:hAnsi="Palatino Linotype" w:cstheme="minorHAnsi"/>
                <w:sz w:val="18"/>
                <w:szCs w:val="18"/>
              </w:rPr>
              <w:t xml:space="preserve">, </w:t>
            </w:r>
            <w:r w:rsidR="00F07982" w:rsidRPr="00F07982">
              <w:rPr>
                <w:rFonts w:ascii="Palatino Linotype" w:hAnsi="Palatino Linotype" w:cstheme="minorHAnsi"/>
                <w:sz w:val="18"/>
                <w:szCs w:val="18"/>
              </w:rPr>
              <w:t>CYP1A2*1C</w:t>
            </w:r>
            <w:r w:rsidR="00F07982">
              <w:rPr>
                <w:rFonts w:ascii="Palatino Linotype" w:hAnsi="Palatino Linotype" w:cstheme="minorHAnsi"/>
                <w:sz w:val="18"/>
                <w:szCs w:val="18"/>
              </w:rPr>
              <w:t>, C</w:t>
            </w:r>
            <w:r w:rsidR="00F07982" w:rsidRPr="00F07982">
              <w:rPr>
                <w:rFonts w:ascii="Palatino Linotype" w:hAnsi="Palatino Linotype" w:cstheme="minorHAnsi"/>
                <w:sz w:val="18"/>
                <w:szCs w:val="18"/>
              </w:rPr>
              <w:t>YP1A2*1F</w:t>
            </w:r>
          </w:p>
        </w:tc>
        <w:tc>
          <w:tcPr>
            <w:tcW w:w="1206" w:type="dxa"/>
          </w:tcPr>
          <w:p w14:paraId="5E54EBD0" w14:textId="63E7C321"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FGAs and SGAs</w:t>
            </w:r>
          </w:p>
        </w:tc>
        <w:tc>
          <w:tcPr>
            <w:tcW w:w="924" w:type="dxa"/>
          </w:tcPr>
          <w:p w14:paraId="7AE77E53" w14:textId="5F375DBF"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335 (96 with TD) and 250 controls</w:t>
            </w:r>
          </w:p>
        </w:tc>
        <w:tc>
          <w:tcPr>
            <w:tcW w:w="1236" w:type="dxa"/>
          </w:tcPr>
          <w:p w14:paraId="1DE62858" w14:textId="128E59BD"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North India</w:t>
            </w:r>
          </w:p>
        </w:tc>
        <w:tc>
          <w:tcPr>
            <w:tcW w:w="1710" w:type="dxa"/>
          </w:tcPr>
          <w:p w14:paraId="21A68AEB" w14:textId="26EE6B9C" w:rsidR="00F07982" w:rsidRPr="006A1E5F" w:rsidRDefault="00F07982" w:rsidP="00F07982">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0D2C0FC6" w14:textId="23A30A14" w:rsidR="00F07982" w:rsidRPr="00F53DE7" w:rsidRDefault="00F07982" w:rsidP="00F07982">
            <w:pPr>
              <w:rPr>
                <w:rFonts w:ascii="Palatino Linotype" w:hAnsi="Palatino Linotype" w:cstheme="minorHAnsi"/>
                <w:sz w:val="18"/>
                <w:szCs w:val="18"/>
              </w:rPr>
            </w:pPr>
            <w:r w:rsidRPr="00F53DE7">
              <w:rPr>
                <w:rFonts w:ascii="Palatino Linotype" w:hAnsi="Palatino Linotype" w:cstheme="minorHAnsi"/>
                <w:sz w:val="18"/>
                <w:szCs w:val="18"/>
              </w:rPr>
              <w:t>DSM IV</w:t>
            </w:r>
          </w:p>
        </w:tc>
        <w:tc>
          <w:tcPr>
            <w:tcW w:w="1170" w:type="dxa"/>
          </w:tcPr>
          <w:p w14:paraId="6E65CD75" w14:textId="40C662E7"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5287F9FD" w14:textId="6CE21431" w:rsidR="00F07982" w:rsidRPr="002B4721" w:rsidRDefault="00F07982" w:rsidP="00F07982">
            <w:pPr>
              <w:rPr>
                <w:rFonts w:ascii="Palatino Linotype" w:hAnsi="Palatino Linotype" w:cstheme="minorHAnsi"/>
                <w:sz w:val="18"/>
                <w:szCs w:val="18"/>
              </w:rPr>
            </w:pPr>
            <w:proofErr w:type="spellStart"/>
            <w:r w:rsidRPr="00F07982">
              <w:rPr>
                <w:rFonts w:ascii="Palatino Linotype" w:hAnsi="Palatino Linotype" w:cstheme="minorHAnsi"/>
                <w:sz w:val="18"/>
                <w:szCs w:val="18"/>
              </w:rPr>
              <w:t>SnaPshot</w:t>
            </w:r>
            <w:proofErr w:type="spellEnd"/>
            <w:r w:rsidRPr="00F07982">
              <w:rPr>
                <w:rFonts w:ascii="Palatino Linotype" w:hAnsi="Palatino Linotype" w:cstheme="minorHAnsi"/>
                <w:sz w:val="18"/>
                <w:szCs w:val="18"/>
              </w:rPr>
              <w:t xml:space="preserve"> method (CYP1A2*2, *4, *5, *6)</w:t>
            </w:r>
            <w:r w:rsidR="008833C7">
              <w:rPr>
                <w:rFonts w:ascii="Palatino Linotype" w:hAnsi="Palatino Linotype" w:cstheme="minorHAnsi"/>
                <w:sz w:val="18"/>
                <w:szCs w:val="18"/>
              </w:rPr>
              <w:t>, PCR</w:t>
            </w:r>
            <w:r w:rsidR="003F4A06">
              <w:rPr>
                <w:rFonts w:ascii="Palatino Linotype" w:hAnsi="Palatino Linotype" w:cstheme="minorHAnsi"/>
                <w:sz w:val="18"/>
                <w:szCs w:val="18"/>
              </w:rPr>
              <w:t>-RFLP (</w:t>
            </w:r>
            <w:r w:rsidR="003F4A06" w:rsidRPr="003F4A06">
              <w:rPr>
                <w:rFonts w:ascii="Palatino Linotype" w:hAnsi="Palatino Linotype" w:cstheme="minorHAnsi"/>
                <w:sz w:val="18"/>
                <w:szCs w:val="18"/>
              </w:rPr>
              <w:t>CYP1A2*1C and CYP1A2*1F)</w:t>
            </w:r>
            <w:r w:rsidR="003F4A06">
              <w:rPr>
                <w:rFonts w:ascii="Palatino Linotype" w:hAnsi="Palatino Linotype" w:cstheme="minorHAnsi"/>
                <w:sz w:val="18"/>
                <w:szCs w:val="18"/>
              </w:rPr>
              <w:t xml:space="preserve"> </w:t>
            </w:r>
          </w:p>
        </w:tc>
        <w:tc>
          <w:tcPr>
            <w:tcW w:w="2382" w:type="dxa"/>
          </w:tcPr>
          <w:p w14:paraId="458E3BBF" w14:textId="5A285B5F" w:rsidR="00F07982" w:rsidRDefault="006C58B3" w:rsidP="006C58B3">
            <w:pPr>
              <w:rPr>
                <w:rFonts w:ascii="Palatino Linotype" w:hAnsi="Palatino Linotype" w:cstheme="minorHAnsi"/>
                <w:sz w:val="18"/>
                <w:szCs w:val="18"/>
              </w:rPr>
            </w:pPr>
            <w:r>
              <w:rPr>
                <w:rFonts w:ascii="Palatino Linotype" w:hAnsi="Palatino Linotype" w:cstheme="minorHAnsi"/>
                <w:sz w:val="18"/>
                <w:szCs w:val="18"/>
              </w:rPr>
              <w:t>C</w:t>
            </w:r>
            <w:r w:rsidRPr="006C58B3">
              <w:rPr>
                <w:rFonts w:ascii="Palatino Linotype" w:hAnsi="Palatino Linotype" w:cstheme="minorHAnsi"/>
                <w:sz w:val="18"/>
                <w:szCs w:val="18"/>
              </w:rPr>
              <w:t xml:space="preserve">arriers of CYP1A2*1C (G4A) variant allele </w:t>
            </w:r>
            <w:r>
              <w:rPr>
                <w:rFonts w:ascii="Palatino Linotype" w:hAnsi="Palatino Linotype" w:cstheme="minorHAnsi"/>
                <w:sz w:val="18"/>
                <w:szCs w:val="18"/>
              </w:rPr>
              <w:t>who</w:t>
            </w:r>
            <w:r w:rsidRPr="006C58B3">
              <w:rPr>
                <w:rFonts w:ascii="Palatino Linotype" w:hAnsi="Palatino Linotype" w:cstheme="minorHAnsi"/>
                <w:sz w:val="18"/>
                <w:szCs w:val="18"/>
              </w:rPr>
              <w:t xml:space="preserve"> had</w:t>
            </w:r>
            <w:r>
              <w:rPr>
                <w:rFonts w:ascii="Palatino Linotype" w:hAnsi="Palatino Linotype" w:cstheme="minorHAnsi"/>
                <w:sz w:val="18"/>
                <w:szCs w:val="18"/>
              </w:rPr>
              <w:t xml:space="preserve"> </w:t>
            </w:r>
            <w:r w:rsidRPr="006C58B3">
              <w:rPr>
                <w:rFonts w:ascii="Palatino Linotype" w:hAnsi="Palatino Linotype" w:cstheme="minorHAnsi"/>
                <w:sz w:val="18"/>
                <w:szCs w:val="18"/>
              </w:rPr>
              <w:t xml:space="preserve">received </w:t>
            </w:r>
            <w:r>
              <w:rPr>
                <w:rFonts w:ascii="Palatino Linotype" w:hAnsi="Palatino Linotype" w:cstheme="minorHAnsi"/>
                <w:sz w:val="18"/>
                <w:szCs w:val="18"/>
              </w:rPr>
              <w:t>only FGAs</w:t>
            </w:r>
            <w:r w:rsidR="00A42BA1">
              <w:rPr>
                <w:rFonts w:ascii="Palatino Linotype" w:hAnsi="Palatino Linotype" w:cstheme="minorHAnsi"/>
                <w:sz w:val="18"/>
                <w:szCs w:val="18"/>
              </w:rPr>
              <w:t xml:space="preserve"> and were smokers had </w:t>
            </w:r>
            <w:r w:rsidR="00A42BA1" w:rsidRPr="006C58B3">
              <w:rPr>
                <w:rFonts w:ascii="Palatino Linotype" w:hAnsi="Palatino Linotype" w:cstheme="minorHAnsi"/>
                <w:sz w:val="18"/>
                <w:szCs w:val="18"/>
              </w:rPr>
              <w:t>increased severity of TD</w:t>
            </w:r>
          </w:p>
        </w:tc>
        <w:tc>
          <w:tcPr>
            <w:tcW w:w="2382" w:type="dxa"/>
          </w:tcPr>
          <w:p w14:paraId="7C96EA3F" w14:textId="6F473305"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F1127">
              <w:rPr>
                <w:rFonts w:ascii="Palatino Linotype" w:hAnsi="Palatino Linotype" w:cstheme="minorHAnsi"/>
                <w:sz w:val="18"/>
                <w:szCs w:val="18"/>
              </w:rPr>
              <w:instrText>ADDIN CSL_CITATION {"citationItems":[{"id":"ITEM-1","itemData":{"DOI":"10.1038/sj.tpj.6500282","ISSN":"1470-269X","PMID":"15505641","abstract":"Understanding the pharmacogenetic basis of developing iatrogenic disorders such as Tardive Dyskinesia (TD) has significant clinical implications. CYP1A2, an inducible gene of the cytochrome P450 family of genes, has been suggested to contribute to the metabolism of typical antipsychotics in subjects with schizophrenia on long-term treatment, and has been considered as a potential candidate gene for development of TD. In this study, we have investigated the significance of CYP1A2 gene polymorphisms in TD susceptibility among chronic schizophrenia sufferers (n=335) from north India. TD was diagnosed in approximately 29% (96/335) of these subjects. Of the 96 TD positives, 28 had been treated with typical antipsychotics alone, 23 with atypical antipsychotics alone and 45 patients had received both classes of drugs during the course of their illness. Out of the six SNPs tested, CYP1A2(*)2, (*)4, (*)5, (*)6 were found to be monomorphic in our population. CYP1A2(*)1C and CYP1A2(*)1F were polymorphic and were analyzed in the study sample. Since these two allelic variants lead to lesser inducibility among smokers, the smoking status of TD patients was also considered for all subsequent analysis. We observed increased severity of TD among TD-Y smokers, who were carriers of CYP1A2(*)1C (G&gt;A) variant allele and had received only typical antipsychotic drugs (F(1,8)=9.203, P=0.016). No significant association of CYP1A2(*)1F with TD was observed irrespective of the class of drug they received or their smoking status. However, we found a significant association of CYP1A2(*)1F with schizophrenia (chi(2)=6.572, df=2, P=0.037).","author":[{"dropping-particle":"","family":"Tiwari","given":"A K","non-dropping-particle":"","parse-names":false,"suffix":""},{"dropping-particle":"","family":"Deshpande","given":"S N","non-dropping-particle":"","parse-names":false,"suffix":""},{"dropping-particle":"","family":"Rao","given":"A R","non-dropping-particle":"","parse-names":false,"suffix":""},{"dropping-particle":"","family":"Bhatia","given":"T","non-dropping-particle":"","parse-names":false,"suffix":""},{"dropping-particle":"","family":"Mukit","given":"S R","non-dropping-particle":"","parse-names":false,"suffix":""},{"dropping-particle":"","family":"Shriharsh","given":"V","non-dropping-particle":"","parse-names":false,"suffix":""},{"dropping-particle":"","family":"Lerer","given":"B","non-dropping-particle":"","parse-names":false,"suffix":""},{"dropping-particle":"","family":"Nimagaonkar","given":"V L","non-dropping-particle":"","parse-names":false,"suffix":""},{"dropping-particle":"","family":"Thelma","given":"B K","non-dropping-particle":"","parse-names":false,"suffix":""}],"container-title":"The pharmacogenomics journal","id":"ITEM-1","issue":"1","issued":{"date-parts":[["2005"]]},"page":"60-9","publisher":"Pharmacogenomics J","title":"Genetic susceptibility to tardive dyskinesia in chronic schizophrenia subjects: I. Association of CYP1A2 gene polymorphism.","type":"article-journal","volume":"5"},"uris":["http://www.mendeley.com/documents/?uuid=2f0cff7a-2d36-35d8-b08d-e78ff9e81650"]}],"mendeley":{"formattedCitation":"(Tiwari et al. 2005a)","plainTextFormattedCitation":"(Tiwari et al. 2005a)","previouslyFormattedCitation":"(Tiwari et al. 2005a)"},"properties":{"noteIndex":0},"schema":"https://github.com/citation-style-language/schema/raw/master/csl-citation.json"}</w:instrText>
            </w:r>
            <w:r>
              <w:rPr>
                <w:rFonts w:ascii="Palatino Linotype" w:hAnsi="Palatino Linotype" w:cstheme="minorHAnsi"/>
                <w:sz w:val="18"/>
                <w:szCs w:val="18"/>
              </w:rPr>
              <w:fldChar w:fldCharType="separate"/>
            </w:r>
            <w:r w:rsidRPr="00F07982">
              <w:rPr>
                <w:rFonts w:ascii="Palatino Linotype" w:hAnsi="Palatino Linotype" w:cstheme="minorHAnsi"/>
                <w:noProof/>
                <w:sz w:val="18"/>
                <w:szCs w:val="18"/>
              </w:rPr>
              <w:t>(Tiwari et al. 2005a)</w:t>
            </w:r>
            <w:r>
              <w:rPr>
                <w:rFonts w:ascii="Palatino Linotype" w:hAnsi="Palatino Linotype" w:cstheme="minorHAnsi"/>
                <w:sz w:val="18"/>
                <w:szCs w:val="18"/>
              </w:rPr>
              <w:fldChar w:fldCharType="end"/>
            </w:r>
          </w:p>
        </w:tc>
      </w:tr>
      <w:tr w:rsidR="00F07982" w:rsidRPr="00EA57B8" w14:paraId="58F5145A" w14:textId="6E6609E3" w:rsidTr="000C64BA">
        <w:tc>
          <w:tcPr>
            <w:tcW w:w="1056" w:type="dxa"/>
          </w:tcPr>
          <w:p w14:paraId="47205899" w14:textId="3E5664FF" w:rsidR="00F07982" w:rsidRPr="000F3F98" w:rsidRDefault="00F07982" w:rsidP="00F07982">
            <w:pPr>
              <w:rPr>
                <w:rFonts w:ascii="Palatino Linotype" w:hAnsi="Palatino Linotype" w:cstheme="minorHAnsi"/>
                <w:i/>
                <w:iCs/>
                <w:sz w:val="18"/>
                <w:szCs w:val="18"/>
              </w:rPr>
            </w:pPr>
            <w:r w:rsidRPr="000F3F98">
              <w:rPr>
                <w:rFonts w:ascii="Palatino Linotype" w:hAnsi="Palatino Linotype" w:cstheme="minorHAnsi"/>
                <w:i/>
                <w:iCs/>
                <w:sz w:val="18"/>
                <w:szCs w:val="18"/>
              </w:rPr>
              <w:t>CYP3A4, CYP2D6</w:t>
            </w:r>
          </w:p>
        </w:tc>
        <w:tc>
          <w:tcPr>
            <w:tcW w:w="1272" w:type="dxa"/>
          </w:tcPr>
          <w:p w14:paraId="31C171FE" w14:textId="68D5B84A" w:rsidR="00F07982" w:rsidRDefault="00F07982" w:rsidP="00F07982">
            <w:pPr>
              <w:rPr>
                <w:rFonts w:ascii="Palatino Linotype" w:hAnsi="Palatino Linotype" w:cstheme="minorHAnsi"/>
                <w:sz w:val="18"/>
                <w:szCs w:val="18"/>
              </w:rPr>
            </w:pPr>
            <w:r w:rsidRPr="00EF15AA">
              <w:rPr>
                <w:rFonts w:ascii="Palatino Linotype" w:hAnsi="Palatino Linotype" w:cstheme="minorHAnsi"/>
                <w:sz w:val="18"/>
                <w:szCs w:val="18"/>
              </w:rPr>
              <w:t>CYP3A4*1B and CYP2D6*4</w:t>
            </w:r>
          </w:p>
        </w:tc>
        <w:tc>
          <w:tcPr>
            <w:tcW w:w="1206" w:type="dxa"/>
          </w:tcPr>
          <w:p w14:paraId="3F181640" w14:textId="03182D0C"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FGAs and SGAs</w:t>
            </w:r>
          </w:p>
        </w:tc>
        <w:tc>
          <w:tcPr>
            <w:tcW w:w="924" w:type="dxa"/>
          </w:tcPr>
          <w:p w14:paraId="3CE10A4A" w14:textId="4037FE00"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335 (96 with TD)</w:t>
            </w:r>
          </w:p>
        </w:tc>
        <w:tc>
          <w:tcPr>
            <w:tcW w:w="1236" w:type="dxa"/>
          </w:tcPr>
          <w:p w14:paraId="20549AD1" w14:textId="513AE28A"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 xml:space="preserve">North India </w:t>
            </w:r>
          </w:p>
        </w:tc>
        <w:tc>
          <w:tcPr>
            <w:tcW w:w="1710" w:type="dxa"/>
          </w:tcPr>
          <w:p w14:paraId="68C406E9" w14:textId="7FCD9F46" w:rsidR="00F07982" w:rsidRPr="008B3385" w:rsidRDefault="00F07982" w:rsidP="00F07982">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080" w:type="dxa"/>
          </w:tcPr>
          <w:p w14:paraId="434A0152" w14:textId="2D937A59" w:rsidR="00F07982" w:rsidRPr="00690F79" w:rsidRDefault="00F07982" w:rsidP="00F07982">
            <w:pPr>
              <w:rPr>
                <w:rFonts w:ascii="Palatino Linotype" w:hAnsi="Palatino Linotype" w:cstheme="minorHAnsi"/>
                <w:sz w:val="18"/>
                <w:szCs w:val="18"/>
              </w:rPr>
            </w:pPr>
            <w:r w:rsidRPr="00F53DE7">
              <w:rPr>
                <w:rFonts w:ascii="Palatino Linotype" w:hAnsi="Palatino Linotype" w:cstheme="minorHAnsi"/>
                <w:sz w:val="18"/>
                <w:szCs w:val="18"/>
              </w:rPr>
              <w:t>DSM IV</w:t>
            </w:r>
          </w:p>
        </w:tc>
        <w:tc>
          <w:tcPr>
            <w:tcW w:w="1170" w:type="dxa"/>
          </w:tcPr>
          <w:p w14:paraId="0921771E" w14:textId="7DA0E0BE"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AIMS</w:t>
            </w:r>
          </w:p>
        </w:tc>
        <w:tc>
          <w:tcPr>
            <w:tcW w:w="1260" w:type="dxa"/>
          </w:tcPr>
          <w:p w14:paraId="42444147" w14:textId="171F7907" w:rsidR="00F07982" w:rsidRPr="003223C7" w:rsidRDefault="00F07982" w:rsidP="00F07982">
            <w:pPr>
              <w:rPr>
                <w:rFonts w:ascii="Palatino Linotype" w:hAnsi="Palatino Linotype" w:cstheme="minorHAnsi"/>
                <w:sz w:val="18"/>
                <w:szCs w:val="18"/>
              </w:rPr>
            </w:pPr>
            <w:r w:rsidRPr="002B4721">
              <w:rPr>
                <w:rFonts w:ascii="Palatino Linotype" w:hAnsi="Palatino Linotype" w:cstheme="minorHAnsi"/>
                <w:sz w:val="18"/>
                <w:szCs w:val="18"/>
              </w:rPr>
              <w:t>melting curve analysis</w:t>
            </w:r>
            <w:r>
              <w:rPr>
                <w:rFonts w:ascii="Palatino Linotype" w:hAnsi="Palatino Linotype" w:cstheme="minorHAnsi"/>
                <w:sz w:val="18"/>
                <w:szCs w:val="18"/>
              </w:rPr>
              <w:t xml:space="preserve"> (</w:t>
            </w:r>
            <w:r w:rsidRPr="002B4721">
              <w:rPr>
                <w:rFonts w:ascii="Palatino Linotype" w:hAnsi="Palatino Linotype" w:cstheme="minorHAnsi"/>
                <w:sz w:val="18"/>
                <w:szCs w:val="18"/>
              </w:rPr>
              <w:t>CYP3A4*1B</w:t>
            </w:r>
            <w:r>
              <w:rPr>
                <w:rFonts w:ascii="Palatino Linotype" w:hAnsi="Palatino Linotype" w:cstheme="minorHAnsi"/>
                <w:sz w:val="18"/>
                <w:szCs w:val="18"/>
              </w:rPr>
              <w:t xml:space="preserve">), </w:t>
            </w:r>
            <w:r w:rsidRPr="002B4721">
              <w:rPr>
                <w:rFonts w:ascii="Palatino Linotype" w:hAnsi="Palatino Linotype" w:cstheme="minorHAnsi"/>
                <w:sz w:val="18"/>
                <w:szCs w:val="18"/>
              </w:rPr>
              <w:t>PCR-RFLP</w:t>
            </w:r>
            <w:r>
              <w:rPr>
                <w:rFonts w:ascii="Palatino Linotype" w:hAnsi="Palatino Linotype" w:cstheme="minorHAnsi"/>
                <w:sz w:val="18"/>
                <w:szCs w:val="18"/>
              </w:rPr>
              <w:t xml:space="preserve"> (</w:t>
            </w:r>
            <w:r w:rsidRPr="002B4721">
              <w:rPr>
                <w:rFonts w:ascii="Palatino Linotype" w:hAnsi="Palatino Linotype" w:cstheme="minorHAnsi"/>
                <w:sz w:val="18"/>
                <w:szCs w:val="18"/>
              </w:rPr>
              <w:t>CYP2D6*4)</w:t>
            </w:r>
          </w:p>
        </w:tc>
        <w:tc>
          <w:tcPr>
            <w:tcW w:w="2382" w:type="dxa"/>
          </w:tcPr>
          <w:p w14:paraId="4F8914F0" w14:textId="354314E7"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t xml:space="preserve">No association between </w:t>
            </w:r>
            <w:r w:rsidRPr="00EF15AA">
              <w:rPr>
                <w:rFonts w:ascii="Palatino Linotype" w:hAnsi="Palatino Linotype" w:cstheme="minorHAnsi"/>
                <w:sz w:val="18"/>
                <w:szCs w:val="18"/>
              </w:rPr>
              <w:t>CYP3A4*1B and CYP2D6*4</w:t>
            </w:r>
            <w:r>
              <w:rPr>
                <w:rFonts w:ascii="Palatino Linotype" w:hAnsi="Palatino Linotype" w:cstheme="minorHAnsi"/>
                <w:sz w:val="18"/>
                <w:szCs w:val="18"/>
              </w:rPr>
              <w:t xml:space="preserve"> and TD</w:t>
            </w:r>
          </w:p>
        </w:tc>
        <w:tc>
          <w:tcPr>
            <w:tcW w:w="2382" w:type="dxa"/>
          </w:tcPr>
          <w:p w14:paraId="5B962F71" w14:textId="132D2700" w:rsidR="00F07982" w:rsidRDefault="00F07982" w:rsidP="00F07982">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F1127">
              <w:rPr>
                <w:rFonts w:ascii="Palatino Linotype" w:hAnsi="Palatino Linotype" w:cstheme="minorHAnsi"/>
                <w:sz w:val="18"/>
                <w:szCs w:val="18"/>
              </w:rPr>
              <w:instrText>ADDIN CSL_CITATION {"citationItems":[{"id":"ITEM-1","itemData":{"DOI":"10.1016/j.schres.2004.12.011","ISSN":"0920-9964","PMID":"15820320","abstract":"Tardive dyskinesia is a severe debilitating movement disorder characterized by choreoathetotic movements developing in one-fifth of the patients with schizophrenia. In this study we have investigated the significance of CYP3A4*1B and CYP2D6*4 polymorphisms in TD susceptibility among chronic schizophrenia patients (n = 335) from north India. Tardive dyskinesia was diagnosed in approximately 29% (96/335) of these patients. No significant association of either of the two SNPs with TD (CYP3A4*1B chi2 = 0. 308, df = 1, p = 0.579; CYP2D6*4 chi2 = 0.006, df = 1, p = 0.935) was observed. However a trend towards increased severity of TD in patients heterozygous for the CYP2D6*4 mutation was observed.","author":[{"dropping-particle":"","family":"Tiwari","given":"Arun K","non-dropping-particle":"","parse-names":false,"suffix":""},{"dropping-particle":"","family":"Deshpande","given":"Smita N","non-dropping-particle":"","parse-names":false,"suffix":""},{"dropping-particle":"","family":"Rao","given":"A R","non-dropping-particle":"","parse-names":false,"suffix":""},{"dropping-particle":"","family":"Bhatia","given":"Triptish","non-dropping-particle":"","parse-names":false,"suffix":""},{"dropping-particle":"","family":"Lerer","given":"Bernard","non-dropping-particle":"","parse-names":false,"suffix":""},{"dropping-particle":"","family":"Nimgaonkar","given":"Vishwajit L","non-dropping-particle":"","parse-names":false,"suffix":""},{"dropping-particle":"","family":"Thelma","given":"B K","non-dropping-particle":"","parse-names":false,"suffix":""}],"container-title":"Schizophrenia research","id":"ITEM-1","issue":"1","issued":{"date-parts":[["2005","6","1"]]},"page":"21-6","publisher":"Schizophr Res","title":"Genetic susceptibility to tardive dyskinesia in chronic schizophrenia subjects: III. Lack of association of CYP3A4 and CYP2D6 gene polymorphisms.","type":"article-journal","volume":"75"},"uris":["http://www.mendeley.com/documents/?uuid=9dde1bce-8658-3f4d-bd5e-0a40018f1981"]}],"mendeley":{"formattedCitation":"(Tiwari et al. 2005b)","plainTextFormattedCitation":"(Tiwari et al. 2005b)","previouslyFormattedCitation":"(Tiwari et al. 2005b)"},"properties":{"noteIndex":0},"schema":"https://github.com/citation-style-language/schema/raw/master/csl-citation.json"}</w:instrText>
            </w:r>
            <w:r>
              <w:rPr>
                <w:rFonts w:ascii="Palatino Linotype" w:hAnsi="Palatino Linotype" w:cstheme="minorHAnsi"/>
                <w:sz w:val="18"/>
                <w:szCs w:val="18"/>
              </w:rPr>
              <w:fldChar w:fldCharType="separate"/>
            </w:r>
            <w:r w:rsidRPr="00F07982">
              <w:rPr>
                <w:rFonts w:ascii="Palatino Linotype" w:hAnsi="Palatino Linotype" w:cstheme="minorHAnsi"/>
                <w:noProof/>
                <w:sz w:val="18"/>
                <w:szCs w:val="18"/>
              </w:rPr>
              <w:t>(Tiwari et al. 2005b)</w:t>
            </w:r>
            <w:r>
              <w:rPr>
                <w:rFonts w:ascii="Palatino Linotype" w:hAnsi="Palatino Linotype" w:cstheme="minorHAnsi"/>
                <w:sz w:val="18"/>
                <w:szCs w:val="18"/>
              </w:rPr>
              <w:fldChar w:fldCharType="end"/>
            </w:r>
          </w:p>
        </w:tc>
      </w:tr>
    </w:tbl>
    <w:p w14:paraId="5DFFE23F" w14:textId="773E1E8D" w:rsidR="007E495D" w:rsidRDefault="007E495D" w:rsidP="007E495D">
      <w:pPr>
        <w:rPr>
          <w:rFonts w:ascii="Palatino Linotype" w:hAnsi="Palatino Linotype" w:cstheme="minorHAnsi"/>
          <w:sz w:val="18"/>
          <w:szCs w:val="18"/>
        </w:rPr>
      </w:pPr>
      <w:r>
        <w:rPr>
          <w:rFonts w:ascii="Palatino Linotype" w:hAnsi="Palatino Linotype" w:cstheme="minorHAnsi"/>
          <w:sz w:val="18"/>
          <w:szCs w:val="18"/>
        </w:rPr>
        <w:t>*</w:t>
      </w:r>
      <w:r w:rsidRPr="0040274E">
        <w:rPr>
          <w:rFonts w:ascii="Palatino Linotype" w:hAnsi="Palatino Linotype" w:cstheme="minorHAnsi"/>
          <w:sz w:val="18"/>
          <w:szCs w:val="18"/>
        </w:rPr>
        <w:t>Hillside Simpson Dyskinesia Scale (HSDS), Abnormal Involuntary Movement Scale (AIMS), High resolution melting analysis (HRM)</w:t>
      </w:r>
      <w:r>
        <w:rPr>
          <w:rFonts w:ascii="Palatino Linotype" w:hAnsi="Palatino Linotype" w:cstheme="minorHAnsi"/>
          <w:sz w:val="18"/>
          <w:szCs w:val="18"/>
        </w:rPr>
        <w:t xml:space="preserve">, </w:t>
      </w:r>
      <w:r w:rsidRPr="008B2C40">
        <w:rPr>
          <w:rFonts w:ascii="Palatino Linotype" w:hAnsi="Palatino Linotype" w:cstheme="minorHAnsi"/>
          <w:sz w:val="18"/>
          <w:szCs w:val="18"/>
        </w:rPr>
        <w:t>Research Diagnostic Criteria for Tardive Dyskinesia (RDC-TD)</w:t>
      </w:r>
      <w:r>
        <w:rPr>
          <w:rFonts w:ascii="Palatino Linotype" w:hAnsi="Palatino Linotype" w:cstheme="minorHAnsi"/>
          <w:sz w:val="18"/>
          <w:szCs w:val="18"/>
        </w:rPr>
        <w:t xml:space="preserve">, </w:t>
      </w:r>
      <w:r w:rsidRPr="005B5BB7">
        <w:rPr>
          <w:rFonts w:ascii="Palatino Linotype" w:hAnsi="Palatino Linotype" w:cstheme="minorHAnsi"/>
          <w:sz w:val="18"/>
          <w:szCs w:val="18"/>
        </w:rPr>
        <w:t>limb-truncal dyskinesia</w:t>
      </w:r>
      <w:r>
        <w:rPr>
          <w:rFonts w:ascii="Palatino Linotype" w:hAnsi="Palatino Linotype" w:cstheme="minorHAnsi"/>
          <w:sz w:val="18"/>
          <w:szCs w:val="18"/>
        </w:rPr>
        <w:t xml:space="preserve"> (</w:t>
      </w:r>
      <w:proofErr w:type="spellStart"/>
      <w:r w:rsidRPr="002602E0">
        <w:rPr>
          <w:rFonts w:ascii="Palatino Linotype" w:hAnsi="Palatino Linotype" w:cstheme="minorHAnsi"/>
          <w:sz w:val="18"/>
          <w:szCs w:val="18"/>
        </w:rPr>
        <w:t>TDlt</w:t>
      </w:r>
      <w:proofErr w:type="spellEnd"/>
      <w:r>
        <w:rPr>
          <w:rFonts w:ascii="Palatino Linotype" w:hAnsi="Palatino Linotype" w:cstheme="minorHAnsi"/>
          <w:sz w:val="18"/>
          <w:szCs w:val="18"/>
        </w:rPr>
        <w:t xml:space="preserve">), </w:t>
      </w:r>
    </w:p>
    <w:p w14:paraId="0732078D" w14:textId="051DCB04" w:rsidR="000B6536" w:rsidRDefault="007E495D" w:rsidP="00EB5D61">
      <w:pPr>
        <w:rPr>
          <w:rFonts w:ascii="Palatino Linotype" w:hAnsi="Palatino Linotype" w:cstheme="minorHAnsi"/>
          <w:sz w:val="18"/>
          <w:szCs w:val="18"/>
        </w:rPr>
      </w:pPr>
      <w:r>
        <w:rPr>
          <w:rFonts w:ascii="Palatino Linotype" w:hAnsi="Palatino Linotype" w:cstheme="minorHAnsi"/>
          <w:sz w:val="18"/>
          <w:szCs w:val="18"/>
        </w:rPr>
        <w:t xml:space="preserve">Please note that the studies are presented alphabetically, by the </w:t>
      </w:r>
      <w:r w:rsidR="004967F5">
        <w:rPr>
          <w:rFonts w:ascii="Palatino Linotype" w:hAnsi="Palatino Linotype" w:cstheme="minorHAnsi"/>
          <w:sz w:val="18"/>
          <w:szCs w:val="18"/>
        </w:rPr>
        <w:t xml:space="preserve">first </w:t>
      </w:r>
      <w:r>
        <w:rPr>
          <w:rFonts w:ascii="Palatino Linotype" w:hAnsi="Palatino Linotype" w:cstheme="minorHAnsi"/>
          <w:sz w:val="18"/>
          <w:szCs w:val="18"/>
        </w:rPr>
        <w:t>author’s name.</w:t>
      </w:r>
    </w:p>
    <w:p w14:paraId="4A6DC296" w14:textId="77777777" w:rsidR="00EB5D61" w:rsidRPr="00EB5D61" w:rsidRDefault="00EB5D61" w:rsidP="00EB5D61">
      <w:pPr>
        <w:rPr>
          <w:rFonts w:ascii="Palatino Linotype" w:hAnsi="Palatino Linotype" w:cstheme="minorHAnsi"/>
          <w:sz w:val="18"/>
          <w:szCs w:val="18"/>
        </w:rPr>
      </w:pPr>
    </w:p>
    <w:p w14:paraId="25584E18" w14:textId="3F05BFDE" w:rsidR="00E648D8" w:rsidRPr="006A1E5F" w:rsidRDefault="004E2CB8" w:rsidP="004E2CB8">
      <w:pPr>
        <w:jc w:val="center"/>
        <w:rPr>
          <w:rFonts w:ascii="Palatino Linotype" w:hAnsi="Palatino Linotype"/>
          <w:sz w:val="18"/>
          <w:szCs w:val="18"/>
        </w:rPr>
      </w:pPr>
      <w:r>
        <w:rPr>
          <w:rFonts w:ascii="Palatino Linotype" w:hAnsi="Palatino Linotype"/>
          <w:sz w:val="18"/>
          <w:szCs w:val="18"/>
        </w:rPr>
        <w:t>Supplementary t</w:t>
      </w:r>
      <w:r w:rsidR="00E648D8" w:rsidRPr="006A1E5F">
        <w:rPr>
          <w:rFonts w:ascii="Palatino Linotype" w:hAnsi="Palatino Linotype"/>
          <w:sz w:val="18"/>
          <w:szCs w:val="18"/>
        </w:rPr>
        <w:t xml:space="preserve">able </w:t>
      </w:r>
      <w:r>
        <w:rPr>
          <w:rFonts w:ascii="Palatino Linotype" w:hAnsi="Palatino Linotype"/>
          <w:sz w:val="18"/>
          <w:szCs w:val="18"/>
        </w:rPr>
        <w:t>3</w:t>
      </w:r>
      <w:r w:rsidR="00E648D8" w:rsidRPr="006A1E5F">
        <w:rPr>
          <w:rFonts w:ascii="Palatino Linotype" w:hAnsi="Palatino Linotype"/>
          <w:sz w:val="18"/>
          <w:szCs w:val="18"/>
        </w:rPr>
        <w:t xml:space="preserve">. Pharmacogenomic studies focusing on the association between genetic variations </w:t>
      </w:r>
      <w:r w:rsidR="0046242F">
        <w:rPr>
          <w:rFonts w:ascii="Palatino Linotype" w:hAnsi="Palatino Linotype"/>
          <w:sz w:val="18"/>
          <w:szCs w:val="18"/>
        </w:rPr>
        <w:t>of</w:t>
      </w:r>
      <w:r w:rsidR="00E648D8" w:rsidRPr="006A1E5F">
        <w:rPr>
          <w:rFonts w:ascii="Palatino Linotype" w:hAnsi="Palatino Linotype"/>
          <w:color w:val="FF0000"/>
          <w:sz w:val="18"/>
          <w:szCs w:val="18"/>
        </w:rPr>
        <w:t xml:space="preserve"> </w:t>
      </w:r>
      <w:r w:rsidR="00E648D8" w:rsidRPr="006A1E5F">
        <w:rPr>
          <w:rFonts w:ascii="Palatino Linotype" w:hAnsi="Palatino Linotype"/>
          <w:sz w:val="18"/>
          <w:szCs w:val="18"/>
        </w:rPr>
        <w:t xml:space="preserve">genes </w:t>
      </w:r>
      <w:r w:rsidR="0046242F">
        <w:rPr>
          <w:rFonts w:ascii="Palatino Linotype" w:hAnsi="Palatino Linotype"/>
          <w:sz w:val="18"/>
          <w:szCs w:val="18"/>
        </w:rPr>
        <w:t xml:space="preserve">involved in pharmacodynamics </w:t>
      </w:r>
      <w:r w:rsidR="00E648D8" w:rsidRPr="006A1E5F">
        <w:rPr>
          <w:rFonts w:ascii="Palatino Linotype" w:hAnsi="Palatino Linotype"/>
          <w:sz w:val="18"/>
          <w:szCs w:val="18"/>
        </w:rPr>
        <w:t>and drug-induced tardive dystonia.</w:t>
      </w:r>
    </w:p>
    <w:tbl>
      <w:tblPr>
        <w:tblStyle w:val="TableGrid"/>
        <w:tblW w:w="15404" w:type="dxa"/>
        <w:tblInd w:w="-289" w:type="dxa"/>
        <w:tblLayout w:type="fixed"/>
        <w:tblLook w:val="04A0" w:firstRow="1" w:lastRow="0" w:firstColumn="1" w:lastColumn="0" w:noHBand="0" w:noVBand="1"/>
      </w:tblPr>
      <w:tblGrid>
        <w:gridCol w:w="1094"/>
        <w:gridCol w:w="1080"/>
        <w:gridCol w:w="1080"/>
        <w:gridCol w:w="1170"/>
        <w:gridCol w:w="1350"/>
        <w:gridCol w:w="1260"/>
        <w:gridCol w:w="1170"/>
        <w:gridCol w:w="1170"/>
        <w:gridCol w:w="1350"/>
        <w:gridCol w:w="2507"/>
        <w:gridCol w:w="2173"/>
      </w:tblGrid>
      <w:tr w:rsidR="0031439E" w:rsidRPr="00EA57B8" w14:paraId="1D773672" w14:textId="46A8E2F3" w:rsidTr="0031439E">
        <w:tc>
          <w:tcPr>
            <w:tcW w:w="1094" w:type="dxa"/>
          </w:tcPr>
          <w:p w14:paraId="78526BD3" w14:textId="6CB7BCAC" w:rsidR="0031439E" w:rsidRPr="000F3F98" w:rsidRDefault="0031439E" w:rsidP="0031439E">
            <w:pPr>
              <w:rPr>
                <w:rFonts w:ascii="Palatino Linotype" w:hAnsi="Palatino Linotype" w:cstheme="minorHAnsi"/>
                <w:b/>
                <w:sz w:val="18"/>
                <w:szCs w:val="18"/>
              </w:rPr>
            </w:pPr>
            <w:r w:rsidRPr="000F3F98">
              <w:rPr>
                <w:rFonts w:ascii="Palatino Linotype" w:hAnsi="Palatino Linotype" w:cstheme="minorHAnsi"/>
                <w:b/>
                <w:sz w:val="18"/>
                <w:szCs w:val="18"/>
              </w:rPr>
              <w:t>Genes examined</w:t>
            </w:r>
          </w:p>
        </w:tc>
        <w:tc>
          <w:tcPr>
            <w:tcW w:w="1080" w:type="dxa"/>
          </w:tcPr>
          <w:p w14:paraId="39BEBE93" w14:textId="374D05AC"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Genetic variations</w:t>
            </w:r>
            <w:r>
              <w:rPr>
                <w:rFonts w:ascii="Palatino Linotype" w:hAnsi="Palatino Linotype" w:cstheme="minorHAnsi"/>
                <w:b/>
                <w:sz w:val="18"/>
                <w:szCs w:val="18"/>
              </w:rPr>
              <w:t xml:space="preserve"> examined</w:t>
            </w:r>
          </w:p>
        </w:tc>
        <w:tc>
          <w:tcPr>
            <w:tcW w:w="1080" w:type="dxa"/>
          </w:tcPr>
          <w:p w14:paraId="11C8A31D" w14:textId="3EF435BF"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Number of subjects</w:t>
            </w:r>
          </w:p>
        </w:tc>
        <w:tc>
          <w:tcPr>
            <w:tcW w:w="1170" w:type="dxa"/>
          </w:tcPr>
          <w:p w14:paraId="59265272"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Ethnicity  </w:t>
            </w:r>
          </w:p>
        </w:tc>
        <w:tc>
          <w:tcPr>
            <w:tcW w:w="1350" w:type="dxa"/>
          </w:tcPr>
          <w:p w14:paraId="05F836DF" w14:textId="77777777" w:rsidR="0031439E"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Diagnosis/</w:t>
            </w:r>
          </w:p>
          <w:p w14:paraId="2E35C11F" w14:textId="4C9B8989"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clinical characteristic </w:t>
            </w:r>
          </w:p>
        </w:tc>
        <w:tc>
          <w:tcPr>
            <w:tcW w:w="1260" w:type="dxa"/>
          </w:tcPr>
          <w:p w14:paraId="5F3E96B4"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Method of clinical diagnosis</w:t>
            </w:r>
          </w:p>
        </w:tc>
        <w:tc>
          <w:tcPr>
            <w:tcW w:w="1170" w:type="dxa"/>
          </w:tcPr>
          <w:p w14:paraId="7F286C6D"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Method of TD assessment </w:t>
            </w:r>
          </w:p>
        </w:tc>
        <w:tc>
          <w:tcPr>
            <w:tcW w:w="1170" w:type="dxa"/>
          </w:tcPr>
          <w:p w14:paraId="4CD48729"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Drugs </w:t>
            </w:r>
          </w:p>
        </w:tc>
        <w:tc>
          <w:tcPr>
            <w:tcW w:w="1350" w:type="dxa"/>
          </w:tcPr>
          <w:p w14:paraId="4A2529B4"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Genotyping method </w:t>
            </w:r>
          </w:p>
        </w:tc>
        <w:tc>
          <w:tcPr>
            <w:tcW w:w="2507" w:type="dxa"/>
          </w:tcPr>
          <w:p w14:paraId="0EBDABDF" w14:textId="77777777"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Results</w:t>
            </w:r>
          </w:p>
        </w:tc>
        <w:tc>
          <w:tcPr>
            <w:tcW w:w="2173" w:type="dxa"/>
          </w:tcPr>
          <w:p w14:paraId="58175DE4" w14:textId="251A3BB2" w:rsidR="0031439E" w:rsidRPr="006A1E5F" w:rsidRDefault="0031439E" w:rsidP="0031439E">
            <w:pPr>
              <w:rPr>
                <w:rFonts w:ascii="Palatino Linotype" w:hAnsi="Palatino Linotype" w:cstheme="minorHAnsi"/>
                <w:b/>
                <w:sz w:val="18"/>
                <w:szCs w:val="18"/>
              </w:rPr>
            </w:pPr>
            <w:r w:rsidRPr="006A1E5F">
              <w:rPr>
                <w:rFonts w:ascii="Palatino Linotype" w:hAnsi="Palatino Linotype" w:cstheme="minorHAnsi"/>
                <w:b/>
                <w:sz w:val="18"/>
                <w:szCs w:val="18"/>
              </w:rPr>
              <w:t xml:space="preserve">Reference </w:t>
            </w:r>
          </w:p>
        </w:tc>
      </w:tr>
      <w:tr w:rsidR="0031439E" w:rsidRPr="00EA57B8" w14:paraId="4FD47A88" w14:textId="1379D6F6" w:rsidTr="0031439E">
        <w:tc>
          <w:tcPr>
            <w:tcW w:w="1094" w:type="dxa"/>
          </w:tcPr>
          <w:p w14:paraId="69E1106C" w14:textId="1AE72F99"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 HTR2A, HTR2C</w:t>
            </w:r>
          </w:p>
        </w:tc>
        <w:tc>
          <w:tcPr>
            <w:tcW w:w="1080" w:type="dxa"/>
          </w:tcPr>
          <w:p w14:paraId="7A3FFC23" w14:textId="3219B662" w:rsidR="0031439E" w:rsidRPr="00924ABD" w:rsidRDefault="0031439E" w:rsidP="0031439E">
            <w:pPr>
              <w:rPr>
                <w:rFonts w:ascii="Palatino Linotype" w:hAnsi="Palatino Linotype" w:cstheme="minorHAnsi"/>
                <w:sz w:val="18"/>
                <w:szCs w:val="18"/>
              </w:rPr>
            </w:pPr>
            <w:r w:rsidRPr="00166ECB">
              <w:rPr>
                <w:rFonts w:ascii="Palatino Linotype" w:hAnsi="Palatino Linotype" w:cstheme="minorHAnsi"/>
                <w:sz w:val="18"/>
                <w:szCs w:val="18"/>
              </w:rPr>
              <w:t>rs6280</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DRD3</w:t>
            </w:r>
            <w:r>
              <w:rPr>
                <w:rFonts w:ascii="Palatino Linotype" w:hAnsi="Palatino Linotype" w:cstheme="minorHAnsi"/>
                <w:sz w:val="18"/>
                <w:szCs w:val="18"/>
              </w:rPr>
              <w:t xml:space="preserve">), </w:t>
            </w:r>
            <w:r w:rsidRPr="00301F38">
              <w:rPr>
                <w:rFonts w:ascii="Palatino Linotype" w:hAnsi="Palatino Linotype" w:cstheme="minorHAnsi"/>
                <w:sz w:val="18"/>
                <w:szCs w:val="18"/>
              </w:rPr>
              <w:t>rs6311</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HTR2A</w:t>
            </w:r>
            <w:r>
              <w:rPr>
                <w:rFonts w:ascii="Palatino Linotype" w:hAnsi="Palatino Linotype" w:cstheme="minorHAnsi"/>
                <w:sz w:val="18"/>
                <w:szCs w:val="18"/>
              </w:rPr>
              <w:t xml:space="preserve">), </w:t>
            </w:r>
            <w:r w:rsidRPr="00166ECB">
              <w:rPr>
                <w:rFonts w:ascii="Palatino Linotype" w:hAnsi="Palatino Linotype" w:cstheme="minorHAnsi"/>
                <w:sz w:val="18"/>
                <w:szCs w:val="18"/>
              </w:rPr>
              <w:lastRenderedPageBreak/>
              <w:t>rs6318</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HTR2C</w:t>
            </w:r>
            <w:r>
              <w:rPr>
                <w:rFonts w:ascii="Palatino Linotype" w:hAnsi="Palatino Linotype" w:cstheme="minorHAnsi"/>
                <w:sz w:val="18"/>
                <w:szCs w:val="18"/>
              </w:rPr>
              <w:t>)</w:t>
            </w:r>
          </w:p>
        </w:tc>
        <w:tc>
          <w:tcPr>
            <w:tcW w:w="1080" w:type="dxa"/>
          </w:tcPr>
          <w:p w14:paraId="03B8C30E" w14:textId="1F76911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146</w:t>
            </w:r>
          </w:p>
        </w:tc>
        <w:tc>
          <w:tcPr>
            <w:tcW w:w="1170" w:type="dxa"/>
          </w:tcPr>
          <w:p w14:paraId="621F98C5" w14:textId="22A9D244" w:rsidR="0031439E" w:rsidRDefault="0031439E" w:rsidP="0031439E">
            <w:pPr>
              <w:rPr>
                <w:rFonts w:ascii="Palatino Linotype" w:hAnsi="Palatino Linotype"/>
                <w:sz w:val="18"/>
                <w:szCs w:val="18"/>
              </w:rPr>
            </w:pPr>
            <w:r>
              <w:rPr>
                <w:rFonts w:ascii="Palatino Linotype" w:hAnsi="Palatino Linotype" w:cstheme="minorHAnsi"/>
                <w:sz w:val="18"/>
                <w:szCs w:val="18"/>
              </w:rPr>
              <w:t>Caucasian (</w:t>
            </w:r>
            <w:r w:rsidRPr="00F03AE5">
              <w:rPr>
                <w:rFonts w:ascii="Palatino Linotype" w:hAnsi="Palatino Linotype" w:cstheme="minorHAnsi"/>
                <w:sz w:val="18"/>
                <w:szCs w:val="18"/>
              </w:rPr>
              <w:t>Russian</w:t>
            </w:r>
            <w:r>
              <w:rPr>
                <w:rFonts w:ascii="Palatino Linotype" w:hAnsi="Palatino Linotype" w:cstheme="minorHAnsi"/>
                <w:sz w:val="18"/>
                <w:szCs w:val="18"/>
              </w:rPr>
              <w:t>)</w:t>
            </w:r>
          </w:p>
        </w:tc>
        <w:tc>
          <w:tcPr>
            <w:tcW w:w="1350" w:type="dxa"/>
          </w:tcPr>
          <w:p w14:paraId="7134AF9B" w14:textId="67F42E2D"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r w:rsidRPr="002B1F10">
              <w:rPr>
                <w:rFonts w:ascii="Palatino Linotype" w:hAnsi="Palatino Linotype" w:cstheme="minorHAnsi"/>
                <w:sz w:val="18"/>
                <w:szCs w:val="18"/>
              </w:rPr>
              <w:t>or schizotypal disorder</w:t>
            </w:r>
          </w:p>
        </w:tc>
        <w:tc>
          <w:tcPr>
            <w:tcW w:w="1260" w:type="dxa"/>
          </w:tcPr>
          <w:p w14:paraId="0D41B8AF" w14:textId="1D9C6C63" w:rsidR="0031439E" w:rsidRPr="006A1E5F" w:rsidRDefault="0031439E" w:rsidP="0031439E">
            <w:pPr>
              <w:rPr>
                <w:rFonts w:ascii="Palatino Linotype" w:hAnsi="Palatino Linotype" w:cstheme="minorHAnsi"/>
                <w:sz w:val="18"/>
                <w:szCs w:val="18"/>
              </w:rPr>
            </w:pPr>
            <w:r w:rsidRPr="00BC6146">
              <w:rPr>
                <w:rFonts w:ascii="Palatino Linotype" w:hAnsi="Palatino Linotype" w:cstheme="minorHAnsi"/>
                <w:sz w:val="18"/>
                <w:szCs w:val="18"/>
              </w:rPr>
              <w:t>ICD‐10</w:t>
            </w:r>
          </w:p>
        </w:tc>
        <w:tc>
          <w:tcPr>
            <w:tcW w:w="1170" w:type="dxa"/>
          </w:tcPr>
          <w:p w14:paraId="2D56D04A" w14:textId="14F6C4FE"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768181FE" w14:textId="59F0127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6164E8AE" w14:textId="6A02844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assay</w:t>
            </w:r>
          </w:p>
        </w:tc>
        <w:tc>
          <w:tcPr>
            <w:tcW w:w="2507" w:type="dxa"/>
          </w:tcPr>
          <w:p w14:paraId="773F3B57" w14:textId="7D987D96" w:rsidR="0031439E" w:rsidRDefault="0031439E" w:rsidP="0031439E">
            <w:pPr>
              <w:rPr>
                <w:rFonts w:ascii="Palatino Linotype" w:hAnsi="Palatino Linotype" w:cstheme="minorHAnsi"/>
                <w:sz w:val="18"/>
                <w:szCs w:val="18"/>
              </w:rPr>
            </w:pPr>
            <w:r w:rsidRPr="002602E0">
              <w:rPr>
                <w:rFonts w:ascii="Palatino Linotype" w:hAnsi="Palatino Linotype" w:cstheme="minorHAnsi"/>
                <w:sz w:val="18"/>
                <w:szCs w:val="18"/>
              </w:rPr>
              <w:t xml:space="preserve">association </w:t>
            </w:r>
            <w:r>
              <w:rPr>
                <w:rFonts w:ascii="Palatino Linotype" w:hAnsi="Palatino Linotype" w:cstheme="minorHAnsi"/>
                <w:sz w:val="18"/>
                <w:szCs w:val="18"/>
              </w:rPr>
              <w:t xml:space="preserve">between </w:t>
            </w:r>
            <w:r w:rsidRPr="00166ECB">
              <w:rPr>
                <w:rFonts w:ascii="Palatino Linotype" w:hAnsi="Palatino Linotype" w:cstheme="minorHAnsi"/>
                <w:sz w:val="18"/>
                <w:szCs w:val="18"/>
              </w:rPr>
              <w:t>rs6318</w:t>
            </w:r>
            <w:r>
              <w:rPr>
                <w:rFonts w:ascii="Palatino Linotype" w:hAnsi="Palatino Linotype" w:cstheme="minorHAnsi"/>
                <w:sz w:val="18"/>
                <w:szCs w:val="18"/>
              </w:rPr>
              <w:t xml:space="preserve"> </w:t>
            </w:r>
            <w:r w:rsidRPr="002602E0">
              <w:rPr>
                <w:rFonts w:ascii="Palatino Linotype" w:hAnsi="Palatino Linotype" w:cstheme="minorHAnsi"/>
                <w:sz w:val="18"/>
                <w:szCs w:val="18"/>
              </w:rPr>
              <w:t xml:space="preserve">and </w:t>
            </w:r>
            <w:r w:rsidRPr="00166ECB">
              <w:rPr>
                <w:rFonts w:ascii="Palatino Linotype" w:hAnsi="Palatino Linotype" w:cstheme="minorHAnsi"/>
                <w:sz w:val="18"/>
                <w:szCs w:val="18"/>
              </w:rPr>
              <w:t>rs6280</w:t>
            </w:r>
            <w:r>
              <w:rPr>
                <w:rFonts w:ascii="Palatino Linotype" w:hAnsi="Palatino Linotype" w:cstheme="minorHAnsi"/>
                <w:sz w:val="18"/>
                <w:szCs w:val="18"/>
              </w:rPr>
              <w:t xml:space="preserve"> with </w:t>
            </w:r>
            <w:proofErr w:type="spellStart"/>
            <w:r w:rsidRPr="002602E0">
              <w:rPr>
                <w:rFonts w:ascii="Palatino Linotype" w:hAnsi="Palatino Linotype" w:cstheme="minorHAnsi"/>
                <w:sz w:val="18"/>
                <w:szCs w:val="18"/>
              </w:rPr>
              <w:t>TDlt</w:t>
            </w:r>
            <w:proofErr w:type="spellEnd"/>
          </w:p>
        </w:tc>
        <w:tc>
          <w:tcPr>
            <w:tcW w:w="2173" w:type="dxa"/>
          </w:tcPr>
          <w:p w14:paraId="44385AC2" w14:textId="7158D2CA" w:rsidR="0031439E" w:rsidRPr="002602E0"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{"citationItems":[{"id":"ITEM-1","itemData":{"DOI":"10.1016/j.pnpbp.2009.01.010","ISSN":"02785846","PMID":"19439249","abstract":"BACKGROUND Pharmacogenetics of tardive dyskinesia and dopamine D3 (DRD3), serotonin 2A (HTR2A), and 2C (HTR2C) receptors has been examined in various populations, but not in Russians. PURPOSE To investigate the association between orofaciolingual (TDof) and limb-truncal dyskinesias (TDlt) and Ser9Gly (DRD3), -1438G&gt;A (HTR2A), and Cys23Ser (HTR2C) polymorphisms in Russian psychiatric inpatients from Tomsk, Siberia. METHODS In total, 146 subjects were included. Standard protocols were applied for genotyping. TDof and TDlt were assessed with AIMS items 1-4 and 5-7, respectively. Two-part model, logistic and log-normal regression analyses were applied to assess different variables (e.g., allele-carriership status, age, gender, and medication use). RESULTS TDlt, but not TDof, exhibited an association with Ser9Gly and Cys23Ser (with 9Gly and 23Ser alleles exhibiting opposite effects). However, -1438G&gt;A was not associated with TDof and Dlt. CONCLUSIONS This is the first pharmacogenetic report on tardive dyskinesia in Russians. Subject to further replication, our findings extend and support the available data.","author":[{"dropping-particle":"","family":"Hadithy","given":"A.F.Y.","non-dropping-particle":"Al","parse-names":false,"suffix":""},{"dropping-particle":"","family":"Ivanova","given":"S.A.","non-dropping-particle":"","parse-names":false,"suffix":""},{"dropping-particle":"","family":"Pechlivanoglou","given":"P.","non-dropping-particle":"","parse-names":false,"suffix":""},{"dropping-particle":"","family":"Semke","given":"A.","non-dropping-particle":"","parse-names":false,"suffix":""},{"dropping-particle":"","family":"Fedorenko","given":"O.","non-dropping-particle":"","parse-names":false,"suffix":""},{"dropping-particle":"","family":"Kornetova","given":"E.","non-dropping-particle":"","parse-names":false,"suffix":""},{"dropping-particle":"","family":"Ryadovaya","given":"L.","non-dropping-particle":"","parse-names":false,"suffix":""},{"dropping-particle":"","family":"Brouwers","given":"J.R.B.J.","non-dropping-particle":"","parse-names":false,"suffix":""},{"dropping-particle":"","family":"Wilffert","given":"B.","non-dropping-particle":"","parse-names":false,"suffix":""},{"dropping-particle":"","family":"Bruggeman","given":"R.","non-dropping-particle":"","parse-names":false,"suffix":""},{"dropping-particle":"","family":"Loonen","given":"A.J.M.","non-dropping-particle":"","parse-names":false,"suffix":""}],"container-title":"Progress in Neuro-Psychopharmacology and Biological Psychiatry","id":"ITEM-1","issue":"3","issued":{"date-parts":[["2009","4","30"]]},"page":"475-481","title":"Tardive dyskinesia and DRD3, HTR2A and HTR2C gene polymorphisms in Russian psychiatric inpatients from Siberia","type":"article-journal","volume":"33"},"uris":["http://www.mendeley.com/documents/?uuid=0d455861-7944-3d8e-a5b7-98b76ca320cf"]}],"mendeley":{"formattedCitation":"(Al Hadithy et al. 2009)","plainTextFormattedCitation":"(Al Hadithy et al. 2009)","previouslyFormattedCitation":"(Al Hadithy et al. 2009)"},"properties":{"noteIndex":0},"schema":"https://github.com/citation-style-language/schema/raw/master/csl-citation.json"}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(Al Hadithy et al. 2009)</w:t>
            </w:r>
            <w:r>
              <w:rPr>
                <w:rFonts w:ascii="Palatino Linotype" w:hAnsi="Palatino Linotype" w:cstheme="minorHAnsi"/>
                <w:b/>
                <w:sz w:val="18"/>
                <w:szCs w:val="18"/>
              </w:rPr>
              <w:fldChar w:fldCharType="end"/>
            </w:r>
          </w:p>
        </w:tc>
      </w:tr>
      <w:tr w:rsidR="0031439E" w:rsidRPr="00EA57B8" w14:paraId="4B49CB2D" w14:textId="40FE9194" w:rsidTr="0031439E">
        <w:tc>
          <w:tcPr>
            <w:tcW w:w="1094" w:type="dxa"/>
          </w:tcPr>
          <w:p w14:paraId="76A27DA0" w14:textId="25C680EA"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NA</w:t>
            </w:r>
          </w:p>
        </w:tc>
        <w:tc>
          <w:tcPr>
            <w:tcW w:w="1080" w:type="dxa"/>
          </w:tcPr>
          <w:p w14:paraId="52BA5816" w14:textId="4B4C55F1"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080" w:type="dxa"/>
          </w:tcPr>
          <w:p w14:paraId="51D232A9" w14:textId="4A89DC9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WES: </w:t>
            </w:r>
            <w:r w:rsidRPr="004204E4">
              <w:rPr>
                <w:rFonts w:ascii="Palatino Linotype" w:hAnsi="Palatino Linotype" w:cstheme="minorHAnsi"/>
                <w:sz w:val="18"/>
                <w:szCs w:val="18"/>
              </w:rPr>
              <w:t xml:space="preserve">82 </w:t>
            </w:r>
            <w:r>
              <w:rPr>
                <w:rFonts w:ascii="Palatino Linotype" w:hAnsi="Palatino Linotype" w:cstheme="minorHAnsi"/>
                <w:sz w:val="18"/>
                <w:szCs w:val="18"/>
              </w:rPr>
              <w:t>(39 with</w:t>
            </w:r>
            <w:r w:rsidRPr="004204E4">
              <w:rPr>
                <w:rFonts w:ascii="Palatino Linotype" w:hAnsi="Palatino Linotype" w:cstheme="minorHAnsi"/>
                <w:sz w:val="18"/>
                <w:szCs w:val="18"/>
              </w:rPr>
              <w:t xml:space="preserve"> TD</w:t>
            </w:r>
            <w:r>
              <w:rPr>
                <w:rFonts w:ascii="Palatino Linotype" w:hAnsi="Palatino Linotype" w:cstheme="minorHAnsi"/>
                <w:sz w:val="18"/>
                <w:szCs w:val="18"/>
              </w:rPr>
              <w:t xml:space="preserve">), replication: </w:t>
            </w:r>
            <w:r w:rsidRPr="00594293">
              <w:rPr>
                <w:rFonts w:ascii="Palatino Linotype" w:hAnsi="Palatino Linotype" w:cstheme="minorHAnsi"/>
                <w:sz w:val="18"/>
                <w:szCs w:val="18"/>
              </w:rPr>
              <w:t>140</w:t>
            </w:r>
            <w:r>
              <w:rPr>
                <w:rFonts w:ascii="Palatino Linotype" w:hAnsi="Palatino Linotype" w:cstheme="minorHAnsi"/>
                <w:sz w:val="18"/>
                <w:szCs w:val="18"/>
              </w:rPr>
              <w:t xml:space="preserve"> (61 with TD)</w:t>
            </w:r>
          </w:p>
        </w:tc>
        <w:tc>
          <w:tcPr>
            <w:tcW w:w="1170" w:type="dxa"/>
          </w:tcPr>
          <w:p w14:paraId="25E03EC2" w14:textId="77777777" w:rsidR="0031439E" w:rsidRPr="00594293"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WES: </w:t>
            </w:r>
            <w:r w:rsidRPr="004204E4">
              <w:rPr>
                <w:rFonts w:ascii="Palatino Linotype" w:hAnsi="Palatino Linotype" w:cstheme="minorHAnsi"/>
                <w:sz w:val="18"/>
                <w:szCs w:val="18"/>
              </w:rPr>
              <w:t xml:space="preserve">Jewish </w:t>
            </w:r>
            <w:r w:rsidRPr="002A69F8">
              <w:rPr>
                <w:rFonts w:ascii="Palatino Linotype" w:hAnsi="Palatino Linotype" w:cstheme="minorHAnsi"/>
                <w:sz w:val="18"/>
                <w:szCs w:val="18"/>
              </w:rPr>
              <w:t>Israeli (Ashkenazi or non-Ashkenaz</w:t>
            </w:r>
            <w:r>
              <w:rPr>
                <w:rFonts w:ascii="Palatino Linotype" w:hAnsi="Palatino Linotype" w:cstheme="minorHAnsi"/>
                <w:sz w:val="18"/>
                <w:szCs w:val="18"/>
              </w:rPr>
              <w:t xml:space="preserve">i), replication: </w:t>
            </w:r>
            <w:r w:rsidRPr="00594293">
              <w:rPr>
                <w:rFonts w:ascii="Palatino Linotype" w:hAnsi="Palatino Linotype" w:cstheme="minorHAnsi"/>
                <w:sz w:val="18"/>
                <w:szCs w:val="18"/>
              </w:rPr>
              <w:t>European</w:t>
            </w:r>
            <w:r>
              <w:rPr>
                <w:rFonts w:ascii="Palatino Linotype" w:hAnsi="Palatino Linotype" w:cstheme="minorHAnsi"/>
                <w:sz w:val="18"/>
                <w:szCs w:val="18"/>
              </w:rPr>
              <w:t>,</w:t>
            </w:r>
          </w:p>
          <w:p w14:paraId="07EE621A" w14:textId="26D47145" w:rsidR="0031439E" w:rsidRDefault="0031439E" w:rsidP="0031439E">
            <w:pPr>
              <w:rPr>
                <w:rFonts w:ascii="Palatino Linotype" w:hAnsi="Palatino Linotype"/>
                <w:sz w:val="18"/>
                <w:szCs w:val="18"/>
              </w:rPr>
            </w:pPr>
            <w:r w:rsidRPr="00594293">
              <w:rPr>
                <w:rFonts w:ascii="Palatino Linotype" w:hAnsi="Palatino Linotype" w:cstheme="minorHAnsi"/>
                <w:sz w:val="18"/>
                <w:szCs w:val="18"/>
              </w:rPr>
              <w:t>African</w:t>
            </w:r>
          </w:p>
        </w:tc>
        <w:tc>
          <w:tcPr>
            <w:tcW w:w="1350" w:type="dxa"/>
          </w:tcPr>
          <w:p w14:paraId="5F3637B7" w14:textId="3F0A20E9"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WES: </w:t>
            </w:r>
            <w:r w:rsidRPr="004204E4">
              <w:rPr>
                <w:rFonts w:ascii="Palatino Linotype" w:hAnsi="Palatino Linotype" w:cstheme="minorHAnsi"/>
                <w:sz w:val="18"/>
                <w:szCs w:val="18"/>
              </w:rPr>
              <w:t>Schizophrenia</w:t>
            </w:r>
            <w:r>
              <w:rPr>
                <w:rFonts w:ascii="Palatino Linotype" w:hAnsi="Palatino Linotype" w:cstheme="minorHAnsi"/>
                <w:sz w:val="18"/>
                <w:szCs w:val="18"/>
              </w:rPr>
              <w:t xml:space="preserve">, replication: </w:t>
            </w:r>
            <w:r w:rsidRPr="00594293">
              <w:rPr>
                <w:rFonts w:ascii="Palatino Linotype" w:hAnsi="Palatino Linotype" w:cstheme="minorHAnsi"/>
                <w:sz w:val="18"/>
                <w:szCs w:val="18"/>
              </w:rPr>
              <w:t>schizophrenia or schizoaffective disorder</w:t>
            </w:r>
          </w:p>
        </w:tc>
        <w:tc>
          <w:tcPr>
            <w:tcW w:w="1260" w:type="dxa"/>
          </w:tcPr>
          <w:p w14:paraId="029D5102" w14:textId="77777777" w:rsidR="0031439E" w:rsidRPr="00594293" w:rsidRDefault="0031439E" w:rsidP="0031439E">
            <w:pPr>
              <w:rPr>
                <w:rFonts w:ascii="Palatino Linotype" w:hAnsi="Palatino Linotype" w:cstheme="minorHAnsi"/>
                <w:sz w:val="18"/>
                <w:szCs w:val="18"/>
              </w:rPr>
            </w:pPr>
            <w:r>
              <w:rPr>
                <w:rFonts w:ascii="Palatino Linotype" w:hAnsi="Palatino Linotype" w:cstheme="minorHAnsi"/>
                <w:sz w:val="18"/>
                <w:szCs w:val="18"/>
              </w:rPr>
              <w:t>WES: D</w:t>
            </w:r>
            <w:r w:rsidRPr="004204E4">
              <w:rPr>
                <w:rFonts w:ascii="Palatino Linotype" w:hAnsi="Palatino Linotype" w:cstheme="minorHAnsi"/>
                <w:sz w:val="18"/>
                <w:szCs w:val="18"/>
              </w:rPr>
              <w:t>SM-IV-TR</w:t>
            </w:r>
            <w:r>
              <w:rPr>
                <w:rFonts w:ascii="Palatino Linotype" w:hAnsi="Palatino Linotype" w:cstheme="minorHAnsi"/>
                <w:sz w:val="18"/>
                <w:szCs w:val="18"/>
              </w:rPr>
              <w:t>, replication:</w:t>
            </w:r>
            <w:r w:rsidRPr="00594293">
              <w:rPr>
                <w:rFonts w:ascii="Palatino Linotype" w:hAnsi="Palatino Linotype" w:cstheme="minorHAnsi"/>
                <w:sz w:val="18"/>
                <w:szCs w:val="18"/>
              </w:rPr>
              <w:t xml:space="preserve"> DSM-III-R or</w:t>
            </w:r>
          </w:p>
          <w:p w14:paraId="3E045121" w14:textId="68395C57" w:rsidR="0031439E" w:rsidRPr="006A1E5F" w:rsidRDefault="0031439E" w:rsidP="0031439E">
            <w:pPr>
              <w:rPr>
                <w:rFonts w:ascii="Palatino Linotype" w:hAnsi="Palatino Linotype" w:cstheme="minorHAnsi"/>
                <w:sz w:val="18"/>
                <w:szCs w:val="18"/>
              </w:rPr>
            </w:pPr>
            <w:r w:rsidRPr="00594293">
              <w:rPr>
                <w:rFonts w:ascii="Palatino Linotype" w:hAnsi="Palatino Linotype" w:cstheme="minorHAnsi"/>
                <w:sz w:val="18"/>
                <w:szCs w:val="18"/>
              </w:rPr>
              <w:t>DSM-IV</w:t>
            </w:r>
          </w:p>
        </w:tc>
        <w:tc>
          <w:tcPr>
            <w:tcW w:w="1170" w:type="dxa"/>
          </w:tcPr>
          <w:p w14:paraId="46A93D2C" w14:textId="7B9872A9"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659CA72F" w14:textId="2273B44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45C6ACFC" w14:textId="4BD8F85D" w:rsidR="0031439E" w:rsidRDefault="0031439E" w:rsidP="0031439E">
            <w:pPr>
              <w:rPr>
                <w:rFonts w:ascii="Palatino Linotype" w:hAnsi="Palatino Linotype" w:cstheme="minorHAnsi"/>
                <w:sz w:val="18"/>
                <w:szCs w:val="18"/>
              </w:rPr>
            </w:pPr>
            <w:r>
              <w:rPr>
                <w:rStyle w:val="st"/>
                <w:rFonts w:ascii="Palatino Linotype" w:hAnsi="Palatino Linotype"/>
                <w:sz w:val="18"/>
                <w:szCs w:val="18"/>
              </w:rPr>
              <w:t>WES</w:t>
            </w:r>
          </w:p>
        </w:tc>
        <w:tc>
          <w:tcPr>
            <w:tcW w:w="2507" w:type="dxa"/>
          </w:tcPr>
          <w:p w14:paraId="71E72380" w14:textId="5DBCF46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sidRPr="00EC1F06">
              <w:rPr>
                <w:rFonts w:ascii="Palatino Linotype" w:hAnsi="Palatino Linotype" w:cstheme="minorHAnsi"/>
                <w:sz w:val="18"/>
                <w:szCs w:val="18"/>
              </w:rPr>
              <w:t>rs567070433</w:t>
            </w:r>
            <w:r>
              <w:rPr>
                <w:rFonts w:ascii="Palatino Linotype" w:hAnsi="Palatino Linotype" w:cstheme="minorHAnsi"/>
                <w:sz w:val="18"/>
                <w:szCs w:val="18"/>
              </w:rPr>
              <w:t xml:space="preserve"> in </w:t>
            </w:r>
            <w:r w:rsidRPr="00E47344">
              <w:rPr>
                <w:rFonts w:ascii="Palatino Linotype" w:hAnsi="Palatino Linotype" w:cstheme="minorHAnsi"/>
                <w:i/>
                <w:iCs/>
                <w:sz w:val="18"/>
                <w:szCs w:val="18"/>
              </w:rPr>
              <w:t>RIMS2</w:t>
            </w:r>
            <w:r>
              <w:rPr>
                <w:rFonts w:ascii="Palatino Linotype" w:hAnsi="Palatino Linotype" w:cstheme="minorHAnsi"/>
                <w:sz w:val="18"/>
                <w:szCs w:val="18"/>
              </w:rPr>
              <w:t xml:space="preserve"> gene and TD </w:t>
            </w:r>
          </w:p>
        </w:tc>
        <w:tc>
          <w:tcPr>
            <w:tcW w:w="2173" w:type="dxa"/>
          </w:tcPr>
          <w:p w14:paraId="0123B116" w14:textId="46248F4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{"citationItems":[{"id":"ITEM-1","itemData":{"DOI":"10.1016/j.pnpbp.2019.109659","ISSN":"1878-4216","PMID":"31153890","abstract":"Tardive dyskinesia (TD) is an adverse movement disorder induced by chronic treatment with antipsychotics drugs. The contribution of common genetic variants to TD susceptibility has been investigated in recent years, but with limited success. The aim of the current study was to investigate the potential contribution of rare variants to TD vulnerability. In order to identify TD risk genes, we performed whole-exome sequencing (WES) and gene-based collapsing analysis focusing on rare (allele frequency</w:instrText>
            </w:r>
            <w:r w:rsidR="005E78F7">
              <w:rPr>
                <w:sz w:val="18"/>
                <w:szCs w:val="18"/>
              </w:rPr>
              <w:instrText> </w:instrText>
            </w:r>
            <w:r w:rsidR="005E78F7">
              <w:rPr>
                <w:rFonts w:ascii="Palatino Linotype" w:hAnsi="Palatino Linotype" w:cstheme="minorHAnsi"/>
                <w:sz w:val="18"/>
                <w:szCs w:val="18"/>
              </w:rPr>
              <w:instrText>&lt;</w:instrText>
            </w:r>
            <w:r w:rsidR="005E78F7">
              <w:rPr>
                <w:sz w:val="18"/>
                <w:szCs w:val="18"/>
              </w:rPr>
              <w:instrText> </w:instrText>
            </w:r>
            <w:r w:rsidR="005E78F7">
              <w:rPr>
                <w:rFonts w:ascii="Palatino Linotype" w:hAnsi="Palatino Linotype" w:cstheme="minorHAnsi"/>
                <w:sz w:val="18"/>
                <w:szCs w:val="18"/>
              </w:rPr>
              <w:instrText>1%) and putatively deleterious variants (qualifying variants). 82 Jewish schizophrenia patients chronically treated with antipsychotics were included and classified as having severe TD or lack of any abnormal movements based on a rigorous definition of the TD phenotype. First, we performed a case-control, exome-wide collapsing analysis comparing 39 schizophrenia patients with severe TD to 3118 unrelated population controls. Then, we checked the potential top candidate genes among 43 patients without any TD manifestations. All the genes that were found to harbor one or more qualifying variants in patients without any TD features were excluded from the final list of candidate genes. Only one gene, regulating synaptic membrane exocytosis 2 (RIMS2), showed significant enrichment of qualifying variants in TD patients compared with unrelated population controls after correcting for multiple testing (Fisher's exact test p</w:instrText>
            </w:r>
            <w:r w:rsidR="005E78F7">
              <w:rPr>
                <w:sz w:val="18"/>
                <w:szCs w:val="18"/>
              </w:rPr>
              <w:instrText> </w:instrText>
            </w:r>
            <w:r w:rsidR="005E78F7">
              <w:rPr>
                <w:rFonts w:ascii="Palatino Linotype" w:hAnsi="Palatino Linotype" w:cstheme="minorHAnsi"/>
                <w:sz w:val="18"/>
                <w:szCs w:val="18"/>
              </w:rPr>
              <w:instrText>=</w:instrText>
            </w:r>
            <w:r w:rsidR="005E78F7">
              <w:rPr>
                <w:sz w:val="18"/>
                <w:szCs w:val="18"/>
              </w:rPr>
              <w:instrText> </w:instrText>
            </w:r>
            <w:r w:rsidR="005E78F7">
              <w:rPr>
                <w:rFonts w:ascii="Palatino Linotype" w:hAnsi="Palatino Linotype" w:cstheme="minorHAnsi"/>
                <w:sz w:val="18"/>
                <w:szCs w:val="18"/>
              </w:rPr>
              <w:instrText>5.32E-08, logistic regression p</w:instrText>
            </w:r>
            <w:r w:rsidR="005E78F7">
              <w:rPr>
                <w:sz w:val="18"/>
                <w:szCs w:val="18"/>
              </w:rPr>
              <w:instrText> </w:instrText>
            </w:r>
            <w:r w:rsidR="005E78F7">
              <w:rPr>
                <w:rFonts w:ascii="Palatino Linotype" w:hAnsi="Palatino Linotype" w:cstheme="minorHAnsi"/>
                <w:sz w:val="18"/>
                <w:szCs w:val="18"/>
              </w:rPr>
              <w:instrText>=</w:instrText>
            </w:r>
            <w:r w:rsidR="005E78F7">
              <w:rPr>
                <w:sz w:val="18"/>
                <w:szCs w:val="18"/>
              </w:rPr>
              <w:instrText> </w:instrText>
            </w:r>
            <w:r w:rsidR="005E78F7">
              <w:rPr>
                <w:rFonts w:ascii="Palatino Linotype" w:hAnsi="Palatino Linotype" w:cstheme="minorHAnsi"/>
                <w:sz w:val="18"/>
                <w:szCs w:val="18"/>
              </w:rPr>
              <w:instrText>2.50E-08). Enrichment was caused by a single variant (rs567070433) due to a frameshift in an alternative transcript of RIMS2. None of the TD negative patients had qualifying variants in this gene. In a validation cohort of 140 schizophrenia patients assessed for TD, the variant was also not detected in any individual. Some potentially suggestive TD genes were detected in the TD cohort and warrant follow-up in future studies. No significant enrichment in previously reported TD candidate genes was identified. To the best of our knowledge, this is the first WES study of TD, demonstrating the potential role of rare loss-of-function variant enrichment in this pharmacogenetic phenotype.","author":[{"dropping-particle":"","family":"Alkelai","given":"Anna","non-dropping-particle":"","parse-names":false,"suffix":""},{"dropping-particle":"","family":"Greenbaum","given":"Lior","non-dropping-particle":"","parse-names":false,"suffix":""},{"dropping-particle":"","family":"Heinzen","given":"Erin L","non-dropping-particle":"","parse-names":false,"suffix":""},{"dropping-particle":"","family":"Baugh","given":"Evan H","non-dropping-particle":"","parse-names":false,"suffix":""},{"dropping-particle":"","family":"Teitelbaum","given":"Alexander","non-dropping-particle":"","parse-names":false,"suffix":""},{"dropping-particle":"","family":"Zhu","given":"Xiaolin","non-dropping-particle":"","parse-names":false,"suffix":""},{"dropping-particle":"","family":"Strous","given":"Rael D","non-dropping-particle":"","parse-names":false,"suffix":""},{"dropping-particle":"","family":"Tatarskyy","given":"Pavel","non-dropping-particle":"","parse-names":false,"suffix":""},{"dropping-particle":"","family":"Zai","given":"Clement C","non-dropping-particle":"","parse-names":false,"suffix":""},{"dropping-particle":"","family":"Tiwari","given":"Arun K","non-dropping-particle":"","parse-names":false,"suffix":""},{"dropping-particle":"","family":"Tampakeras","given":"Maria","non-dropping-particle":"","parse-names":false,"suffix":""},{"dropping-particle":"","family":"Freeman","given":"Natalie","non-dropping-particle":"","parse-names":false,"suffix":""},{"dropping-particle":"","family":"Müller","given":"Daniel J","non-dropping-particle":"","parse-names":false,"suffix":""},{"dropping-particle":"","family":"Voineskos","given":"Aristotle N","non-dropping-particle":"","parse-names":false,"suffix":""},{"dropping-particle":"","family":"Lieberman","given":"Jeffrey A","non-dropping-particle":"","parse-names":false,"suffix":""},{"dropping-particle":"","family":"Delaney","given":"Shannon L","non-dropping-particle":"","parse-names":false,"suffix":""},{"dropping-particle":"","family":"Meltzer","given":"Herbert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L","non-dropping-particle":"","parse-names":false,"suffix":""},{"dropping-particle":"","family":"Pulver","given":"Ann E","non-dropping-particle":"","parse-names":false,"suffix":""},{"dropping-particle":"","family":"Peabody","given":"Emma P","non-dropping-particle":"","parse-names":false,"suffix":""},{"dropping-particle":"","family":"Levy","given":"Deborah L","non-dropping-particle":"","parse-names":false,"suffix":""},{"dropping-particle":"","family":"Lerer","given":"Bernard","non-dropping-particle":"","parse-names":false,"suffix":""}],"container-title":"Progress in neuro-psychopharmacology &amp; biological psychiatry","id":"ITEM-1","issued":{"date-parts":[["2019"]]},"page":"109659","publisher":"Prog Neuropsychopharmacol Biol Psychiatry","title":"New insights into tardive dyskinesia genetics: Implementation of whole-exome sequencing approach.","type":"article-journal","volume":"94"},"uris":["http://www.mendeley.com/documents/?uuid=8d9947a3-56f9-3b89-a21b-83e4772bc997"]}],"mendeley":{"formattedCitation":"(Alkelai et al. 2019)","plainTextFormattedCitation":"(Alkelai et al. 2019)","previouslyFormattedCitation":"(Alkelai et al. 2019)"},"properties":{"noteIndex":0},"schema":"https://github.com/citation-style-language/schema/raw/master/csl-citation.json"}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(Alkelai et al. 2019)</w:t>
            </w:r>
            <w:r>
              <w:rPr>
                <w:rFonts w:ascii="Palatino Linotype" w:hAnsi="Palatino Linotype" w:cstheme="minorHAnsi"/>
                <w:sz w:val="18"/>
                <w:szCs w:val="18"/>
              </w:rPr>
              <w:fldChar w:fldCharType="end"/>
            </w:r>
          </w:p>
        </w:tc>
      </w:tr>
      <w:tr w:rsidR="0031439E" w:rsidRPr="00EA57B8" w14:paraId="05CF6237" w14:textId="514D560F" w:rsidTr="0031439E">
        <w:tc>
          <w:tcPr>
            <w:tcW w:w="1094" w:type="dxa"/>
          </w:tcPr>
          <w:p w14:paraId="417660EC" w14:textId="77777777" w:rsidR="0031439E" w:rsidRPr="000F3F98" w:rsidRDefault="0031439E" w:rsidP="0031439E">
            <w:pPr>
              <w:rPr>
                <w:rStyle w:val="st"/>
                <w:rFonts w:ascii="Palatino Linotype" w:hAnsi="Palatino Linotype"/>
                <w:i/>
                <w:iCs/>
                <w:sz w:val="18"/>
                <w:szCs w:val="18"/>
              </w:rPr>
            </w:pPr>
            <w:r w:rsidRPr="000F3F98">
              <w:rPr>
                <w:rFonts w:ascii="Palatino Linotype" w:hAnsi="Palatino Linotype" w:cstheme="minorHAnsi"/>
                <w:i/>
                <w:iCs/>
                <w:sz w:val="18"/>
                <w:szCs w:val="18"/>
              </w:rPr>
              <w:t xml:space="preserve">DRD3, DRD4, </w:t>
            </w:r>
            <w:r w:rsidRPr="000F3F98">
              <w:rPr>
                <w:rStyle w:val="st"/>
                <w:rFonts w:ascii="Palatino Linotype" w:hAnsi="Palatino Linotype"/>
                <w:i/>
                <w:iCs/>
                <w:sz w:val="18"/>
                <w:szCs w:val="18"/>
              </w:rPr>
              <w:t>GRIN2B,</w:t>
            </w:r>
          </w:p>
          <w:p w14:paraId="75710AFC" w14:textId="77777777" w:rsidR="0031439E" w:rsidRPr="000F3F98" w:rsidRDefault="0031439E" w:rsidP="0031439E">
            <w:pPr>
              <w:rPr>
                <w:rStyle w:val="st"/>
                <w:rFonts w:ascii="Palatino Linotype" w:hAnsi="Palatino Linotype"/>
                <w:i/>
                <w:iCs/>
                <w:sz w:val="18"/>
                <w:szCs w:val="18"/>
              </w:rPr>
            </w:pPr>
            <w:r w:rsidRPr="000F3F98">
              <w:rPr>
                <w:rStyle w:val="st"/>
                <w:rFonts w:ascii="Palatino Linotype" w:hAnsi="Palatino Linotype"/>
                <w:i/>
                <w:iCs/>
                <w:sz w:val="18"/>
                <w:szCs w:val="18"/>
              </w:rPr>
              <w:t>GRIN2A,</w:t>
            </w:r>
          </w:p>
          <w:p w14:paraId="0CBF49CE" w14:textId="77777777" w:rsidR="0031439E" w:rsidRPr="000F3F98" w:rsidRDefault="0031439E" w:rsidP="0031439E">
            <w:pPr>
              <w:rPr>
                <w:rStyle w:val="st"/>
                <w:rFonts w:ascii="Palatino Linotype" w:hAnsi="Palatino Linotype"/>
                <w:i/>
                <w:iCs/>
                <w:sz w:val="18"/>
                <w:szCs w:val="18"/>
              </w:rPr>
            </w:pPr>
            <w:r w:rsidRPr="000F3F98">
              <w:rPr>
                <w:rStyle w:val="st"/>
                <w:rFonts w:ascii="Palatino Linotype" w:hAnsi="Palatino Linotype"/>
                <w:i/>
                <w:iCs/>
                <w:sz w:val="18"/>
                <w:szCs w:val="18"/>
              </w:rPr>
              <w:t>HSPG2,</w:t>
            </w:r>
          </w:p>
          <w:p w14:paraId="217F18D0" w14:textId="77777777" w:rsidR="0031439E" w:rsidRPr="000F3F98" w:rsidRDefault="0031439E" w:rsidP="0031439E">
            <w:pPr>
              <w:rPr>
                <w:rStyle w:val="st"/>
                <w:rFonts w:ascii="Palatino Linotype" w:hAnsi="Palatino Linotype"/>
                <w:i/>
                <w:iCs/>
                <w:sz w:val="18"/>
                <w:szCs w:val="18"/>
              </w:rPr>
            </w:pPr>
            <w:r w:rsidRPr="000F3F98">
              <w:rPr>
                <w:rStyle w:val="st"/>
                <w:rFonts w:ascii="Palatino Linotype" w:hAnsi="Palatino Linotype"/>
                <w:i/>
                <w:iCs/>
                <w:sz w:val="18"/>
                <w:szCs w:val="18"/>
              </w:rPr>
              <w:t>HTR2C and</w:t>
            </w:r>
          </w:p>
          <w:p w14:paraId="23E7A726" w14:textId="77777777" w:rsidR="0031439E" w:rsidRPr="000F3F98" w:rsidRDefault="0031439E" w:rsidP="0031439E">
            <w:pPr>
              <w:rPr>
                <w:rStyle w:val="st"/>
                <w:rFonts w:ascii="Palatino Linotype" w:hAnsi="Palatino Linotype"/>
                <w:i/>
                <w:iCs/>
                <w:sz w:val="18"/>
                <w:szCs w:val="18"/>
              </w:rPr>
            </w:pPr>
            <w:r w:rsidRPr="000F3F98">
              <w:rPr>
                <w:rStyle w:val="st"/>
                <w:rFonts w:ascii="Palatino Linotype" w:hAnsi="Palatino Linotype"/>
                <w:i/>
                <w:iCs/>
                <w:sz w:val="18"/>
                <w:szCs w:val="18"/>
              </w:rPr>
              <w:t>NQO1</w:t>
            </w:r>
          </w:p>
          <w:p w14:paraId="2F7DAAAB" w14:textId="77777777" w:rsidR="0031439E" w:rsidRPr="000F3F98" w:rsidRDefault="0031439E" w:rsidP="0031439E">
            <w:pPr>
              <w:rPr>
                <w:rFonts w:ascii="Palatino Linotype" w:hAnsi="Palatino Linotype" w:cstheme="minorHAnsi"/>
                <w:i/>
                <w:iCs/>
                <w:sz w:val="18"/>
                <w:szCs w:val="18"/>
              </w:rPr>
            </w:pPr>
          </w:p>
        </w:tc>
        <w:tc>
          <w:tcPr>
            <w:tcW w:w="1080" w:type="dxa"/>
          </w:tcPr>
          <w:p w14:paraId="09043081" w14:textId="77777777" w:rsidR="0031439E" w:rsidRPr="006651B5" w:rsidRDefault="0031439E" w:rsidP="0031439E">
            <w:pPr>
              <w:rPr>
                <w:rStyle w:val="st"/>
                <w:rFonts w:ascii="Palatino Linotype" w:hAnsi="Palatino Linotype"/>
                <w:sz w:val="18"/>
                <w:szCs w:val="18"/>
              </w:rPr>
            </w:pPr>
            <w:r w:rsidRPr="006651B5">
              <w:rPr>
                <w:rStyle w:val="st"/>
                <w:rFonts w:ascii="Palatino Linotype" w:hAnsi="Palatino Linotype"/>
                <w:sz w:val="18"/>
                <w:szCs w:val="18"/>
              </w:rPr>
              <w:t xml:space="preserve">rs7313149, rs2192970, rs2300242, rs10845838, </w:t>
            </w:r>
            <w:r w:rsidRPr="0046242F">
              <w:rPr>
                <w:rStyle w:val="st"/>
                <w:rFonts w:ascii="Palatino Linotype" w:hAnsi="Palatino Linotype"/>
                <w:sz w:val="18"/>
                <w:szCs w:val="18"/>
              </w:rPr>
              <w:t xml:space="preserve">rs12300851, </w:t>
            </w:r>
            <w:r w:rsidRPr="006651B5">
              <w:rPr>
                <w:rStyle w:val="st"/>
                <w:rFonts w:ascii="Palatino Linotype" w:hAnsi="Palatino Linotype"/>
                <w:sz w:val="18"/>
                <w:szCs w:val="18"/>
              </w:rPr>
              <w:t>rs220599, rs10772715, rs12827536</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t>(</w:t>
            </w:r>
            <w:r w:rsidRPr="00265F30">
              <w:rPr>
                <w:rStyle w:val="st"/>
                <w:rFonts w:ascii="Palatino Linotype" w:hAnsi="Palatino Linotype"/>
                <w:i/>
                <w:iCs/>
                <w:sz w:val="18"/>
                <w:szCs w:val="18"/>
              </w:rPr>
              <w:t>GRIN2B</w:t>
            </w:r>
            <w:r w:rsidRPr="006651B5">
              <w:rPr>
                <w:rStyle w:val="st"/>
                <w:rFonts w:ascii="Palatino Linotype" w:hAnsi="Palatino Linotype"/>
                <w:sz w:val="18"/>
                <w:szCs w:val="18"/>
              </w:rPr>
              <w:t xml:space="preserve">), </w:t>
            </w:r>
          </w:p>
          <w:p w14:paraId="00C57439" w14:textId="77777777" w:rsidR="0031439E" w:rsidRPr="006651B5" w:rsidRDefault="0031439E" w:rsidP="0031439E">
            <w:pPr>
              <w:rPr>
                <w:rStyle w:val="st"/>
                <w:rFonts w:ascii="Palatino Linotype" w:hAnsi="Palatino Linotype"/>
                <w:sz w:val="18"/>
                <w:szCs w:val="18"/>
              </w:rPr>
            </w:pPr>
            <w:r w:rsidRPr="006651B5">
              <w:rPr>
                <w:rStyle w:val="st"/>
                <w:rFonts w:ascii="Palatino Linotype" w:hAnsi="Palatino Linotype"/>
                <w:sz w:val="18"/>
                <w:szCs w:val="18"/>
              </w:rPr>
              <w:t xml:space="preserve">rs11866328, rs11646587, rs7196095, rs8049651, rs9989388, rs9921541, rs4782039, rs7190619, </w:t>
            </w:r>
            <w:r w:rsidRPr="006651B5">
              <w:rPr>
                <w:rStyle w:val="st"/>
                <w:rFonts w:ascii="Palatino Linotype" w:hAnsi="Palatino Linotype"/>
                <w:sz w:val="18"/>
                <w:szCs w:val="18"/>
              </w:rPr>
              <w:lastRenderedPageBreak/>
              <w:t>rs9788936, rs8057394, rs11644461, rs7192557, rs1345423, rs1650420 (</w:t>
            </w:r>
            <w:r w:rsidRPr="00265F30">
              <w:rPr>
                <w:rStyle w:val="st"/>
                <w:rFonts w:ascii="Palatino Linotype" w:hAnsi="Palatino Linotype"/>
                <w:i/>
                <w:iCs/>
                <w:sz w:val="18"/>
                <w:szCs w:val="18"/>
              </w:rPr>
              <w:t>GRIN2A</w:t>
            </w:r>
            <w:r w:rsidRPr="006651B5">
              <w:rPr>
                <w:rStyle w:val="st"/>
                <w:rFonts w:ascii="Palatino Linotype" w:hAnsi="Palatino Linotype"/>
                <w:sz w:val="18"/>
                <w:szCs w:val="18"/>
              </w:rPr>
              <w:t xml:space="preserve">), </w:t>
            </w:r>
          </w:p>
          <w:p w14:paraId="03093765" w14:textId="32085A64" w:rsidR="0031439E" w:rsidRPr="006A1E5F" w:rsidRDefault="0031439E" w:rsidP="0031439E">
            <w:pPr>
              <w:rPr>
                <w:rStyle w:val="st"/>
                <w:rFonts w:ascii="Palatino Linotype" w:hAnsi="Palatino Linotype"/>
                <w:sz w:val="18"/>
                <w:szCs w:val="18"/>
              </w:rPr>
            </w:pPr>
            <w:r w:rsidRPr="006651B5">
              <w:rPr>
                <w:rStyle w:val="st"/>
                <w:rFonts w:ascii="Palatino Linotype" w:hAnsi="Palatino Linotype"/>
                <w:sz w:val="18"/>
                <w:szCs w:val="18"/>
              </w:rPr>
              <w:t>rs2270697, rs2445142</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t>rs6698486 (</w:t>
            </w:r>
            <w:r w:rsidRPr="00265F30">
              <w:rPr>
                <w:rStyle w:val="st"/>
                <w:rFonts w:ascii="Palatino Linotype" w:hAnsi="Palatino Linotype"/>
                <w:i/>
                <w:iCs/>
                <w:sz w:val="18"/>
                <w:szCs w:val="18"/>
              </w:rPr>
              <w:t>HSPG2</w:t>
            </w:r>
            <w:r w:rsidRPr="006651B5">
              <w:rPr>
                <w:rStyle w:val="st"/>
                <w:rFonts w:ascii="Palatino Linotype" w:hAnsi="Palatino Linotype"/>
                <w:sz w:val="18"/>
                <w:szCs w:val="18"/>
              </w:rPr>
              <w:t>),</w:t>
            </w:r>
            <w:r>
              <w:rPr>
                <w:rStyle w:val="st"/>
                <w:rFonts w:ascii="Palatino Linotype" w:hAnsi="Palatino Linotype"/>
                <w:sz w:val="18"/>
                <w:szCs w:val="18"/>
              </w:rPr>
              <w:t xml:space="preserve"> </w:t>
            </w:r>
            <w:r w:rsidRPr="006651B5">
              <w:rPr>
                <w:rStyle w:val="st"/>
                <w:rFonts w:ascii="Palatino Linotype" w:hAnsi="Palatino Linotype"/>
                <w:sz w:val="18"/>
                <w:szCs w:val="18"/>
              </w:rPr>
              <w:t>rs9817063, rs2134655, rs963468, rs324035, rs3773678, rs167771, rs11721264, rs167770, rs7633291, rs1800828</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t>(</w:t>
            </w:r>
            <w:r w:rsidRPr="00265F30">
              <w:rPr>
                <w:rStyle w:val="st"/>
                <w:rFonts w:ascii="Palatino Linotype" w:hAnsi="Palatino Linotype"/>
                <w:i/>
                <w:iCs/>
                <w:sz w:val="18"/>
                <w:szCs w:val="18"/>
              </w:rPr>
              <w:t>DRD3</w:t>
            </w:r>
            <w:r w:rsidRPr="006651B5">
              <w:rPr>
                <w:rStyle w:val="st"/>
                <w:rFonts w:ascii="Palatino Linotype" w:hAnsi="Palatino Linotype"/>
                <w:sz w:val="18"/>
                <w:szCs w:val="18"/>
              </w:rPr>
              <w:t>),</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t>rs3758653</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t>(</w:t>
            </w:r>
            <w:r w:rsidRPr="00265F30">
              <w:rPr>
                <w:rStyle w:val="st"/>
                <w:rFonts w:ascii="Palatino Linotype" w:hAnsi="Palatino Linotype"/>
                <w:i/>
                <w:iCs/>
                <w:sz w:val="18"/>
                <w:szCs w:val="18"/>
              </w:rPr>
              <w:t>DRD4</w:t>
            </w:r>
            <w:r w:rsidRPr="006651B5">
              <w:rPr>
                <w:rStyle w:val="st"/>
                <w:rFonts w:ascii="Palatino Linotype" w:hAnsi="Palatino Linotype"/>
                <w:sz w:val="18"/>
                <w:szCs w:val="18"/>
              </w:rPr>
              <w:t>), rs569959, rs17326429, rs12858300, rs4911871, rs5946189, rs1801412</w:t>
            </w:r>
            <w:r w:rsidRPr="0046242F">
              <w:rPr>
                <w:rStyle w:val="st"/>
                <w:rFonts w:ascii="Palatino Linotype" w:hAnsi="Palatino Linotype"/>
                <w:sz w:val="18"/>
                <w:szCs w:val="18"/>
              </w:rPr>
              <w:t xml:space="preserve"> </w:t>
            </w:r>
            <w:r w:rsidRPr="006651B5">
              <w:rPr>
                <w:rStyle w:val="st"/>
                <w:rFonts w:ascii="Palatino Linotype" w:hAnsi="Palatino Linotype"/>
                <w:sz w:val="18"/>
                <w:szCs w:val="18"/>
              </w:rPr>
              <w:lastRenderedPageBreak/>
              <w:t>(</w:t>
            </w:r>
            <w:r w:rsidRPr="00265F30">
              <w:rPr>
                <w:rStyle w:val="st"/>
                <w:rFonts w:ascii="Palatino Linotype" w:hAnsi="Palatino Linotype"/>
                <w:i/>
                <w:iCs/>
                <w:sz w:val="18"/>
                <w:szCs w:val="18"/>
              </w:rPr>
              <w:t>HTR2C</w:t>
            </w:r>
            <w:r w:rsidRPr="006651B5">
              <w:rPr>
                <w:rStyle w:val="st"/>
                <w:rFonts w:ascii="Palatino Linotype" w:hAnsi="Palatino Linotype"/>
                <w:sz w:val="18"/>
                <w:szCs w:val="18"/>
              </w:rPr>
              <w:t>), rs1800566 (</w:t>
            </w:r>
            <w:r w:rsidRPr="00265F30">
              <w:rPr>
                <w:rStyle w:val="st"/>
                <w:rFonts w:ascii="Palatino Linotype" w:hAnsi="Palatino Linotype"/>
                <w:i/>
                <w:iCs/>
                <w:sz w:val="18"/>
                <w:szCs w:val="18"/>
              </w:rPr>
              <w:t>NQO1</w:t>
            </w:r>
            <w:r w:rsidRPr="006651B5">
              <w:rPr>
                <w:rStyle w:val="st"/>
                <w:rFonts w:ascii="Palatino Linotype" w:hAnsi="Palatino Linotype"/>
                <w:sz w:val="18"/>
                <w:szCs w:val="18"/>
              </w:rPr>
              <w:t>)</w:t>
            </w:r>
          </w:p>
        </w:tc>
        <w:tc>
          <w:tcPr>
            <w:tcW w:w="1080" w:type="dxa"/>
          </w:tcPr>
          <w:p w14:paraId="139EC5EE" w14:textId="05808433"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168</w:t>
            </w:r>
          </w:p>
        </w:tc>
        <w:tc>
          <w:tcPr>
            <w:tcW w:w="1170" w:type="dxa"/>
          </w:tcPr>
          <w:p w14:paraId="4D1C03B2" w14:textId="2E5C5DA6"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Caucasian (European) </w:t>
            </w:r>
          </w:p>
        </w:tc>
        <w:tc>
          <w:tcPr>
            <w:tcW w:w="1350" w:type="dxa"/>
          </w:tcPr>
          <w:p w14:paraId="28818595"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p w14:paraId="0BEE5FEA" w14:textId="77777777" w:rsidR="0031439E" w:rsidRDefault="0031439E" w:rsidP="0031439E">
            <w:pPr>
              <w:rPr>
                <w:rFonts w:ascii="Palatino Linotype" w:hAnsi="Palatino Linotype" w:cstheme="minorHAnsi"/>
                <w:sz w:val="18"/>
                <w:szCs w:val="18"/>
              </w:rPr>
            </w:pPr>
          </w:p>
          <w:p w14:paraId="46C6920A" w14:textId="77777777" w:rsidR="0031439E" w:rsidRPr="006A1E5F" w:rsidRDefault="0031439E" w:rsidP="0031439E">
            <w:pPr>
              <w:rPr>
                <w:rFonts w:ascii="Palatino Linotype" w:hAnsi="Palatino Linotype" w:cstheme="minorHAnsi"/>
                <w:sz w:val="18"/>
                <w:szCs w:val="18"/>
              </w:rPr>
            </w:pPr>
          </w:p>
        </w:tc>
        <w:tc>
          <w:tcPr>
            <w:tcW w:w="1260" w:type="dxa"/>
          </w:tcPr>
          <w:p w14:paraId="4ADD6352" w14:textId="52E2475F" w:rsidR="0031439E" w:rsidRPr="006A1E5F" w:rsidRDefault="0031439E" w:rsidP="0031439E">
            <w:pPr>
              <w:rPr>
                <w:rFonts w:ascii="Palatino Linotype" w:hAnsi="Palatino Linotype" w:cstheme="minorHAnsi"/>
                <w:sz w:val="18"/>
                <w:szCs w:val="18"/>
              </w:rPr>
            </w:pPr>
            <w:r w:rsidRPr="00023112">
              <w:rPr>
                <w:rFonts w:ascii="Palatino Linotype" w:hAnsi="Palatino Linotype" w:cstheme="minorHAnsi"/>
                <w:sz w:val="18"/>
                <w:szCs w:val="18"/>
              </w:rPr>
              <w:t>DSM-IV,</w:t>
            </w:r>
            <w:r>
              <w:rPr>
                <w:rFonts w:ascii="Palatino Linotype" w:hAnsi="Palatino Linotype" w:cstheme="minorHAnsi"/>
                <w:sz w:val="18"/>
                <w:szCs w:val="18"/>
              </w:rPr>
              <w:t xml:space="preserve"> </w:t>
            </w:r>
            <w:r w:rsidRPr="00023112">
              <w:rPr>
                <w:rFonts w:ascii="Palatino Linotype" w:hAnsi="Palatino Linotype" w:cstheme="minorHAnsi"/>
                <w:sz w:val="18"/>
                <w:szCs w:val="18"/>
              </w:rPr>
              <w:t>CGI-SCH SI</w:t>
            </w:r>
          </w:p>
        </w:tc>
        <w:tc>
          <w:tcPr>
            <w:tcW w:w="1170" w:type="dxa"/>
          </w:tcPr>
          <w:p w14:paraId="2A382AE4" w14:textId="4DD8E1EA" w:rsidR="0031439E" w:rsidRPr="006A1E5F" w:rsidRDefault="0031439E" w:rsidP="0031439E">
            <w:pPr>
              <w:rPr>
                <w:rFonts w:ascii="Palatino Linotype" w:hAnsi="Palatino Linotype" w:cstheme="minorHAnsi"/>
                <w:sz w:val="18"/>
                <w:szCs w:val="18"/>
              </w:rPr>
            </w:pPr>
            <w:r w:rsidRPr="00CC26A5">
              <w:rPr>
                <w:rFonts w:ascii="Palatino Linotype" w:hAnsi="Palatino Linotype" w:cstheme="minorHAnsi"/>
                <w:sz w:val="18"/>
                <w:szCs w:val="18"/>
              </w:rPr>
              <w:t>AIMS &amp; Schooler and Kane’s criteria</w:t>
            </w:r>
          </w:p>
        </w:tc>
        <w:tc>
          <w:tcPr>
            <w:tcW w:w="1170" w:type="dxa"/>
          </w:tcPr>
          <w:p w14:paraId="47D22819" w14:textId="145F9A70"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6459148E" w14:textId="32B478A8" w:rsidR="0031439E" w:rsidRPr="006A1E5F" w:rsidRDefault="0031439E" w:rsidP="0031439E">
            <w:pPr>
              <w:rPr>
                <w:rFonts w:ascii="Palatino Linotype" w:hAnsi="Palatino Linotype" w:cstheme="minorHAnsi"/>
                <w:sz w:val="18"/>
                <w:szCs w:val="18"/>
              </w:rPr>
            </w:pPr>
            <w:r w:rsidRPr="00023112">
              <w:rPr>
                <w:rFonts w:ascii="Palatino Linotype" w:hAnsi="Palatino Linotype" w:cstheme="minorHAnsi"/>
                <w:sz w:val="18"/>
                <w:szCs w:val="18"/>
              </w:rPr>
              <w:t>Veracode</w:t>
            </w:r>
            <w:r>
              <w:rPr>
                <w:rFonts w:ascii="Palatino Linotype" w:hAnsi="Palatino Linotype" w:cstheme="minorHAnsi"/>
                <w:sz w:val="18"/>
                <w:szCs w:val="18"/>
              </w:rPr>
              <w:t xml:space="preserve"> and </w:t>
            </w:r>
            <w:r w:rsidRPr="00023112">
              <w:rPr>
                <w:rFonts w:ascii="Palatino Linotype" w:hAnsi="Palatino Linotype" w:cstheme="minorHAnsi"/>
                <w:sz w:val="18"/>
                <w:szCs w:val="18"/>
              </w:rPr>
              <w:t>TaqMan</w:t>
            </w:r>
            <w:r>
              <w:rPr>
                <w:rFonts w:ascii="Palatino Linotype" w:hAnsi="Palatino Linotype" w:cstheme="minorHAnsi"/>
                <w:sz w:val="18"/>
                <w:szCs w:val="18"/>
              </w:rPr>
              <w:t xml:space="preserve"> </w:t>
            </w:r>
            <w:r w:rsidRPr="00023112">
              <w:rPr>
                <w:rFonts w:ascii="Palatino Linotype" w:hAnsi="Palatino Linotype" w:cstheme="minorHAnsi"/>
                <w:sz w:val="18"/>
                <w:szCs w:val="18"/>
              </w:rPr>
              <w:t xml:space="preserve">Assays </w:t>
            </w:r>
          </w:p>
        </w:tc>
        <w:tc>
          <w:tcPr>
            <w:tcW w:w="2507" w:type="dxa"/>
          </w:tcPr>
          <w:p w14:paraId="487684BF" w14:textId="508580D3"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N</w:t>
            </w:r>
            <w:r w:rsidRPr="001D7B3F">
              <w:rPr>
                <w:rFonts w:ascii="Palatino Linotype" w:hAnsi="Palatino Linotype" w:cstheme="minorHAnsi"/>
                <w:sz w:val="18"/>
                <w:szCs w:val="18"/>
              </w:rPr>
              <w:t>ominal significance</w:t>
            </w:r>
            <w:r>
              <w:rPr>
                <w:rFonts w:ascii="Palatino Linotype" w:hAnsi="Palatino Linotype" w:cstheme="minorHAnsi"/>
                <w:sz w:val="18"/>
                <w:szCs w:val="18"/>
              </w:rPr>
              <w:t xml:space="preserve"> for </w:t>
            </w:r>
            <w:r w:rsidRPr="001D7B3F">
              <w:rPr>
                <w:rFonts w:ascii="Palatino Linotype" w:hAnsi="Palatino Linotype" w:cstheme="minorHAnsi"/>
                <w:sz w:val="18"/>
                <w:szCs w:val="18"/>
              </w:rPr>
              <w:t>rs1345423, rs7192557, rs1650420</w:t>
            </w:r>
            <w:r>
              <w:rPr>
                <w:rFonts w:ascii="Palatino Linotype" w:hAnsi="Palatino Linotype" w:cstheme="minorHAnsi"/>
                <w:sz w:val="18"/>
                <w:szCs w:val="18"/>
              </w:rPr>
              <w:t xml:space="preserve"> and </w:t>
            </w:r>
            <w:r w:rsidRPr="001D7B3F">
              <w:rPr>
                <w:rFonts w:ascii="Palatino Linotype" w:hAnsi="Palatino Linotype" w:cstheme="minorHAnsi"/>
                <w:sz w:val="18"/>
                <w:szCs w:val="18"/>
              </w:rPr>
              <w:t>rs11644461</w:t>
            </w:r>
            <w:r>
              <w:rPr>
                <w:rFonts w:ascii="Palatino Linotype" w:hAnsi="Palatino Linotype" w:cstheme="minorHAnsi"/>
                <w:sz w:val="18"/>
                <w:szCs w:val="18"/>
              </w:rPr>
              <w:t xml:space="preserve"> with TD,</w:t>
            </w:r>
            <w:r w:rsidRPr="001D7B3F">
              <w:rPr>
                <w:rFonts w:ascii="Palatino Linotype" w:hAnsi="Palatino Linotype" w:cstheme="minorHAnsi"/>
                <w:sz w:val="18"/>
                <w:szCs w:val="18"/>
              </w:rPr>
              <w:t xml:space="preserve"> rs7192557, </w:t>
            </w:r>
            <w:r w:rsidRPr="00701460">
              <w:rPr>
                <w:rFonts w:ascii="Palatino Linotype" w:hAnsi="Palatino Linotype" w:cstheme="minorHAnsi"/>
                <w:sz w:val="18"/>
                <w:szCs w:val="18"/>
              </w:rPr>
              <w:t>rs1650420</w:t>
            </w:r>
            <w:r>
              <w:rPr>
                <w:rFonts w:ascii="Palatino Linotype" w:hAnsi="Palatino Linotype" w:cstheme="minorHAnsi"/>
                <w:sz w:val="18"/>
                <w:szCs w:val="18"/>
              </w:rPr>
              <w:t xml:space="preserve"> and</w:t>
            </w:r>
            <w:r w:rsidRPr="00701460">
              <w:rPr>
                <w:rFonts w:ascii="Palatino Linotype" w:hAnsi="Palatino Linotype" w:cstheme="minorHAnsi"/>
                <w:sz w:val="18"/>
                <w:szCs w:val="18"/>
              </w:rPr>
              <w:t xml:space="preserve"> rs4911871</w:t>
            </w:r>
            <w:r>
              <w:rPr>
                <w:rFonts w:ascii="Palatino Linotype" w:hAnsi="Palatino Linotype" w:cstheme="minorHAnsi"/>
                <w:sz w:val="18"/>
                <w:szCs w:val="18"/>
              </w:rPr>
              <w:t xml:space="preserve"> with o</w:t>
            </w:r>
            <w:r w:rsidRPr="00701460">
              <w:rPr>
                <w:rFonts w:ascii="Palatino Linotype" w:hAnsi="Palatino Linotype" w:cstheme="minorHAnsi"/>
                <w:sz w:val="18"/>
                <w:szCs w:val="18"/>
              </w:rPr>
              <w:t>rofacial dyskinesi</w:t>
            </w:r>
            <w:r>
              <w:rPr>
                <w:rFonts w:ascii="Palatino Linotype" w:hAnsi="Palatino Linotype" w:cstheme="minorHAnsi"/>
                <w:sz w:val="18"/>
                <w:szCs w:val="18"/>
              </w:rPr>
              <w:t>a</w:t>
            </w:r>
            <w:r w:rsidRPr="00701460">
              <w:rPr>
                <w:rFonts w:ascii="Palatino Linotype" w:hAnsi="Palatino Linotype" w:cstheme="minorHAnsi"/>
                <w:sz w:val="18"/>
                <w:szCs w:val="18"/>
              </w:rPr>
              <w:t>, rs1345423, rs7192557, rs1650420, a</w:t>
            </w:r>
            <w:r>
              <w:rPr>
                <w:rFonts w:ascii="Palatino Linotype" w:hAnsi="Palatino Linotype" w:cstheme="minorHAnsi"/>
                <w:sz w:val="18"/>
                <w:szCs w:val="18"/>
              </w:rPr>
              <w:t>nd</w:t>
            </w:r>
            <w:r w:rsidRPr="00701460">
              <w:rPr>
                <w:rFonts w:ascii="Palatino Linotype" w:hAnsi="Palatino Linotype" w:cstheme="minorHAnsi"/>
                <w:sz w:val="18"/>
                <w:szCs w:val="18"/>
              </w:rPr>
              <w:t xml:space="preserve"> rs11866328</w:t>
            </w:r>
            <w:r>
              <w:rPr>
                <w:rFonts w:ascii="Palatino Linotype" w:hAnsi="Palatino Linotype" w:cstheme="minorHAnsi"/>
                <w:sz w:val="18"/>
                <w:szCs w:val="18"/>
              </w:rPr>
              <w:t xml:space="preserve"> with </w:t>
            </w:r>
            <w:r w:rsidRPr="00701460">
              <w:rPr>
                <w:rFonts w:ascii="Palatino Linotype" w:hAnsi="Palatino Linotype" w:cstheme="minorHAnsi"/>
                <w:sz w:val="18"/>
                <w:szCs w:val="18"/>
              </w:rPr>
              <w:t>limb truncal dyskinesia</w:t>
            </w:r>
            <w:r>
              <w:rPr>
                <w:rFonts w:ascii="Palatino Linotype" w:hAnsi="Palatino Linotype" w:cstheme="minorHAnsi"/>
                <w:sz w:val="18"/>
                <w:szCs w:val="18"/>
              </w:rPr>
              <w:t>. However, n</w:t>
            </w:r>
            <w:r w:rsidRPr="00637722">
              <w:rPr>
                <w:rFonts w:ascii="Palatino Linotype" w:hAnsi="Palatino Linotype" w:cstheme="minorHAnsi"/>
                <w:sz w:val="18"/>
                <w:szCs w:val="18"/>
              </w:rPr>
              <w:t xml:space="preserve">o statistically significant associations </w:t>
            </w:r>
            <w:r>
              <w:rPr>
                <w:rFonts w:ascii="Palatino Linotype" w:hAnsi="Palatino Linotype" w:cstheme="minorHAnsi"/>
                <w:sz w:val="18"/>
                <w:szCs w:val="18"/>
              </w:rPr>
              <w:t>after controlling for multiple testing</w:t>
            </w:r>
          </w:p>
        </w:tc>
        <w:tc>
          <w:tcPr>
            <w:tcW w:w="2173" w:type="dxa"/>
          </w:tcPr>
          <w:p w14:paraId="1EEB58B7" w14:textId="53AA757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{"citationItems":[{"id":"ITEM-1","itemData":{"DOI":"10.1371/journal.pone.0050970","ISSN":"1932-6203","PMID":"23226551","abstract":"OBJECTIVE Four types of antipsychotic-induced movement disorders: tardive dyskinesia (TD), parkinsonism, akathisia and tardive dystonia, subtypes of TD (orofacial and limb truncal dyskinesia), subtypes of parkinsonism (rest tremor, rigidity, and bradykinesia), as well as a principal-factor of the movement disorders and their subtypes, were examined for association with variation in 7 candidate genes (GRIN2B, GRIN2A, HSPG2, DRD3, DRD4, HTR2C, and NQO1). METHODS Naturalistic study of 168 white long-stay patients with chronic mental illness requiring long-term antipsychotic treatment, examined by the same rater at least two times over a 4-year period, with a mean follow-up time of 1.1 years, with validated scales for TD, parkinsonism, akathisia, and tardive dystonia. The authors genotyped 45 tag SNPs in 7 candidate genes, associated with movement disorders or schizophrenia in previous studies. Genotype and allele frequency comparisons were performed with multiple regression methods for continuous movement disorders. RESULTS Various tag SNPs reached nominal significance; TD with rs1345423, rs7192557, rs1650420, as well as rs11644461; orofacial dyskinesia with rs7192557, rs1650420, as well as rs4911871; limb truncal dyskinesia with rs1345423, rs7192557, rs1650420, as well as rs11866328; bradykinesia with rs2192970; akathisia with rs324035; and the principal-factor with rs10772715. After controlling for multiple testing, no significant results remained. CONCLUSIONS The findings suggest that selected tag SNPs are not associated with a susceptibility to movement disorders. However, as the sample size was small and previous studies show inconsistent results, definite conclusions cannot be made. Replication is needed in larger study samples, preferably in longitudinal studies which take the fluctuating course of movement disorders and gene-environment interactions into account.","author":[{"dropping-particle":"","family":"Bakker","given":"P Roberto","non-dropping-particle":"","parse-names":false,"suffix":""},{"dropping-particle":"","family":"Hadithy","given":"Asmar F Y","non-dropping-particle":"Al","parse-names":false,"suffix":""},{"dropping-particle":"","family":"Amin","given":"Najaf","non-dropping-particle":"","parse-names":false,"suffix":""},{"dropping-particle":"","family":"Duijn","given":"Cornelia M","non-dropping-particle":"van","parse-names":false,"suffix":""},{"dropping-particle":"","family":"Os","given":"Jim","non-dropping-particle":"van","parse-names":false,"suffix":""},{"dropping-particle":"","family":"Harten","given":"Peter N","non-dropping-particle":"van","parse-names":false,"suffix":""}],"container-title":"PloS one","editor":[{"dropping-particle":"","family":"Toft","given":"Mathias","non-dropping-particle":"","parse-names":false,"suffix":""}],"id":"ITEM-1","issue":"12","issued":{"date-parts":[["2012","12","4"]]},"page":"e50970","title":"Antipsychotic-induced movement disorders in long-stay psychiatric patients and 45 tag SNPs in 7 candidate genes: a prospective study.","type":"article-journal","volume":"7"},"uris":["http://www.mendeley.com/documents/?uuid=e45af07c-2545-3cb5-938f-a11e203093ff"]}],"mendeley":{"formattedCitation":"(Bakker et al. 2012)","plainTextFormattedCitation":"(Bakker et al. 2012)","previouslyFormattedCitation":"(Bakker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(Bakker et al. 2012)</w:t>
            </w:r>
            <w:r>
              <w:rPr>
                <w:rFonts w:ascii="Palatino Linotype" w:hAnsi="Palatino Linotype" w:cstheme="minorHAnsi"/>
                <w:sz w:val="18"/>
                <w:szCs w:val="18"/>
              </w:rPr>
              <w:fldChar w:fldCharType="end"/>
            </w:r>
          </w:p>
        </w:tc>
      </w:tr>
      <w:tr w:rsidR="0031439E" w:rsidRPr="00EA57B8" w14:paraId="2CB399E8" w14:textId="45B72C90" w:rsidTr="0031439E">
        <w:tc>
          <w:tcPr>
            <w:tcW w:w="1094" w:type="dxa"/>
          </w:tcPr>
          <w:p w14:paraId="7C61E32D" w14:textId="5448808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lastRenderedPageBreak/>
              <w:t>DRD3</w:t>
            </w:r>
          </w:p>
        </w:tc>
        <w:tc>
          <w:tcPr>
            <w:tcW w:w="1080" w:type="dxa"/>
          </w:tcPr>
          <w:p w14:paraId="525540DD" w14:textId="7C7892A9"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389F5DBF"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112 </w:t>
            </w:r>
          </w:p>
          <w:p w14:paraId="2BA64085" w14:textId="77777777" w:rsidR="0031439E" w:rsidRDefault="0031439E" w:rsidP="0031439E">
            <w:pPr>
              <w:rPr>
                <w:rFonts w:ascii="Palatino Linotype" w:hAnsi="Palatino Linotype" w:cstheme="minorHAnsi"/>
                <w:sz w:val="18"/>
                <w:szCs w:val="18"/>
              </w:rPr>
            </w:pPr>
          </w:p>
        </w:tc>
        <w:tc>
          <w:tcPr>
            <w:tcW w:w="1170" w:type="dxa"/>
          </w:tcPr>
          <w:p w14:paraId="2405E6D0" w14:textId="54DC4812"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 Asian, and</w:t>
            </w:r>
            <w:r>
              <w:rPr>
                <w:rFonts w:ascii="Palatino Linotype" w:hAnsi="Palatino Linotype" w:cstheme="minorHAnsi"/>
                <w:sz w:val="18"/>
                <w:szCs w:val="18"/>
              </w:rPr>
              <w:t xml:space="preserve"> </w:t>
            </w:r>
            <w:r w:rsidRPr="006A1E5F">
              <w:rPr>
                <w:rFonts w:ascii="Palatino Linotype" w:hAnsi="Palatino Linotype" w:cstheme="minorHAnsi"/>
                <w:sz w:val="18"/>
                <w:szCs w:val="18"/>
              </w:rPr>
              <w:t>African American</w:t>
            </w:r>
          </w:p>
        </w:tc>
        <w:tc>
          <w:tcPr>
            <w:tcW w:w="1350" w:type="dxa"/>
          </w:tcPr>
          <w:p w14:paraId="117491C2" w14:textId="21C5B2A8"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40086AEF" w14:textId="3863A1E3"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DSM-IIIR</w:t>
            </w:r>
          </w:p>
        </w:tc>
        <w:tc>
          <w:tcPr>
            <w:tcW w:w="1170" w:type="dxa"/>
          </w:tcPr>
          <w:p w14:paraId="1DFB3A27" w14:textId="6146468C"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&amp; Schooler-Kane criteria &amp; modified </w:t>
            </w:r>
            <w:r>
              <w:rPr>
                <w:rFonts w:ascii="Palatino Linotype" w:hAnsi="Palatino Linotype" w:cstheme="minorHAnsi"/>
                <w:sz w:val="18"/>
                <w:szCs w:val="18"/>
              </w:rPr>
              <w:t>HSDS</w:t>
            </w:r>
          </w:p>
        </w:tc>
        <w:tc>
          <w:tcPr>
            <w:tcW w:w="1170" w:type="dxa"/>
          </w:tcPr>
          <w:p w14:paraId="49F2B027" w14:textId="600D54D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7E5C94AB" w14:textId="7A7C3F66"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sz w:val="18"/>
                <w:szCs w:val="18"/>
              </w:rPr>
              <w:t>MscI</w:t>
            </w:r>
            <w:proofErr w:type="spellEnd"/>
            <w:r w:rsidRPr="006A1E5F">
              <w:rPr>
                <w:rFonts w:ascii="Palatino Linotype" w:hAnsi="Palatino Linotype"/>
                <w:sz w:val="18"/>
                <w:szCs w:val="18"/>
              </w:rPr>
              <w:t>)</w:t>
            </w:r>
          </w:p>
        </w:tc>
        <w:tc>
          <w:tcPr>
            <w:tcW w:w="2507" w:type="dxa"/>
          </w:tcPr>
          <w:p w14:paraId="40C04F6B" w14:textId="0B992BF6"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Statistically significant association between glycine variant and TD</w:t>
            </w:r>
          </w:p>
        </w:tc>
        <w:tc>
          <w:tcPr>
            <w:tcW w:w="2173" w:type="dxa"/>
          </w:tcPr>
          <w:p w14:paraId="1F35601D" w14:textId="5AF07E6E"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{"citationItems":[{"id":"ITEM-1","itemData":{"DOI":"10.1016/S0893-133X(98)00114-6","ISSN":"0893-133X","PMID":"10379516","abstract":"In 112 schizophrenic patients previously treated with typical neuroleptics, we investigated the putative role of the dopamine D3 receptor gene (DRD3) in tardive dyskinesia (TD). Patients were assessed for TD severity using the Abnormal Involuntary Movement Scale (AIMS) and were subsequently genotyped for the MscI polymorphism that identifies a serine to glycine substitution in DRD3. A modified analysis of covariance model, which incorporated several clinical risk factors for TD, was utilized to detect differences in TD severity among the various genotypic groups. The glycine allele of DRD3 was found to be associated with typical neuroleptic-induced TD (F[2,95] = 8.25, p &lt; .0005). Higher mean AIMS scores were found in patients homozygous for the glycine variant of the DRD3 gene, as compared to both heterozygous and serine homozygous patients. Although replication is necessary, this finding supports a role for the dopamine D3 receptor in the pathogenesis of TD.","author":[{"dropping-particle":"","family":"Basile","given":"V S","non-dropping-particle":"","parse-names":false,"suffix":""},{"dropping-particle":"","family":"Masellis","given":"M","non-dropping-particle":"","parse-names":false,"suffix":""},{"dropping-particle":"","family":"Badri","given":"F","non-dropping-particle":"","parse-names":false,"suffix":""},{"dropping-particle":"","family":"Paterson","given":"A D","non-dropping-particle":"","parse-names":false,"suffix":""},{"dropping-particle":"","family":"Meltzer","given":"H Y","non-dropping-particle":"","parse-names":false,"suffix":""},{"dropping-particle":"","family":"Lieberman","given":"J A","non-dropping-particle":"","parse-names":false,"suffix":""},{"dropping-particle":"","family":"Potkin","given":"S G","non-dropping-particle":"","parse-names":false,"suffix":""},{"dropping-particle":"","family":"Macciardi","given":"F","non-dropping-particle":"","parse-names":false,"suffix":""},{"dropping-particle":"","family":"Kennedy","given":"J L","non-dropping-particle":"","parse-names":false,"suffix":""}],"container-title":"Neuropsychopharmacology : official publication of the American College of Neuropsychopharmacology","id":"ITEM-1","issue":"1","issued":{"date-parts":[["1999","7"]]},"page":"17-27","title":"Association of the MscI polymorphism of the dopamine D3 receptor gene with tardive dyskinesia in schizophrenia.","type":"article-journal","volume":"21"},"uris":["http://www.mendeley.com/documents/?uuid=5a05446f-ee58-31b6-b8c5-8ba828746dc8"]}],"mendeley":{"formattedCitation":"(Basile et al. 1999)","plainTextFormattedCitation":"(Basile et al. 1999)","previouslyFormattedCitation":"(Basile et al. 1999)"},"properties":{"noteIndex":0},"schema":"https://github.com/citation-style-language/schema/raw/master/csl-citation.json"}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(Basile et al. 1999)</w:t>
            </w:r>
            <w:r w:rsidRPr="006A1E5F">
              <w:rPr>
                <w:rFonts w:ascii="Palatino Linotype" w:hAnsi="Palatino Linotype" w:cstheme="minorHAnsi"/>
                <w:sz w:val="18"/>
                <w:szCs w:val="18"/>
              </w:rPr>
              <w:fldChar w:fldCharType="end"/>
            </w:r>
          </w:p>
        </w:tc>
      </w:tr>
      <w:tr w:rsidR="0031439E" w:rsidRPr="00EA57B8" w14:paraId="27E2531C" w14:textId="5DB4FD2B" w:rsidTr="0031439E">
        <w:tc>
          <w:tcPr>
            <w:tcW w:w="1094" w:type="dxa"/>
          </w:tcPr>
          <w:p w14:paraId="051A495F" w14:textId="35D4A81B"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HTR2A</w:t>
            </w:r>
          </w:p>
        </w:tc>
        <w:tc>
          <w:tcPr>
            <w:tcW w:w="1080" w:type="dxa"/>
          </w:tcPr>
          <w:p w14:paraId="3A41E3AF" w14:textId="77777777" w:rsidR="0031439E" w:rsidRPr="006A1E5F" w:rsidRDefault="0031439E" w:rsidP="0031439E">
            <w:pPr>
              <w:rPr>
                <w:rStyle w:val="st"/>
                <w:rFonts w:ascii="Palatino Linotype" w:hAnsi="Palatino Linotype"/>
                <w:sz w:val="18"/>
                <w:szCs w:val="18"/>
              </w:rPr>
            </w:pPr>
            <w:r w:rsidRPr="006A1E5F">
              <w:rPr>
                <w:rStyle w:val="st"/>
                <w:rFonts w:ascii="Palatino Linotype" w:hAnsi="Palatino Linotype"/>
                <w:sz w:val="18"/>
                <w:szCs w:val="18"/>
              </w:rPr>
              <w:t xml:space="preserve">rs6313, rs6311, </w:t>
            </w:r>
          </w:p>
          <w:p w14:paraId="5C7D737D" w14:textId="0CC87C2E"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and rs6314</w:t>
            </w:r>
          </w:p>
        </w:tc>
        <w:tc>
          <w:tcPr>
            <w:tcW w:w="1080" w:type="dxa"/>
          </w:tcPr>
          <w:p w14:paraId="53C4622B" w14:textId="0250AEC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136</w:t>
            </w:r>
          </w:p>
        </w:tc>
        <w:tc>
          <w:tcPr>
            <w:tcW w:w="1170" w:type="dxa"/>
          </w:tcPr>
          <w:p w14:paraId="2FF6EAB5" w14:textId="6C4CE4DF"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w:t>
            </w:r>
            <w:r>
              <w:rPr>
                <w:rFonts w:ascii="Palatino Linotype" w:hAnsi="Palatino Linotype" w:cstheme="minorHAnsi"/>
                <w:sz w:val="18"/>
                <w:szCs w:val="18"/>
              </w:rPr>
              <w:t xml:space="preserve"> </w:t>
            </w:r>
            <w:r w:rsidRPr="006A1E5F">
              <w:rPr>
                <w:rFonts w:ascii="Palatino Linotype" w:hAnsi="Palatino Linotype" w:cstheme="minorHAnsi"/>
                <w:sz w:val="18"/>
                <w:szCs w:val="18"/>
              </w:rPr>
              <w:t>African American</w:t>
            </w:r>
          </w:p>
        </w:tc>
        <w:tc>
          <w:tcPr>
            <w:tcW w:w="1350" w:type="dxa"/>
          </w:tcPr>
          <w:p w14:paraId="2E96E87D" w14:textId="5CF53925"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6E61C8DE" w14:textId="469E343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DSM-IIIR</w:t>
            </w:r>
          </w:p>
        </w:tc>
        <w:tc>
          <w:tcPr>
            <w:tcW w:w="1170" w:type="dxa"/>
          </w:tcPr>
          <w:p w14:paraId="3863D519" w14:textId="3E45A115"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68F30203" w14:textId="1041759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4DA11670" w14:textId="3A48652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sz w:val="18"/>
                <w:szCs w:val="18"/>
              </w:rPr>
              <w:t>Mspl</w:t>
            </w:r>
            <w:proofErr w:type="spellEnd"/>
            <w:r w:rsidRPr="006A1E5F">
              <w:rPr>
                <w:rFonts w:ascii="Palatino Linotype" w:hAnsi="Palatino Linotype"/>
                <w:sz w:val="18"/>
                <w:szCs w:val="18"/>
              </w:rPr>
              <w:t xml:space="preserve">, </w:t>
            </w:r>
            <w:proofErr w:type="spellStart"/>
            <w:r w:rsidRPr="006A1E5F">
              <w:rPr>
                <w:rFonts w:ascii="Palatino Linotype" w:hAnsi="Palatino Linotype"/>
                <w:sz w:val="18"/>
                <w:szCs w:val="18"/>
              </w:rPr>
              <w:t>Bsml</w:t>
            </w:r>
            <w:proofErr w:type="spellEnd"/>
            <w:r w:rsidRPr="006A1E5F">
              <w:rPr>
                <w:rFonts w:ascii="Palatino Linotype" w:hAnsi="Palatino Linotype"/>
                <w:sz w:val="18"/>
                <w:szCs w:val="18"/>
              </w:rPr>
              <w:t>)</w:t>
            </w:r>
          </w:p>
        </w:tc>
        <w:tc>
          <w:tcPr>
            <w:tcW w:w="2507" w:type="dxa"/>
          </w:tcPr>
          <w:p w14:paraId="37E6AF5D" w14:textId="065DD12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03614326" w14:textId="64A519DC"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{"citationItems":[{"id":"ITEM-1","itemData":{"DOI":"10.1038/sj.mp.4000847","ISSN":"1359-4184","PMID":"11317228","abstract":"Tardive dyskinesia (TD) is a disabling neurological side effect associated with long-term treatment with typical antipsychotics. Family studies and animal models lend evidence for hereditary predisposition to TD. The newer atypical antipsychotics pose a minimal risk for TD which is in part attributed to their ability to block the serotonin-2A (5-HT(2A)) receptor. 5-HT(2A) receptors were also identified in the basal ganglia; a brain region that plays a critical role in antipsychotic-induced movement disorders. We tested the significance of variation in the 5-HT(2A) receptor gene (HTR2A) in relation to the TD phenotype. Three polymorphisms in HTR2A, one silent (C102T), one that alters the amino acid sequence (his452tyr) and one in the promoter region (A-1437G) were investigated in 136 patients refractory or intolerant to treatment with typical antipsychotics and with a DSM-IIIR diagnosis of schizophrenia. We did not find any significant difference in allele, genotype or haplotype frequencies of polymorphisms in HTR2A among patients with or without TD (P &gt; 0.05). Further analysis using the ANCOVA statistic with a continuous measure of the TD phenotype (Abnormal Involuntary Movement Scale (AIMS) score) found that the AIMS scores were not significantly influenced by HTR2A polymorphisms, despite controlling for potential confounders such as age, gender and ethnicity (P &gt; 0.05). Theoretically, central serotonergic function can be subject to genetic control at various other mechanistic levels including the rate of serotonin synthesis (tryptophane hydroxylase gene), release, reuptake (serotonin transporter gene) and degradation (monoamine oxidase gene). Analyses of these other serotonergic genes are indicated. In summary, polymorphisms in HTR2A do not appear to influence the risk for TD. Further studies evaluating in tandem multiple candidate genes relevant for the serotonergic system are warranted to dissect the genetic basis of the complex TD phenotype.","author":[{"dropping-particle":"","family":"Basile","given":"V S","non-dropping-particle":"","parse-names":false,"suffix":""},{"dropping-particle":"","family":"Ozdemir","given":"V","non-dropping-particle":"","parse-names":false,"suffix":""},{"dropping-particle":"","family":"Masellis","given":"M","non-dropping-particle":"","parse-names":false,"suffix":""},{"dropping-particle":"","family":"Meltzer","given":"H Y","non-dropping-particle":"","parse-names":false,"suffix":""},{"dropping-particle":"","family":"Lieberman","given":"J A","non-dropping-particle":"","parse-names":false,"suffix":""},{"dropping-particle":"","family":"Potkin","given":"S G","non-dropping-particle":"","parse-names":false,"suffix":""},{"dropping-particle":"","family":"Macciardi","given":"F M","non-dropping-particle":"","parse-names":false,"suffix":""},{"dropping-particle":"","family":"Petronis","given":"A","non-dropping-particle":"","parse-names":false,"suffix":""},{"dropping-particle":"","family":"Kennedy","given":"J L","non-dropping-particle":"","parse-names":false,"suffix":""}],"container-title":"Molecular psychiatry","id":"ITEM-1","issue":"2","issued":{"date-parts":[["2001","3","17"]]},"page":"230-4","title":"Lack of association between serotonin-2A receptor gene (HTR2A) polymorphisms and tardive dyskinesia in schizophrenia.","type":"article-journal","volume":"6"},"uris":["http://www.mendeley.com/documents/?uuid=98f19675-8888-3039-bc22-007660ddcef2"]}],"mendeley":{"formattedCitation":"(Basile et al. 2001)","plainTextFormattedCitation":"(Basile et al. 2001)","previouslyFormattedCitation":"(Basile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(Basile et al. 2001)</w:t>
            </w:r>
            <w:r w:rsidRPr="006A1E5F">
              <w:rPr>
                <w:rFonts w:ascii="Palatino Linotype" w:hAnsi="Palatino Linotype" w:cstheme="minorHAnsi"/>
                <w:sz w:val="18"/>
                <w:szCs w:val="18"/>
              </w:rPr>
              <w:fldChar w:fldCharType="end"/>
            </w:r>
          </w:p>
        </w:tc>
      </w:tr>
      <w:tr w:rsidR="0031439E" w:rsidRPr="00EA57B8" w14:paraId="49CB4994" w14:textId="4559CB31" w:rsidTr="0031439E">
        <w:tc>
          <w:tcPr>
            <w:tcW w:w="1094" w:type="dxa"/>
          </w:tcPr>
          <w:p w14:paraId="4563062C" w14:textId="20701E2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CHRM1, CHRM2</w:t>
            </w:r>
          </w:p>
        </w:tc>
        <w:tc>
          <w:tcPr>
            <w:tcW w:w="1080" w:type="dxa"/>
          </w:tcPr>
          <w:p w14:paraId="02F0AE11" w14:textId="0840BC2C" w:rsidR="0031439E" w:rsidRPr="00924ABD" w:rsidRDefault="0031439E" w:rsidP="0031439E">
            <w:pPr>
              <w:rPr>
                <w:rFonts w:ascii="Palatino Linotype" w:hAnsi="Palatino Linotype" w:cstheme="minorHAnsi"/>
                <w:sz w:val="18"/>
                <w:szCs w:val="18"/>
              </w:rPr>
            </w:pPr>
            <w:r w:rsidRPr="00F85DC9">
              <w:rPr>
                <w:rFonts w:ascii="Palatino Linotype" w:hAnsi="Palatino Linotype" w:cstheme="minorHAnsi"/>
                <w:sz w:val="18"/>
                <w:szCs w:val="18"/>
              </w:rPr>
              <w:t>rs2075748, rs544978, rs2067477, rs2067479, rs2186410</w:t>
            </w:r>
            <w:r>
              <w:rPr>
                <w:rFonts w:ascii="Palatino Linotype" w:hAnsi="Palatino Linotype" w:cstheme="minorHAnsi"/>
                <w:sz w:val="18"/>
                <w:szCs w:val="18"/>
              </w:rPr>
              <w:t xml:space="preserve">, </w:t>
            </w:r>
            <w:r w:rsidRPr="00F85DC9">
              <w:rPr>
                <w:rFonts w:ascii="Palatino Linotype" w:hAnsi="Palatino Linotype" w:cstheme="minorHAnsi"/>
                <w:sz w:val="18"/>
                <w:szCs w:val="18"/>
              </w:rPr>
              <w:t>rs542269</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CHRM1</w:t>
            </w:r>
            <w:r w:rsidRPr="00F85DC9">
              <w:rPr>
                <w:rFonts w:ascii="Palatino Linotype" w:hAnsi="Palatino Linotype" w:cstheme="minorHAnsi"/>
                <w:sz w:val="18"/>
                <w:szCs w:val="18"/>
              </w:rPr>
              <w:t>)</w:t>
            </w:r>
            <w:r>
              <w:rPr>
                <w:rFonts w:ascii="Palatino Linotype" w:hAnsi="Palatino Linotype" w:cstheme="minorHAnsi"/>
                <w:sz w:val="18"/>
                <w:szCs w:val="18"/>
              </w:rPr>
              <w:t xml:space="preserve">, </w:t>
            </w:r>
            <w:r w:rsidRPr="00F85DC9">
              <w:rPr>
                <w:rFonts w:ascii="Palatino Linotype" w:hAnsi="Palatino Linotype" w:cstheme="minorHAnsi"/>
                <w:sz w:val="18"/>
                <w:szCs w:val="18"/>
              </w:rPr>
              <w:t>rs2061174, rs324650, rs2350780, rs1824024, rs7810473, rs2350786, rs324640</w:t>
            </w:r>
            <w:r>
              <w:rPr>
                <w:rFonts w:ascii="Palatino Linotype" w:hAnsi="Palatino Linotype" w:cstheme="minorHAnsi"/>
                <w:sz w:val="18"/>
                <w:szCs w:val="18"/>
              </w:rPr>
              <w:t xml:space="preserve">, </w:t>
            </w:r>
            <w:r w:rsidRPr="00F85DC9">
              <w:rPr>
                <w:rFonts w:ascii="Palatino Linotype" w:hAnsi="Palatino Linotype" w:cstheme="minorHAnsi"/>
                <w:sz w:val="18"/>
                <w:szCs w:val="18"/>
              </w:rPr>
              <w:t>rs1378650</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CHRM2</w:t>
            </w:r>
            <w:r w:rsidRPr="00F85DC9">
              <w:rPr>
                <w:rFonts w:ascii="Palatino Linotype" w:hAnsi="Palatino Linotype" w:cstheme="minorHAnsi"/>
                <w:sz w:val="18"/>
                <w:szCs w:val="18"/>
              </w:rPr>
              <w:t>)</w:t>
            </w:r>
          </w:p>
        </w:tc>
        <w:tc>
          <w:tcPr>
            <w:tcW w:w="1080" w:type="dxa"/>
          </w:tcPr>
          <w:p w14:paraId="66526637" w14:textId="367F91D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472</w:t>
            </w:r>
          </w:p>
        </w:tc>
        <w:tc>
          <w:tcPr>
            <w:tcW w:w="1170" w:type="dxa"/>
          </w:tcPr>
          <w:p w14:paraId="022833FD" w14:textId="570AC53D" w:rsidR="0031439E" w:rsidRDefault="0031439E" w:rsidP="0031439E">
            <w:pPr>
              <w:rPr>
                <w:rFonts w:ascii="Palatino Linotype" w:hAnsi="Palatino Linotype"/>
                <w:sz w:val="18"/>
                <w:szCs w:val="18"/>
              </w:rPr>
            </w:pPr>
            <w:r>
              <w:rPr>
                <w:rFonts w:ascii="Palatino Linotype" w:hAnsi="Palatino Linotype" w:cstheme="minorHAnsi"/>
                <w:sz w:val="18"/>
                <w:szCs w:val="18"/>
              </w:rPr>
              <w:t>Caucasian (</w:t>
            </w:r>
            <w:r w:rsidRPr="00F03AE5">
              <w:rPr>
                <w:rFonts w:ascii="Palatino Linotype" w:hAnsi="Palatino Linotype" w:cstheme="minorHAnsi"/>
                <w:sz w:val="18"/>
                <w:szCs w:val="18"/>
              </w:rPr>
              <w:t>Russian</w:t>
            </w:r>
            <w:r>
              <w:rPr>
                <w:rFonts w:ascii="Palatino Linotype" w:hAnsi="Palatino Linotype" w:cstheme="minorHAnsi"/>
                <w:sz w:val="18"/>
                <w:szCs w:val="18"/>
              </w:rPr>
              <w:t>)</w:t>
            </w:r>
          </w:p>
        </w:tc>
        <w:tc>
          <w:tcPr>
            <w:tcW w:w="1350" w:type="dxa"/>
          </w:tcPr>
          <w:p w14:paraId="5B5F1985" w14:textId="533D90B9"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6A62EE64" w14:textId="7BE5E1B2" w:rsidR="0031439E" w:rsidRPr="006A1E5F" w:rsidRDefault="0031439E" w:rsidP="0031439E">
            <w:pPr>
              <w:rPr>
                <w:rFonts w:ascii="Palatino Linotype" w:hAnsi="Palatino Linotype" w:cstheme="minorHAnsi"/>
                <w:sz w:val="18"/>
                <w:szCs w:val="18"/>
              </w:rPr>
            </w:pPr>
            <w:r w:rsidRPr="00BC6146">
              <w:rPr>
                <w:rFonts w:ascii="Palatino Linotype" w:hAnsi="Palatino Linotype" w:cstheme="minorHAnsi"/>
                <w:sz w:val="18"/>
                <w:szCs w:val="18"/>
              </w:rPr>
              <w:t>ICD‐10</w:t>
            </w:r>
          </w:p>
        </w:tc>
        <w:tc>
          <w:tcPr>
            <w:tcW w:w="1170" w:type="dxa"/>
          </w:tcPr>
          <w:p w14:paraId="70605275" w14:textId="3D10575C"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3A48546E" w14:textId="36F43B4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03DBD89B" w14:textId="5292672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Real time PCR</w:t>
            </w:r>
          </w:p>
        </w:tc>
        <w:tc>
          <w:tcPr>
            <w:tcW w:w="2507" w:type="dxa"/>
          </w:tcPr>
          <w:p w14:paraId="24116137" w14:textId="558D5ADA" w:rsidR="0031439E" w:rsidRDefault="0031439E" w:rsidP="0031439E">
            <w:pPr>
              <w:rPr>
                <w:rFonts w:ascii="Palatino Linotype" w:hAnsi="Palatino Linotype" w:cstheme="minorHAnsi"/>
                <w:sz w:val="18"/>
                <w:szCs w:val="18"/>
              </w:rPr>
            </w:pPr>
            <w:r w:rsidRPr="00880143">
              <w:rPr>
                <w:rFonts w:ascii="Palatino Linotype" w:hAnsi="Palatino Linotype" w:cstheme="minorHAnsi"/>
                <w:sz w:val="18"/>
                <w:szCs w:val="18"/>
              </w:rPr>
              <w:t>rs2061174</w:t>
            </w:r>
            <w:r>
              <w:rPr>
                <w:rFonts w:ascii="Palatino Linotype" w:hAnsi="Palatino Linotype" w:cstheme="minorHAnsi"/>
                <w:sz w:val="18"/>
                <w:szCs w:val="18"/>
              </w:rPr>
              <w:t xml:space="preserve"> and</w:t>
            </w:r>
            <w:r w:rsidRPr="00880143">
              <w:rPr>
                <w:rFonts w:ascii="Palatino Linotype" w:hAnsi="Palatino Linotype" w:cstheme="minorHAnsi"/>
                <w:sz w:val="18"/>
                <w:szCs w:val="18"/>
              </w:rPr>
              <w:t xml:space="preserve"> </w:t>
            </w:r>
            <w:r w:rsidRPr="00EA57B8">
              <w:rPr>
                <w:rFonts w:ascii="Palatino Linotype" w:hAnsi="Palatino Linotype" w:cstheme="minorHAnsi"/>
                <w:sz w:val="18"/>
                <w:szCs w:val="18"/>
              </w:rPr>
              <w:t>rs1824024</w:t>
            </w:r>
            <w:r>
              <w:rPr>
                <w:rFonts w:ascii="Palatino Linotype" w:hAnsi="Palatino Linotype" w:cstheme="minorHAnsi"/>
                <w:sz w:val="18"/>
                <w:szCs w:val="18"/>
              </w:rPr>
              <w:t xml:space="preserve"> frequencies were </w:t>
            </w:r>
            <w:r w:rsidRPr="00880143">
              <w:rPr>
                <w:rFonts w:ascii="Palatino Linotype" w:hAnsi="Palatino Linotype" w:cstheme="minorHAnsi"/>
                <w:sz w:val="18"/>
                <w:szCs w:val="18"/>
              </w:rPr>
              <w:t>lower</w:t>
            </w:r>
            <w:r>
              <w:rPr>
                <w:rFonts w:ascii="Palatino Linotype" w:hAnsi="Palatino Linotype" w:cstheme="minorHAnsi"/>
                <w:sz w:val="18"/>
                <w:szCs w:val="18"/>
              </w:rPr>
              <w:t xml:space="preserve"> </w:t>
            </w:r>
            <w:r w:rsidRPr="00EA57B8">
              <w:rPr>
                <w:rFonts w:ascii="Palatino Linotype" w:hAnsi="Palatino Linotype" w:cstheme="minorHAnsi"/>
                <w:sz w:val="18"/>
                <w:szCs w:val="18"/>
              </w:rPr>
              <w:t>in TD patients</w:t>
            </w:r>
            <w:r>
              <w:rPr>
                <w:rFonts w:ascii="Palatino Linotype" w:hAnsi="Palatino Linotype" w:cstheme="minorHAnsi"/>
                <w:sz w:val="18"/>
                <w:szCs w:val="18"/>
              </w:rPr>
              <w:t xml:space="preserve">, indicating </w:t>
            </w:r>
            <w:r w:rsidRPr="00EA57B8">
              <w:rPr>
                <w:rFonts w:ascii="Palatino Linotype" w:hAnsi="Palatino Linotype" w:cstheme="minorHAnsi"/>
                <w:sz w:val="18"/>
                <w:szCs w:val="18"/>
              </w:rPr>
              <w:t>protective effect for TD development</w:t>
            </w:r>
          </w:p>
        </w:tc>
        <w:tc>
          <w:tcPr>
            <w:tcW w:w="2173" w:type="dxa"/>
          </w:tcPr>
          <w:p w14:paraId="20D4EE18" w14:textId="25126FBF" w:rsidR="0031439E" w:rsidRPr="00880143"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{"citationItems":[{"id":"ITEM-1","itemData":{"DOI":"10.1080/15622975.2018.1548780","ISSN":"1814-1412","PMID":"30623717","abstract":"Objectives: Acetylcholine M (muscarinic) receptors are possibly involved in tardive dyskinesia (TD). The authors tried to verify this hypothesis by testing for possible associations between two muscarinic receptor genes (CHRM1 and CHRM2) polymorphisms and TD in patients with schizophrenia.Methods: A total of 472 patients with schizophrenia were recruited. TD was assessed cross-sectionally using the Abnormal Involuntary Movement Scale. Fourteen allelic variants of CHRM1 and CHRM2 were genotyped using Applied Biosystems amplifiers (USA) and the MassARRAY System by Agena Bioscience.Results: The prevalence of the rs1824024*GG genotype of the CHRM2 gene was lower in TD patients compared to the group without it (χ2 = 6.035, p = 0.049). This suggested that this genotype has a protective effect for the development of TD (OR = 0.4, 95% CI: 0.19-0.88). When age, gender, duration of schizophrenia and dosage of antipsychotic treatment were added as covariates in regression analysis, the results did not reach statistical significance.Conclusions: This study did identify associations between CHRM2 variations and TD; the results of logistic regression analysis with covariates suggest that the association is, however, likely to be secondary to other concomitant factors.","author":[{"dropping-particle":"","family":"Boiko","given":"Anastasiia S","non-dropping-particle":"","parse-names":false,"suffix":""},{"dropping-particle":"","family":"Ivanova","given":"Svetlana A","non-dropping-particle":"","parse-names":false,"suffix":""},{"dropping-particle":"V","family":"Pozhidaev","given":"Ivan","non-dropping-particle":"","parse-names":false,"suffix":""},{"dropping-particle":"","family":"Freidin","given":"Maxim B","non-dropping-particle":"","parse-names":false,"suffix":""},{"dropping-particle":"","family":"Osmanova","given":"Diana Z","non-dropping-particle":"","parse-names":false,"suffix":""},{"dropping-particle":"","family":"Fedorenko","given":"Olga Yu","non-dropping-particle":"","parse-names":false,"suffix":""},{"dropping-particle":"V","family":"Semke","given":"Arkadyi","non-dropping-particle":"","parse-names":false,"suffix":""},{"dropping-particle":"","family":"Bokhan","given":"Nikolay A","non-dropping-particle":"","parse-names":false,"suffix":""},{"dropping-particle":"","family":"Wilffert","given":"Bob","non-dropping-particle":"","parse-names":false,"suffix":""},{"dropping-particle":"","family":"Loonen","given":"Anton J M","non-dropping-particle":"","parse-names":false,"suffix":""}],"container-title":"The world journal of biological psychiatry : the official journal of the World Federation of Societies of Biological Psychiatry","id":"ITEM-1","issue":"1","issued":{"date-parts":[["2020"]]},"page":"72-77","publisher":"World J Biol Psychiatry","title":"Pharmacogenetics of tardive dyskinesia in schizophrenia: The role of CHRM1 and CHRM2 muscarinic receptors.","type":"article-journal","volume":"21"},"uris":["http://www.mendeley.com/documents/?uuid=b9122583-6a50-3523-adc3-ecefd0b98834"]}],"mendeley":{"formattedCitation":"(Boiko et al. 2020)","plainTextFormattedCitation":"(Boiko et al. 2020)","previouslyFormattedCitation":"(Boiko et al. 2020)"},"properties":{"noteIndex":0},"schema":"https://github.com/citation-style-language/schema/raw/master/csl-citation.json"}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(Boiko et al. 2020)</w:t>
            </w:r>
            <w:r>
              <w:rPr>
                <w:rFonts w:ascii="Palatino Linotype" w:hAnsi="Palatino Linotype" w:cstheme="minorHAnsi"/>
                <w:b/>
                <w:sz w:val="18"/>
                <w:szCs w:val="18"/>
              </w:rPr>
              <w:fldChar w:fldCharType="end"/>
            </w:r>
          </w:p>
        </w:tc>
      </w:tr>
      <w:tr w:rsidR="0031439E" w:rsidRPr="00EA57B8" w14:paraId="67C75470" w14:textId="23BED9A6" w:rsidTr="0031439E">
        <w:tc>
          <w:tcPr>
            <w:tcW w:w="1094" w:type="dxa"/>
          </w:tcPr>
          <w:p w14:paraId="29852429" w14:textId="6B8671A3" w:rsidR="0031439E" w:rsidRPr="000F3F98" w:rsidRDefault="0031439E" w:rsidP="0031439E">
            <w:pPr>
              <w:rPr>
                <w:rFonts w:ascii="Palatino Linotype" w:hAnsi="Palatino Linotype" w:cstheme="minorHAnsi"/>
                <w:i/>
                <w:iCs/>
                <w:sz w:val="18"/>
                <w:szCs w:val="18"/>
              </w:rPr>
            </w:pPr>
            <w:r w:rsidRPr="00E26F63">
              <w:rPr>
                <w:rFonts w:ascii="Palatino Linotype" w:hAnsi="Palatino Linotype" w:cstheme="minorHAnsi"/>
                <w:i/>
                <w:iCs/>
                <w:sz w:val="18"/>
                <w:szCs w:val="18"/>
              </w:rPr>
              <w:t>HTR2A</w:t>
            </w:r>
            <w:r>
              <w:rPr>
                <w:rFonts w:ascii="Palatino Linotype" w:hAnsi="Palatino Linotype" w:cstheme="minorHAnsi"/>
                <w:sz w:val="18"/>
                <w:szCs w:val="18"/>
              </w:rPr>
              <w:t xml:space="preserve">, </w:t>
            </w:r>
            <w:r w:rsidRPr="00E26F63">
              <w:rPr>
                <w:rFonts w:ascii="Palatino Linotype" w:hAnsi="Palatino Linotype" w:cstheme="minorHAnsi"/>
                <w:i/>
                <w:iCs/>
                <w:sz w:val="18"/>
                <w:szCs w:val="18"/>
              </w:rPr>
              <w:t>CYP1A2</w:t>
            </w:r>
          </w:p>
        </w:tc>
        <w:tc>
          <w:tcPr>
            <w:tcW w:w="1080" w:type="dxa"/>
          </w:tcPr>
          <w:p w14:paraId="73C8F549" w14:textId="1FC258C7" w:rsidR="0031439E" w:rsidRPr="00924ABD" w:rsidRDefault="0031439E" w:rsidP="0031439E">
            <w:pPr>
              <w:rPr>
                <w:rFonts w:ascii="Palatino Linotype" w:hAnsi="Palatino Linotype" w:cstheme="minorHAnsi"/>
                <w:sz w:val="18"/>
                <w:szCs w:val="18"/>
              </w:rPr>
            </w:pPr>
            <w:r w:rsidRPr="00E26F63">
              <w:rPr>
                <w:rFonts w:ascii="Palatino Linotype" w:hAnsi="Palatino Linotype" w:cstheme="minorHAnsi"/>
                <w:sz w:val="18"/>
                <w:szCs w:val="18"/>
              </w:rPr>
              <w:t>rs6311</w:t>
            </w:r>
            <w:r>
              <w:rPr>
                <w:rFonts w:ascii="Palatino Linotype" w:hAnsi="Palatino Linotype" w:cstheme="minorHAnsi"/>
                <w:sz w:val="18"/>
                <w:szCs w:val="18"/>
              </w:rPr>
              <w:t>(</w:t>
            </w:r>
            <w:r w:rsidRPr="00E26F63">
              <w:rPr>
                <w:rFonts w:ascii="Palatino Linotype" w:hAnsi="Palatino Linotype" w:cstheme="minorHAnsi"/>
                <w:i/>
                <w:iCs/>
                <w:sz w:val="18"/>
                <w:szCs w:val="18"/>
              </w:rPr>
              <w:t>HTR2A</w:t>
            </w:r>
            <w:r w:rsidRPr="00E26F63">
              <w:rPr>
                <w:rFonts w:ascii="Palatino Linotype" w:hAnsi="Palatino Linotype" w:cstheme="minorHAnsi"/>
                <w:sz w:val="18"/>
                <w:szCs w:val="18"/>
              </w:rPr>
              <w:t xml:space="preserve">) and rs762551 </w:t>
            </w:r>
            <w:r>
              <w:rPr>
                <w:rFonts w:ascii="Palatino Linotype" w:hAnsi="Palatino Linotype" w:cstheme="minorHAnsi"/>
                <w:sz w:val="18"/>
                <w:szCs w:val="18"/>
              </w:rPr>
              <w:t>(</w:t>
            </w:r>
            <w:r w:rsidRPr="00E26F63">
              <w:rPr>
                <w:rFonts w:ascii="Palatino Linotype" w:hAnsi="Palatino Linotype" w:cstheme="minorHAnsi"/>
                <w:i/>
                <w:iCs/>
                <w:sz w:val="18"/>
                <w:szCs w:val="18"/>
              </w:rPr>
              <w:t>CYP1A2</w:t>
            </w:r>
            <w:r w:rsidRPr="00E26F63">
              <w:rPr>
                <w:rFonts w:ascii="Palatino Linotype" w:hAnsi="Palatino Linotype" w:cstheme="minorHAnsi"/>
                <w:sz w:val="18"/>
                <w:szCs w:val="18"/>
              </w:rPr>
              <w:t xml:space="preserve">) </w:t>
            </w:r>
          </w:p>
        </w:tc>
        <w:tc>
          <w:tcPr>
            <w:tcW w:w="1080" w:type="dxa"/>
          </w:tcPr>
          <w:p w14:paraId="7F76DACA" w14:textId="7DD486C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127 (47 with TD) and </w:t>
            </w:r>
            <w:r w:rsidRPr="00E26F63">
              <w:rPr>
                <w:rFonts w:ascii="Palatino Linotype" w:hAnsi="Palatino Linotype" w:cstheme="minorHAnsi"/>
                <w:sz w:val="18"/>
                <w:szCs w:val="18"/>
              </w:rPr>
              <w:t>100 healthy controls</w:t>
            </w:r>
          </w:p>
        </w:tc>
        <w:tc>
          <w:tcPr>
            <w:tcW w:w="1170" w:type="dxa"/>
          </w:tcPr>
          <w:p w14:paraId="0DB47F88" w14:textId="5D42B0B8" w:rsidR="0031439E" w:rsidRDefault="0031439E" w:rsidP="0031439E">
            <w:pPr>
              <w:rPr>
                <w:rFonts w:ascii="Palatino Linotype" w:hAnsi="Palatino Linotype"/>
                <w:sz w:val="18"/>
                <w:szCs w:val="18"/>
              </w:rPr>
            </w:pPr>
            <w:r>
              <w:rPr>
                <w:rFonts w:ascii="Palatino Linotype" w:hAnsi="Palatino Linotype" w:cstheme="minorHAnsi"/>
                <w:sz w:val="18"/>
                <w:szCs w:val="18"/>
              </w:rPr>
              <w:t>Caucasian (T</w:t>
            </w:r>
            <w:r w:rsidRPr="00E26F63">
              <w:rPr>
                <w:rFonts w:ascii="Palatino Linotype" w:hAnsi="Palatino Linotype" w:cstheme="minorHAnsi"/>
                <w:sz w:val="18"/>
                <w:szCs w:val="18"/>
              </w:rPr>
              <w:t>urkish</w:t>
            </w:r>
            <w:r>
              <w:rPr>
                <w:rFonts w:ascii="Palatino Linotype" w:hAnsi="Palatino Linotype" w:cstheme="minorHAnsi"/>
                <w:sz w:val="18"/>
                <w:szCs w:val="18"/>
              </w:rPr>
              <w:t xml:space="preserve">) </w:t>
            </w:r>
          </w:p>
        </w:tc>
        <w:tc>
          <w:tcPr>
            <w:tcW w:w="1350" w:type="dxa"/>
          </w:tcPr>
          <w:p w14:paraId="608D3987" w14:textId="62826094" w:rsidR="0031439E" w:rsidRPr="00924ABD" w:rsidRDefault="0031439E" w:rsidP="0031439E">
            <w:pPr>
              <w:rPr>
                <w:rFonts w:ascii="Palatino Linotype" w:hAnsi="Palatino Linotype" w:cstheme="minorHAnsi"/>
                <w:sz w:val="18"/>
                <w:szCs w:val="18"/>
              </w:rPr>
            </w:pPr>
            <w:r w:rsidRPr="00AB4B4A">
              <w:rPr>
                <w:rFonts w:ascii="Palatino Linotype" w:hAnsi="Palatino Linotype" w:cstheme="minorHAnsi"/>
                <w:sz w:val="18"/>
                <w:szCs w:val="18"/>
              </w:rPr>
              <w:t>Schizophrenia</w:t>
            </w:r>
          </w:p>
        </w:tc>
        <w:tc>
          <w:tcPr>
            <w:tcW w:w="1260" w:type="dxa"/>
          </w:tcPr>
          <w:p w14:paraId="24E4E7EE" w14:textId="3EBFF086" w:rsidR="0031439E" w:rsidRPr="006A1E5F" w:rsidRDefault="0031439E" w:rsidP="0031439E">
            <w:pPr>
              <w:rPr>
                <w:rFonts w:ascii="Palatino Linotype" w:hAnsi="Palatino Linotype" w:cstheme="minorHAnsi"/>
                <w:sz w:val="18"/>
                <w:szCs w:val="18"/>
              </w:rPr>
            </w:pPr>
            <w:r w:rsidRPr="000D6A17">
              <w:rPr>
                <w:rFonts w:ascii="Palatino Linotype" w:hAnsi="Palatino Linotype" w:cstheme="minorHAnsi"/>
                <w:sz w:val="18"/>
                <w:szCs w:val="18"/>
              </w:rPr>
              <w:t>DSM-IV</w:t>
            </w:r>
          </w:p>
        </w:tc>
        <w:tc>
          <w:tcPr>
            <w:tcW w:w="1170" w:type="dxa"/>
          </w:tcPr>
          <w:p w14:paraId="7CA260E9" w14:textId="647B0797"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5EDF0D8F" w14:textId="77777777" w:rsidR="0031439E" w:rsidRPr="000D6A17" w:rsidRDefault="0031439E" w:rsidP="0031439E">
            <w:pPr>
              <w:rPr>
                <w:rFonts w:ascii="Palatino Linotype" w:hAnsi="Palatino Linotype" w:cstheme="minorHAnsi"/>
                <w:sz w:val="18"/>
                <w:szCs w:val="18"/>
              </w:rPr>
            </w:pPr>
            <w:r w:rsidRPr="000D6A17">
              <w:rPr>
                <w:rFonts w:ascii="Palatino Linotype" w:hAnsi="Palatino Linotype" w:cstheme="minorHAnsi"/>
                <w:sz w:val="18"/>
                <w:szCs w:val="18"/>
              </w:rPr>
              <w:t>anti-</w:t>
            </w:r>
          </w:p>
          <w:p w14:paraId="7C6CC779" w14:textId="2E1821C2" w:rsidR="0031439E" w:rsidRDefault="0031439E" w:rsidP="0031439E">
            <w:pPr>
              <w:rPr>
                <w:rFonts w:ascii="Palatino Linotype" w:hAnsi="Palatino Linotype" w:cstheme="minorHAnsi"/>
                <w:sz w:val="18"/>
                <w:szCs w:val="18"/>
              </w:rPr>
            </w:pPr>
            <w:r w:rsidRPr="000D6A17">
              <w:rPr>
                <w:rFonts w:ascii="Palatino Linotype" w:hAnsi="Palatino Linotype" w:cstheme="minorHAnsi"/>
                <w:sz w:val="18"/>
                <w:szCs w:val="18"/>
              </w:rPr>
              <w:t>psychotic and anticholine</w:t>
            </w:r>
            <w:r w:rsidRPr="000D6A17">
              <w:rPr>
                <w:rFonts w:ascii="Palatino Linotype" w:hAnsi="Palatino Linotype" w:cstheme="minorHAnsi"/>
                <w:sz w:val="18"/>
                <w:szCs w:val="18"/>
              </w:rPr>
              <w:lastRenderedPageBreak/>
              <w:t>rgic medication</w:t>
            </w:r>
          </w:p>
        </w:tc>
        <w:tc>
          <w:tcPr>
            <w:tcW w:w="1350" w:type="dxa"/>
          </w:tcPr>
          <w:p w14:paraId="742D5E78" w14:textId="6ED3DE2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PCR-RFLP (</w:t>
            </w:r>
            <w:proofErr w:type="spellStart"/>
            <w:r w:rsidRPr="00E26F63">
              <w:rPr>
                <w:rFonts w:ascii="Palatino Linotype" w:hAnsi="Palatino Linotype" w:cstheme="minorHAnsi"/>
                <w:sz w:val="18"/>
                <w:szCs w:val="18"/>
              </w:rPr>
              <w:t>MspI</w:t>
            </w:r>
            <w:proofErr w:type="spellEnd"/>
            <w:r w:rsidRPr="00E26F63">
              <w:rPr>
                <w:rFonts w:ascii="Palatino Linotype" w:hAnsi="Palatino Linotype" w:cstheme="minorHAnsi"/>
                <w:sz w:val="18"/>
                <w:szCs w:val="18"/>
              </w:rPr>
              <w:t xml:space="preserve"> and Bsp1201</w:t>
            </w:r>
            <w:r>
              <w:rPr>
                <w:rFonts w:ascii="Palatino Linotype" w:hAnsi="Palatino Linotype" w:cstheme="minorHAnsi"/>
                <w:sz w:val="18"/>
                <w:szCs w:val="18"/>
              </w:rPr>
              <w:t>)</w:t>
            </w:r>
          </w:p>
        </w:tc>
        <w:tc>
          <w:tcPr>
            <w:tcW w:w="2507" w:type="dxa"/>
          </w:tcPr>
          <w:p w14:paraId="0B8E28FE" w14:textId="50FE4D5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No association </w:t>
            </w:r>
            <w:r w:rsidRPr="00E26F63">
              <w:rPr>
                <w:rFonts w:ascii="Palatino Linotype" w:hAnsi="Palatino Linotype" w:cstheme="minorHAnsi"/>
                <w:sz w:val="18"/>
                <w:szCs w:val="18"/>
              </w:rPr>
              <w:t>between CYP1A2 polymorphism and TD.</w:t>
            </w:r>
            <w:r>
              <w:rPr>
                <w:rFonts w:ascii="Palatino Linotype" w:hAnsi="Palatino Linotype" w:cstheme="minorHAnsi"/>
                <w:sz w:val="18"/>
                <w:szCs w:val="18"/>
              </w:rPr>
              <w:t xml:space="preserve"> However, cumulative </w:t>
            </w:r>
            <w:r w:rsidRPr="00E26F63">
              <w:rPr>
                <w:rFonts w:ascii="Palatino Linotype" w:hAnsi="Palatino Linotype" w:cstheme="minorHAnsi"/>
                <w:sz w:val="18"/>
                <w:szCs w:val="18"/>
              </w:rPr>
              <w:t>exposure to antipsychotic</w:t>
            </w:r>
            <w:r>
              <w:rPr>
                <w:rFonts w:ascii="Palatino Linotype" w:hAnsi="Palatino Linotype" w:cstheme="minorHAnsi"/>
                <w:sz w:val="18"/>
                <w:szCs w:val="18"/>
              </w:rPr>
              <w:t>s</w:t>
            </w:r>
            <w:r w:rsidRPr="00E26F63">
              <w:rPr>
                <w:rFonts w:ascii="Palatino Linotype" w:hAnsi="Palatino Linotype" w:cstheme="minorHAnsi"/>
                <w:sz w:val="18"/>
                <w:szCs w:val="18"/>
              </w:rPr>
              <w:t xml:space="preserve"> for every year </w:t>
            </w:r>
            <w:r w:rsidRPr="00310E5C">
              <w:rPr>
                <w:rFonts w:ascii="Palatino Linotype" w:hAnsi="Palatino Linotype" w:cstheme="minorHAnsi"/>
                <w:sz w:val="18"/>
                <w:szCs w:val="18"/>
              </w:rPr>
              <w:t xml:space="preserve">and </w:t>
            </w:r>
            <w:r>
              <w:rPr>
                <w:rFonts w:ascii="Palatino Linotype" w:hAnsi="Palatino Linotype" w:cstheme="minorHAnsi"/>
                <w:sz w:val="18"/>
                <w:szCs w:val="18"/>
              </w:rPr>
              <w:t xml:space="preserve">rs6311 </w:t>
            </w:r>
            <w:r w:rsidRPr="00310E5C">
              <w:rPr>
                <w:rFonts w:ascii="Palatino Linotype" w:hAnsi="Palatino Linotype" w:cstheme="minorHAnsi"/>
                <w:sz w:val="18"/>
                <w:szCs w:val="18"/>
              </w:rPr>
              <w:lastRenderedPageBreak/>
              <w:t xml:space="preserve">AA genotype of HTR2A gene </w:t>
            </w:r>
            <w:r w:rsidRPr="00E26F63">
              <w:rPr>
                <w:rFonts w:ascii="Palatino Linotype" w:hAnsi="Palatino Linotype" w:cstheme="minorHAnsi"/>
                <w:sz w:val="18"/>
                <w:szCs w:val="18"/>
              </w:rPr>
              <w:t xml:space="preserve">are risk factors for TD. </w:t>
            </w:r>
          </w:p>
        </w:tc>
        <w:tc>
          <w:tcPr>
            <w:tcW w:w="2173" w:type="dxa"/>
          </w:tcPr>
          <w:p w14:paraId="6BB0815B" w14:textId="2EDEB34C" w:rsidR="0031439E" w:rsidRDefault="0031439E" w:rsidP="0031439E">
            <w:pPr>
              <w:rPr>
                <w:rFonts w:ascii="Palatino Linotype" w:hAnsi="Palatino Linotype" w:cstheme="minorHAnsi"/>
                <w:sz w:val="18"/>
                <w:szCs w:val="18"/>
              </w:rPr>
            </w:pPr>
            <w:r>
              <w:rPr>
                <w:rFonts w:ascii="Palatino Linotype" w:hAnsi="Palatino Linotype" w:cstheme="minorHAnsi"/>
                <w:b/>
                <w:sz w:val="18"/>
                <w:szCs w:val="18"/>
              </w:rPr>
              <w:lastRenderedPageBreak/>
              <w:fldChar w:fldCharType="begin" w:fldLock="1"/>
            </w:r>
            <w:r w:rsidR="005E78F7">
              <w:rPr>
                <w:rFonts w:ascii="Palatino Linotype" w:hAnsi="Palatino Linotype" w:cstheme="minorHAnsi"/>
                <w:b/>
                <w:sz w:val="18"/>
                <w:szCs w:val="18"/>
              </w:rPr>
              <w:instrText>ADDIN CSL_CITATION {"citationItems":[{"id":"ITEM-1","itemData":{"DOI":"10.1089/dna.2007.0605","ISSN":"1044-5498","PMID":"17688403","abstract":"The aim of this study was to investigate the possible association of serotonin 2A receptor gene (HTR2A) -1438 G/A polymorphism and CYP1A2 gene 163C/A polymorphism with tardive dyskinesia (TD) in a Turkish population. A total of 47 patients with persistent TD, 80 patients who were consistently without TD, and 100 healthy controls were included in this study. The polymorphic regions of -1438 G/A polymorphism of HTR2A receptor gene (rs6311) and 163C/A of CYP1A2 (rs762551) gene were amplified using polymerase chain reaction (PCR), followed by digestion with restriction enzymes MspI and Bsp1201. Genotype and allele frequencies were calculated by the chi(2)-test. Crude and adjusted odds ratios (ORs) were estimated, and 95% confidence intervals (CIs) were computed by multivariate logistic regression analysis. The genotype and allele frequencies of HTR2A and CYP1A2 gene were similar in schizophrenia with TD, schizophrenia without TD, and healthy controls. The logistic regression analysis showed that cumulative exposure to antipsychotic drugs for every year (p = 0.003; OR = 1.15; CI = 1.07-1.23), and AA genotype of HTR2A gene (p = 0.0258; OR = 4.34; CI = 1.19-15.81) are risk factors for TD. The same logistic regression model showed no association between CYP1A2 polymorphism and TD. The results of the present study seem to indicate that HTR2A gene polymorphism influences the tendency to express TD following prolonged antipsychotic drug exposure in Turkish schizophrenia patients.","author":[{"dropping-particle":"","family":"Boke","given":"Omer","non-dropping-particle":"","parse-names":false,"suffix":""},{"dropping-particle":"","family":"Gunes","given":"Sezgin","non-dropping-particle":"","parse-names":false,"suffix":""},{"dropping-particle":"","family":"Kara","given":"Nurten","non-dropping-particle":"","parse-names":false,"suffix":""},{"dropping-particle":"","family":"Aker","given":"Servet","non-dropping-particle":"","parse-names":false,"suffix":""},{"dropping-particle":"","family":"Sahin","given":"Ahmet Rifat","non-dropping-particle":"","parse-names":false,"suffix":""},{"dropping-particle":"","family":"Basar","given":"Yildiz","non-dropping-particle":"","parse-names":false,"suffix":""},{"dropping-particle":"","family":"Bagci","given":"Hasan","non-dropping-particle":"","parse-names":false,"suffix":""}],"container-title":"DNA and cell biology","id":"ITEM-1","issue":"8","issued":{"date-parts":[["2007","8"]]},"page":"527-31","publisher":"DNA Cell Biol","title":"Association of serotonin 2A receptor and lack of association of CYP1A2 gene polymorphism with tardive dyskinesia in a Turkish population.","type":"article-journal","volume":"26"},"uris":["http://www.mendeley.com/documents/?uuid=cfe3fe29-17f5-3c80-8201-e8124154dd3c"]}],"mendeley":{"formattedCitation":"(Boke et al. 2007)","plainTextFormattedCitation":"(Boke et al. 2007)","previouslyFormattedCitation":"(Boke et al. 2007)"},"properties":{"noteIndex":0},"schema":"https://github.com/citation-style-language/schema/raw/master/csl-citation.json"}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(Boke et al. 2007)</w:t>
            </w:r>
            <w:r>
              <w:rPr>
                <w:rFonts w:ascii="Palatino Linotype" w:hAnsi="Palatino Linotype" w:cstheme="minorHAnsi"/>
                <w:b/>
                <w:sz w:val="18"/>
                <w:szCs w:val="18"/>
              </w:rPr>
              <w:fldChar w:fldCharType="end"/>
            </w:r>
          </w:p>
        </w:tc>
      </w:tr>
      <w:tr w:rsidR="0031439E" w:rsidRPr="00EA57B8" w14:paraId="22F742F6" w14:textId="6D5F67E8" w:rsidTr="0031439E">
        <w:tc>
          <w:tcPr>
            <w:tcW w:w="1094" w:type="dxa"/>
          </w:tcPr>
          <w:p w14:paraId="3063C1F1" w14:textId="148A810C"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TNFA, SOD2, GPX1, CAT</w:t>
            </w:r>
          </w:p>
        </w:tc>
        <w:tc>
          <w:tcPr>
            <w:tcW w:w="1080" w:type="dxa"/>
          </w:tcPr>
          <w:p w14:paraId="7E140DDE" w14:textId="208572A5" w:rsidR="0031439E" w:rsidRPr="00924ABD" w:rsidRDefault="0031439E" w:rsidP="0031439E">
            <w:pPr>
              <w:rPr>
                <w:rFonts w:ascii="Palatino Linotype" w:hAnsi="Palatino Linotype" w:cstheme="minorHAnsi"/>
                <w:sz w:val="18"/>
                <w:szCs w:val="18"/>
              </w:rPr>
            </w:pPr>
            <w:r>
              <w:rPr>
                <w:rStyle w:val="st"/>
                <w:rFonts w:ascii="Palatino Linotype" w:hAnsi="Palatino Linotype"/>
                <w:sz w:val="18"/>
                <w:szCs w:val="18"/>
              </w:rPr>
              <w:t>rs1800629 (</w:t>
            </w:r>
            <w:r w:rsidRPr="00265F30">
              <w:rPr>
                <w:rStyle w:val="st"/>
                <w:rFonts w:ascii="Palatino Linotype" w:hAnsi="Palatino Linotype"/>
                <w:i/>
                <w:iCs/>
                <w:sz w:val="18"/>
                <w:szCs w:val="18"/>
              </w:rPr>
              <w:t>TNFA</w:t>
            </w:r>
            <w:r>
              <w:rPr>
                <w:rStyle w:val="st"/>
                <w:rFonts w:ascii="Palatino Linotype" w:hAnsi="Palatino Linotype"/>
                <w:sz w:val="18"/>
                <w:szCs w:val="18"/>
              </w:rPr>
              <w:t>), rs4880 (</w:t>
            </w:r>
            <w:r w:rsidRPr="00265F30">
              <w:rPr>
                <w:rStyle w:val="st"/>
                <w:rFonts w:ascii="Palatino Linotype" w:hAnsi="Palatino Linotype"/>
                <w:i/>
                <w:iCs/>
                <w:sz w:val="18"/>
                <w:szCs w:val="18"/>
              </w:rPr>
              <w:t>SOD2</w:t>
            </w:r>
            <w:r>
              <w:rPr>
                <w:rStyle w:val="st"/>
                <w:rFonts w:ascii="Palatino Linotype" w:hAnsi="Palatino Linotype"/>
                <w:sz w:val="18"/>
                <w:szCs w:val="18"/>
              </w:rPr>
              <w:t>), rs1050450 (</w:t>
            </w:r>
            <w:r w:rsidRPr="00265F30">
              <w:rPr>
                <w:rStyle w:val="st"/>
                <w:rFonts w:ascii="Palatino Linotype" w:hAnsi="Palatino Linotype"/>
                <w:i/>
                <w:iCs/>
                <w:sz w:val="18"/>
                <w:szCs w:val="18"/>
              </w:rPr>
              <w:t>GPX1</w:t>
            </w:r>
            <w:r>
              <w:rPr>
                <w:rStyle w:val="st"/>
                <w:rFonts w:ascii="Palatino Linotype" w:hAnsi="Palatino Linotype"/>
                <w:sz w:val="18"/>
                <w:szCs w:val="18"/>
              </w:rPr>
              <w:t>), rs</w:t>
            </w:r>
            <w:r w:rsidRPr="000E5404">
              <w:rPr>
                <w:rStyle w:val="st"/>
                <w:rFonts w:ascii="Palatino Linotype" w:hAnsi="Palatino Linotype"/>
                <w:sz w:val="18"/>
                <w:szCs w:val="18"/>
              </w:rPr>
              <w:t>1001179</w:t>
            </w:r>
            <w:r>
              <w:rPr>
                <w:rStyle w:val="st"/>
                <w:rFonts w:ascii="Palatino Linotype" w:hAnsi="Palatino Linotype"/>
                <w:sz w:val="18"/>
                <w:szCs w:val="18"/>
              </w:rPr>
              <w:t xml:space="preserve"> and </w:t>
            </w:r>
            <w:r w:rsidRPr="000E5404">
              <w:rPr>
                <w:rStyle w:val="st"/>
                <w:rFonts w:ascii="Palatino Linotype" w:hAnsi="Palatino Linotype"/>
                <w:sz w:val="18"/>
                <w:szCs w:val="18"/>
              </w:rPr>
              <w:t>rs10836235</w:t>
            </w:r>
            <w:r>
              <w:rPr>
                <w:rStyle w:val="st"/>
                <w:rFonts w:ascii="Palatino Linotype" w:hAnsi="Palatino Linotype"/>
                <w:sz w:val="18"/>
                <w:szCs w:val="18"/>
              </w:rPr>
              <w:t xml:space="preserve"> (</w:t>
            </w:r>
            <w:r w:rsidRPr="00265F30">
              <w:rPr>
                <w:rStyle w:val="st"/>
                <w:rFonts w:ascii="Palatino Linotype" w:hAnsi="Palatino Linotype"/>
                <w:i/>
                <w:iCs/>
                <w:sz w:val="18"/>
                <w:szCs w:val="18"/>
              </w:rPr>
              <w:t>CAT</w:t>
            </w:r>
            <w:r>
              <w:rPr>
                <w:rStyle w:val="st"/>
                <w:rFonts w:ascii="Palatino Linotype" w:hAnsi="Palatino Linotype"/>
                <w:sz w:val="18"/>
                <w:szCs w:val="18"/>
              </w:rPr>
              <w:t>)</w:t>
            </w:r>
          </w:p>
        </w:tc>
        <w:tc>
          <w:tcPr>
            <w:tcW w:w="1080" w:type="dxa"/>
          </w:tcPr>
          <w:p w14:paraId="6264FD40" w14:textId="3A8BD54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52 (6 with TD)</w:t>
            </w:r>
          </w:p>
        </w:tc>
        <w:tc>
          <w:tcPr>
            <w:tcW w:w="1170" w:type="dxa"/>
          </w:tcPr>
          <w:p w14:paraId="575466FA" w14:textId="2182093B" w:rsidR="0031439E" w:rsidRDefault="0031439E" w:rsidP="0031439E">
            <w:pPr>
              <w:rPr>
                <w:rFonts w:ascii="Palatino Linotype" w:hAnsi="Palatino Linotype"/>
                <w:sz w:val="18"/>
                <w:szCs w:val="18"/>
              </w:rPr>
            </w:pPr>
            <w:r>
              <w:rPr>
                <w:rFonts w:ascii="Palatino Linotype" w:hAnsi="Palatino Linotype" w:cstheme="minorHAnsi"/>
                <w:sz w:val="18"/>
                <w:szCs w:val="18"/>
              </w:rPr>
              <w:t>Caucasian (European)</w:t>
            </w:r>
          </w:p>
        </w:tc>
        <w:tc>
          <w:tcPr>
            <w:tcW w:w="1350" w:type="dxa"/>
          </w:tcPr>
          <w:p w14:paraId="5BFF5FC8" w14:textId="14A8E4F8"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6F0A6920" w14:textId="2E64AAFA" w:rsidR="0031439E" w:rsidRPr="006A1E5F" w:rsidRDefault="0031439E" w:rsidP="0031439E">
            <w:pPr>
              <w:rPr>
                <w:rFonts w:ascii="Palatino Linotype" w:hAnsi="Palatino Linotype" w:cstheme="minorHAnsi"/>
                <w:sz w:val="18"/>
                <w:szCs w:val="18"/>
              </w:rPr>
            </w:pPr>
            <w:r w:rsidRPr="00452AD5">
              <w:rPr>
                <w:rFonts w:ascii="Palatino Linotype" w:hAnsi="Palatino Linotype" w:cstheme="minorHAnsi"/>
                <w:sz w:val="18"/>
                <w:szCs w:val="18"/>
              </w:rPr>
              <w:t>DSM-IV</w:t>
            </w:r>
            <w:r>
              <w:rPr>
                <w:rFonts w:ascii="Palatino Linotype" w:hAnsi="Palatino Linotype" w:cstheme="minorHAnsi"/>
                <w:sz w:val="18"/>
                <w:szCs w:val="18"/>
              </w:rPr>
              <w:t>, PANSS, GAF</w:t>
            </w:r>
          </w:p>
        </w:tc>
        <w:tc>
          <w:tcPr>
            <w:tcW w:w="1170" w:type="dxa"/>
          </w:tcPr>
          <w:p w14:paraId="7D6FD8EC" w14:textId="67000B17"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6E1CFF1" w14:textId="07B65C2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haloperidol</w:t>
            </w:r>
          </w:p>
        </w:tc>
        <w:tc>
          <w:tcPr>
            <w:tcW w:w="1350" w:type="dxa"/>
          </w:tcPr>
          <w:p w14:paraId="5FF33447" w14:textId="79F9319B"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TaqMan assay</w:t>
            </w:r>
          </w:p>
        </w:tc>
        <w:tc>
          <w:tcPr>
            <w:tcW w:w="2507" w:type="dxa"/>
          </w:tcPr>
          <w:p w14:paraId="10297EEF" w14:textId="67F0FC6B"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00222632" w14:textId="514116D7"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{"citationItems":[{"id":"ITEM-1","itemData":{"DOI":"10.1007/s11064-012-0937-4","ISSN":"1573-6903","PMID":"23212700","abstract":"There is a growing body of evidence confirming the involvement of oxidative stress and inflammation in pathogenesis of schizophrenia. Inter-individual variation in antioxidant capacity caused by different genetic profile could potentially influence patient's susceptibility to oxidative damage. In this study we evaluated the polymorphisms of manganese superoxide dismutase SOD2Val16Ala, glutathione peroxidase GPX1Pro200Leu, catalase CAT-262C&gt;T and CATc.66+78C&gt;T, and tumour necrosis factor-alpha TNF-308G&gt;A by assessing their association with biomarkers of oxidative stress, neurochemistry, psychopathology of schizophrenia and extrapyramidal symptoms in Caucasian schizophrenia patients treated with haloperidol depot. TNF-308G&gt;A was associated with the increased risk of parkinsonism. No major role of polymorphism of SOD2Val16Ala, CAT-262C&gt;T nor GPX1Pro200Leu in psychopathology of schizophrenia or extrapyramidal symptoms was observed. SOD2Val16Ala polymorphism was associated with dopamine plasma concentration and blood concentration ratio between reduced and oxidised form of glutathione, while GPX1Pro200Leu was related with concentration of reduced glutathione. CATc.66+78C&gt;T was associated with noradrenaline plasma concentration and PANSS negative score. PANSS positive and general scores, were associated with the increased risk of tardive dyskinesia. PANSS positive, negative, and general scores, and GAF score were all associated with the increased risk of akathisia.","author":[{"dropping-particle":"","family":"Bošković","given":"Marija","non-dropping-particle":"","parse-names":false,"suffix":""},{"dropping-particle":"","family":"Vovk","given":"Tomaž","non-dropping-particle":"","parse-names":false,"suffix":""},{"dropping-particle":"","family":"Saje","given":"Marko","non-dropping-particle":"","parse-names":false,"suffix":""},{"dropping-particle":"","family":"Goričar","given":"Katja","non-dropping-particle":"","parse-names":false,"suffix":""},{"dropping-particle":"","family":"Dolžan","given":"Vita","non-dropping-particle":"","parse-names":false,"suffix":""},{"dropping-particle":"","family":"Kores Plesničar","given":"Blanka","non-dropping-particle":"","parse-names":false,"suffix":""},{"dropping-particle":"","family":"Grabnar","given":"Iztok","non-dropping-particle":"","parse-names":false,"suffix":""}],"container-title":"Neurochemical research","id":"ITEM-1","issue":"2","issued":{"date-parts":[["2013","2"]]},"page":"433-42","publisher":"Neurochem Res","title":"Association of SOD2, GPX1, CAT, and TNF genetic polymorphisms with oxidative stress, neurochemistry, psychopathology, and extrapyramidal symptoms in schizophrenia.","type":"article-journal","volume":"38"},"uris":["http://www.mendeley.com/documents/?uuid=3ad25a60-9cea-3f91-b3f1-34153a8e71c9"]}],"mendeley":{"formattedCitation":"(Bošković et al. 2013)","plainTextFormattedCitation":"(Bošković et al. 2013)","previouslyFormattedCitation":"(Bošković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(Bošković et al. 2013)</w:t>
            </w:r>
            <w:r>
              <w:rPr>
                <w:rFonts w:ascii="Palatino Linotype" w:hAnsi="Palatino Linotype" w:cstheme="minorHAnsi"/>
                <w:sz w:val="18"/>
                <w:szCs w:val="18"/>
              </w:rPr>
              <w:fldChar w:fldCharType="end"/>
            </w:r>
          </w:p>
        </w:tc>
      </w:tr>
      <w:tr w:rsidR="0031439E" w:rsidRPr="00EA57B8" w14:paraId="20C80749" w14:textId="392009D5" w:rsidTr="0031439E">
        <w:tc>
          <w:tcPr>
            <w:tcW w:w="1094" w:type="dxa"/>
          </w:tcPr>
          <w:p w14:paraId="1557330C" w14:textId="0F8E8C2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DRD2</w:t>
            </w:r>
          </w:p>
        </w:tc>
        <w:tc>
          <w:tcPr>
            <w:tcW w:w="1080" w:type="dxa"/>
          </w:tcPr>
          <w:p w14:paraId="4D4E233C" w14:textId="6AA4498D"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rs1800497</w:t>
            </w:r>
          </w:p>
        </w:tc>
        <w:tc>
          <w:tcPr>
            <w:tcW w:w="1080" w:type="dxa"/>
          </w:tcPr>
          <w:p w14:paraId="49AA9767" w14:textId="3BA690B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93</w:t>
            </w:r>
          </w:p>
        </w:tc>
        <w:tc>
          <w:tcPr>
            <w:tcW w:w="1170" w:type="dxa"/>
          </w:tcPr>
          <w:p w14:paraId="307F25C2" w14:textId="0009DAC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Chinese (Taiwanese) </w:t>
            </w:r>
          </w:p>
        </w:tc>
        <w:tc>
          <w:tcPr>
            <w:tcW w:w="1350" w:type="dxa"/>
          </w:tcPr>
          <w:p w14:paraId="18D84711" w14:textId="151ABD2B"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3C2B0482" w14:textId="3DD7C8EE"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DSM-III-R</w:t>
            </w:r>
          </w:p>
        </w:tc>
        <w:tc>
          <w:tcPr>
            <w:tcW w:w="1170" w:type="dxa"/>
          </w:tcPr>
          <w:p w14:paraId="5958C4F1" w14:textId="1A441D56"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42262975"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pro- </w:t>
            </w:r>
          </w:p>
          <w:p w14:paraId="4D1156B4"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longed </w:t>
            </w:r>
          </w:p>
          <w:p w14:paraId="2D381221"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neuroleptics </w:t>
            </w:r>
          </w:p>
          <w:p w14:paraId="3D8849F6" w14:textId="5B1C548D"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treatment</w:t>
            </w:r>
          </w:p>
        </w:tc>
        <w:tc>
          <w:tcPr>
            <w:tcW w:w="1350" w:type="dxa"/>
          </w:tcPr>
          <w:p w14:paraId="308A383C" w14:textId="68E499E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507" w:type="dxa"/>
          </w:tcPr>
          <w:p w14:paraId="24F06C30"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Arial"/>
                <w:sz w:val="18"/>
                <w:szCs w:val="18"/>
                <w:lang w:eastAsia="el-GR"/>
              </w:rPr>
              <w:t>Significant</w:t>
            </w:r>
            <w:r>
              <w:rPr>
                <w:rFonts w:ascii="Palatino Linotype" w:hAnsi="Palatino Linotype" w:cs="Arial"/>
                <w:sz w:val="18"/>
                <w:szCs w:val="18"/>
                <w:lang w:eastAsia="el-GR"/>
              </w:rPr>
              <w:t xml:space="preserve"> genotypic and allele </w:t>
            </w:r>
            <w:r w:rsidRPr="006A1E5F">
              <w:rPr>
                <w:rFonts w:ascii="Palatino Linotype" w:hAnsi="Palatino Linotype" w:cs="Arial"/>
                <w:sz w:val="18"/>
                <w:szCs w:val="18"/>
                <w:lang w:eastAsia="el-GR"/>
              </w:rPr>
              <w:t>differences</w:t>
            </w:r>
            <w:r>
              <w:rPr>
                <w:rFonts w:ascii="Palatino Linotype" w:hAnsi="Palatino Linotype" w:cs="Arial"/>
                <w:sz w:val="18"/>
                <w:szCs w:val="18"/>
                <w:lang w:eastAsia="el-GR"/>
              </w:rPr>
              <w:t xml:space="preserve"> between</w:t>
            </w:r>
            <w:r w:rsidRPr="006A1E5F">
              <w:rPr>
                <w:rFonts w:ascii="Palatino Linotype" w:hAnsi="Palatino Linotype" w:cs="Arial"/>
                <w:sz w:val="18"/>
                <w:szCs w:val="18"/>
                <w:lang w:eastAsia="el-GR"/>
              </w:rPr>
              <w:t xml:space="preserve"> </w:t>
            </w:r>
            <w:r>
              <w:rPr>
                <w:rFonts w:ascii="Palatino Linotype" w:hAnsi="Palatino Linotype" w:cs="Arial"/>
                <w:sz w:val="18"/>
                <w:szCs w:val="18"/>
                <w:lang w:eastAsia="el-GR"/>
              </w:rPr>
              <w:t>female patients with and without TD</w:t>
            </w:r>
          </w:p>
          <w:p w14:paraId="419C35C8" w14:textId="3673354B" w:rsidR="0031439E" w:rsidRDefault="0031439E" w:rsidP="0031439E">
            <w:pPr>
              <w:rPr>
                <w:rFonts w:ascii="Palatino Linotype" w:hAnsi="Palatino Linotype" w:cstheme="minorHAnsi"/>
                <w:sz w:val="18"/>
                <w:szCs w:val="18"/>
              </w:rPr>
            </w:pPr>
            <w:r w:rsidRPr="006A1E5F">
              <w:rPr>
                <w:rFonts w:ascii="Palatino Linotype" w:hAnsi="Palatino Linotype" w:cs="Arial"/>
                <w:sz w:val="18"/>
                <w:szCs w:val="18"/>
                <w:lang w:eastAsia="el-GR"/>
              </w:rPr>
              <w:t xml:space="preserve"> </w:t>
            </w:r>
          </w:p>
        </w:tc>
        <w:tc>
          <w:tcPr>
            <w:tcW w:w="2173" w:type="dxa"/>
          </w:tcPr>
          <w:p w14:paraId="1D25F6AA" w14:textId="1B2529BA" w:rsidR="0031439E" w:rsidRPr="006A1E5F" w:rsidRDefault="0031439E" w:rsidP="0031439E">
            <w:pPr>
              <w:rPr>
                <w:rFonts w:ascii="Palatino Linotype" w:hAnsi="Palatino Linotype" w:cs="Arial"/>
                <w:sz w:val="18"/>
                <w:szCs w:val="18"/>
                <w:lang w:eastAsia="el-GR"/>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{"citationItems":[{"id":"ITEM-1","itemData":{"DOI":"10.1016/S0006-3223(96)00543-4","ISSN":"0006-3223","PMID":"9084902","author":[{"dropping-particle":"","family":"Chen","given":"C H","non-dropping-particle":"","parse-names":false,"suffix":""},{"dropping-particle":"","family":"Wei","given":"F C","non-dropping-particle":"","parse-names":false,"suffix":""},{"dropping-particle":"","family":"Koong","given":"F J","non-dropping-particle":"","parse-names":false,"suffix":""},{"dropping-particle":"","family":"Hsiao","given":"K J","non-dropping-particle":"","parse-names":false,"suffix":""}],"container-title":"Biological psychiatry","id":"ITEM-1","issue":"7","issued":{"date-parts":[["1997","4","1"]]},"page":"827-9","title":"Association of TaqI A polymorphism of dopamine D2 receptor gene and tardive dyskinesia in schizophrenia.","type":"article-journal","volume":"41"},"uris":["http://www.mendeley.com/documents/?uuid=d9ca63da-6720-3b2f-ad35-eb6f0d6f7893"]}],"mendeley":{"formattedCitation":"(Chen et al. 1997)","plainTextFormattedCitation":"(Chen et al. 1997)","previouslyFormattedCitation":"(Chen et al. 1997)"},"properties":{"noteIndex":0},"schema":"https://github.com/citation-style-language/schema/raw/master/csl-citation.json"}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(Chen et al. 1997)</w:t>
            </w:r>
            <w:r w:rsidRPr="006A1E5F">
              <w:rPr>
                <w:rFonts w:ascii="Palatino Linotype" w:hAnsi="Palatino Linotype" w:cstheme="minorHAnsi"/>
                <w:sz w:val="18"/>
                <w:szCs w:val="18"/>
              </w:rPr>
              <w:fldChar w:fldCharType="end"/>
            </w:r>
          </w:p>
        </w:tc>
      </w:tr>
      <w:tr w:rsidR="0031439E" w:rsidRPr="00EA57B8" w14:paraId="4A4DE038" w14:textId="5474A828" w:rsidTr="0031439E">
        <w:tc>
          <w:tcPr>
            <w:tcW w:w="1094" w:type="dxa"/>
          </w:tcPr>
          <w:p w14:paraId="5CA56CA0" w14:textId="70D7328A"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5-HTT (SLC6A4)</w:t>
            </w:r>
          </w:p>
        </w:tc>
        <w:tc>
          <w:tcPr>
            <w:tcW w:w="1080" w:type="dxa"/>
          </w:tcPr>
          <w:p w14:paraId="51451642" w14:textId="0ABAD5A4" w:rsidR="0031439E" w:rsidRPr="006A1E5F" w:rsidRDefault="0031439E" w:rsidP="0031439E">
            <w:pPr>
              <w:rPr>
                <w:rFonts w:ascii="Palatino Linotype" w:hAnsi="Palatino Linotype" w:cstheme="minorHAnsi"/>
                <w:iCs/>
                <w:sz w:val="18"/>
                <w:szCs w:val="18"/>
              </w:rPr>
            </w:pPr>
            <w:r w:rsidRPr="006A1E5F">
              <w:rPr>
                <w:rStyle w:val="st"/>
                <w:rFonts w:ascii="Palatino Linotype" w:hAnsi="Palatino Linotype"/>
                <w:sz w:val="18"/>
                <w:szCs w:val="18"/>
              </w:rPr>
              <w:t>5-HTTLPR VNTR</w:t>
            </w:r>
          </w:p>
        </w:tc>
        <w:tc>
          <w:tcPr>
            <w:tcW w:w="1080" w:type="dxa"/>
          </w:tcPr>
          <w:p w14:paraId="6273BD8A" w14:textId="3CA2B1A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188</w:t>
            </w:r>
          </w:p>
        </w:tc>
        <w:tc>
          <w:tcPr>
            <w:tcW w:w="1170" w:type="dxa"/>
          </w:tcPr>
          <w:p w14:paraId="0D3B2FA0" w14:textId="4885E234"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Chinese </w:t>
            </w:r>
          </w:p>
        </w:tc>
        <w:tc>
          <w:tcPr>
            <w:tcW w:w="1350" w:type="dxa"/>
          </w:tcPr>
          <w:p w14:paraId="329ED475" w14:textId="5343C7DF"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12496359" w14:textId="6A578DD3" w:rsidR="0031439E" w:rsidRPr="006A1E5F"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170" w:type="dxa"/>
          </w:tcPr>
          <w:p w14:paraId="247514D1" w14:textId="3BE8D35C"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3AAC5457" w14:textId="6E0145FD"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Neuroleptics </w:t>
            </w:r>
          </w:p>
        </w:tc>
        <w:tc>
          <w:tcPr>
            <w:tcW w:w="1350" w:type="dxa"/>
          </w:tcPr>
          <w:p w14:paraId="002C7336" w14:textId="41E6E562"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NA </w:t>
            </w:r>
          </w:p>
        </w:tc>
        <w:tc>
          <w:tcPr>
            <w:tcW w:w="2507" w:type="dxa"/>
          </w:tcPr>
          <w:p w14:paraId="444C9DC8" w14:textId="51FABEC9"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1A63DC8D" w14:textId="55AE3B48"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{"citationItems":[{"id":"ITEM-1","itemData":{"ISSN":"0148-7299","PMID":"11121166","abstract":"Neuroleptics are the mainstay of treatment for schizophrenia, but one of the complications is the development of tardive dyskinesia (TD). The pathophysiology of TD may involve dopamine-serotonin interaction. The serotonin transporter participates in the reuptake and termination of serotonin neurotransmission, and the gene that codes for this protein is thus a candidate gene for the development of TD. There is a functional polymorphism in the transcriptional control region of the serotonin transporter gene, and we investigated the association between this polymorphism and TD in Chinese schizophrenic patients. The patients who did not differ in age and sex distribution did not show variation on the rates of TD and Abnormal Involuntary Movements Scale (AIMS) scores with genotypes. Our findings suggest that 5-HTTLPR polymorphism is not a risk factor for TD in Chinese. Am. J. Med. Genet. (Neuropsychiatr. Genet.) 96:712-715, 2000.","author":[{"dropping-particle":"","family":"Chong","given":"S A","non-dropping-particle":"","parse-names":false,"suffix":""},{"dropping-particle":"","family":"Tan","given":"E C","non-dropping-particle":"","parse-names":false,"suffix":""},{"dropping-particle":"","family":"Tan","given":"C H","non-dropping-particle":"","parse-names":false,"suffix":""},{"dropping-particle":"","family":"Mahendren","given":"R","non-dropping-particle":"","parse-names":false,"suffix":""},{"dropping-particle":"","family":"Tay","given":"A H","non-dropping-particle":"","parse-names":false,"suffix":""},{"dropping-particle":"","family":"Chua","given":"H C","non-dropping-particle":"","parse-names":false,"suffix":""}],"container-title":"American journal of medical genetics","id":"ITEM-1","issue":"6","issued":{"date-parts":[["2000","12","4"]]},"page":"712-5","title":"Tardive dyskinesia is not associated with the serotonin gene polymorphism (5-HTTLPR) in Chinese.","type":"article-journal","volume":"96"},"uris":["http://www.mendeley.com/documents/?uuid=03829e0a-4c03-37c1-8045-24def00f0aa9"]}],"mendeley":{"formattedCitation":"(Chong et al. 2000)","plainTextFormattedCitation":"(Chong et al. 2000)","previouslyFormattedCitation":"(Chong et al. 2000)"},"properties":{"noteIndex":0},"schema":"https://github.com/citation-style-language/schema/raw/master/csl-citation.json"}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(Chong et al. 2000)</w:t>
            </w:r>
            <w:r w:rsidRPr="006A1E5F">
              <w:rPr>
                <w:rFonts w:ascii="Palatino Linotype" w:hAnsi="Palatino Linotype" w:cstheme="minorHAnsi"/>
                <w:sz w:val="18"/>
                <w:szCs w:val="18"/>
              </w:rPr>
              <w:fldChar w:fldCharType="end"/>
            </w:r>
          </w:p>
        </w:tc>
      </w:tr>
      <w:tr w:rsidR="0031439E" w:rsidRPr="00EA57B8" w14:paraId="385734ED" w14:textId="0410D4C8" w:rsidTr="0031439E">
        <w:tc>
          <w:tcPr>
            <w:tcW w:w="1094" w:type="dxa"/>
          </w:tcPr>
          <w:p w14:paraId="165DE76B" w14:textId="7777777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DRD2 &amp; DRD3</w:t>
            </w:r>
          </w:p>
        </w:tc>
        <w:tc>
          <w:tcPr>
            <w:tcW w:w="1080" w:type="dxa"/>
          </w:tcPr>
          <w:p w14:paraId="2B83C0D3" w14:textId="77777777"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iCs/>
                <w:sz w:val="18"/>
                <w:szCs w:val="18"/>
              </w:rPr>
              <w:t>rs</w:t>
            </w:r>
            <w:r w:rsidRPr="006A1E5F">
              <w:rPr>
                <w:rFonts w:ascii="Palatino Linotype" w:hAnsi="Palatino Linotype" w:cstheme="minorHAnsi"/>
                <w:sz w:val="18"/>
                <w:szCs w:val="18"/>
              </w:rPr>
              <w:t>801028 (</w:t>
            </w:r>
            <w:r w:rsidRPr="00DD0B28">
              <w:rPr>
                <w:rFonts w:ascii="Palatino Linotype" w:hAnsi="Palatino Linotype" w:cstheme="minorHAnsi"/>
                <w:i/>
                <w:iCs/>
                <w:sz w:val="18"/>
                <w:szCs w:val="18"/>
              </w:rPr>
              <w:t>DRD2</w:t>
            </w:r>
            <w:r w:rsidRPr="006A1E5F">
              <w:rPr>
                <w:rFonts w:ascii="Palatino Linotype" w:hAnsi="Palatino Linotype" w:cstheme="minorHAnsi"/>
                <w:sz w:val="18"/>
                <w:szCs w:val="18"/>
              </w:rPr>
              <w:t>), rs6280 (</w:t>
            </w:r>
            <w:r w:rsidRPr="00DD0B28">
              <w:rPr>
                <w:rFonts w:ascii="Palatino Linotype" w:hAnsi="Palatino Linotype" w:cstheme="minorHAnsi"/>
                <w:i/>
                <w:iCs/>
                <w:sz w:val="18"/>
                <w:szCs w:val="18"/>
              </w:rPr>
              <w:t>DRD3</w:t>
            </w:r>
            <w:r w:rsidRPr="006A1E5F">
              <w:rPr>
                <w:rFonts w:ascii="Palatino Linotype" w:hAnsi="Palatino Linotype" w:cstheme="minorHAnsi"/>
                <w:sz w:val="18"/>
                <w:szCs w:val="18"/>
              </w:rPr>
              <w:t>)</w:t>
            </w:r>
          </w:p>
        </w:tc>
        <w:tc>
          <w:tcPr>
            <w:tcW w:w="1080" w:type="dxa"/>
          </w:tcPr>
          <w:p w14:paraId="78892708" w14:textId="7777777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117 </w:t>
            </w:r>
          </w:p>
        </w:tc>
        <w:tc>
          <w:tcPr>
            <w:tcW w:w="1170" w:type="dxa"/>
          </w:tcPr>
          <w:p w14:paraId="40AB4994" w14:textId="7777777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Chinese</w:t>
            </w:r>
          </w:p>
        </w:tc>
        <w:tc>
          <w:tcPr>
            <w:tcW w:w="1350" w:type="dxa"/>
          </w:tcPr>
          <w:p w14:paraId="06328D5C" w14:textId="77777777"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5C65A6B0"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42B8847B" w14:textId="77777777"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3BBF34A8" w14:textId="7777777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3153DFEF" w14:textId="7777777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79C29190" w14:textId="7777777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 for none of the studied polymorphisms</w:t>
            </w:r>
          </w:p>
        </w:tc>
        <w:tc>
          <w:tcPr>
            <w:tcW w:w="2173" w:type="dxa"/>
          </w:tcPr>
          <w:p w14:paraId="14BFC20B" w14:textId="18F3E0A9"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{"citationItems":[{"id":"ITEM-1","itemData":{"DOI":"10.1002/ajmg.b.10004","ISSN":"1552-4841","PMID":"12497614","abstract":"The putative role of dopamine in the pathophysiology of tardive dyskinesia (TD) makes the genes coding for dopamine receptors the appropriate candidates for study. We investigate the association of the polymorphism of the Ser311Cys and Ser9Gly of the dopamine D2 (DRD2) and D3 receptor (DRD3) genes respectively with TD in Chinese patients with schizophrenia. In a case-control study, 117 Chinese patients with TD were compared to 200 patients without TD. Patients were diagnosed to have schizophrenia according to DSM-IV criteria. Dyskinesia was assessed by the Abnormal Involuntary Movement Scale (AIMS), whereas extrapyramidal side-effects (EPSE) were assessed by the Simpson-Angus Rating Scale. Genotype groups were comparable in age, gender, duration of illness, daily neuroleptic and benzodiazepine dose as well as the mean scores for EPSE. We failed to find an association between the polymorphism of the DRD2 gene with TD but found an increased risk of developing TD among those with D3 serine/serine genotype. Our results did not indicate that the D2 genotype has a role in the pathophysiology of TD in Chinese patients with schizophrenia. The association of TD with the serine/serine genotype of the DRD3 may be an epiphenomenon of patients with a subtype of schizophrenia who had more exposure to neuroleptics.","author":[{"dropping-particle":"","family":"Chong","given":"Siow-Ann","non-dropping-particle":"","parse-names":false,"suffix":""},{"dropping-particle":"","family":"Tan","given":"Ene-Choo","non-dropping-particle":"","parse-names":false,"suffix":""},{"dropping-particle":"","family":"Tan","given":"Chay Hoon","non-dropping-particle":"","parse-names":false,"suffix":""},{"dropping-particle":"","family":"Mythily","given":"","non-dropping-particle":"","parse-names":false,"suffix":""},{"dropping-particle":"","family":"Chan","given":"Yiong Huak","non-dropping-particle":"","parse-names":false,"suffix":""}],"container-title":"American journal of medical genetics. Part B, Neuropsychiatric genetics : the official publication of the International Society of Psychiatric Genetics","id":"ITEM-1","issue":"1","issued":{"date-parts":[["2003","1","1"]]},"page":"51-4","title":"Polymorphisms of dopamine receptors and tardive dyskinesia among Chinese patients with schizophrenia.","type":"article-journal","volume":"116B"},"uris":["http://www.mendeley.com/documents/?uuid=6212de40-79dd-3582-95cd-e739ec6cade9"]}],"mendeley":{"formattedCitation":"(Chong et al. 2003a)","plainTextFormattedCitation":"(Chong et al. 2003a)","previouslyFormattedCitation":"(Chong et al. 2003a)"},"properties":{"noteIndex":0},"schema":"https://github.com/citation-style-language/schema/raw/master/csl-citation.json"}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(Chong et al. 2003a)</w:t>
            </w:r>
            <w:r w:rsidRPr="006A1E5F">
              <w:rPr>
                <w:rFonts w:ascii="Palatino Linotype" w:hAnsi="Palatino Linotype" w:cstheme="minorHAnsi"/>
                <w:sz w:val="18"/>
                <w:szCs w:val="18"/>
              </w:rPr>
              <w:fldChar w:fldCharType="end"/>
            </w:r>
          </w:p>
        </w:tc>
      </w:tr>
      <w:tr w:rsidR="0031439E" w:rsidRPr="00EA57B8" w14:paraId="3FD09060" w14:textId="1B83DB1E" w:rsidTr="0031439E">
        <w:tc>
          <w:tcPr>
            <w:tcW w:w="1094" w:type="dxa"/>
          </w:tcPr>
          <w:p w14:paraId="60251CED" w14:textId="6F30C32F" w:rsidR="0031439E" w:rsidRPr="000F3F98" w:rsidRDefault="0031439E" w:rsidP="0031439E">
            <w:pPr>
              <w:rPr>
                <w:rFonts w:ascii="Palatino Linotype" w:hAnsi="Palatino Linotype" w:cstheme="minorHAnsi"/>
                <w:i/>
                <w:iCs/>
                <w:sz w:val="18"/>
                <w:szCs w:val="18"/>
              </w:rPr>
            </w:pPr>
            <w:r w:rsidRPr="000F3F98">
              <w:rPr>
                <w:rFonts w:ascii="Palatino Linotype" w:hAnsi="Palatino Linotype"/>
                <w:i/>
                <w:iCs/>
                <w:sz w:val="18"/>
                <w:szCs w:val="18"/>
              </w:rPr>
              <w:t>DRD2, DRD3, GSTT1, GSTM1</w:t>
            </w:r>
          </w:p>
        </w:tc>
        <w:tc>
          <w:tcPr>
            <w:tcW w:w="1080" w:type="dxa"/>
          </w:tcPr>
          <w:p w14:paraId="18881A29" w14:textId="77777777" w:rsidR="0031439E" w:rsidRDefault="0031439E" w:rsidP="0031439E">
            <w:pPr>
              <w:rPr>
                <w:rFonts w:ascii="Palatino Linotype" w:hAnsi="Palatino Linotype"/>
                <w:sz w:val="18"/>
                <w:szCs w:val="18"/>
              </w:rPr>
            </w:pPr>
            <w:r w:rsidRPr="00875BDC">
              <w:rPr>
                <w:rFonts w:ascii="Palatino Linotype" w:hAnsi="Palatino Linotype"/>
                <w:sz w:val="18"/>
                <w:szCs w:val="18"/>
              </w:rPr>
              <w:t>rs1801028</w:t>
            </w:r>
            <w:r>
              <w:rPr>
                <w:rFonts w:ascii="Palatino Linotype" w:hAnsi="Palatino Linotype"/>
                <w:sz w:val="18"/>
                <w:szCs w:val="18"/>
              </w:rPr>
              <w:t xml:space="preserve"> and </w:t>
            </w:r>
          </w:p>
          <w:p w14:paraId="0AD3A2BE" w14:textId="45B196A7" w:rsidR="0031439E" w:rsidRPr="00924ABD" w:rsidRDefault="0031439E" w:rsidP="0031439E">
            <w:pPr>
              <w:rPr>
                <w:rFonts w:ascii="Palatino Linotype" w:hAnsi="Palatino Linotype" w:cstheme="minorHAnsi"/>
                <w:sz w:val="18"/>
                <w:szCs w:val="18"/>
              </w:rPr>
            </w:pPr>
            <w:r w:rsidRPr="00875BDC">
              <w:rPr>
                <w:rFonts w:ascii="Palatino Linotype" w:hAnsi="Palatino Linotype"/>
                <w:sz w:val="18"/>
                <w:szCs w:val="18"/>
              </w:rPr>
              <w:t>rs1799732</w:t>
            </w:r>
            <w:r>
              <w:rPr>
                <w:rFonts w:ascii="Palatino Linotype" w:hAnsi="Palatino Linotype"/>
                <w:sz w:val="18"/>
                <w:szCs w:val="18"/>
              </w:rPr>
              <w:t xml:space="preserve"> (</w:t>
            </w:r>
            <w:r w:rsidRPr="00283A33">
              <w:rPr>
                <w:rFonts w:ascii="Palatino Linotype" w:hAnsi="Palatino Linotype"/>
                <w:sz w:val="18"/>
                <w:szCs w:val="18"/>
              </w:rPr>
              <w:t>DRD2</w:t>
            </w:r>
            <w:r>
              <w:rPr>
                <w:rFonts w:ascii="Palatino Linotype" w:hAnsi="Palatino Linotype"/>
                <w:sz w:val="18"/>
                <w:szCs w:val="18"/>
              </w:rPr>
              <w:t xml:space="preserve">), rs6280 </w:t>
            </w:r>
            <w:r w:rsidRPr="00283A33">
              <w:rPr>
                <w:rFonts w:ascii="Palatino Linotype" w:hAnsi="Palatino Linotype"/>
                <w:sz w:val="18"/>
                <w:szCs w:val="18"/>
              </w:rPr>
              <w:t>(DRD3</w:t>
            </w:r>
            <w:r>
              <w:rPr>
                <w:rFonts w:ascii="Palatino Linotype" w:hAnsi="Palatino Linotype"/>
                <w:sz w:val="18"/>
                <w:szCs w:val="18"/>
              </w:rPr>
              <w:t xml:space="preserve">), </w:t>
            </w:r>
            <w:r w:rsidRPr="000A43FC">
              <w:rPr>
                <w:rFonts w:ascii="Palatino Linotype" w:hAnsi="Palatino Linotype"/>
                <w:sz w:val="18"/>
                <w:szCs w:val="18"/>
              </w:rPr>
              <w:t xml:space="preserve">GSTM1 and </w:t>
            </w:r>
            <w:r w:rsidRPr="000A43FC">
              <w:rPr>
                <w:rFonts w:ascii="Palatino Linotype" w:hAnsi="Palatino Linotype"/>
                <w:sz w:val="18"/>
                <w:szCs w:val="18"/>
              </w:rPr>
              <w:lastRenderedPageBreak/>
              <w:t>GSTT1 deletions</w:t>
            </w:r>
          </w:p>
        </w:tc>
        <w:tc>
          <w:tcPr>
            <w:tcW w:w="1080" w:type="dxa"/>
          </w:tcPr>
          <w:p w14:paraId="627C1FE3" w14:textId="77777777" w:rsidR="0031439E" w:rsidRPr="00AE2DED" w:rsidRDefault="0031439E" w:rsidP="0031439E">
            <w:pPr>
              <w:rPr>
                <w:rFonts w:ascii="Palatino Linotype" w:hAnsi="Palatino Linotype"/>
                <w:sz w:val="18"/>
                <w:szCs w:val="18"/>
                <w:lang w:val="it-IT"/>
                <w:rPrChange w:id="56" w:author="Samson Oyebanjo" w:date="2021-12-31T16:52:00Z">
                  <w:rPr>
                    <w:rFonts w:ascii="Palatino Linotype" w:hAnsi="Palatino Linotype"/>
                    <w:sz w:val="18"/>
                    <w:szCs w:val="18"/>
                  </w:rPr>
                </w:rPrChange>
              </w:rPr>
            </w:pPr>
            <w:r w:rsidRPr="00AE2DED">
              <w:rPr>
                <w:rFonts w:ascii="Palatino Linotype" w:hAnsi="Palatino Linotype"/>
                <w:sz w:val="18"/>
                <w:szCs w:val="18"/>
                <w:lang w:val="it-IT"/>
                <w:rPrChange w:id="57" w:author="Samson Oyebanjo" w:date="2021-12-31T16:52:00Z">
                  <w:rPr>
                    <w:rFonts w:ascii="Palatino Linotype" w:hAnsi="Palatino Linotype"/>
                    <w:sz w:val="18"/>
                    <w:szCs w:val="18"/>
                  </w:rPr>
                </w:rPrChange>
              </w:rPr>
              <w:lastRenderedPageBreak/>
              <w:t>risperidone, olanzapine,</w:t>
            </w:r>
          </w:p>
          <w:p w14:paraId="4EE032B0" w14:textId="77777777" w:rsidR="0031439E" w:rsidRPr="00AE2DED" w:rsidRDefault="0031439E" w:rsidP="0031439E">
            <w:pPr>
              <w:rPr>
                <w:rFonts w:ascii="Palatino Linotype" w:hAnsi="Palatino Linotype"/>
                <w:sz w:val="18"/>
                <w:szCs w:val="18"/>
                <w:lang w:val="it-IT"/>
                <w:rPrChange w:id="58" w:author="Samson Oyebanjo" w:date="2021-12-31T16:52:00Z">
                  <w:rPr>
                    <w:rFonts w:ascii="Palatino Linotype" w:hAnsi="Palatino Linotype"/>
                    <w:sz w:val="18"/>
                    <w:szCs w:val="18"/>
                  </w:rPr>
                </w:rPrChange>
              </w:rPr>
            </w:pPr>
            <w:r w:rsidRPr="00AE2DED">
              <w:rPr>
                <w:rFonts w:ascii="Palatino Linotype" w:hAnsi="Palatino Linotype"/>
                <w:sz w:val="18"/>
                <w:szCs w:val="18"/>
                <w:lang w:val="it-IT"/>
                <w:rPrChange w:id="59" w:author="Samson Oyebanjo" w:date="2021-12-31T16:52:00Z">
                  <w:rPr>
                    <w:rFonts w:ascii="Palatino Linotype" w:hAnsi="Palatino Linotype"/>
                    <w:sz w:val="18"/>
                    <w:szCs w:val="18"/>
                  </w:rPr>
                </w:rPrChange>
              </w:rPr>
              <w:t>FGAs, and</w:t>
            </w:r>
          </w:p>
          <w:p w14:paraId="7417030D" w14:textId="0A056102" w:rsidR="0031439E" w:rsidRPr="00AE2DED" w:rsidRDefault="0031439E" w:rsidP="0031439E">
            <w:pPr>
              <w:rPr>
                <w:rFonts w:ascii="Palatino Linotype" w:hAnsi="Palatino Linotype" w:cstheme="minorHAnsi"/>
                <w:sz w:val="18"/>
                <w:szCs w:val="18"/>
                <w:lang w:val="it-IT"/>
                <w:rPrChange w:id="60" w:author="Samson Oyebanjo" w:date="2021-12-31T16:52:00Z">
                  <w:rPr>
                    <w:rFonts w:ascii="Palatino Linotype" w:hAnsi="Palatino Linotype" w:cstheme="minorHAnsi"/>
                    <w:sz w:val="18"/>
                    <w:szCs w:val="18"/>
                  </w:rPr>
                </w:rPrChange>
              </w:rPr>
            </w:pPr>
            <w:r w:rsidRPr="00AE2DED">
              <w:rPr>
                <w:rFonts w:ascii="Palatino Linotype" w:hAnsi="Palatino Linotype"/>
                <w:sz w:val="18"/>
                <w:szCs w:val="18"/>
                <w:lang w:val="it-IT"/>
                <w:rPrChange w:id="61" w:author="Samson Oyebanjo" w:date="2021-12-31T16:52:00Z">
                  <w:rPr>
                    <w:rFonts w:ascii="Palatino Linotype" w:hAnsi="Palatino Linotype"/>
                    <w:sz w:val="18"/>
                    <w:szCs w:val="18"/>
                  </w:rPr>
                </w:rPrChange>
              </w:rPr>
              <w:t>quetiapine</w:t>
            </w:r>
          </w:p>
        </w:tc>
        <w:tc>
          <w:tcPr>
            <w:tcW w:w="1170" w:type="dxa"/>
          </w:tcPr>
          <w:p w14:paraId="31DCF41F" w14:textId="0B673FC1" w:rsidR="0031439E" w:rsidRDefault="0031439E" w:rsidP="0031439E">
            <w:pPr>
              <w:rPr>
                <w:rFonts w:ascii="Palatino Linotype" w:hAnsi="Palatino Linotype"/>
                <w:sz w:val="18"/>
                <w:szCs w:val="18"/>
              </w:rPr>
            </w:pPr>
            <w:r w:rsidRPr="00B04EEF">
              <w:rPr>
                <w:rFonts w:ascii="Palatino Linotype" w:hAnsi="Palatino Linotype"/>
                <w:sz w:val="18"/>
                <w:szCs w:val="18"/>
              </w:rPr>
              <w:t>516</w:t>
            </w:r>
            <w:r>
              <w:rPr>
                <w:rFonts w:ascii="Palatino Linotype" w:hAnsi="Palatino Linotype"/>
                <w:sz w:val="18"/>
                <w:szCs w:val="18"/>
              </w:rPr>
              <w:t xml:space="preserve"> (</w:t>
            </w:r>
            <w:r w:rsidRPr="00B04EEF">
              <w:rPr>
                <w:rFonts w:ascii="Palatino Linotype" w:hAnsi="Palatino Linotype"/>
                <w:sz w:val="18"/>
                <w:szCs w:val="18"/>
              </w:rPr>
              <w:t>162</w:t>
            </w:r>
            <w:r>
              <w:rPr>
                <w:rFonts w:ascii="Palatino Linotype" w:hAnsi="Palatino Linotype"/>
                <w:sz w:val="18"/>
                <w:szCs w:val="18"/>
              </w:rPr>
              <w:t xml:space="preserve"> </w:t>
            </w:r>
            <w:r w:rsidRPr="00B04EEF">
              <w:rPr>
                <w:rFonts w:ascii="Palatino Linotype" w:hAnsi="Palatino Linotype"/>
                <w:sz w:val="18"/>
                <w:szCs w:val="18"/>
              </w:rPr>
              <w:t>with TD</w:t>
            </w:r>
            <w:r>
              <w:rPr>
                <w:rFonts w:ascii="Palatino Linotype" w:hAnsi="Palatino Linotype"/>
                <w:sz w:val="18"/>
                <w:szCs w:val="18"/>
              </w:rPr>
              <w:t>)</w:t>
            </w:r>
          </w:p>
        </w:tc>
        <w:tc>
          <w:tcPr>
            <w:tcW w:w="1350" w:type="dxa"/>
          </w:tcPr>
          <w:p w14:paraId="048E2068" w14:textId="1305812B" w:rsidR="0031439E" w:rsidRPr="00924ABD" w:rsidRDefault="0031439E" w:rsidP="0031439E">
            <w:pPr>
              <w:rPr>
                <w:rFonts w:ascii="Palatino Linotype" w:hAnsi="Palatino Linotype" w:cstheme="minorHAnsi"/>
                <w:sz w:val="18"/>
                <w:szCs w:val="18"/>
              </w:rPr>
            </w:pPr>
            <w:r>
              <w:rPr>
                <w:rFonts w:ascii="Palatino Linotype" w:hAnsi="Palatino Linotype"/>
                <w:sz w:val="18"/>
                <w:szCs w:val="18"/>
              </w:rPr>
              <w:t xml:space="preserve">Caucasian </w:t>
            </w:r>
          </w:p>
        </w:tc>
        <w:tc>
          <w:tcPr>
            <w:tcW w:w="1260" w:type="dxa"/>
          </w:tcPr>
          <w:p w14:paraId="55390EFC" w14:textId="77777777" w:rsidR="0031439E" w:rsidRPr="00CB51F0" w:rsidRDefault="0031439E" w:rsidP="0031439E">
            <w:pPr>
              <w:rPr>
                <w:rFonts w:ascii="Palatino Linotype" w:hAnsi="Palatino Linotype"/>
                <w:sz w:val="18"/>
                <w:szCs w:val="18"/>
              </w:rPr>
            </w:pPr>
            <w:r w:rsidRPr="00CB51F0">
              <w:rPr>
                <w:rFonts w:ascii="Palatino Linotype" w:hAnsi="Palatino Linotype"/>
                <w:sz w:val="18"/>
                <w:szCs w:val="18"/>
              </w:rPr>
              <w:t>Schizophrenia</w:t>
            </w:r>
            <w:r>
              <w:rPr>
                <w:rFonts w:ascii="Palatino Linotype" w:hAnsi="Palatino Linotype"/>
                <w:sz w:val="18"/>
                <w:szCs w:val="18"/>
              </w:rPr>
              <w:t xml:space="preserve">, </w:t>
            </w:r>
            <w:r w:rsidRPr="00CB51F0">
              <w:rPr>
                <w:rFonts w:ascii="Palatino Linotype" w:hAnsi="Palatino Linotype"/>
                <w:sz w:val="18"/>
                <w:szCs w:val="18"/>
              </w:rPr>
              <w:t>schizoaffective</w:t>
            </w:r>
          </w:p>
          <w:p w14:paraId="0900B483" w14:textId="77777777" w:rsidR="0031439E" w:rsidRPr="00CB51F0" w:rsidRDefault="0031439E" w:rsidP="0031439E">
            <w:pPr>
              <w:rPr>
                <w:rFonts w:ascii="Palatino Linotype" w:hAnsi="Palatino Linotype"/>
                <w:sz w:val="18"/>
                <w:szCs w:val="18"/>
              </w:rPr>
            </w:pPr>
            <w:r>
              <w:rPr>
                <w:rFonts w:ascii="Palatino Linotype" w:hAnsi="Palatino Linotype"/>
                <w:sz w:val="18"/>
                <w:szCs w:val="18"/>
              </w:rPr>
              <w:t>d</w:t>
            </w:r>
            <w:r w:rsidRPr="00CB51F0">
              <w:rPr>
                <w:rFonts w:ascii="Palatino Linotype" w:hAnsi="Palatino Linotype"/>
                <w:sz w:val="18"/>
                <w:szCs w:val="18"/>
              </w:rPr>
              <w:t>isorder</w:t>
            </w:r>
            <w:r>
              <w:rPr>
                <w:rFonts w:ascii="Palatino Linotype" w:hAnsi="Palatino Linotype"/>
                <w:sz w:val="18"/>
                <w:szCs w:val="18"/>
              </w:rPr>
              <w:t xml:space="preserve">, </w:t>
            </w:r>
            <w:r w:rsidRPr="00CB51F0">
              <w:rPr>
                <w:rFonts w:ascii="Palatino Linotype" w:hAnsi="Palatino Linotype"/>
                <w:sz w:val="18"/>
                <w:szCs w:val="18"/>
              </w:rPr>
              <w:t>bipolar</w:t>
            </w:r>
          </w:p>
          <w:p w14:paraId="5B7DF2C6" w14:textId="7B19CCB2" w:rsidR="0031439E" w:rsidRPr="006A1E5F" w:rsidRDefault="0031439E" w:rsidP="0031439E">
            <w:pPr>
              <w:rPr>
                <w:rFonts w:ascii="Palatino Linotype" w:hAnsi="Palatino Linotype" w:cstheme="minorHAnsi"/>
                <w:sz w:val="18"/>
                <w:szCs w:val="18"/>
              </w:rPr>
            </w:pPr>
            <w:r w:rsidRPr="00CB51F0">
              <w:rPr>
                <w:rFonts w:ascii="Palatino Linotype" w:hAnsi="Palatino Linotype"/>
                <w:sz w:val="18"/>
                <w:szCs w:val="18"/>
              </w:rPr>
              <w:t>disorder</w:t>
            </w:r>
            <w:r>
              <w:rPr>
                <w:rFonts w:ascii="Palatino Linotype" w:hAnsi="Palatino Linotype"/>
                <w:sz w:val="18"/>
                <w:szCs w:val="18"/>
              </w:rPr>
              <w:t xml:space="preserve"> </w:t>
            </w:r>
            <w:r w:rsidRPr="00CB51F0">
              <w:rPr>
                <w:rFonts w:ascii="Palatino Linotype" w:hAnsi="Palatino Linotype"/>
                <w:sz w:val="18"/>
                <w:szCs w:val="18"/>
              </w:rPr>
              <w:t xml:space="preserve">and major </w:t>
            </w:r>
            <w:r w:rsidRPr="00CB51F0">
              <w:rPr>
                <w:rFonts w:ascii="Palatino Linotype" w:hAnsi="Palatino Linotype"/>
                <w:sz w:val="18"/>
                <w:szCs w:val="18"/>
              </w:rPr>
              <w:lastRenderedPageBreak/>
              <w:t>depressive disorder</w:t>
            </w:r>
          </w:p>
        </w:tc>
        <w:tc>
          <w:tcPr>
            <w:tcW w:w="1170" w:type="dxa"/>
          </w:tcPr>
          <w:p w14:paraId="09D76A3A" w14:textId="27CEB0F7" w:rsidR="0031439E" w:rsidRPr="003E2E63" w:rsidRDefault="0031439E" w:rsidP="0031439E">
            <w:pPr>
              <w:rPr>
                <w:rFonts w:ascii="Palatino Linotype" w:hAnsi="Palatino Linotype" w:cstheme="minorHAnsi"/>
                <w:sz w:val="18"/>
                <w:szCs w:val="18"/>
              </w:rPr>
            </w:pPr>
            <w:r>
              <w:rPr>
                <w:rFonts w:ascii="Palatino Linotype" w:hAnsi="Palatino Linotype"/>
                <w:sz w:val="18"/>
                <w:szCs w:val="18"/>
              </w:rPr>
              <w:lastRenderedPageBreak/>
              <w:t>NA</w:t>
            </w:r>
          </w:p>
        </w:tc>
        <w:tc>
          <w:tcPr>
            <w:tcW w:w="1170" w:type="dxa"/>
          </w:tcPr>
          <w:p w14:paraId="2812F3CF" w14:textId="3F67C793" w:rsidR="0031439E" w:rsidRDefault="0031439E" w:rsidP="0031439E">
            <w:pPr>
              <w:rPr>
                <w:rFonts w:ascii="Palatino Linotype" w:hAnsi="Palatino Linotype" w:cstheme="minorHAnsi"/>
                <w:sz w:val="18"/>
                <w:szCs w:val="18"/>
              </w:rPr>
            </w:pPr>
            <w:r>
              <w:rPr>
                <w:rFonts w:ascii="Palatino Linotype" w:hAnsi="Palatino Linotype"/>
                <w:sz w:val="18"/>
                <w:szCs w:val="18"/>
              </w:rPr>
              <w:t>AIMS</w:t>
            </w:r>
          </w:p>
        </w:tc>
        <w:tc>
          <w:tcPr>
            <w:tcW w:w="1350" w:type="dxa"/>
          </w:tcPr>
          <w:p w14:paraId="7A2023A3" w14:textId="0B60360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Allele specific PCR or </w:t>
            </w:r>
            <w:proofErr w:type="spellStart"/>
            <w:r w:rsidRPr="00875BDC">
              <w:rPr>
                <w:rFonts w:ascii="Palatino Linotype" w:hAnsi="Palatino Linotype" w:cstheme="minorHAnsi"/>
                <w:sz w:val="18"/>
                <w:szCs w:val="18"/>
              </w:rPr>
              <w:t>Amplichip</w:t>
            </w:r>
            <w:proofErr w:type="spellEnd"/>
            <w:r>
              <w:rPr>
                <w:rFonts w:ascii="Palatino Linotype" w:hAnsi="Palatino Linotype" w:cstheme="minorHAnsi"/>
                <w:sz w:val="18"/>
                <w:szCs w:val="18"/>
              </w:rPr>
              <w:t xml:space="preserve"> </w:t>
            </w:r>
            <w:r w:rsidRPr="00875BDC">
              <w:rPr>
                <w:rFonts w:ascii="Palatino Linotype" w:hAnsi="Palatino Linotype" w:cstheme="minorHAnsi"/>
                <w:sz w:val="18"/>
                <w:szCs w:val="18"/>
              </w:rPr>
              <w:t>P450 microarray</w:t>
            </w:r>
            <w:r>
              <w:rPr>
                <w:rFonts w:ascii="Palatino Linotype" w:hAnsi="Palatino Linotype" w:cstheme="minorHAnsi"/>
                <w:sz w:val="18"/>
                <w:szCs w:val="18"/>
              </w:rPr>
              <w:t xml:space="preserve"> and others</w:t>
            </w:r>
          </w:p>
        </w:tc>
        <w:tc>
          <w:tcPr>
            <w:tcW w:w="2507" w:type="dxa"/>
          </w:tcPr>
          <w:p w14:paraId="3E042372" w14:textId="0506A74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Pr>
                <w:rFonts w:ascii="Palatino Linotype" w:hAnsi="Palatino Linotype"/>
                <w:sz w:val="18"/>
                <w:szCs w:val="18"/>
              </w:rPr>
              <w:t xml:space="preserve">rs6280 and </w:t>
            </w:r>
            <w:r w:rsidRPr="00053A9A">
              <w:rPr>
                <w:rFonts w:ascii="Palatino Linotype" w:hAnsi="Palatino Linotype" w:cstheme="minorHAnsi"/>
                <w:sz w:val="18"/>
                <w:szCs w:val="18"/>
              </w:rPr>
              <w:t>TD</w:t>
            </w:r>
            <w:r>
              <w:rPr>
                <w:rFonts w:ascii="Palatino Linotype" w:hAnsi="Palatino Linotype" w:cstheme="minorHAnsi"/>
                <w:sz w:val="18"/>
                <w:szCs w:val="18"/>
              </w:rPr>
              <w:t xml:space="preserve"> </w:t>
            </w:r>
            <w:r w:rsidRPr="00053A9A">
              <w:rPr>
                <w:rFonts w:ascii="Palatino Linotype" w:hAnsi="Palatino Linotype" w:cstheme="minorHAnsi"/>
                <w:sz w:val="18"/>
                <w:szCs w:val="18"/>
              </w:rPr>
              <w:t>severity</w:t>
            </w:r>
            <w:r>
              <w:rPr>
                <w:rFonts w:ascii="Palatino Linotype" w:hAnsi="Palatino Linotype" w:cstheme="minorHAnsi"/>
                <w:sz w:val="18"/>
                <w:szCs w:val="18"/>
              </w:rPr>
              <w:t xml:space="preserve">, </w:t>
            </w:r>
            <w:r w:rsidRPr="00865248">
              <w:rPr>
                <w:rFonts w:ascii="Palatino Linotype" w:hAnsi="Palatino Linotype" w:cstheme="minorHAnsi"/>
                <w:sz w:val="18"/>
                <w:szCs w:val="18"/>
              </w:rPr>
              <w:t>and GSTM1 absence</w:t>
            </w:r>
            <w:r>
              <w:rPr>
                <w:rFonts w:ascii="Palatino Linotype" w:hAnsi="Palatino Linotype" w:cstheme="minorHAnsi"/>
                <w:sz w:val="18"/>
                <w:szCs w:val="18"/>
              </w:rPr>
              <w:t xml:space="preserve"> and </w:t>
            </w:r>
            <w:r w:rsidRPr="00865248">
              <w:rPr>
                <w:rFonts w:ascii="Palatino Linotype" w:hAnsi="Palatino Linotype" w:cstheme="minorHAnsi"/>
                <w:sz w:val="18"/>
                <w:szCs w:val="18"/>
              </w:rPr>
              <w:t>TD</w:t>
            </w:r>
            <w:r>
              <w:rPr>
                <w:rFonts w:ascii="Palatino Linotype" w:hAnsi="Palatino Linotype" w:cstheme="minorHAnsi"/>
                <w:sz w:val="18"/>
                <w:szCs w:val="18"/>
              </w:rPr>
              <w:t xml:space="preserve"> development</w:t>
            </w:r>
          </w:p>
        </w:tc>
        <w:tc>
          <w:tcPr>
            <w:tcW w:w="2173" w:type="dxa"/>
          </w:tcPr>
          <w:p w14:paraId="2C79CD70" w14:textId="1588791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{"citationItems":[{"id":"ITEM-1","itemData":{"ISSN":"0271-0749","PMID":"16160620","abstract":"This study tested the association between tardive dyskinesia (TD) and polymorphic variations in (a) 2 cytochrome P450 (CYP) genes (CYP2D6 or CYP3A5), (b) 2 DRD2 variants (Ser311Cys and -141C Ins/del) and the Ser9Gly DRD3 variants, (c) 2 glutathione S-transferases (GSTT1 and GSTM1), and (d) variations in the PgP gene, MDR1. The study sample included 516 severely mentally ill patients from Central Kentucky facilities. Logistic regression models that included clinical variables associated with TD were developed. Gene variants were added to these clinical models. The total sample included 31% (162/516) with TD where 30% (49/162) of those had severe TD. Polymorphisms in DRD2, MDR1, and GSTT1 were never significant. Two gene variants appeared to be significant after adding them to the clinical regression models: (1) Ser9Gly DRD3 polymorphism was associated with severe TD (odds ratio for patients with 1 mutant allele when compared with individuals with 2 wild types was 2.5, 95% confidence interval 1.1-5.6, whereas the odds ratio for patients with 2 mutant alleles when compared with individuals with 1 mutant was 2.8, 95% confidence interval 1.0-7.4), and (2) GSTM1 absence was associated with TD (odds ratio 1.7, 95% confidence interval 1.2-2.4) particularly in white women. The CYP2D6 and CYP3A5 absence showed potential for significant associations in larger samples, particularly in white men. New studies need to replicate whether these or other genes could be used conjointly with clinical variables to identify subjects at risk for TD in clinical settings.","author":[{"dropping-particle":"","family":"Leon","given":"Jose","non-dropping-particle":"de","parse-names":false,"suffix":""},{"dropping-particle":"","family":"Susce","given":"Margaret T","non-dropping-particle":"","parse-names":false,"suffix":""},{"dropping-particle":"","family":"Pan","given":"Run-Mei","non-dropping-particle":"","parse-names":false,"suffix":""},{"dropping-particle":"","family":"Koch","given":"Walter H","non-dropping-particle":"","parse-names":false,"suffix":""},{"dropping-particle":"","family":"Wedlund","given":"Peter J","non-dropping-particle":"","parse-names":false,"suffix":""}],"container-title":"Journal of clinical psychopharmacology","id":"ITEM-1","issue":"5","issued":{"date-parts":[["2005","10"]]},"page":"448-56","title":"Polymorphic variations in GSTM1, GSTT1, PgP, CYP2D6, CYP3A5, and dopamine D2 and D3 receptors and their association with tardive dyskinesia in severe mental illness.","type":"article-journal","volume":"25"},"uris":["http://www.mendeley.com/documents/?uuid=14fc4248-b70d-4d59-a120-10703a777b44"]}],"mendeley":{"formattedCitation":"(de Leon et al. 2005)","plainTextFormattedCitation":"(de Leon et al. 2005)","previouslyFormattedCitation":"(de Leon et al. 2005)"},"properties":{"noteIndex":0},"schema":"https://github.com/citation-style-language/schema/raw/master/csl-citation.json"}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(de Leon et al. 2005)</w:t>
            </w:r>
            <w:r>
              <w:rPr>
                <w:rFonts w:ascii="Palatino Linotype" w:hAnsi="Palatino Linotype" w:cstheme="minorHAnsi"/>
                <w:sz w:val="18"/>
                <w:szCs w:val="18"/>
              </w:rPr>
              <w:fldChar w:fldCharType="end"/>
            </w:r>
          </w:p>
        </w:tc>
      </w:tr>
      <w:tr w:rsidR="0031439E" w:rsidRPr="00EA57B8" w14:paraId="333CE7FE" w14:textId="57CB1CB9" w:rsidTr="0031439E">
        <w:tc>
          <w:tcPr>
            <w:tcW w:w="1094" w:type="dxa"/>
          </w:tcPr>
          <w:p w14:paraId="4B62DE62" w14:textId="5F0630B1"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PIP5K2A</w:t>
            </w:r>
          </w:p>
        </w:tc>
        <w:tc>
          <w:tcPr>
            <w:tcW w:w="1080" w:type="dxa"/>
          </w:tcPr>
          <w:p w14:paraId="2AFA40FA" w14:textId="0B86EE1D" w:rsidR="0031439E" w:rsidRPr="00924ABD" w:rsidRDefault="0031439E" w:rsidP="0031439E">
            <w:pPr>
              <w:rPr>
                <w:rFonts w:ascii="Palatino Linotype" w:hAnsi="Palatino Linotype" w:cstheme="minorHAnsi"/>
                <w:sz w:val="18"/>
                <w:szCs w:val="18"/>
              </w:rPr>
            </w:pPr>
            <w:r w:rsidRPr="00FD269F">
              <w:rPr>
                <w:rStyle w:val="st"/>
                <w:rFonts w:ascii="Palatino Linotype" w:hAnsi="Palatino Linotype"/>
                <w:sz w:val="18"/>
                <w:szCs w:val="18"/>
              </w:rPr>
              <w:t>rs10828317, rs746203, rs8341</w:t>
            </w:r>
          </w:p>
        </w:tc>
        <w:tc>
          <w:tcPr>
            <w:tcW w:w="1080" w:type="dxa"/>
          </w:tcPr>
          <w:p w14:paraId="5D9B7575" w14:textId="5269930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491 (131 with TD)</w:t>
            </w:r>
          </w:p>
        </w:tc>
        <w:tc>
          <w:tcPr>
            <w:tcW w:w="1170" w:type="dxa"/>
          </w:tcPr>
          <w:p w14:paraId="2FF60403" w14:textId="373A0168" w:rsidR="0031439E" w:rsidRDefault="0031439E" w:rsidP="0031439E">
            <w:pPr>
              <w:rPr>
                <w:rFonts w:ascii="Palatino Linotype" w:hAnsi="Palatino Linotype"/>
                <w:sz w:val="18"/>
                <w:szCs w:val="18"/>
              </w:rPr>
            </w:pPr>
            <w:r w:rsidRPr="00B678EB">
              <w:rPr>
                <w:rFonts w:ascii="Palatino Linotype" w:hAnsi="Palatino Linotype" w:cstheme="minorHAnsi"/>
                <w:sz w:val="18"/>
                <w:szCs w:val="18"/>
              </w:rPr>
              <w:t xml:space="preserve">Caucasian </w:t>
            </w:r>
            <w:r>
              <w:rPr>
                <w:rFonts w:ascii="Palatino Linotype" w:hAnsi="Palatino Linotype" w:cstheme="minorHAnsi"/>
                <w:sz w:val="18"/>
                <w:szCs w:val="18"/>
              </w:rPr>
              <w:t xml:space="preserve">(Siberian) </w:t>
            </w:r>
          </w:p>
        </w:tc>
        <w:tc>
          <w:tcPr>
            <w:tcW w:w="1350" w:type="dxa"/>
          </w:tcPr>
          <w:p w14:paraId="0C04C042" w14:textId="4754BD69" w:rsidR="0031439E" w:rsidRPr="00924ABD" w:rsidRDefault="0031439E" w:rsidP="0031439E">
            <w:pPr>
              <w:rPr>
                <w:rFonts w:ascii="Palatino Linotype" w:hAnsi="Palatino Linotype" w:cstheme="minorHAnsi"/>
                <w:sz w:val="18"/>
                <w:szCs w:val="18"/>
              </w:rPr>
            </w:pPr>
            <w:r w:rsidRPr="00B678EB">
              <w:rPr>
                <w:rFonts w:ascii="Palatino Linotype" w:hAnsi="Palatino Linotype" w:cstheme="minorHAnsi"/>
                <w:sz w:val="18"/>
                <w:szCs w:val="18"/>
              </w:rPr>
              <w:t>Schizophrenia</w:t>
            </w:r>
            <w:r>
              <w:t xml:space="preserve"> </w:t>
            </w:r>
            <w:r w:rsidRPr="00CA51DC">
              <w:rPr>
                <w:rFonts w:ascii="Palatino Linotype" w:hAnsi="Palatino Linotype" w:cstheme="minorHAnsi"/>
                <w:sz w:val="18"/>
                <w:szCs w:val="18"/>
              </w:rPr>
              <w:t>or schizotypal disorder</w:t>
            </w:r>
          </w:p>
        </w:tc>
        <w:tc>
          <w:tcPr>
            <w:tcW w:w="1260" w:type="dxa"/>
          </w:tcPr>
          <w:p w14:paraId="2D505D4C" w14:textId="18F33BB0"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ICD-10</w:t>
            </w:r>
          </w:p>
        </w:tc>
        <w:tc>
          <w:tcPr>
            <w:tcW w:w="1170" w:type="dxa"/>
          </w:tcPr>
          <w:p w14:paraId="7F1804B9" w14:textId="4645A0E9"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577A1E6C" w14:textId="783AD98A"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02EE00C3" w14:textId="04B88D9B"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TaqMan assay</w:t>
            </w:r>
          </w:p>
        </w:tc>
        <w:tc>
          <w:tcPr>
            <w:tcW w:w="2507" w:type="dxa"/>
          </w:tcPr>
          <w:p w14:paraId="7F9FDF0D" w14:textId="371D1A3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 significant association between </w:t>
            </w:r>
            <w:r w:rsidRPr="00B64C9C">
              <w:rPr>
                <w:rFonts w:ascii="Palatino Linotype" w:hAnsi="Palatino Linotype" w:cstheme="minorHAnsi"/>
                <w:sz w:val="18"/>
                <w:szCs w:val="18"/>
              </w:rPr>
              <w:t>rs10828317</w:t>
            </w:r>
            <w:r>
              <w:rPr>
                <w:rFonts w:ascii="Palatino Linotype" w:hAnsi="Palatino Linotype" w:cstheme="minorHAnsi"/>
                <w:sz w:val="18"/>
                <w:szCs w:val="18"/>
              </w:rPr>
              <w:t xml:space="preserve"> and TD</w:t>
            </w:r>
          </w:p>
        </w:tc>
        <w:tc>
          <w:tcPr>
            <w:tcW w:w="2173" w:type="dxa"/>
          </w:tcPr>
          <w:p w14:paraId="2619D9A6" w14:textId="73AC4FC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{"citationItems":[{"id":"ITEM-1","itemData":{"DOI":"10.1093/ijnp/pyu098","ISSN":"1469-5111","PMID":"25548108","abstract":"BACKGROUND Tardive dyskinesia is a disorder characterized by involuntary muscle movements that occur as a complication of long-term treatment with antipsychotic drugs. It has been suggested to be related to a malfunctioning of the indirect pathway of the motor part of the cortical-striatal-thalamic-cortical circuit, which may be caused by oxidative stress-induced neurotoxicity. METHODS The purpose of our study was to investigate the possible association between phosphatidylinositol-4-phosphate-5-kinase type IIa (PIP5K2A) function and tardive dyskinesia in 491 Caucasian patients with schizophrenia from 3 different psychiatric institutes in West Siberia. The Abnormal Involuntary Movement Scale was used to assess tardive dyskinesia. Individuals were genotyped for 3 single nucleotide polymorphisms in PIP5K2A gene: rs10828317, rs746203, and rs8341. RESULTS A significant association was established between the functional mutation N251S-polymorphism of the PIP5K2A gene (rs10828317) and tardive dyskinesia, while the other 2 examined nonfunctional single nucleotide polymorphisms were not related. CONCLUSIONS We conclude from this association that PIP5K2A is possibly involved in a mechanism protecting against tardive dyskinesia-inducing neurotoxicity. This corresponds to our hypothesis that tardive dyskinesia is related to neurotoxicity at striatal indirect pathway medium-sized spiny neurons.","author":[{"dropping-particle":"","family":"Fedorenko","given":"Olga Yu","non-dropping-particle":"","parse-names":false,"suffix":""},{"dropping-particle":"","family":"Loonen","given":"Anton J M","non-dropping-particle":"","parse-names":false,"suffix":""},{"dropping-particle":"","family":"Lang","given":"Florian","non-dropping-particle":"","parse-names":false,"suffix":""},{"dropping-particle":"","family":"Toshchakova","given":"Valentina A","non-dropping-particle":"","parse-names":false,"suffix":""},{"dropping-particle":"","family":"Boyarko","given":"Evgenia G","non-dropping-particle":"","parse-names":false,"suffix":""},{"dropping-particle":"V","family":"Semke","given":"Arkadiy","non-dropping-particle":"","parse-names":false,"suffix":""},{"dropping-particle":"","family":"Bokhan","given":"Nikolay A","non-dropping-particle":"","parse-names":false,"suffix":""},{"dropping-particle":"V","family":"Govorin","given":"Nikolay","non-dropping-particle":"","parse-names":false,"suffix":""},{"dropping-particle":"","family":"Aftanas","given":"Lyubomir I","non-dropping-particle":"","parse-names":false,"suffix":""},{"dropping-particle":"","family":"Ivanova","given":"Svetlana A","non-dropping-particle":"","parse-names":false,"suffix":""}],"container-title":"The international journal of neuropsychopharmacology","id":"ITEM-1","issue":"6","issued":{"date-parts":[["2014","12","28"]]},"publisher":"Int J Neuropsychopharmacol","title":"Association study indicates a protective role of phosphatidylinositol-4-phosphate-5-kinase against tardive dyskinesia.","type":"article-journal","volume":"18"},"uris":["http://www.mendeley.com/documents/?uuid=79867570-213f-3641-ad9a-92204a42ea83"]}],"mendeley":{"formattedCitation":"(Fedorenko et al. 2014)","plainTextFormattedCitation":"(Fedorenko et al. 2014)","previouslyFormattedCitation":"(Fedorenko et al. 2014)"},"properties":{"noteIndex":0},"schema":"https://github.com/citation-style-language/schema/raw/master/csl-citation.json"}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(Fedorenko et al. 2014)</w:t>
            </w:r>
            <w:r>
              <w:rPr>
                <w:rFonts w:ascii="Palatino Linotype" w:hAnsi="Palatino Linotype" w:cstheme="minorHAnsi"/>
                <w:sz w:val="18"/>
                <w:szCs w:val="18"/>
              </w:rPr>
              <w:fldChar w:fldCharType="end"/>
            </w:r>
          </w:p>
        </w:tc>
      </w:tr>
      <w:tr w:rsidR="0031439E" w:rsidRPr="00EA57B8" w14:paraId="26ED81DC" w14:textId="48BF731F" w:rsidTr="0031439E">
        <w:tc>
          <w:tcPr>
            <w:tcW w:w="1094" w:type="dxa"/>
          </w:tcPr>
          <w:p w14:paraId="148DBE40" w14:textId="55C110B6"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1CC84989" w14:textId="6AAAED08"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rs6280</w:t>
            </w:r>
          </w:p>
        </w:tc>
        <w:tc>
          <w:tcPr>
            <w:tcW w:w="1080" w:type="dxa"/>
          </w:tcPr>
          <w:p w14:paraId="4AB9CDA8" w14:textId="3A5440B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84</w:t>
            </w:r>
          </w:p>
        </w:tc>
        <w:tc>
          <w:tcPr>
            <w:tcW w:w="1170" w:type="dxa"/>
          </w:tcPr>
          <w:p w14:paraId="4D43B380"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Caucasian, </w:t>
            </w:r>
            <w:proofErr w:type="spellStart"/>
            <w:r w:rsidRPr="006A1E5F">
              <w:rPr>
                <w:rFonts w:ascii="Palatino Linotype" w:hAnsi="Palatino Linotype" w:cstheme="minorHAnsi"/>
                <w:sz w:val="18"/>
                <w:szCs w:val="18"/>
              </w:rPr>
              <w:t>Afro</w:t>
            </w:r>
            <w:r>
              <w:rPr>
                <w:rFonts w:ascii="Palatino Linotype" w:hAnsi="Palatino Linotype" w:cstheme="minorHAnsi"/>
                <w:sz w:val="18"/>
                <w:szCs w:val="18"/>
              </w:rPr>
              <w:t>-c</w:t>
            </w:r>
            <w:r w:rsidRPr="006A1E5F">
              <w:rPr>
                <w:rFonts w:ascii="Palatino Linotype" w:hAnsi="Palatino Linotype" w:cstheme="minorHAnsi"/>
                <w:sz w:val="18"/>
                <w:szCs w:val="18"/>
              </w:rPr>
              <w:t>aribbean</w:t>
            </w:r>
            <w:proofErr w:type="spellEnd"/>
            <w:r w:rsidRPr="006A1E5F">
              <w:rPr>
                <w:rFonts w:ascii="Palatino Linotype" w:hAnsi="Palatino Linotype" w:cstheme="minorHAnsi"/>
                <w:sz w:val="18"/>
                <w:szCs w:val="18"/>
              </w:rPr>
              <w:t xml:space="preserve">, Middle </w:t>
            </w:r>
          </w:p>
          <w:p w14:paraId="394A1B7A"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Eastern, </w:t>
            </w:r>
          </w:p>
          <w:p w14:paraId="55138B69" w14:textId="6B0CF953"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and</w:t>
            </w:r>
            <w:r>
              <w:rPr>
                <w:rFonts w:ascii="Palatino Linotype" w:hAnsi="Palatino Linotype" w:cstheme="minorHAnsi"/>
                <w:sz w:val="18"/>
                <w:szCs w:val="18"/>
              </w:rPr>
              <w:t xml:space="preserve"> </w:t>
            </w:r>
            <w:r w:rsidRPr="006A1E5F">
              <w:rPr>
                <w:rFonts w:ascii="Palatino Linotype" w:hAnsi="Palatino Linotype" w:cstheme="minorHAnsi"/>
                <w:sz w:val="18"/>
                <w:szCs w:val="18"/>
              </w:rPr>
              <w:t>Vietnamese</w:t>
            </w:r>
          </w:p>
        </w:tc>
        <w:tc>
          <w:tcPr>
            <w:tcW w:w="1350" w:type="dxa"/>
          </w:tcPr>
          <w:p w14:paraId="69D80BC4" w14:textId="6BC5D578"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260" w:type="dxa"/>
          </w:tcPr>
          <w:p w14:paraId="1F9B413A"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PSE  </w:t>
            </w:r>
          </w:p>
          <w:p w14:paraId="2221FF73"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and </w:t>
            </w:r>
          </w:p>
          <w:p w14:paraId="0D51AD28"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High </w:t>
            </w:r>
          </w:p>
          <w:p w14:paraId="116C8ADC" w14:textId="77777777" w:rsidR="0031439E" w:rsidRPr="006A1E5F" w:rsidRDefault="0031439E" w:rsidP="0031439E">
            <w:pPr>
              <w:rPr>
                <w:rFonts w:ascii="Palatino Linotype" w:hAnsi="Palatino Linotype" w:cstheme="minorHAnsi"/>
                <w:sz w:val="18"/>
                <w:szCs w:val="18"/>
              </w:rPr>
            </w:pPr>
            <w:proofErr w:type="spellStart"/>
            <w:r w:rsidRPr="006A1E5F">
              <w:rPr>
                <w:rFonts w:ascii="Palatino Linotype" w:hAnsi="Palatino Linotype" w:cstheme="minorHAnsi"/>
                <w:sz w:val="18"/>
                <w:szCs w:val="18"/>
              </w:rPr>
              <w:t>Royds</w:t>
            </w:r>
            <w:proofErr w:type="spellEnd"/>
            <w:r w:rsidRPr="006A1E5F">
              <w:rPr>
                <w:rFonts w:ascii="Palatino Linotype" w:hAnsi="Palatino Linotype" w:cstheme="minorHAnsi"/>
                <w:sz w:val="18"/>
                <w:szCs w:val="18"/>
              </w:rPr>
              <w:t xml:space="preserve"> </w:t>
            </w:r>
          </w:p>
          <w:p w14:paraId="0C17DDA9"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Evaluation of </w:t>
            </w:r>
          </w:p>
          <w:p w14:paraId="20484921" w14:textId="0A9F57AB"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Negativity</w:t>
            </w:r>
          </w:p>
        </w:tc>
        <w:tc>
          <w:tcPr>
            <w:tcW w:w="1170" w:type="dxa"/>
          </w:tcPr>
          <w:p w14:paraId="1DF2E23C"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Modified </w:t>
            </w:r>
          </w:p>
          <w:p w14:paraId="09DDEA99"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Rogers </w:t>
            </w:r>
          </w:p>
          <w:p w14:paraId="102A322F" w14:textId="217D980C"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Scale</w:t>
            </w:r>
          </w:p>
        </w:tc>
        <w:tc>
          <w:tcPr>
            <w:tcW w:w="1170" w:type="dxa"/>
          </w:tcPr>
          <w:p w14:paraId="3DD3FB95" w14:textId="6A3EBB2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49 under clozapine </w:t>
            </w:r>
          </w:p>
        </w:tc>
        <w:tc>
          <w:tcPr>
            <w:tcW w:w="1350" w:type="dxa"/>
          </w:tcPr>
          <w:p w14:paraId="08675A0D" w14:textId="039DD8B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cstheme="minorHAnsi"/>
                <w:sz w:val="18"/>
                <w:szCs w:val="18"/>
              </w:rPr>
              <w:t>MscI</w:t>
            </w:r>
            <w:proofErr w:type="spellEnd"/>
            <w:r w:rsidRPr="006A1E5F">
              <w:rPr>
                <w:rFonts w:ascii="Palatino Linotype" w:hAnsi="Palatino Linotype" w:cstheme="minorHAnsi"/>
                <w:sz w:val="18"/>
                <w:szCs w:val="18"/>
              </w:rPr>
              <w:t>)</w:t>
            </w:r>
          </w:p>
        </w:tc>
        <w:tc>
          <w:tcPr>
            <w:tcW w:w="2507" w:type="dxa"/>
          </w:tcPr>
          <w:p w14:paraId="7FF64CCE" w14:textId="59901516"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73B0407A" w14:textId="0BE4513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{"citationItems":[{"id":"ITEM-1","itemData":{"DOI":"10.1002/(SICI)1096-8628(19960920)67:5&lt;455::AID-AJMG3&gt;3.0.CO;2-J","ISSN":"0148-7299","PMID":"8886161","abstract":"Several studies have reported an association between schizophrenia and homozygosity for the MscI restriction site in exon 1 of the D3 dopamine receptor gene, but other studies have failed to find this association. Recent reports have suggested that the association is most salient in male patients with a family history of schizophrenia. We examined this restriction site in a group of schizophrenic patients (n = 84) and in normal controls (n = 77). Patients were subdivided according to demographic and clinical features, particular attention being paid to movement disorders. No significant difference in allelic or genotypic distribution was seen between the two groups. No association was seen between homozygosity and a positive family history, age at onset of illness, clinical subtype, negative symptom score, or movement disorder scores.","author":[{"dropping-particle":"","family":"Gaitonde","given":"E J","non-dropping-particle":"","parse-names":false,"suffix":""},{"dropping-particle":"","family":"Morris","given":"A","non-dropping-particle":"","parse-names":false,"suffix":""},{"dropping-particle":"","family":"Sivagnanasundaram","given":"S","non-dropping-particle":"","parse-names":false,"suffix":""},{"dropping-particle":"","family":"McKenna","given":"P J","non-dropping-particle":"","parse-names":false,"suffix":""},{"dropping-particle":"","family":"Hunt","given":"D M","non-dropping-particle":"","parse-names":false,"suffix":""},{"dropping-particle":"","family":"Mollon","given":"J D","non-dropping-particle":"","parse-names":false,"suffix":""}],"container-title":"American journal of medical genetics","id":"ITEM-1","issue":"5","issued":{"date-parts":[["1996","9","20"]]},"page":"455-8","title":"Assessment of association of D3 dopamine receptor MscI polymorphism with schizophrenia: analysis of symptom ratings, family history, age at onset, and movement disorders.","type":"article-journal","volume":"67"},"uris":["http://www.mendeley.com/documents/?uuid=f03f2dc2-445c-3d0a-8c6c-5188adbb447e"]}],"mendeley":{"formattedCitation":"(Gaitonde et al. 1996)","plainTextFormattedCitation":"(Gaitonde et al. 1996)","previouslyFormattedCitation":"(Gaitonde et al. 1996)"},"properties":{"noteIndex":0},"schema":"https://github.com/citation-style-language/schema/raw/master/csl-citation.json"}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(Gaitonde et al. 1996)</w:t>
            </w:r>
            <w:r w:rsidRPr="006A1E5F">
              <w:rPr>
                <w:rFonts w:ascii="Palatino Linotype" w:hAnsi="Palatino Linotype" w:cstheme="minorHAnsi"/>
                <w:sz w:val="18"/>
                <w:szCs w:val="18"/>
              </w:rPr>
              <w:fldChar w:fldCharType="end"/>
            </w:r>
          </w:p>
        </w:tc>
      </w:tr>
      <w:tr w:rsidR="0031439E" w:rsidRPr="00EA57B8" w14:paraId="21AAF6CA" w14:textId="4BA68ED1" w:rsidTr="0031439E">
        <w:tc>
          <w:tcPr>
            <w:tcW w:w="1094" w:type="dxa"/>
          </w:tcPr>
          <w:p w14:paraId="6BA3ED84" w14:textId="32E482A5"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0ADBC909" w14:textId="0374CE02"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2CBC0276" w14:textId="330FE2F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65</w:t>
            </w:r>
          </w:p>
        </w:tc>
        <w:tc>
          <w:tcPr>
            <w:tcW w:w="1170" w:type="dxa"/>
          </w:tcPr>
          <w:p w14:paraId="43B73871" w14:textId="03820495"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Chinese </w:t>
            </w:r>
          </w:p>
        </w:tc>
        <w:tc>
          <w:tcPr>
            <w:tcW w:w="1350" w:type="dxa"/>
          </w:tcPr>
          <w:p w14:paraId="66FD1D24" w14:textId="2DF6711E"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1753E2F8" w14:textId="625E4D16" w:rsidR="0031439E" w:rsidRPr="006A1E5F" w:rsidRDefault="0031439E" w:rsidP="0031439E">
            <w:pPr>
              <w:rPr>
                <w:rFonts w:ascii="Palatino Linotype" w:hAnsi="Palatino Linotype" w:cstheme="minorHAnsi"/>
                <w:sz w:val="18"/>
                <w:szCs w:val="18"/>
              </w:rPr>
            </w:pPr>
            <w:r w:rsidRPr="006A1E5F">
              <w:rPr>
                <w:rFonts w:ascii="Palatino Linotype" w:hAnsi="Palatino Linotype"/>
                <w:sz w:val="18"/>
                <w:szCs w:val="18"/>
              </w:rPr>
              <w:t xml:space="preserve">DMS-IV, BPRS </w:t>
            </w:r>
          </w:p>
        </w:tc>
        <w:tc>
          <w:tcPr>
            <w:tcW w:w="1170" w:type="dxa"/>
          </w:tcPr>
          <w:p w14:paraId="0837055C" w14:textId="56C01FE1"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&amp; </w:t>
            </w:r>
            <w:r w:rsidRPr="006A1E5F">
              <w:rPr>
                <w:rFonts w:ascii="Palatino Linotype" w:hAnsi="Palatino Linotype"/>
                <w:sz w:val="18"/>
                <w:szCs w:val="18"/>
              </w:rPr>
              <w:t>Schooler and Kane’s criteria</w:t>
            </w:r>
          </w:p>
        </w:tc>
        <w:tc>
          <w:tcPr>
            <w:tcW w:w="1170" w:type="dxa"/>
          </w:tcPr>
          <w:p w14:paraId="41D555EA" w14:textId="2393E13E" w:rsidR="0031439E" w:rsidRDefault="0031439E" w:rsidP="0031439E">
            <w:pPr>
              <w:rPr>
                <w:rFonts w:ascii="Palatino Linotype" w:hAnsi="Palatino Linotype" w:cstheme="minorHAnsi"/>
                <w:sz w:val="18"/>
                <w:szCs w:val="18"/>
              </w:rPr>
            </w:pPr>
            <w:r w:rsidRPr="006A1E5F">
              <w:rPr>
                <w:rFonts w:ascii="Palatino Linotype" w:hAnsi="Palatino Linotype"/>
                <w:sz w:val="18"/>
                <w:szCs w:val="18"/>
              </w:rPr>
              <w:t xml:space="preserve">chlorpromazine equivalent </w:t>
            </w:r>
          </w:p>
        </w:tc>
        <w:tc>
          <w:tcPr>
            <w:tcW w:w="1350" w:type="dxa"/>
          </w:tcPr>
          <w:p w14:paraId="304DD464" w14:textId="7B34CD9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PCR-RFPL (</w:t>
            </w:r>
            <w:proofErr w:type="spellStart"/>
            <w:r w:rsidRPr="006A1E5F">
              <w:rPr>
                <w:rFonts w:ascii="Palatino Linotype" w:hAnsi="Palatino Linotype" w:cstheme="minorHAnsi"/>
                <w:sz w:val="18"/>
                <w:szCs w:val="18"/>
              </w:rPr>
              <w:t>MscI</w:t>
            </w:r>
            <w:proofErr w:type="spellEnd"/>
            <w:r w:rsidRPr="006A1E5F">
              <w:rPr>
                <w:rFonts w:ascii="Palatino Linotype" w:hAnsi="Palatino Linotype" w:cstheme="minorHAnsi"/>
                <w:sz w:val="18"/>
                <w:szCs w:val="18"/>
              </w:rPr>
              <w:t>)</w:t>
            </w:r>
          </w:p>
        </w:tc>
        <w:tc>
          <w:tcPr>
            <w:tcW w:w="2507" w:type="dxa"/>
          </w:tcPr>
          <w:p w14:paraId="34D9C6C3" w14:textId="33BFA09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4FC1C390" w14:textId="55CFD78E"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{"citationItems":[{"id":"ITEM-1","itemData":{"DOI":"10.1007/s007020170044","ISSN":"0300-9564","PMID":"11478419","abstract":"Epidemiological studies have shown a lower prevalence of tardive dyskinesia (TD) among Chinese psychiatric patients compared to Caucasian and Black patient populations. It has been hypothesized that pharmacogenetic factors may underlie this cross-cultural difference. Due to the important implications of the dopamine D3 receptor gene (DRD3) in motor control, we investigated the frequency of polymorphic serine (ser) to glycine (gly) substitution of the gene DRD3 in Chinese schizophrenic patients. The sample size consisted of 65 patients with TD and 66 without TD. Patients were assessed for the severity of TD, the presence of akathisia and parkinsonian symptoms and were subsequently genotyped. We found no evidence that the dopamine D3 receptor gene is likely to confer susceptibility to the development of tardive dyskinesia in Chinese patients with schizophrenia.","author":[{"dropping-particle":"","family":"Garcia-Barceló","given":"M M","non-dropping-particle":"","parse-names":false,"suffix":""},{"dropping-particle":"","family":"Lam","given":"L C","non-dropping-particle":"","parse-names":false,"suffix":""},{"dropping-particle":"","family":"Ungvari","given":"G S","non-dropping-particle":"","parse-names":false,"suffix":""},{"dropping-particle":"","family":"Lam","given":"V K","non-dropping-particle":"","parse-names":false,"suffix":""},{"dropping-particle":"","family":"Tang","given":"W K","non-dropping-particle":"","parse-names":false,"suffix":""}],"container-title":"Journal of neural transmission (Vienna, Austria : 1996)","id":"ITEM-1","issue":"6","issued":{"date-parts":[["2001","6","13"]]},"page":"671-7","title":"Dopamine D3 receptor gene and tardive dyskinesia in Chinese schizophrenic patients.","type":"article-journal","volume":"108"},"uris":["http://www.mendeley.com/documents/?uuid=a808458d-0e09-3125-b9ad-b27fc937b3b0"]}],"mendeley":{"formattedCitation":"(Garcia-Barceló et al. 2001)","plainTextFormattedCitation":"(Garcia-Barceló et al. 2001)","previouslyFormattedCitation":"(Garcia-Barceló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(Garcia-Barceló et al. 2001)</w:t>
            </w:r>
            <w:r w:rsidRPr="006A1E5F">
              <w:rPr>
                <w:rFonts w:ascii="Palatino Linotype" w:hAnsi="Palatino Linotype" w:cstheme="minorHAnsi"/>
                <w:sz w:val="18"/>
                <w:szCs w:val="18"/>
              </w:rPr>
              <w:fldChar w:fldCharType="end"/>
            </w:r>
          </w:p>
        </w:tc>
      </w:tr>
      <w:tr w:rsidR="0031439E" w:rsidRPr="00EA57B8" w14:paraId="30EBA218" w14:textId="57784AC5" w:rsidTr="0031439E">
        <w:tc>
          <w:tcPr>
            <w:tcW w:w="1094" w:type="dxa"/>
          </w:tcPr>
          <w:p w14:paraId="101BF1ED" w14:textId="434054A1"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HSPG2</w:t>
            </w:r>
          </w:p>
        </w:tc>
        <w:tc>
          <w:tcPr>
            <w:tcW w:w="1080" w:type="dxa"/>
          </w:tcPr>
          <w:p w14:paraId="1B1CD43C" w14:textId="15FB70FE" w:rsidR="0031439E" w:rsidRPr="00924ABD" w:rsidRDefault="0031439E" w:rsidP="0031439E">
            <w:pPr>
              <w:rPr>
                <w:rFonts w:ascii="Palatino Linotype" w:hAnsi="Palatino Linotype" w:cstheme="minorHAnsi"/>
                <w:sz w:val="18"/>
                <w:szCs w:val="18"/>
              </w:rPr>
            </w:pPr>
            <w:r w:rsidRPr="00EE42A1">
              <w:rPr>
                <w:rStyle w:val="st"/>
                <w:rFonts w:ascii="Palatino Linotype" w:hAnsi="Palatino Linotype"/>
                <w:sz w:val="18"/>
                <w:szCs w:val="18"/>
              </w:rPr>
              <w:t>rs2445142, rs2124368, rs4738269, rs886292 and rs2061051</w:t>
            </w:r>
          </w:p>
        </w:tc>
        <w:tc>
          <w:tcPr>
            <w:tcW w:w="1080" w:type="dxa"/>
          </w:tcPr>
          <w:p w14:paraId="3C06D20C" w14:textId="6A2A8535" w:rsidR="0031439E" w:rsidRDefault="0031439E" w:rsidP="0031439E">
            <w:pPr>
              <w:rPr>
                <w:rFonts w:ascii="Palatino Linotype" w:hAnsi="Palatino Linotype" w:cstheme="minorHAnsi"/>
                <w:sz w:val="18"/>
                <w:szCs w:val="18"/>
              </w:rPr>
            </w:pPr>
            <w:r w:rsidRPr="00BD6977">
              <w:rPr>
                <w:rFonts w:ascii="Palatino Linotype" w:hAnsi="Palatino Linotype" w:cstheme="minorHAnsi"/>
                <w:sz w:val="18"/>
                <w:szCs w:val="18"/>
              </w:rPr>
              <w:t>Jewish Israeli</w:t>
            </w:r>
            <w:r>
              <w:rPr>
                <w:rFonts w:ascii="Palatino Linotype" w:hAnsi="Palatino Linotype" w:cstheme="minorHAnsi"/>
                <w:sz w:val="18"/>
                <w:szCs w:val="18"/>
              </w:rPr>
              <w:t>: 166, CATIE:</w:t>
            </w:r>
            <w:r>
              <w:t xml:space="preserve"> </w:t>
            </w:r>
            <w:r w:rsidRPr="002C1EC0">
              <w:rPr>
                <w:rFonts w:ascii="Palatino Linotype" w:hAnsi="Palatino Linotype" w:cstheme="minorHAnsi"/>
                <w:sz w:val="18"/>
                <w:szCs w:val="18"/>
              </w:rPr>
              <w:t>327</w:t>
            </w:r>
          </w:p>
        </w:tc>
        <w:tc>
          <w:tcPr>
            <w:tcW w:w="1170" w:type="dxa"/>
          </w:tcPr>
          <w:p w14:paraId="6CB4DE70" w14:textId="7C452049" w:rsidR="0031439E" w:rsidRDefault="0031439E" w:rsidP="0031439E">
            <w:pPr>
              <w:rPr>
                <w:rFonts w:ascii="Palatino Linotype" w:hAnsi="Palatino Linotype"/>
                <w:sz w:val="18"/>
                <w:szCs w:val="18"/>
              </w:rPr>
            </w:pPr>
            <w:r>
              <w:rPr>
                <w:rFonts w:ascii="Palatino Linotype" w:hAnsi="Palatino Linotype" w:cstheme="minorHAnsi"/>
                <w:sz w:val="18"/>
                <w:szCs w:val="18"/>
              </w:rPr>
              <w:t>J</w:t>
            </w:r>
            <w:r w:rsidRPr="008B2C40">
              <w:rPr>
                <w:rFonts w:ascii="Palatino Linotype" w:hAnsi="Palatino Linotype" w:cstheme="minorHAnsi"/>
                <w:sz w:val="18"/>
                <w:szCs w:val="18"/>
              </w:rPr>
              <w:t>ewish Israeli</w:t>
            </w:r>
            <w:r>
              <w:rPr>
                <w:rFonts w:ascii="Palatino Linotype" w:hAnsi="Palatino Linotype" w:cstheme="minorHAnsi"/>
                <w:sz w:val="18"/>
                <w:szCs w:val="18"/>
              </w:rPr>
              <w:t xml:space="preserve">, </w:t>
            </w:r>
            <w:r w:rsidRPr="002C1EC0">
              <w:rPr>
                <w:rFonts w:ascii="Palatino Linotype" w:hAnsi="Palatino Linotype" w:cstheme="minorHAnsi"/>
                <w:sz w:val="18"/>
                <w:szCs w:val="18"/>
              </w:rPr>
              <w:t>European or</w:t>
            </w:r>
            <w:r>
              <w:rPr>
                <w:rFonts w:ascii="Palatino Linotype" w:hAnsi="Palatino Linotype" w:cstheme="minorHAnsi"/>
                <w:sz w:val="18"/>
                <w:szCs w:val="18"/>
              </w:rPr>
              <w:t xml:space="preserve"> </w:t>
            </w:r>
            <w:r w:rsidRPr="002C1EC0">
              <w:rPr>
                <w:rFonts w:ascii="Palatino Linotype" w:hAnsi="Palatino Linotype" w:cstheme="minorHAnsi"/>
                <w:sz w:val="18"/>
                <w:szCs w:val="18"/>
              </w:rPr>
              <w:t>Hispanic,</w:t>
            </w:r>
            <w:r>
              <w:rPr>
                <w:rFonts w:ascii="Palatino Linotype" w:hAnsi="Palatino Linotype" w:cstheme="minorHAnsi"/>
                <w:sz w:val="18"/>
                <w:szCs w:val="18"/>
              </w:rPr>
              <w:t xml:space="preserve"> </w:t>
            </w:r>
            <w:r w:rsidRPr="002C1EC0">
              <w:rPr>
                <w:rFonts w:ascii="Palatino Linotype" w:hAnsi="Palatino Linotype" w:cstheme="minorHAnsi"/>
                <w:sz w:val="18"/>
                <w:szCs w:val="18"/>
              </w:rPr>
              <w:t>African Americans and mixed</w:t>
            </w:r>
            <w:r>
              <w:rPr>
                <w:rFonts w:ascii="Palatino Linotype" w:hAnsi="Palatino Linotype" w:cstheme="minorHAnsi"/>
                <w:sz w:val="18"/>
                <w:szCs w:val="18"/>
              </w:rPr>
              <w:t xml:space="preserve"> </w:t>
            </w:r>
          </w:p>
        </w:tc>
        <w:tc>
          <w:tcPr>
            <w:tcW w:w="1350" w:type="dxa"/>
          </w:tcPr>
          <w:p w14:paraId="71C664D9" w14:textId="02F48F27"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6317C3E7" w14:textId="7B247DBE" w:rsidR="0031439E" w:rsidRPr="006A1E5F" w:rsidRDefault="0031439E" w:rsidP="0031439E">
            <w:pPr>
              <w:rPr>
                <w:rFonts w:ascii="Palatino Linotype" w:hAnsi="Palatino Linotype" w:cstheme="minorHAnsi"/>
                <w:sz w:val="18"/>
                <w:szCs w:val="18"/>
              </w:rPr>
            </w:pPr>
            <w:r w:rsidRPr="008B2C40">
              <w:rPr>
                <w:rFonts w:ascii="Palatino Linotype" w:hAnsi="Palatino Linotype" w:cstheme="minorHAnsi"/>
                <w:sz w:val="18"/>
                <w:szCs w:val="18"/>
              </w:rPr>
              <w:t>DSM-IV</w:t>
            </w:r>
          </w:p>
        </w:tc>
        <w:tc>
          <w:tcPr>
            <w:tcW w:w="1170" w:type="dxa"/>
          </w:tcPr>
          <w:p w14:paraId="21C3647D" w14:textId="41F8D32B"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R</w:t>
            </w:r>
            <w:r w:rsidRPr="008B2C40">
              <w:rPr>
                <w:rFonts w:ascii="Palatino Linotype" w:hAnsi="Palatino Linotype" w:cstheme="minorHAnsi"/>
                <w:sz w:val="18"/>
                <w:szCs w:val="18"/>
              </w:rPr>
              <w:t>DC-TD</w:t>
            </w:r>
            <w:r>
              <w:rPr>
                <w:rFonts w:ascii="Palatino Linotype" w:hAnsi="Palatino Linotype" w:cstheme="minorHAnsi"/>
                <w:sz w:val="18"/>
                <w:szCs w:val="18"/>
              </w:rPr>
              <w:t>, AIMS</w:t>
            </w:r>
          </w:p>
        </w:tc>
        <w:tc>
          <w:tcPr>
            <w:tcW w:w="1170" w:type="dxa"/>
          </w:tcPr>
          <w:p w14:paraId="5FF2D4A4" w14:textId="01C9EDD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01D4917E" w14:textId="3AB5328F" w:rsidR="0031439E" w:rsidRDefault="0031439E" w:rsidP="0031439E">
            <w:pPr>
              <w:rPr>
                <w:rFonts w:ascii="Palatino Linotype" w:hAnsi="Palatino Linotype" w:cstheme="minorHAnsi"/>
                <w:sz w:val="18"/>
                <w:szCs w:val="18"/>
              </w:rPr>
            </w:pPr>
            <w:proofErr w:type="spellStart"/>
            <w:r>
              <w:rPr>
                <w:rFonts w:ascii="Palatino Linotype" w:hAnsi="Palatino Linotype" w:cstheme="minorHAnsi"/>
                <w:sz w:val="18"/>
                <w:szCs w:val="18"/>
              </w:rPr>
              <w:t>S</w:t>
            </w:r>
            <w:r w:rsidRPr="00EE42A1">
              <w:rPr>
                <w:rFonts w:ascii="Palatino Linotype" w:hAnsi="Palatino Linotype" w:cstheme="minorHAnsi"/>
                <w:sz w:val="18"/>
                <w:szCs w:val="18"/>
              </w:rPr>
              <w:t>equenom</w:t>
            </w:r>
            <w:proofErr w:type="spellEnd"/>
            <w:r w:rsidRPr="00EE42A1">
              <w:rPr>
                <w:rFonts w:ascii="Palatino Linotype" w:hAnsi="Palatino Linotype" w:cstheme="minorHAnsi"/>
                <w:sz w:val="18"/>
                <w:szCs w:val="18"/>
              </w:rPr>
              <w:t xml:space="preserve"> Mass</w:t>
            </w:r>
            <w:r>
              <w:rPr>
                <w:rFonts w:ascii="Palatino Linotype" w:hAnsi="Palatino Linotype" w:cstheme="minorHAnsi"/>
                <w:sz w:val="18"/>
                <w:szCs w:val="18"/>
              </w:rPr>
              <w:t xml:space="preserve"> array</w:t>
            </w:r>
          </w:p>
        </w:tc>
        <w:tc>
          <w:tcPr>
            <w:tcW w:w="2507" w:type="dxa"/>
          </w:tcPr>
          <w:p w14:paraId="5461644D"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sidRPr="002C1EC0">
              <w:rPr>
                <w:rFonts w:ascii="Palatino Linotype" w:hAnsi="Palatino Linotype" w:cstheme="minorHAnsi"/>
                <w:sz w:val="18"/>
                <w:szCs w:val="18"/>
              </w:rPr>
              <w:t xml:space="preserve">rs2445142 </w:t>
            </w:r>
            <w:r>
              <w:rPr>
                <w:rFonts w:ascii="Palatino Linotype" w:hAnsi="Palatino Linotype" w:cstheme="minorHAnsi"/>
                <w:sz w:val="18"/>
                <w:szCs w:val="18"/>
              </w:rPr>
              <w:t xml:space="preserve">G allele of </w:t>
            </w:r>
            <w:r w:rsidRPr="00265F30">
              <w:rPr>
                <w:rFonts w:ascii="Palatino Linotype" w:hAnsi="Palatino Linotype" w:cstheme="minorHAnsi"/>
                <w:i/>
                <w:iCs/>
                <w:sz w:val="18"/>
                <w:szCs w:val="18"/>
              </w:rPr>
              <w:t>HSPG2</w:t>
            </w:r>
            <w:r>
              <w:rPr>
                <w:rFonts w:ascii="Palatino Linotype" w:hAnsi="Palatino Linotype" w:cstheme="minorHAnsi"/>
                <w:sz w:val="18"/>
                <w:szCs w:val="18"/>
              </w:rPr>
              <w:t xml:space="preserve"> and TD risk</w:t>
            </w:r>
            <w:r w:rsidRPr="001D4C44">
              <w:rPr>
                <w:rFonts w:ascii="Palatino Linotype" w:hAnsi="Palatino Linotype" w:cstheme="minorHAnsi"/>
                <w:sz w:val="18"/>
                <w:szCs w:val="18"/>
              </w:rPr>
              <w:t xml:space="preserve"> in J</w:t>
            </w:r>
            <w:r w:rsidRPr="00C3294D">
              <w:rPr>
                <w:rFonts w:ascii="Palatino Linotype" w:hAnsi="Palatino Linotype" w:cstheme="minorHAnsi"/>
                <w:sz w:val="18"/>
                <w:szCs w:val="18"/>
              </w:rPr>
              <w:t>ewish Israeli</w:t>
            </w:r>
            <w:r>
              <w:rPr>
                <w:rFonts w:ascii="Palatino Linotype" w:hAnsi="Palatino Linotype" w:cstheme="minorHAnsi"/>
                <w:sz w:val="18"/>
                <w:szCs w:val="18"/>
              </w:rPr>
              <w:t xml:space="preserve"> and CATIE subjects </w:t>
            </w:r>
          </w:p>
          <w:p w14:paraId="52DE3031" w14:textId="77777777" w:rsidR="0031439E" w:rsidRDefault="0031439E" w:rsidP="0031439E">
            <w:pPr>
              <w:rPr>
                <w:rFonts w:ascii="Palatino Linotype" w:hAnsi="Palatino Linotype" w:cstheme="minorHAnsi"/>
                <w:sz w:val="18"/>
                <w:szCs w:val="18"/>
              </w:rPr>
            </w:pPr>
          </w:p>
        </w:tc>
        <w:tc>
          <w:tcPr>
            <w:tcW w:w="2173" w:type="dxa"/>
          </w:tcPr>
          <w:p w14:paraId="3CD95124" w14:textId="2F2C66EB"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{"citationItems":[{"id":"ITEM-1","itemData":{"DOI":"10.1038/tpj.2011.32","ISSN":"1473-1150","PMID":"21808285","abstract":"Tardive dyskinesia (TD) is a severe adverse effect of chronic antipsychotic drug treatment. In addition to clinical risk factors, TD susceptibility is influenced by genetic predisposition. Recently, Syu et al. (2010) reported a genome-wide association screening of TD in Japanese schizophrenia patients. The best result was association of single-nucleotide polymorphism (SNP) rs2445142 in the HSPG2 (heparan sulfate proteoglycan 2) gene with TD. In the present study, we report a replication study of the five top Japanese TD-associated SNPs in two Caucasian TD samples. Applying logistic regression and controlling for relevant clinical risk factors, we were able to replicate the association of HSPG2 SNP rs2445142 with TD in a prospective study sample of 179 Americans of European origin by performing a secondary analysis of the CATIE (Clinical Antipsychotic Trials of Intervention Effectiveness) genome-wide association study data set, and using a perfect proxy surrogate marker (rs878949; P = 0.039). An association of the 'G' risk allele of HSPG2 SNP rs2445142 with TD was also shown in a sample of Jewish Israeli schizophrenia patients (retrospective, cross-sectional design; P = 0.03). Although the associations were only nominally significant, the findings provide further support for the possible involvement of HSPG2 in susceptibility to TD.","author":[{"dropping-particle":"","family":"Greenbaum","given":"L","non-dropping-particle":"","parse-names":false,"suffix":""},{"dropping-particle":"","family":"Alkelai","given":"A","non-dropping-particle":"","parse-names":false,"suffix":""},{"dropping-particle":"","family":"Zozulinsky","given":"P","non-dropping-particle":"","parse-names":false,"suffix":""},{"dropping-particle":"","family":"Kohn","given":"Y","non-dropping-particle":"","parse-names":false,"suffix":""},{"dropping-particle":"","family":"Lerer","given":"B","non-dropping-particle":"","parse-names":false,"suffix":""}],"container-title":"The pharmacogenomics journal","id":"ITEM-1","issue":"6","issued":{"date-parts":[["2012","12"]]},"page":"513-20","publisher":"Pharmacogenomics J","title":"Support for association of HSPG2 with tardive dyskinesia in Caucasian populations.","type":"article-journal","volume":"12"},"uris":["http://www.mendeley.com/documents/?uuid=21268cdf-327a-3397-8f1e-4e7a0b397724"]}],"mendeley":{"formattedCitation":"(Greenbaum et al. 2012)","plainTextFormattedCitation":"(Greenbaum et al. 2012)","previouslyFormattedCitation":"(Greenbaum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(Greenbaum et al. 2012)</w:t>
            </w:r>
            <w:r>
              <w:rPr>
                <w:rFonts w:ascii="Palatino Linotype" w:hAnsi="Palatino Linotype" w:cstheme="minorHAnsi"/>
                <w:sz w:val="18"/>
                <w:szCs w:val="18"/>
              </w:rPr>
              <w:fldChar w:fldCharType="end"/>
            </w:r>
          </w:p>
        </w:tc>
      </w:tr>
      <w:tr w:rsidR="0031439E" w:rsidRPr="00EA57B8" w14:paraId="3C336FFE" w14:textId="780AA94B" w:rsidTr="0031439E">
        <w:tc>
          <w:tcPr>
            <w:tcW w:w="1094" w:type="dxa"/>
          </w:tcPr>
          <w:p w14:paraId="1BA17E48" w14:textId="2BF5E18B"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HTR2A, COMT, 5-HTT (SLC6A4)</w:t>
            </w:r>
          </w:p>
        </w:tc>
        <w:tc>
          <w:tcPr>
            <w:tcW w:w="1080" w:type="dxa"/>
          </w:tcPr>
          <w:p w14:paraId="1D766175" w14:textId="12DA6C89"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rs6313, rs6311 (</w:t>
            </w:r>
            <w:r w:rsidRPr="00265F30">
              <w:rPr>
                <w:rStyle w:val="st"/>
                <w:rFonts w:ascii="Palatino Linotype" w:hAnsi="Palatino Linotype"/>
                <w:i/>
                <w:iCs/>
                <w:sz w:val="18"/>
                <w:szCs w:val="18"/>
              </w:rPr>
              <w:t>HTR2A</w:t>
            </w:r>
            <w:r w:rsidRPr="006A1E5F">
              <w:rPr>
                <w:rStyle w:val="st"/>
                <w:rFonts w:ascii="Palatino Linotype" w:hAnsi="Palatino Linotype"/>
                <w:sz w:val="18"/>
                <w:szCs w:val="18"/>
              </w:rPr>
              <w:t>), high/low activity (</w:t>
            </w:r>
            <w:r w:rsidRPr="00265F30">
              <w:rPr>
                <w:rStyle w:val="st"/>
                <w:rFonts w:ascii="Palatino Linotype" w:hAnsi="Palatino Linotype"/>
                <w:i/>
                <w:iCs/>
                <w:sz w:val="18"/>
                <w:szCs w:val="18"/>
              </w:rPr>
              <w:t>COMT</w:t>
            </w:r>
            <w:r w:rsidRPr="006A1E5F">
              <w:rPr>
                <w:rStyle w:val="st"/>
                <w:rFonts w:ascii="Palatino Linotype" w:hAnsi="Palatino Linotype"/>
                <w:sz w:val="18"/>
                <w:szCs w:val="18"/>
              </w:rPr>
              <w:t xml:space="preserve">), 5-HTTLPR </w:t>
            </w:r>
            <w:r w:rsidRPr="006A1E5F">
              <w:rPr>
                <w:rStyle w:val="st"/>
                <w:rFonts w:ascii="Palatino Linotype" w:hAnsi="Palatino Linotype"/>
                <w:sz w:val="18"/>
                <w:szCs w:val="18"/>
              </w:rPr>
              <w:lastRenderedPageBreak/>
              <w:t>VNTR (</w:t>
            </w:r>
            <w:r w:rsidRPr="00265F30">
              <w:rPr>
                <w:rStyle w:val="st"/>
                <w:rFonts w:ascii="Palatino Linotype" w:hAnsi="Palatino Linotype"/>
                <w:i/>
                <w:iCs/>
                <w:sz w:val="18"/>
                <w:szCs w:val="18"/>
              </w:rPr>
              <w:t>5-HTT</w:t>
            </w:r>
            <w:r w:rsidRPr="006A1E5F">
              <w:rPr>
                <w:rStyle w:val="st"/>
                <w:rFonts w:ascii="Palatino Linotype" w:hAnsi="Palatino Linotype"/>
                <w:sz w:val="18"/>
                <w:szCs w:val="18"/>
              </w:rPr>
              <w:t>)</w:t>
            </w:r>
          </w:p>
        </w:tc>
        <w:tc>
          <w:tcPr>
            <w:tcW w:w="1080" w:type="dxa"/>
          </w:tcPr>
          <w:p w14:paraId="61857C0D" w14:textId="608291D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lastRenderedPageBreak/>
              <w:t>32</w:t>
            </w:r>
          </w:p>
        </w:tc>
        <w:tc>
          <w:tcPr>
            <w:tcW w:w="1170" w:type="dxa"/>
          </w:tcPr>
          <w:p w14:paraId="58F4E18D" w14:textId="0C21EFA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 (Turkish)</w:t>
            </w:r>
          </w:p>
        </w:tc>
        <w:tc>
          <w:tcPr>
            <w:tcW w:w="1350" w:type="dxa"/>
          </w:tcPr>
          <w:p w14:paraId="457DCE77" w14:textId="0CF38787"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066688D2" w14:textId="75A2FFCF"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269B8EBF" w14:textId="093CAA21"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ESRS</w:t>
            </w:r>
          </w:p>
        </w:tc>
        <w:tc>
          <w:tcPr>
            <w:tcW w:w="1170" w:type="dxa"/>
          </w:tcPr>
          <w:p w14:paraId="38C0008A" w14:textId="77576643"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38E18F17" w14:textId="6EFB13F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403B40D8" w14:textId="313A063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4C0D8C92" w14:textId="6755B188"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{"citationItems":[{"id":"ITEM-1","itemData":{"ISSN":"0924-9338","PMID":"12711403","abstract":"BACKGROUND The pathophysiology of tardive dyskinesia (TD) is not completely understood.Aim. - To assess the relationship of TD with 5-HT2A receptor gene, serotonin transporter gene (5 HTT), and catechol-o-methyltransferase (COMT) gene polymorphisms. METHOD Our study comprised 111 unrelated subjects who strictly met DSM-IV criteria for schizophrenia and 32 TD, and 79 healthy unrelated controls; all the subjects were of Turkish origin. The analyses of 5-HT2A receptor gene, 5 HTT gene, and COMT gene polymorphisms were performed using polymerase chain reaction (PCR) technique. RESULTS The polymorphisms of these genes were not significantly different between the schizophrenic patients, TD and control subjects. CONCLUSION Our findings indicated that 5-HT2A receptor gene, 5 HTT gene, and COMT gene polymorphisms were similar in schizophrenia with non-TD, schizophrenia with TD, and healthy controls. These polymorphisms, though, do not help to evaluate the susceptibility to TD.","author":[{"dropping-particle":"","family":"Herken","given":"Hasan","non-dropping-particle":"","parse-names":false,"suffix":""},{"dropping-particle":"","family":"Erdal","given":"M Emin","non-dropping-particle":"","parse-names":false,"suffix":""},{"dropping-particle":"","family":"Böke","given":"Omer","non-dropping-particle":"","parse-names":false,"suffix":""},{"dropping-particle":"","family":"Savaş","given":"Haluk A","non-dropping-particle":"","parse-names":false,"suffix":""}],"container-title":"European psychiatry : the journal of the Association of European Psychiatrists","id":"ITEM-1","issue":"2","issued":{"date-parts":[["2003","3"]]},"page":"77-81","title":"Tardive dyskinesia is not associated with the polymorphisms of 5-HT2A receptor gene, serotonin transporter gene and catechol-o-methyltransferase gene.","type":"article-journal","volume":"18"},"uris":["http://www.mendeley.com/documents/?uuid=e09a09ce-f158-3e88-911c-73c8da8babbd"]}],"mendeley":{"formattedCitation":"(Herken et al. 2003)","plainTextFormattedCitation":"(Herken et al. 2003)","previouslyFormattedCitation":"(Herken et al. 2003)"},"properties":{"noteIndex":0},"schema":"https://github.com/citation-style-language/schema/raw/master/csl-citation.json"}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(Herken et al. 2003)</w:t>
            </w:r>
            <w:r w:rsidRPr="006A1E5F">
              <w:rPr>
                <w:rFonts w:ascii="Palatino Linotype" w:hAnsi="Palatino Linotype" w:cstheme="minorHAnsi"/>
                <w:sz w:val="18"/>
                <w:szCs w:val="18"/>
              </w:rPr>
              <w:fldChar w:fldCharType="end"/>
            </w:r>
          </w:p>
        </w:tc>
      </w:tr>
      <w:tr w:rsidR="005F1127" w:rsidRPr="00EA57B8" w14:paraId="3C3D71AF" w14:textId="77777777" w:rsidTr="0031439E">
        <w:tc>
          <w:tcPr>
            <w:tcW w:w="1094" w:type="dxa"/>
          </w:tcPr>
          <w:p w14:paraId="0A8829B1" w14:textId="3F28EAC4" w:rsidR="005F1127" w:rsidRPr="000F3F98" w:rsidRDefault="005F1127" w:rsidP="0031439E">
            <w:pPr>
              <w:rPr>
                <w:rFonts w:ascii="Palatino Linotype" w:hAnsi="Palatino Linotype" w:cstheme="minorHAnsi"/>
                <w:i/>
                <w:iCs/>
                <w:sz w:val="18"/>
                <w:szCs w:val="18"/>
              </w:rPr>
            </w:pPr>
            <w:proofErr w:type="spellStart"/>
            <w:r>
              <w:rPr>
                <w:rFonts w:ascii="Palatino Linotype" w:hAnsi="Palatino Linotype" w:cstheme="minorHAnsi"/>
                <w:i/>
                <w:iCs/>
                <w:sz w:val="18"/>
                <w:szCs w:val="18"/>
              </w:rPr>
              <w:t>MnSOD</w:t>
            </w:r>
            <w:proofErr w:type="spellEnd"/>
          </w:p>
        </w:tc>
        <w:tc>
          <w:tcPr>
            <w:tcW w:w="1080" w:type="dxa"/>
          </w:tcPr>
          <w:p w14:paraId="24B41DBB" w14:textId="791E07D1" w:rsidR="005F1127" w:rsidRPr="00EA643A" w:rsidRDefault="00E2608E" w:rsidP="0031439E">
            <w:pPr>
              <w:rPr>
                <w:rFonts w:ascii="Palatino Linotype" w:hAnsi="Palatino Linotype" w:cstheme="minorHAnsi"/>
                <w:sz w:val="18"/>
                <w:szCs w:val="18"/>
              </w:rPr>
            </w:pPr>
            <w:r w:rsidRPr="00E2608E">
              <w:rPr>
                <w:rFonts w:ascii="Palatino Linotype" w:hAnsi="Palatino Linotype" w:cstheme="minorHAnsi"/>
                <w:sz w:val="18"/>
                <w:szCs w:val="18"/>
              </w:rPr>
              <w:t>rs4880</w:t>
            </w:r>
          </w:p>
        </w:tc>
        <w:tc>
          <w:tcPr>
            <w:tcW w:w="1080" w:type="dxa"/>
          </w:tcPr>
          <w:p w14:paraId="2CE54BC7" w14:textId="25E1B4E9" w:rsidR="005F1127" w:rsidRPr="00377405" w:rsidRDefault="005F1127" w:rsidP="0031439E">
            <w:pPr>
              <w:rPr>
                <w:rFonts w:ascii="Palatino Linotype" w:hAnsi="Palatino Linotype" w:cstheme="minorHAnsi"/>
                <w:sz w:val="18"/>
                <w:szCs w:val="18"/>
              </w:rPr>
            </w:pPr>
            <w:r w:rsidRPr="005F1127">
              <w:rPr>
                <w:rFonts w:ascii="Palatino Linotype" w:hAnsi="Palatino Linotype" w:cstheme="minorHAnsi"/>
                <w:sz w:val="18"/>
                <w:szCs w:val="18"/>
              </w:rPr>
              <w:t>286</w:t>
            </w:r>
            <w:r>
              <w:rPr>
                <w:rFonts w:ascii="Palatino Linotype" w:hAnsi="Palatino Linotype" w:cstheme="minorHAnsi"/>
                <w:sz w:val="18"/>
                <w:szCs w:val="18"/>
              </w:rPr>
              <w:t xml:space="preserve"> (</w:t>
            </w:r>
            <w:r w:rsidR="008A3366">
              <w:rPr>
                <w:rFonts w:ascii="Palatino Linotype" w:hAnsi="Palatino Linotype" w:cstheme="minorHAnsi"/>
                <w:sz w:val="18"/>
                <w:szCs w:val="18"/>
              </w:rPr>
              <w:t>30</w:t>
            </w:r>
            <w:r>
              <w:rPr>
                <w:rFonts w:ascii="Palatino Linotype" w:hAnsi="Palatino Linotype" w:cstheme="minorHAnsi"/>
                <w:sz w:val="18"/>
                <w:szCs w:val="18"/>
              </w:rPr>
              <w:t xml:space="preserve"> with TD</w:t>
            </w:r>
            <w:r w:rsidRPr="005F1127">
              <w:rPr>
                <w:rFonts w:ascii="Palatino Linotype" w:hAnsi="Palatino Linotype" w:cstheme="minorHAnsi"/>
                <w:sz w:val="18"/>
                <w:szCs w:val="18"/>
              </w:rPr>
              <w:t>) and</w:t>
            </w:r>
            <w:r>
              <w:rPr>
                <w:rFonts w:ascii="Palatino Linotype" w:hAnsi="Palatino Linotype" w:cstheme="minorHAnsi"/>
                <w:sz w:val="18"/>
                <w:szCs w:val="18"/>
              </w:rPr>
              <w:t xml:space="preserve"> 243</w:t>
            </w:r>
            <w:r w:rsidRPr="005F1127">
              <w:rPr>
                <w:rFonts w:ascii="Palatino Linotype" w:hAnsi="Palatino Linotype" w:cstheme="minorHAnsi"/>
                <w:sz w:val="18"/>
                <w:szCs w:val="18"/>
              </w:rPr>
              <w:t xml:space="preserve"> </w:t>
            </w:r>
            <w:r>
              <w:rPr>
                <w:rFonts w:ascii="Palatino Linotype" w:hAnsi="Palatino Linotype" w:cstheme="minorHAnsi"/>
                <w:sz w:val="18"/>
                <w:szCs w:val="18"/>
              </w:rPr>
              <w:t>controls</w:t>
            </w:r>
          </w:p>
        </w:tc>
        <w:tc>
          <w:tcPr>
            <w:tcW w:w="1170" w:type="dxa"/>
          </w:tcPr>
          <w:p w14:paraId="7398D7A6" w14:textId="53C7B959" w:rsidR="005F1127" w:rsidRDefault="00E2608E" w:rsidP="0031439E">
            <w:pPr>
              <w:rPr>
                <w:rFonts w:ascii="Palatino Linotype" w:hAnsi="Palatino Linotype" w:cstheme="minorHAnsi"/>
                <w:sz w:val="18"/>
                <w:szCs w:val="18"/>
              </w:rPr>
            </w:pPr>
            <w:r w:rsidRPr="00E2608E">
              <w:rPr>
                <w:rFonts w:ascii="Palatino Linotype" w:hAnsi="Palatino Linotype" w:cstheme="minorHAnsi"/>
                <w:sz w:val="18"/>
                <w:szCs w:val="18"/>
              </w:rPr>
              <w:t xml:space="preserve">South African </w:t>
            </w:r>
            <w:r w:rsidR="005F1127" w:rsidRPr="005F1127">
              <w:rPr>
                <w:rFonts w:ascii="Palatino Linotype" w:hAnsi="Palatino Linotype" w:cstheme="minorHAnsi"/>
                <w:sz w:val="18"/>
                <w:szCs w:val="18"/>
              </w:rPr>
              <w:t>Xhosa</w:t>
            </w:r>
          </w:p>
        </w:tc>
        <w:tc>
          <w:tcPr>
            <w:tcW w:w="1350" w:type="dxa"/>
          </w:tcPr>
          <w:p w14:paraId="4995EAA6" w14:textId="0AC02AD5" w:rsidR="005F1127" w:rsidRPr="00377405" w:rsidRDefault="005F1127"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1757B926" w14:textId="4B759BED" w:rsidR="005F1127" w:rsidRPr="003E2837" w:rsidRDefault="005F1127" w:rsidP="0031439E">
            <w:pPr>
              <w:rPr>
                <w:rFonts w:ascii="Palatino Linotype" w:hAnsi="Palatino Linotype" w:cstheme="minorHAnsi"/>
                <w:sz w:val="18"/>
                <w:szCs w:val="18"/>
              </w:rPr>
            </w:pPr>
            <w:r w:rsidRPr="005F1127">
              <w:rPr>
                <w:rFonts w:ascii="Palatino Linotype" w:hAnsi="Palatino Linotype" w:cstheme="minorHAnsi"/>
                <w:sz w:val="18"/>
                <w:szCs w:val="18"/>
              </w:rPr>
              <w:t>DSM-IV</w:t>
            </w:r>
          </w:p>
        </w:tc>
        <w:tc>
          <w:tcPr>
            <w:tcW w:w="1170" w:type="dxa"/>
          </w:tcPr>
          <w:p w14:paraId="1B66AE4A" w14:textId="497AF083" w:rsidR="005F1127" w:rsidRDefault="005F1127"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D390B4C" w14:textId="5E370D9B" w:rsidR="005F1127" w:rsidRPr="003E2837" w:rsidRDefault="00E2608E" w:rsidP="0031439E">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20734837" w14:textId="50459DBF" w:rsidR="005F1127" w:rsidRDefault="005F1127" w:rsidP="005F1127">
            <w:pPr>
              <w:rPr>
                <w:rStyle w:val="st"/>
                <w:rFonts w:ascii="Palatino Linotype" w:hAnsi="Palatino Linotype"/>
                <w:sz w:val="18"/>
                <w:szCs w:val="18"/>
              </w:rPr>
            </w:pPr>
            <w:r w:rsidRPr="005F1127">
              <w:rPr>
                <w:rStyle w:val="st"/>
                <w:rFonts w:ascii="Palatino Linotype" w:hAnsi="Palatino Linotype"/>
                <w:sz w:val="18"/>
                <w:szCs w:val="18"/>
              </w:rPr>
              <w:t>HEX-SSCP analysis</w:t>
            </w:r>
          </w:p>
        </w:tc>
        <w:tc>
          <w:tcPr>
            <w:tcW w:w="2507" w:type="dxa"/>
          </w:tcPr>
          <w:p w14:paraId="01A62526" w14:textId="638F1D86" w:rsidR="005F1127" w:rsidRDefault="007C2962" w:rsidP="007C2962">
            <w:pPr>
              <w:rPr>
                <w:rFonts w:ascii="Palatino Linotype" w:hAnsi="Palatino Linotype" w:cstheme="minorHAnsi"/>
                <w:sz w:val="18"/>
                <w:szCs w:val="18"/>
              </w:rPr>
            </w:pPr>
            <w:r>
              <w:rPr>
                <w:rFonts w:ascii="Palatino Linotype" w:hAnsi="Palatino Linotype" w:cstheme="minorHAnsi"/>
                <w:sz w:val="18"/>
                <w:szCs w:val="18"/>
              </w:rPr>
              <w:t xml:space="preserve">Genotypic association with TD and </w:t>
            </w:r>
            <w:r w:rsidRPr="007C2962">
              <w:rPr>
                <w:rFonts w:ascii="Palatino Linotype" w:hAnsi="Palatino Linotype" w:cstheme="minorHAnsi"/>
                <w:sz w:val="18"/>
                <w:szCs w:val="18"/>
              </w:rPr>
              <w:t>AIMS score</w:t>
            </w:r>
            <w:r>
              <w:rPr>
                <w:rFonts w:ascii="Palatino Linotype" w:hAnsi="Palatino Linotype" w:cstheme="minorHAnsi"/>
                <w:sz w:val="18"/>
                <w:szCs w:val="18"/>
              </w:rPr>
              <w:t>s</w:t>
            </w:r>
          </w:p>
        </w:tc>
        <w:tc>
          <w:tcPr>
            <w:tcW w:w="2173" w:type="dxa"/>
          </w:tcPr>
          <w:p w14:paraId="5DEBDB00" w14:textId="47644EBF" w:rsidR="005F1127" w:rsidRDefault="005F1127"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03042">
              <w:rPr>
                <w:rFonts w:ascii="Palatino Linotype" w:hAnsi="Palatino Linotype" w:cstheme="minorHAnsi"/>
                <w:sz w:val="18"/>
                <w:szCs w:val="18"/>
              </w:rPr>
              <w:instrText>ADDIN CSL_CITATION {"citationItems":[{"id":"ITEM-1","itemData":{"DOI":"10.1016/j.pnpbp.2006.12.019","ISSN":"0278-5846","PMID":"17291655","abstract":"Reactive oxygen species (ROS)-mediated damage has been hypothesized to play a role in the development and poor outcome of schizophrenia, as well as the development of neuroleptic-induced abnormal involuntary movements. Recently, the functional polymorphism (Ala-9Val) in the manganese superoxide dismutase (MnSOD) gene (part of the antioxidant defense mechanism) was found to be associated with schizophrenia in a Turkish population. This study was aimed at replicating this finding in a Xhosa population. In addition, the role of Ala-9Val in abnormal involuntary movement and tardive dyskinesia development in the Xhosa population was also investigated. The schizophrenic patient group (n=286) and a healthy control group (n=243) were genotyped for the Ala-9Val polymorphism using heteroduplex-single stranded conformational polymorphism (HEX-SSCP) analysis. No significant difference in genotype or allele frequency could be observed between the schizophrenia and control group (P=0.294 and P=0.528 respectively). In addition no association could be found between the polymorphism and symptom severity (SANS and SAPS). The Xhosa schizophrenia patient group with abnormal involuntary movements (n=54) and a subgroup with tardive dyskinesia (n=30) was found to significantly differ in Ala-9Val genotype frequency (P=0.008 and P=0.011 respectively) compared to the Xhosa schizophrenia patient group without abnormal involuntary movements (n=204). However, no significant difference was found for the allele frequencies (P=0.955 and P=0.161). Further, using ANCOVA no association was found between AIMS score and genotype in the group with abnormal involuntary movements (P=0.1234). However, in the patient group with tardive dyskinesia an association was observed between genotype and AIMS score (P=0.0365). These results do not support a major role of the MnSOD Ala-9Val polymorphism in the development of schizophrenia or symptom severity in the Xhosa population. Yet it seems to be involved in the development of abnormal involuntary movements and tardive dyskinesia and may even modulate the severity of tardive dyskinesia.","author":[{"dropping-particle":"","family":"Hitzeroth","given":"Angelika","non-dropping-particle":"","parse-names":false,"suffix":""},{"dropping-particle":"","family":"Niehaus","given":"Dana J H","non-dropping-particle":"","parse-names":false,"suffix":""},{"dropping-particle":"","family":"Koen","given":"Liezl","non-dropping-particle":"","parse-names":false,"suffix":""},{"dropping-particle":"","family":"Botes","given":"Willem C","non-dropping-particle":"","parse-names":false,"suffix":""},{"dropping-particle":"","family":"Deleuze","given":"J F","non-dropping-particle":"","parse-names":false,"suffix":""},{"dropping-particle":"","family":"Warnich","given":"Louise","non-dropping-particle":"","parse-names":false,"suffix":""}],"container-title":"Progress in neuro-psychopharmacology &amp; biological psychiatry","id":"ITEM-1","issue":"3","issued":{"date-parts":[["2007","4","13"]]},"page":"664-72","publisher":"Prog Neuropsychopharmacol Biol Psychiatry","title":"Association between the MnSOD Ala-9Val polymorphism and development of schizophrenia and abnormal involuntary movements in the Xhosa population.","type":"article-journal","volume":"31"},"uris":["http://www.mendeley.com/documents/?uuid=f7f76da0-1d3c-3893-944d-d7230e1dd06a"]}],"mendeley":{"formattedCitation":"(Hitzeroth et al. 2007)","plainTextFormattedCitation":"(Hitzeroth et al. 2007)","previouslyFormattedCitation":"(Hitzeroth et al. 2007)"},"properties":{"noteIndex":0},"schema":"https://github.com/citation-style-language/schema/raw/master/csl-citation.json"}</w:instrText>
            </w:r>
            <w:r>
              <w:rPr>
                <w:rFonts w:ascii="Palatino Linotype" w:hAnsi="Palatino Linotype" w:cstheme="minorHAnsi"/>
                <w:sz w:val="18"/>
                <w:szCs w:val="18"/>
              </w:rPr>
              <w:fldChar w:fldCharType="separate"/>
            </w:r>
            <w:r w:rsidRPr="005F1127">
              <w:rPr>
                <w:rFonts w:ascii="Palatino Linotype" w:hAnsi="Palatino Linotype" w:cstheme="minorHAnsi"/>
                <w:noProof/>
                <w:sz w:val="18"/>
                <w:szCs w:val="18"/>
              </w:rPr>
              <w:t>(Hitzeroth et al. 2007)</w:t>
            </w:r>
            <w:r>
              <w:rPr>
                <w:rFonts w:ascii="Palatino Linotype" w:hAnsi="Palatino Linotype" w:cstheme="minorHAnsi"/>
                <w:sz w:val="18"/>
                <w:szCs w:val="18"/>
              </w:rPr>
              <w:fldChar w:fldCharType="end"/>
            </w:r>
          </w:p>
        </w:tc>
      </w:tr>
      <w:tr w:rsidR="0031439E" w:rsidRPr="00EA57B8" w14:paraId="72969766" w14:textId="3ED68D4A" w:rsidTr="0031439E">
        <w:tc>
          <w:tcPr>
            <w:tcW w:w="1094" w:type="dxa"/>
          </w:tcPr>
          <w:p w14:paraId="2DA55076" w14:textId="75D7934C" w:rsidR="0031439E" w:rsidRPr="000F3F98" w:rsidRDefault="0031439E" w:rsidP="0031439E">
            <w:pPr>
              <w:rPr>
                <w:rFonts w:ascii="Palatino Linotype" w:hAnsi="Palatino Linotype" w:cstheme="minorHAnsi"/>
                <w:i/>
                <w:iCs/>
                <w:sz w:val="18"/>
                <w:szCs w:val="18"/>
              </w:rPr>
            </w:pPr>
            <w:proofErr w:type="spellStart"/>
            <w:r w:rsidRPr="000F3F98">
              <w:rPr>
                <w:rFonts w:ascii="Palatino Linotype" w:hAnsi="Palatino Linotype" w:cstheme="minorHAnsi"/>
                <w:i/>
                <w:iCs/>
                <w:sz w:val="18"/>
                <w:szCs w:val="18"/>
              </w:rPr>
              <w:t>MnSOD</w:t>
            </w:r>
            <w:proofErr w:type="spellEnd"/>
          </w:p>
        </w:tc>
        <w:tc>
          <w:tcPr>
            <w:tcW w:w="1080" w:type="dxa"/>
          </w:tcPr>
          <w:p w14:paraId="3A0C8FA4" w14:textId="6A3AB096" w:rsidR="0031439E" w:rsidRPr="00924ABD" w:rsidRDefault="0031439E" w:rsidP="0031439E">
            <w:pPr>
              <w:rPr>
                <w:rFonts w:ascii="Palatino Linotype" w:hAnsi="Palatino Linotype" w:cstheme="minorHAnsi"/>
                <w:sz w:val="18"/>
                <w:szCs w:val="18"/>
              </w:rPr>
            </w:pPr>
            <w:r w:rsidRPr="00EA643A">
              <w:rPr>
                <w:rFonts w:ascii="Palatino Linotype" w:hAnsi="Palatino Linotype" w:cstheme="minorHAnsi"/>
                <w:sz w:val="18"/>
                <w:szCs w:val="18"/>
              </w:rPr>
              <w:t>rs4880</w:t>
            </w:r>
          </w:p>
        </w:tc>
        <w:tc>
          <w:tcPr>
            <w:tcW w:w="1080" w:type="dxa"/>
          </w:tcPr>
          <w:p w14:paraId="0EEF5914" w14:textId="68954C92" w:rsidR="0031439E" w:rsidRDefault="0031439E" w:rsidP="0031439E">
            <w:pPr>
              <w:rPr>
                <w:rFonts w:ascii="Palatino Linotype" w:hAnsi="Palatino Linotype" w:cstheme="minorHAnsi"/>
                <w:sz w:val="18"/>
                <w:szCs w:val="18"/>
              </w:rPr>
            </w:pPr>
            <w:r w:rsidRPr="00377405">
              <w:rPr>
                <w:rFonts w:ascii="Palatino Linotype" w:hAnsi="Palatino Linotype" w:cstheme="minorHAnsi"/>
                <w:sz w:val="18"/>
                <w:szCs w:val="18"/>
              </w:rPr>
              <w:t>192</w:t>
            </w:r>
            <w:r>
              <w:rPr>
                <w:rFonts w:ascii="Palatino Linotype" w:hAnsi="Palatino Linotype" w:cstheme="minorHAnsi"/>
                <w:sz w:val="18"/>
                <w:szCs w:val="18"/>
              </w:rPr>
              <w:t xml:space="preserve"> (</w:t>
            </w:r>
            <w:r w:rsidRPr="00377405">
              <w:rPr>
                <w:rFonts w:ascii="Palatino Linotype" w:hAnsi="Palatino Linotype" w:cstheme="minorHAnsi"/>
                <w:sz w:val="18"/>
                <w:szCs w:val="18"/>
              </w:rPr>
              <w:t>39 with TD</w:t>
            </w:r>
            <w:r>
              <w:rPr>
                <w:rFonts w:ascii="Palatino Linotype" w:hAnsi="Palatino Linotype" w:cstheme="minorHAnsi"/>
                <w:sz w:val="18"/>
                <w:szCs w:val="18"/>
              </w:rPr>
              <w:t xml:space="preserve">) and </w:t>
            </w:r>
            <w:r w:rsidRPr="00377405">
              <w:rPr>
                <w:rFonts w:ascii="Palatino Linotype" w:hAnsi="Palatino Linotype" w:cstheme="minorHAnsi"/>
                <w:sz w:val="18"/>
                <w:szCs w:val="18"/>
              </w:rPr>
              <w:t>141 controls</w:t>
            </w:r>
          </w:p>
        </w:tc>
        <w:tc>
          <w:tcPr>
            <w:tcW w:w="1170" w:type="dxa"/>
          </w:tcPr>
          <w:p w14:paraId="0F390738" w14:textId="42A77453" w:rsidR="0031439E" w:rsidRDefault="0031439E" w:rsidP="0031439E">
            <w:pPr>
              <w:rPr>
                <w:rFonts w:ascii="Palatino Linotype" w:hAnsi="Palatino Linotype"/>
                <w:sz w:val="18"/>
                <w:szCs w:val="18"/>
              </w:rPr>
            </w:pPr>
            <w:r>
              <w:rPr>
                <w:rFonts w:ascii="Palatino Linotype" w:hAnsi="Palatino Linotype" w:cstheme="minorHAnsi"/>
                <w:sz w:val="18"/>
                <w:szCs w:val="18"/>
              </w:rPr>
              <w:t xml:space="preserve">Japanese </w:t>
            </w:r>
          </w:p>
        </w:tc>
        <w:tc>
          <w:tcPr>
            <w:tcW w:w="1350" w:type="dxa"/>
          </w:tcPr>
          <w:p w14:paraId="19D6B69A" w14:textId="2D267496" w:rsidR="0031439E" w:rsidRPr="00924ABD" w:rsidRDefault="0031439E" w:rsidP="0031439E">
            <w:pPr>
              <w:rPr>
                <w:rFonts w:ascii="Palatino Linotype" w:hAnsi="Palatino Linotype" w:cstheme="minorHAnsi"/>
                <w:sz w:val="18"/>
                <w:szCs w:val="18"/>
              </w:rPr>
            </w:pPr>
            <w:r w:rsidRPr="00377405">
              <w:rPr>
                <w:rFonts w:ascii="Palatino Linotype" w:hAnsi="Palatino Linotype" w:cstheme="minorHAnsi"/>
                <w:sz w:val="18"/>
                <w:szCs w:val="18"/>
              </w:rPr>
              <w:t>Schizophren</w:t>
            </w:r>
            <w:r>
              <w:rPr>
                <w:rFonts w:ascii="Palatino Linotype" w:hAnsi="Palatino Linotype" w:cstheme="minorHAnsi"/>
                <w:sz w:val="18"/>
                <w:szCs w:val="18"/>
              </w:rPr>
              <w:t xml:space="preserve">ia </w:t>
            </w:r>
          </w:p>
        </w:tc>
        <w:tc>
          <w:tcPr>
            <w:tcW w:w="1260" w:type="dxa"/>
          </w:tcPr>
          <w:p w14:paraId="5D2801D1" w14:textId="37536F91" w:rsidR="0031439E" w:rsidRPr="006A1E5F" w:rsidRDefault="0031439E" w:rsidP="0031439E">
            <w:pPr>
              <w:rPr>
                <w:rFonts w:ascii="Palatino Linotype" w:hAnsi="Palatino Linotype" w:cstheme="minorHAnsi"/>
                <w:sz w:val="18"/>
                <w:szCs w:val="18"/>
              </w:rPr>
            </w:pPr>
            <w:r w:rsidRPr="003E2837">
              <w:rPr>
                <w:rFonts w:ascii="Palatino Linotype" w:hAnsi="Palatino Linotype" w:cstheme="minorHAnsi"/>
                <w:sz w:val="18"/>
                <w:szCs w:val="18"/>
              </w:rPr>
              <w:t xml:space="preserve">DSM-IV  </w:t>
            </w:r>
          </w:p>
        </w:tc>
        <w:tc>
          <w:tcPr>
            <w:tcW w:w="1170" w:type="dxa"/>
          </w:tcPr>
          <w:p w14:paraId="62DAA0E4" w14:textId="16EBD5AF"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70716367" w14:textId="77777777" w:rsidR="0031439E" w:rsidRPr="003E2837" w:rsidRDefault="0031439E" w:rsidP="0031439E">
            <w:pPr>
              <w:rPr>
                <w:rFonts w:ascii="Palatino Linotype" w:hAnsi="Palatino Linotype" w:cstheme="minorHAnsi"/>
                <w:sz w:val="18"/>
                <w:szCs w:val="18"/>
              </w:rPr>
            </w:pPr>
            <w:r w:rsidRPr="003E2837">
              <w:rPr>
                <w:rFonts w:ascii="Palatino Linotype" w:hAnsi="Palatino Linotype" w:cstheme="minorHAnsi"/>
                <w:sz w:val="18"/>
                <w:szCs w:val="18"/>
              </w:rPr>
              <w:t>Haloperidol</w:t>
            </w:r>
            <w:r>
              <w:rPr>
                <w:rFonts w:ascii="Palatino Linotype" w:hAnsi="Palatino Linotype" w:cstheme="minorHAnsi"/>
                <w:sz w:val="18"/>
                <w:szCs w:val="18"/>
              </w:rPr>
              <w:t xml:space="preserve">, </w:t>
            </w:r>
            <w:r w:rsidRPr="003E2837">
              <w:rPr>
                <w:rFonts w:ascii="Palatino Linotype" w:hAnsi="Palatino Linotype" w:cstheme="minorHAnsi"/>
                <w:sz w:val="18"/>
                <w:szCs w:val="18"/>
              </w:rPr>
              <w:t xml:space="preserve">levomepromazine, </w:t>
            </w:r>
            <w:proofErr w:type="spellStart"/>
            <w:r w:rsidRPr="003E2837">
              <w:rPr>
                <w:rFonts w:ascii="Palatino Linotype" w:hAnsi="Palatino Linotype" w:cstheme="minorHAnsi"/>
                <w:sz w:val="18"/>
                <w:szCs w:val="18"/>
              </w:rPr>
              <w:t>bromperidol</w:t>
            </w:r>
            <w:proofErr w:type="spellEnd"/>
            <w:r>
              <w:rPr>
                <w:rFonts w:ascii="Palatino Linotype" w:hAnsi="Palatino Linotype" w:cstheme="minorHAnsi"/>
                <w:sz w:val="18"/>
                <w:szCs w:val="18"/>
              </w:rPr>
              <w:t xml:space="preserve">, </w:t>
            </w:r>
            <w:r w:rsidRPr="003E2837">
              <w:rPr>
                <w:rFonts w:ascii="Palatino Linotype" w:hAnsi="Palatino Linotype" w:cstheme="minorHAnsi"/>
                <w:sz w:val="18"/>
                <w:szCs w:val="18"/>
              </w:rPr>
              <w:t>chlorpromazine</w:t>
            </w:r>
            <w:r>
              <w:rPr>
                <w:rFonts w:ascii="Palatino Linotype" w:hAnsi="Palatino Linotype" w:cstheme="minorHAnsi"/>
                <w:sz w:val="18"/>
                <w:szCs w:val="18"/>
              </w:rPr>
              <w:t xml:space="preserve">, </w:t>
            </w:r>
            <w:r w:rsidRPr="003E2837">
              <w:rPr>
                <w:rFonts w:ascii="Palatino Linotype" w:hAnsi="Palatino Linotype" w:cstheme="minorHAnsi"/>
                <w:sz w:val="18"/>
                <w:szCs w:val="18"/>
              </w:rPr>
              <w:t>zotepine</w:t>
            </w:r>
            <w:r>
              <w:rPr>
                <w:rFonts w:ascii="Palatino Linotype" w:hAnsi="Palatino Linotype" w:cstheme="minorHAnsi"/>
                <w:sz w:val="18"/>
                <w:szCs w:val="18"/>
              </w:rPr>
              <w:t xml:space="preserve">, </w:t>
            </w:r>
            <w:proofErr w:type="spellStart"/>
            <w:r w:rsidRPr="003E2837">
              <w:rPr>
                <w:rFonts w:ascii="Palatino Linotype" w:hAnsi="Palatino Linotype" w:cstheme="minorHAnsi"/>
                <w:sz w:val="18"/>
                <w:szCs w:val="18"/>
              </w:rPr>
              <w:t>propericia</w:t>
            </w:r>
            <w:proofErr w:type="spellEnd"/>
            <w:r w:rsidRPr="003E2837">
              <w:rPr>
                <w:rFonts w:ascii="Palatino Linotype" w:hAnsi="Palatino Linotype" w:cstheme="minorHAnsi"/>
                <w:sz w:val="18"/>
                <w:szCs w:val="18"/>
              </w:rPr>
              <w:t>-</w:t>
            </w:r>
          </w:p>
          <w:p w14:paraId="785B2F3B" w14:textId="48FF5589" w:rsidR="0031439E" w:rsidRDefault="0031439E" w:rsidP="0031439E">
            <w:pPr>
              <w:rPr>
                <w:rFonts w:ascii="Palatino Linotype" w:hAnsi="Palatino Linotype" w:cstheme="minorHAnsi"/>
                <w:sz w:val="18"/>
                <w:szCs w:val="18"/>
              </w:rPr>
            </w:pPr>
            <w:r w:rsidRPr="003E2837">
              <w:rPr>
                <w:rFonts w:ascii="Palatino Linotype" w:hAnsi="Palatino Linotype" w:cstheme="minorHAnsi"/>
                <w:sz w:val="18"/>
                <w:szCs w:val="18"/>
              </w:rPr>
              <w:t>Zine</w:t>
            </w:r>
            <w:r>
              <w:rPr>
                <w:rFonts w:ascii="Palatino Linotype" w:hAnsi="Palatino Linotype" w:cstheme="minorHAnsi"/>
                <w:sz w:val="18"/>
                <w:szCs w:val="18"/>
              </w:rPr>
              <w:t xml:space="preserve">, </w:t>
            </w:r>
            <w:proofErr w:type="spellStart"/>
            <w:r w:rsidRPr="003E2837">
              <w:rPr>
                <w:rFonts w:ascii="Palatino Linotype" w:hAnsi="Palatino Linotype" w:cstheme="minorHAnsi"/>
                <w:sz w:val="18"/>
                <w:szCs w:val="18"/>
              </w:rPr>
              <w:t>Sulpiride</w:t>
            </w:r>
            <w:proofErr w:type="spellEnd"/>
            <w:r>
              <w:rPr>
                <w:rFonts w:ascii="Palatino Linotype" w:hAnsi="Palatino Linotype" w:cstheme="minorHAnsi"/>
                <w:sz w:val="18"/>
                <w:szCs w:val="18"/>
              </w:rPr>
              <w:t xml:space="preserve">, </w:t>
            </w:r>
            <w:proofErr w:type="spellStart"/>
            <w:r w:rsidRPr="003E2837">
              <w:rPr>
                <w:rFonts w:ascii="Palatino Linotype" w:hAnsi="Palatino Linotype" w:cstheme="minorHAnsi"/>
                <w:sz w:val="18"/>
                <w:szCs w:val="18"/>
              </w:rPr>
              <w:t>mosapramine</w:t>
            </w:r>
            <w:proofErr w:type="spellEnd"/>
            <w:r w:rsidRPr="003E2837">
              <w:rPr>
                <w:rFonts w:ascii="Palatino Linotype" w:hAnsi="Palatino Linotype" w:cstheme="minorHAnsi"/>
                <w:sz w:val="18"/>
                <w:szCs w:val="18"/>
              </w:rPr>
              <w:t xml:space="preserve"> </w:t>
            </w:r>
            <w:r>
              <w:rPr>
                <w:rFonts w:ascii="Palatino Linotype" w:hAnsi="Palatino Linotype" w:cstheme="minorHAnsi"/>
                <w:sz w:val="18"/>
                <w:szCs w:val="18"/>
              </w:rPr>
              <w:t>and combination</w:t>
            </w:r>
          </w:p>
        </w:tc>
        <w:tc>
          <w:tcPr>
            <w:tcW w:w="1350" w:type="dxa"/>
          </w:tcPr>
          <w:p w14:paraId="06815100" w14:textId="77777777" w:rsidR="0031439E" w:rsidRPr="0059000A" w:rsidRDefault="0031439E" w:rsidP="0031439E">
            <w:pPr>
              <w:rPr>
                <w:rStyle w:val="st"/>
                <w:rFonts w:ascii="Palatino Linotype" w:hAnsi="Palatino Linotype"/>
                <w:sz w:val="18"/>
                <w:szCs w:val="18"/>
              </w:rPr>
            </w:pPr>
            <w:r>
              <w:rPr>
                <w:rStyle w:val="st"/>
                <w:rFonts w:ascii="Palatino Linotype" w:hAnsi="Palatino Linotype"/>
                <w:sz w:val="18"/>
                <w:szCs w:val="18"/>
              </w:rPr>
              <w:t>PCR-RFLP (</w:t>
            </w:r>
            <w:proofErr w:type="spellStart"/>
            <w:r w:rsidRPr="0059000A">
              <w:rPr>
                <w:rStyle w:val="st"/>
                <w:rFonts w:ascii="Palatino Linotype" w:hAnsi="Palatino Linotype"/>
                <w:sz w:val="18"/>
                <w:szCs w:val="18"/>
              </w:rPr>
              <w:t>BsaWI</w:t>
            </w:r>
            <w:proofErr w:type="spellEnd"/>
            <w:r>
              <w:rPr>
                <w:rStyle w:val="st"/>
                <w:rFonts w:ascii="Palatino Linotype" w:hAnsi="Palatino Linotype"/>
                <w:sz w:val="18"/>
                <w:szCs w:val="18"/>
              </w:rPr>
              <w:t>)</w:t>
            </w:r>
          </w:p>
          <w:p w14:paraId="2A0D1384" w14:textId="77777777" w:rsidR="0031439E" w:rsidRPr="0059000A" w:rsidRDefault="0031439E" w:rsidP="0031439E">
            <w:pPr>
              <w:rPr>
                <w:rStyle w:val="st"/>
                <w:rFonts w:ascii="Palatino Linotype" w:hAnsi="Palatino Linotype"/>
                <w:sz w:val="18"/>
                <w:szCs w:val="18"/>
              </w:rPr>
            </w:pPr>
            <w:r w:rsidRPr="0059000A">
              <w:rPr>
                <w:rStyle w:val="st"/>
                <w:rFonts w:ascii="Palatino Linotype" w:hAnsi="Palatino Linotype"/>
                <w:sz w:val="18"/>
                <w:szCs w:val="18"/>
              </w:rPr>
              <w:t xml:space="preserve"> </w:t>
            </w:r>
          </w:p>
          <w:p w14:paraId="5D2FD38E" w14:textId="77777777" w:rsidR="0031439E" w:rsidRDefault="0031439E" w:rsidP="0031439E">
            <w:pPr>
              <w:rPr>
                <w:rFonts w:ascii="Palatino Linotype" w:hAnsi="Palatino Linotype" w:cstheme="minorHAnsi"/>
                <w:sz w:val="18"/>
                <w:szCs w:val="18"/>
              </w:rPr>
            </w:pPr>
          </w:p>
        </w:tc>
        <w:tc>
          <w:tcPr>
            <w:tcW w:w="2507" w:type="dxa"/>
          </w:tcPr>
          <w:p w14:paraId="52B2705D" w14:textId="77777777" w:rsidR="0031439E" w:rsidRPr="00377405" w:rsidRDefault="0031439E" w:rsidP="0031439E">
            <w:pPr>
              <w:rPr>
                <w:rFonts w:ascii="Palatino Linotype" w:hAnsi="Palatino Linotype" w:cstheme="minorHAnsi"/>
                <w:sz w:val="18"/>
                <w:szCs w:val="18"/>
              </w:rPr>
            </w:pPr>
            <w:r>
              <w:rPr>
                <w:rFonts w:ascii="Palatino Linotype" w:hAnsi="Palatino Linotype" w:cstheme="minorHAnsi"/>
                <w:sz w:val="18"/>
                <w:szCs w:val="18"/>
              </w:rPr>
              <w:t>S</w:t>
            </w:r>
            <w:r w:rsidRPr="00377405">
              <w:rPr>
                <w:rFonts w:ascii="Palatino Linotype" w:hAnsi="Palatino Linotype" w:cstheme="minorHAnsi"/>
                <w:sz w:val="18"/>
                <w:szCs w:val="18"/>
              </w:rPr>
              <w:t xml:space="preserve">ignificant difference </w:t>
            </w:r>
          </w:p>
          <w:p w14:paraId="0ED3E8CC" w14:textId="228D8F95" w:rsidR="0031439E" w:rsidRDefault="0031439E" w:rsidP="0031439E">
            <w:pPr>
              <w:rPr>
                <w:rFonts w:ascii="Palatino Linotype" w:hAnsi="Palatino Linotype" w:cstheme="minorHAnsi"/>
                <w:sz w:val="18"/>
                <w:szCs w:val="18"/>
              </w:rPr>
            </w:pPr>
            <w:r w:rsidRPr="00377405">
              <w:rPr>
                <w:rFonts w:ascii="Palatino Linotype" w:hAnsi="Palatino Linotype" w:cstheme="minorHAnsi"/>
                <w:sz w:val="18"/>
                <w:szCs w:val="18"/>
              </w:rPr>
              <w:t xml:space="preserve">in genotypic distribution between </w:t>
            </w:r>
            <w:r>
              <w:rPr>
                <w:rFonts w:ascii="Palatino Linotype" w:hAnsi="Palatino Linotype" w:cstheme="minorHAnsi"/>
                <w:sz w:val="18"/>
                <w:szCs w:val="18"/>
              </w:rPr>
              <w:t>patients</w:t>
            </w:r>
            <w:r w:rsidRPr="00377405">
              <w:rPr>
                <w:rFonts w:ascii="Palatino Linotype" w:hAnsi="Palatino Linotype" w:cstheme="minorHAnsi"/>
                <w:sz w:val="18"/>
                <w:szCs w:val="18"/>
              </w:rPr>
              <w:t xml:space="preserve"> with and without TD. </w:t>
            </w:r>
            <w:r>
              <w:rPr>
                <w:rFonts w:ascii="Palatino Linotype" w:hAnsi="Palatino Linotype" w:cstheme="minorHAnsi"/>
                <w:sz w:val="18"/>
                <w:szCs w:val="18"/>
              </w:rPr>
              <w:t xml:space="preserve">Association between decreased </w:t>
            </w:r>
            <w:r w:rsidRPr="00EA643A">
              <w:rPr>
                <w:rFonts w:ascii="Palatino Linotype" w:hAnsi="Palatino Linotype" w:cstheme="minorHAnsi"/>
                <w:sz w:val="18"/>
                <w:szCs w:val="18"/>
              </w:rPr>
              <w:t>rs4880</w:t>
            </w:r>
            <w:r>
              <w:rPr>
                <w:rFonts w:ascii="Palatino Linotype" w:hAnsi="Palatino Linotype" w:cstheme="minorHAnsi"/>
                <w:sz w:val="18"/>
                <w:szCs w:val="18"/>
              </w:rPr>
              <w:t xml:space="preserve"> </w:t>
            </w:r>
            <w:r w:rsidRPr="00377405">
              <w:rPr>
                <w:rFonts w:ascii="Palatino Linotype" w:hAnsi="Palatino Linotype" w:cstheme="minorHAnsi"/>
                <w:sz w:val="18"/>
                <w:szCs w:val="18"/>
              </w:rPr>
              <w:t xml:space="preserve">9Ala </w:t>
            </w:r>
            <w:r>
              <w:rPr>
                <w:rFonts w:ascii="Palatino Linotype" w:hAnsi="Palatino Linotype" w:cstheme="minorHAnsi"/>
                <w:sz w:val="18"/>
                <w:szCs w:val="18"/>
              </w:rPr>
              <w:t xml:space="preserve">allele frequencies and </w:t>
            </w:r>
            <w:r w:rsidRPr="00377405">
              <w:rPr>
                <w:rFonts w:ascii="Palatino Linotype" w:hAnsi="Palatino Linotype" w:cstheme="minorHAnsi"/>
                <w:sz w:val="18"/>
                <w:szCs w:val="18"/>
              </w:rPr>
              <w:t>TD</w:t>
            </w:r>
          </w:p>
        </w:tc>
        <w:tc>
          <w:tcPr>
            <w:tcW w:w="2173" w:type="dxa"/>
          </w:tcPr>
          <w:p w14:paraId="47F717F7" w14:textId="0D4083B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{"citationItems":[{"id":"ITEM-1","itemData":{"DOI":"10.1016/S0893-133X(99)00156-6","ISSN":"0893-133X","PMID":"10882843","abstract":"There has been increasing evidence that deranged superoxide dismutase (SOD) activities might be a risk factor for schizophrenia and/or tardive dyskinesia (TD). In the present study, we investigated the genetic association between a functional polymorphism (Ala-9Val) in the human manganese (Mn) SOD gene and schizophrenia or TD (192 schizophrenics: 39 with TD and 153 without TD; 141 controls). No significant differences in the allelic or genotypic distribution between schizophrenics and controls were observed. However, we did find a significant difference in genotypic distribution between schizophrenics with and those without TD (p =. 03). Moreover, decreased -9Ala (mutant) allele was found among patients with TD (p =.02; odds ratio = 0.29; 95% confidence interval = 0.10-0.83). In conjunction with previous findings of increased free radicals and decreased SOD activities in TD subjects, these results suggest that the -9Ala (high activity) MnSOD allele may play a role in protecting against susceptibility to TD in schizophrenics.","author":[{"dropping-particle":"","family":"Hori","given":"H","non-dropping-particle":"","parse-names":false,"suffix":""},{"dropping-particle":"","family":"Ohmori","given":"O","non-dropping-particle":"","parse-names":false,"suffix":""},{"dropping-particle":"","family":"Shinkai","given":"T","non-dropping-particle":"","parse-names":false,"suffix":""},{"dropping-particle":"","family":"Kojima","given":"H","non-dropping-particle":"","parse-names":false,"suffix":""},{"dropping-particle":"","family":"Okano","given":"C","non-dropping-particle":"","parse-names":false,"suffix":""},{"dropping-particle":"","family":"Suzuki","given":"T","non-dropping-particle":"","parse-names":false,"suffix":""},{"dropping-particle":"","family":"Nakamura","given":"J","non-dropping-particle":"","parse-names":false,"suffix":""}],"container-title":"Neuropsychopharmacology : official publication of the American College of Neuropsychopharmacology","id":"ITEM-1","issue":"2","issued":{"date-parts":[["2000","8"]]},"page":"170-7","publisher":"Neuropsychopharmacology","title":"Manganese superoxide dismutase gene polymorphism and schizophrenia: relation to tardive dyskinesia.","type":"article-journal","volume":"23"},"uris":["http://www.mendeley.com/documents/?uuid=896f65e4-ebbc-38e2-ac31-ce9e69f1975c"]}],"mendeley":{"formattedCitation":"(Hori et al. 2000)","plainTextFormattedCitation":"(Hori et al. 2000)","previouslyFormattedCitation":"(Hori et al. 2000)"},"properties":{"noteIndex":0},"schema":"https://github.com/citation-style-language/schema/raw/master/csl-citation.json"}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(Hori et al. 2000)</w:t>
            </w:r>
            <w:r>
              <w:rPr>
                <w:rFonts w:ascii="Palatino Linotype" w:hAnsi="Palatino Linotype" w:cstheme="minorHAnsi"/>
                <w:sz w:val="18"/>
                <w:szCs w:val="18"/>
              </w:rPr>
              <w:fldChar w:fldCharType="end"/>
            </w:r>
          </w:p>
        </w:tc>
      </w:tr>
      <w:tr w:rsidR="0031439E" w:rsidRPr="00EA57B8" w14:paraId="6F53B5FF" w14:textId="6D5F2E87" w:rsidTr="0031439E">
        <w:tc>
          <w:tcPr>
            <w:tcW w:w="1094" w:type="dxa"/>
          </w:tcPr>
          <w:p w14:paraId="7383A565" w14:textId="48E952A8"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DRD2</w:t>
            </w:r>
          </w:p>
        </w:tc>
        <w:tc>
          <w:tcPr>
            <w:tcW w:w="1080" w:type="dxa"/>
          </w:tcPr>
          <w:p w14:paraId="1C6D19F7" w14:textId="3A14DD3C"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rs1801028,</w:t>
            </w:r>
            <w:r w:rsidRPr="006A1E5F">
              <w:rPr>
                <w:rFonts w:ascii="Palatino Linotype" w:hAnsi="Palatino Linotype"/>
                <w:sz w:val="18"/>
                <w:szCs w:val="18"/>
              </w:rPr>
              <w:t xml:space="preserve"> </w:t>
            </w:r>
            <w:r w:rsidRPr="006A1E5F">
              <w:rPr>
                <w:rStyle w:val="st"/>
                <w:rFonts w:ascii="Palatino Linotype" w:hAnsi="Palatino Linotype"/>
                <w:sz w:val="18"/>
                <w:szCs w:val="18"/>
              </w:rPr>
              <w:t>rs1799732, rs1800497</w:t>
            </w:r>
          </w:p>
        </w:tc>
        <w:tc>
          <w:tcPr>
            <w:tcW w:w="1080" w:type="dxa"/>
          </w:tcPr>
          <w:p w14:paraId="2089DF64" w14:textId="4D78175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44</w:t>
            </w:r>
          </w:p>
        </w:tc>
        <w:tc>
          <w:tcPr>
            <w:tcW w:w="1170" w:type="dxa"/>
          </w:tcPr>
          <w:p w14:paraId="644BBDD1" w14:textId="13246EED"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350" w:type="dxa"/>
          </w:tcPr>
          <w:p w14:paraId="48BDE77F" w14:textId="77C03969"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3866D48B" w14:textId="24675DA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5BF4B76E" w14:textId="2C803705"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562DD61E" w14:textId="4DCB778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377C30F7" w14:textId="11B4950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326F3512" w14:textId="57C5655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7788DC0A" w14:textId="24ADB2F0"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{"citationItems":[{"id":"ITEM-1","itemData":{"ISSN":"0148-7299","PMID":"11803529","abstract":"The dopamine D2 receptor (DRD2) gene is considered one of the candidate genes contributing to the development of tardive dyskinesia (TD). In the present study, we investigated the genetic association between three functional polymorphisms (Ser311Cys, -141C Ins/Del and TaqI A) in the DRD2 gene and TD (200 patients with schizophrenia: 44 with TD and 156 without TD). No significant difference in the allelic and genotypic distribution between patients with TD and those without TD was observed. However, we found a slightly significant association between the -141C Ins/Del polymorphism and the total Abnormal Involuntary Movement Scale (AIMS) score (P = 0.037). The significant association between the -141C Ins/Del polymorphism and the total AIMS score did not remain after the regression analysis was taken into account (P = 0.14). Our results suggest that that three functional polymorphisms in DRD2 may not play a major role in the occurrence of TD.","author":[{"dropping-particle":"","family":"Hori","given":"H","non-dropping-particle":"","parse-names":false,"suffix":""},{"dropping-particle":"","family":"Ohmori","given":"O","non-dropping-particle":"","parse-names":false,"suffix":""},{"dropping-particle":"","family":"Shinkai","given":"T","non-dropping-particle":"","parse-names":false,"suffix":""},{"dropping-particle":"","family":"Kojima","given":"H","non-dropping-particle":"","parse-names":false,"suffix":""},{"dropping-particle":"","family":"Nakamura","given":"J","non-dropping-particle":"","parse-names":false,"suffix":""}],"container-title":"American journal of medical genetics","id":"ITEM-1","issue":"8","issued":{"date-parts":[["2001","12","8"]]},"page":"774-8","title":"Association between three functional polymorphisms of dopamine D2 receptor gene and tardive dyskinesia in schizophrenia.","type":"article-journal","volume":"105"},"uris":["http://www.mendeley.com/documents/?uuid=0c100c68-e8d6-32f4-988b-e6f29a579531"]}],"mendeley":{"formattedCitation":"(Hori et al. 2001)","plainTextFormattedCitation":"(Hori et al. 2001)","previouslyFormattedCitation":"(Hori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(Hori et al. 2001)</w:t>
            </w:r>
            <w:r w:rsidRPr="006A1E5F">
              <w:rPr>
                <w:rFonts w:ascii="Palatino Linotype" w:hAnsi="Palatino Linotype" w:cstheme="minorHAnsi"/>
                <w:sz w:val="18"/>
                <w:szCs w:val="18"/>
              </w:rPr>
              <w:fldChar w:fldCharType="end"/>
            </w:r>
          </w:p>
        </w:tc>
      </w:tr>
      <w:tr w:rsidR="0031439E" w:rsidRPr="00EA57B8" w14:paraId="4DE8E6C9" w14:textId="586E5428" w:rsidTr="0031439E">
        <w:tc>
          <w:tcPr>
            <w:tcW w:w="1094" w:type="dxa"/>
          </w:tcPr>
          <w:p w14:paraId="57CF5D4C" w14:textId="12073123"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HTR2A, HTR2C, SLC6A4</w:t>
            </w:r>
          </w:p>
        </w:tc>
        <w:tc>
          <w:tcPr>
            <w:tcW w:w="1080" w:type="dxa"/>
          </w:tcPr>
          <w:p w14:paraId="493B070C" w14:textId="38F4CD81"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rs6313 (</w:t>
            </w:r>
            <w:r w:rsidRPr="00265F30">
              <w:rPr>
                <w:rFonts w:ascii="Palatino Linotype" w:hAnsi="Palatino Linotype" w:cstheme="minorHAnsi"/>
                <w:i/>
                <w:iCs/>
                <w:sz w:val="18"/>
                <w:szCs w:val="18"/>
              </w:rPr>
              <w:t>HTR2A</w:t>
            </w:r>
            <w:r>
              <w:rPr>
                <w:rFonts w:ascii="Palatino Linotype" w:hAnsi="Palatino Linotype" w:cstheme="minorHAnsi"/>
                <w:sz w:val="18"/>
                <w:szCs w:val="18"/>
              </w:rPr>
              <w:t>), rs6318 (</w:t>
            </w:r>
            <w:r w:rsidRPr="00265F30">
              <w:rPr>
                <w:rFonts w:ascii="Palatino Linotype" w:hAnsi="Palatino Linotype" w:cstheme="minorHAnsi"/>
                <w:i/>
                <w:iCs/>
                <w:sz w:val="18"/>
                <w:szCs w:val="18"/>
              </w:rPr>
              <w:t>HTR2C</w:t>
            </w:r>
            <w:r>
              <w:rPr>
                <w:rFonts w:ascii="Palatino Linotype" w:hAnsi="Palatino Linotype" w:cstheme="minorHAnsi"/>
                <w:sz w:val="18"/>
                <w:szCs w:val="18"/>
              </w:rPr>
              <w:t>), HTTLPR (</w:t>
            </w:r>
            <w:r w:rsidRPr="00265F30">
              <w:rPr>
                <w:rFonts w:ascii="Palatino Linotype" w:hAnsi="Palatino Linotype" w:cstheme="minorHAnsi"/>
                <w:i/>
                <w:iCs/>
                <w:sz w:val="18"/>
                <w:szCs w:val="18"/>
              </w:rPr>
              <w:t>SLC6A4</w:t>
            </w:r>
            <w:r>
              <w:rPr>
                <w:rFonts w:ascii="Palatino Linotype" w:hAnsi="Palatino Linotype" w:cstheme="minorHAnsi"/>
                <w:sz w:val="18"/>
                <w:szCs w:val="18"/>
              </w:rPr>
              <w:t>)</w:t>
            </w:r>
          </w:p>
        </w:tc>
        <w:tc>
          <w:tcPr>
            <w:tcW w:w="1080" w:type="dxa"/>
          </w:tcPr>
          <w:p w14:paraId="788A3A69" w14:textId="227C93C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32</w:t>
            </w:r>
          </w:p>
        </w:tc>
        <w:tc>
          <w:tcPr>
            <w:tcW w:w="1170" w:type="dxa"/>
          </w:tcPr>
          <w:p w14:paraId="69EFD34A" w14:textId="203DD877" w:rsidR="0031439E" w:rsidRDefault="0031439E" w:rsidP="0031439E">
            <w:pPr>
              <w:rPr>
                <w:rFonts w:ascii="Palatino Linotype" w:hAnsi="Palatino Linotype"/>
                <w:sz w:val="18"/>
                <w:szCs w:val="18"/>
              </w:rPr>
            </w:pPr>
            <w:r>
              <w:rPr>
                <w:rFonts w:ascii="Palatino Linotype" w:hAnsi="Palatino Linotype" w:cstheme="minorHAnsi"/>
                <w:sz w:val="18"/>
                <w:szCs w:val="18"/>
              </w:rPr>
              <w:t>Han Chinese (Taiwanese)</w:t>
            </w:r>
          </w:p>
        </w:tc>
        <w:tc>
          <w:tcPr>
            <w:tcW w:w="1350" w:type="dxa"/>
          </w:tcPr>
          <w:p w14:paraId="3089B58B" w14:textId="7FA61648" w:rsidR="0031439E" w:rsidRPr="00924ABD" w:rsidRDefault="0031439E" w:rsidP="0031439E">
            <w:pPr>
              <w:rPr>
                <w:rFonts w:ascii="Palatino Linotype" w:hAnsi="Palatino Linotype" w:cstheme="minorHAnsi"/>
                <w:sz w:val="18"/>
                <w:szCs w:val="18"/>
              </w:rPr>
            </w:pPr>
            <w:r w:rsidRPr="004A5A9E">
              <w:rPr>
                <w:rFonts w:ascii="Palatino Linotype" w:hAnsi="Palatino Linotype" w:cstheme="minorHAnsi"/>
                <w:sz w:val="18"/>
                <w:szCs w:val="18"/>
              </w:rPr>
              <w:t>chronic schizophrenia,</w:t>
            </w:r>
          </w:p>
        </w:tc>
        <w:tc>
          <w:tcPr>
            <w:tcW w:w="1260" w:type="dxa"/>
          </w:tcPr>
          <w:p w14:paraId="2E067269" w14:textId="21B1CC2F"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485FE29D" w14:textId="3CF2DCA6"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21856AEB" w14:textId="4C07A14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16637099" w14:textId="5BC2D38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2507" w:type="dxa"/>
          </w:tcPr>
          <w:p w14:paraId="7FE34C09" w14:textId="5C396E0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Association between the T allele of rs6313 and TD development</w:t>
            </w:r>
          </w:p>
        </w:tc>
        <w:tc>
          <w:tcPr>
            <w:tcW w:w="2173" w:type="dxa"/>
          </w:tcPr>
          <w:p w14:paraId="1B9F6B5C" w14:textId="05C1E9D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sychres.2010.10.006","ISSN":"0165-1781","PMID":"21055833","author":[{"dropping-particle":"","family":"Hsieh","given":"Ching-Jow","non-dropping-particle":"","parse-names":false,"suffix":""},{"dropping-particle":"","family":"Chen","given":"Yen-Ching","non-dropping-particle":"","parse-names":false,"suffix":""},{"dropping-particle":"","family":"Lai","given":"Mei-Shu","non-dropping-particle":"","parse-names":false,"suffix":""},{"dropping-particle":"","family":"Hong","given":"Chen-Jee","non-dropping-particle":"","parse-names":false,"suffix":""},{"dropping-particle":"","family":"Chien","given":"Kuo-Liong","non-dropping-particle":"","parse-names":false,"suffix":""}],"container-title":"Psychiatry research","id":"ITEM-1","issue":"1","issued":{"date-parts":[["2011","6","30"]]},"page":"175-6","title":"Genetic variability in serotonin receptor and transporter genes may influence risk for tardive dyskinesia in chronic schizophrenia.","type":"article-journal","volume":"188"},"uris":["http://www.mendeley.com/documents/?uuid=c11c0531-20ec-3e45-a10e-2c2519702d70"]}],"mendeley":{"formattedCitation":"(Hsieh et al. 2011)","plainTextFormattedCitation":"(Hsieh et al. 2011)","previouslyFormattedCitation":"(Hsieh et al. 2011)"},"properties":{"noteIndex":0},"schema":"https://github.com/citation-style-language/schema/raw/master/csl-citation.json"}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(Hsieh et al. 2011)</w:t>
            </w:r>
            <w:r>
              <w:rPr>
                <w:rFonts w:ascii="Palatino Linotype" w:hAnsi="Palatino Linotype" w:cstheme="minorHAnsi"/>
                <w:sz w:val="18"/>
                <w:szCs w:val="18"/>
              </w:rPr>
              <w:fldChar w:fldCharType="end"/>
            </w:r>
          </w:p>
        </w:tc>
      </w:tr>
      <w:tr w:rsidR="0031439E" w:rsidRPr="00EA57B8" w14:paraId="0ABAFC8F" w14:textId="4DE66051" w:rsidTr="0031439E">
        <w:tc>
          <w:tcPr>
            <w:tcW w:w="1094" w:type="dxa"/>
          </w:tcPr>
          <w:p w14:paraId="13586B2E" w14:textId="20E4871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lastRenderedPageBreak/>
              <w:t>DBH</w:t>
            </w:r>
          </w:p>
        </w:tc>
        <w:tc>
          <w:tcPr>
            <w:tcW w:w="1080" w:type="dxa"/>
          </w:tcPr>
          <w:p w14:paraId="42149143" w14:textId="7A201DD3" w:rsidR="0031439E" w:rsidRPr="00AE2DED" w:rsidRDefault="0031439E" w:rsidP="0031439E">
            <w:pPr>
              <w:rPr>
                <w:rFonts w:ascii="Palatino Linotype" w:hAnsi="Palatino Linotype" w:cstheme="minorHAnsi"/>
                <w:sz w:val="18"/>
                <w:szCs w:val="18"/>
                <w:lang w:val="de-DE"/>
                <w:rPrChange w:id="62"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de-DE"/>
                <w:rPrChange w:id="63" w:author="Samson Oyebanjo" w:date="2021-12-31T16:52:00Z">
                  <w:rPr>
                    <w:rFonts w:ascii="Palatino Linotype" w:hAnsi="Palatino Linotype" w:cstheme="minorHAnsi"/>
                    <w:sz w:val="18"/>
                    <w:szCs w:val="18"/>
                  </w:rPr>
                </w:rPrChange>
              </w:rPr>
              <w:t xml:space="preserve">rs72393728 (5’-Ins/Del in </w:t>
            </w:r>
            <w:r w:rsidRPr="00AE2DED">
              <w:rPr>
                <w:rFonts w:ascii="Palatino Linotype" w:hAnsi="Palatino Linotype" w:cstheme="minorHAnsi"/>
                <w:i/>
                <w:iCs/>
                <w:sz w:val="18"/>
                <w:szCs w:val="18"/>
                <w:lang w:val="de-DE"/>
                <w:rPrChange w:id="64" w:author="Samson Oyebanjo" w:date="2021-12-31T16:52:00Z">
                  <w:rPr>
                    <w:rFonts w:ascii="Palatino Linotype" w:hAnsi="Palatino Linotype" w:cstheme="minorHAnsi"/>
                    <w:i/>
                    <w:iCs/>
                    <w:sz w:val="18"/>
                    <w:szCs w:val="18"/>
                  </w:rPr>
                </w:rPrChange>
              </w:rPr>
              <w:t>DBH</w:t>
            </w:r>
            <w:r w:rsidRPr="00AE2DED">
              <w:rPr>
                <w:rFonts w:ascii="Palatino Linotype" w:hAnsi="Palatino Linotype" w:cstheme="minorHAnsi"/>
                <w:sz w:val="18"/>
                <w:szCs w:val="18"/>
                <w:lang w:val="de-DE"/>
                <w:rPrChange w:id="65" w:author="Samson Oyebanjo" w:date="2021-12-31T16:52:00Z">
                  <w:rPr>
                    <w:rFonts w:ascii="Palatino Linotype" w:hAnsi="Palatino Linotype" w:cstheme="minorHAnsi"/>
                    <w:sz w:val="18"/>
                    <w:szCs w:val="18"/>
                  </w:rPr>
                </w:rPrChange>
              </w:rPr>
              <w:t>)</w:t>
            </w:r>
          </w:p>
        </w:tc>
        <w:tc>
          <w:tcPr>
            <w:tcW w:w="1080" w:type="dxa"/>
          </w:tcPr>
          <w:p w14:paraId="2A15911B" w14:textId="3D2533FE" w:rsidR="0031439E"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741 (345</w:t>
            </w:r>
            <w:r>
              <w:rPr>
                <w:rFonts w:ascii="Palatino Linotype" w:hAnsi="Palatino Linotype" w:cstheme="minorHAnsi"/>
                <w:sz w:val="18"/>
                <w:szCs w:val="18"/>
              </w:rPr>
              <w:t xml:space="preserve"> with </w:t>
            </w:r>
            <w:r w:rsidRPr="002E21BD">
              <w:rPr>
                <w:rFonts w:ascii="Palatino Linotype" w:hAnsi="Palatino Linotype" w:cstheme="minorHAnsi"/>
                <w:sz w:val="18"/>
                <w:szCs w:val="18"/>
              </w:rPr>
              <w:t>TD</w:t>
            </w:r>
            <w:r>
              <w:rPr>
                <w:rFonts w:ascii="Palatino Linotype" w:hAnsi="Palatino Linotype" w:cstheme="minorHAnsi"/>
                <w:sz w:val="18"/>
                <w:szCs w:val="18"/>
              </w:rPr>
              <w:t>)</w:t>
            </w:r>
          </w:p>
        </w:tc>
        <w:tc>
          <w:tcPr>
            <w:tcW w:w="1170" w:type="dxa"/>
          </w:tcPr>
          <w:p w14:paraId="186C8384" w14:textId="5748795A" w:rsidR="0031439E" w:rsidRDefault="0031439E" w:rsidP="0031439E">
            <w:pPr>
              <w:rPr>
                <w:rFonts w:ascii="Palatino Linotype" w:hAnsi="Palatino Linotype"/>
                <w:sz w:val="18"/>
                <w:szCs w:val="18"/>
              </w:rPr>
            </w:pPr>
            <w:r w:rsidRPr="002E21BD">
              <w:rPr>
                <w:rFonts w:ascii="Palatino Linotype" w:hAnsi="Palatino Linotype" w:cstheme="minorHAnsi"/>
                <w:sz w:val="18"/>
                <w:szCs w:val="18"/>
              </w:rPr>
              <w:t>Han Chinese</w:t>
            </w:r>
          </w:p>
        </w:tc>
        <w:tc>
          <w:tcPr>
            <w:tcW w:w="1350" w:type="dxa"/>
          </w:tcPr>
          <w:p w14:paraId="15FE161A" w14:textId="126468FC" w:rsidR="0031439E" w:rsidRPr="00924ABD"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260" w:type="dxa"/>
          </w:tcPr>
          <w:p w14:paraId="4FA2B14C" w14:textId="311C459E" w:rsidR="0031439E" w:rsidRPr="006A1E5F"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DSM-IV</w:t>
            </w:r>
          </w:p>
        </w:tc>
        <w:tc>
          <w:tcPr>
            <w:tcW w:w="1170" w:type="dxa"/>
          </w:tcPr>
          <w:p w14:paraId="2F787FE3" w14:textId="24A78F79"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AIMS, </w:t>
            </w:r>
            <w:r w:rsidRPr="002E21BD">
              <w:rPr>
                <w:rFonts w:ascii="Palatino Linotype" w:hAnsi="Palatino Linotype" w:cstheme="minorHAnsi"/>
                <w:sz w:val="18"/>
                <w:szCs w:val="18"/>
              </w:rPr>
              <w:t>Research Diagnostic</w:t>
            </w:r>
            <w:r>
              <w:rPr>
                <w:rFonts w:ascii="Palatino Linotype" w:hAnsi="Palatino Linotype" w:cstheme="minorHAnsi"/>
                <w:sz w:val="18"/>
                <w:szCs w:val="18"/>
              </w:rPr>
              <w:t xml:space="preserve"> </w:t>
            </w:r>
            <w:r w:rsidRPr="002E21BD">
              <w:rPr>
                <w:rFonts w:ascii="Palatino Linotype" w:hAnsi="Palatino Linotype" w:cstheme="minorHAnsi"/>
                <w:sz w:val="18"/>
                <w:szCs w:val="18"/>
              </w:rPr>
              <w:t>Criteria in DSM-IV, in combination with the criteria of</w:t>
            </w:r>
            <w:r>
              <w:rPr>
                <w:rFonts w:ascii="Palatino Linotype" w:hAnsi="Palatino Linotype" w:cstheme="minorHAnsi"/>
                <w:sz w:val="18"/>
                <w:szCs w:val="18"/>
              </w:rPr>
              <w:t xml:space="preserve"> </w:t>
            </w:r>
            <w:r w:rsidRPr="002E21BD">
              <w:rPr>
                <w:rFonts w:ascii="Palatino Linotype" w:hAnsi="Palatino Linotype" w:cstheme="minorHAnsi"/>
                <w:sz w:val="18"/>
                <w:szCs w:val="18"/>
              </w:rPr>
              <w:t>Schooler and Kane</w:t>
            </w:r>
          </w:p>
        </w:tc>
        <w:tc>
          <w:tcPr>
            <w:tcW w:w="1170" w:type="dxa"/>
          </w:tcPr>
          <w:p w14:paraId="3CCEE1AF" w14:textId="4B37DCF6" w:rsidR="0031439E"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clozapine, risperidone, perphenazine, sulpiride, chlorpromazine, haloperidol,</w:t>
            </w:r>
            <w:r>
              <w:rPr>
                <w:rFonts w:ascii="Palatino Linotype" w:hAnsi="Palatino Linotype" w:cstheme="minorHAnsi"/>
                <w:sz w:val="18"/>
                <w:szCs w:val="18"/>
              </w:rPr>
              <w:t xml:space="preserve"> and others</w:t>
            </w:r>
          </w:p>
        </w:tc>
        <w:tc>
          <w:tcPr>
            <w:tcW w:w="1350" w:type="dxa"/>
          </w:tcPr>
          <w:p w14:paraId="67B4D595" w14:textId="3924B890" w:rsidR="0031439E" w:rsidRDefault="0031439E" w:rsidP="0031439E">
            <w:pPr>
              <w:rPr>
                <w:rFonts w:ascii="Palatino Linotype" w:hAnsi="Palatino Linotype" w:cstheme="minorHAnsi"/>
                <w:sz w:val="18"/>
                <w:szCs w:val="18"/>
              </w:rPr>
            </w:pPr>
            <w:r w:rsidRPr="00C112BA">
              <w:rPr>
                <w:rFonts w:ascii="Palatino Linotype" w:hAnsi="Palatino Linotype" w:cstheme="minorHAnsi"/>
                <w:sz w:val="18"/>
                <w:szCs w:val="18"/>
              </w:rPr>
              <w:t>agarose gel</w:t>
            </w:r>
            <w:r>
              <w:rPr>
                <w:rFonts w:ascii="Palatino Linotype" w:hAnsi="Palatino Linotype" w:cstheme="minorHAnsi"/>
                <w:sz w:val="18"/>
                <w:szCs w:val="18"/>
              </w:rPr>
              <w:t xml:space="preserve"> electrophoresis</w:t>
            </w:r>
          </w:p>
        </w:tc>
        <w:tc>
          <w:tcPr>
            <w:tcW w:w="2507" w:type="dxa"/>
          </w:tcPr>
          <w:p w14:paraId="1F729B42" w14:textId="50C9351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1A09F099" w14:textId="6383E852"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{"citationItems":[{"id":"ITEM-1","itemData":{"DOI":"10.1007/s00702-014-1327-7","ISSN":"1435-1463","PMID":"25336319","abstract":"Overactivity of dopaminergic neurotransmission is a putative mechanism of tardive dyskinesia (TD). Previous studies have found dysfunction in plasma dopamine beta-hydoxylase (DBH) in schizophrenia with TD. Moreover, DBH, whose activity and levels are strongly controlled by the DBH gene, is a key enzyme in the conversion of dopamine (DA) to norepinephrine (NE) associated with excited behavior. This study examined whether the DBH5'-insertion/deletion (Ins/Del) polymorphism was associated with excited behavior in schizophrenia with TD. The presence of the DBH5'-Ins/Del polymorphism was determined in 741 schizophrenia with TD (n = 345) and without TD (n = 396). The Abnormal Involuntary Movement Scale and Positive and Negative Syndrome Scale were used to assess the severity of TD and psychopathology of schizophrenia. There was no significant difference in the allelic and genotypic frequencies of the DBH5'-Ins/Del polymorphism between schizophrenia with and without TD (both p &gt; 0.05). However, the excited symptoms score was significantly different to the DBH5'-Ins/Del genotypic groups in schizophrenia with TD (p &lt; 0.05) but not in the two groups of non-TD and total patients (both p &gt; 0.05). The excited symptoms score was higher in TD patients with the Del/Del genotype than those with Ins alleles (p = 0.015). Our findings suggest that the DBH5'-Ins/Del polymorphism may not contribute directly to the development of TD in schizophrenia, but it may be involved in the excited behavior of TD patients.","author":[{"dropping-particle":"","family":"Hui","given":"Li","non-dropping-particle":"","parse-names":false,"suffix":""},{"dropping-particle":"","family":"Han","given":"Mei","non-dropping-particle":"","parse-names":false,"suffix":""},{"dropping-particle":"","family":"Huang","given":"Xu Feng","non-dropping-particle":"","parse-names":false,"suffix":""},{"dropping-particle":"","family":"Ye","given":"Min Jie","non-dropping-particle":"","parse-names":false,"suffix":""},{"dropping-particle":"","family":"Zheng","given":"Ke","non-dropping-particle":"","parse-names":false,"suffix":""},{"dropping-particle":"","family":"He","given":"Jin Cai","non-dropping-particle":"","parse-names":false,"suffix":""},{"dropping-particle":"","family":"Lv","given":"Meng Han","non-dropping-particle":"","parse-names":false,"suffix":""},{"dropping-particle":"","family":"Zhang","given":"Bao Hua","non-dropping-particle":"","parse-names":false,"suffix":""},{"dropping-particle":"","family":"Soares","given":"Jair C","non-dropping-particle":"","parse-names":false,"suffix":""},{"dropping-particle":"","family":"Zhang","given":"Xiang Yang","non-dropping-particle":"","parse-names":false,"suffix":""}],"container-title":"Journal of neural transmission (Vienna, Austria : 1996)","id":"ITEM-1","issue":"6","issued":{"date-parts":[["2015","6"]]},"page":"907-14","publisher":"J Neural Transm (Vienna)","title":"Possible association between DBH 19 bp insertion/deletion polymorphism and clinical symptoms in schizophrenia with tardive dyskinesia.","type":"article-journal","volume":"122"},"uris":["http://www.mendeley.com/documents/?uuid=a6ad2620-c723-31aa-882b-62f4eeb59dd5"]}],"mendeley":{"formattedCitation":"(Hui et al. 2015)","plainTextFormattedCitation":"(Hui et al. 2015)","previouslyFormattedCitation":"(Hui et al. 2015)"},"properties":{"noteIndex":0},"schema":"https://github.com/citation-style-language/schema/raw/master/csl-citation.json"}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(Hui et al. 2015)</w:t>
            </w:r>
            <w:r>
              <w:rPr>
                <w:rFonts w:ascii="Palatino Linotype" w:hAnsi="Palatino Linotype" w:cstheme="minorHAnsi"/>
                <w:b/>
                <w:sz w:val="18"/>
                <w:szCs w:val="18"/>
              </w:rPr>
              <w:fldChar w:fldCharType="end"/>
            </w:r>
          </w:p>
        </w:tc>
      </w:tr>
      <w:tr w:rsidR="0031439E" w:rsidRPr="00EA57B8" w14:paraId="720B0562" w14:textId="0A5FEA03" w:rsidTr="0031439E">
        <w:tc>
          <w:tcPr>
            <w:tcW w:w="1094" w:type="dxa"/>
          </w:tcPr>
          <w:p w14:paraId="066727B4" w14:textId="400A1D6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DBH</w:t>
            </w:r>
          </w:p>
        </w:tc>
        <w:tc>
          <w:tcPr>
            <w:tcW w:w="1080" w:type="dxa"/>
          </w:tcPr>
          <w:p w14:paraId="3E6AC7AF" w14:textId="5F17A421" w:rsidR="0031439E" w:rsidRPr="00924ABD" w:rsidRDefault="0031439E" w:rsidP="0031439E">
            <w:pPr>
              <w:rPr>
                <w:rFonts w:ascii="Palatino Linotype" w:hAnsi="Palatino Linotype" w:cstheme="minorHAnsi"/>
                <w:sz w:val="18"/>
                <w:szCs w:val="18"/>
              </w:rPr>
            </w:pPr>
            <w:r w:rsidRPr="00495FDD">
              <w:rPr>
                <w:rFonts w:ascii="Palatino Linotype" w:hAnsi="Palatino Linotype" w:cstheme="minorHAnsi"/>
                <w:sz w:val="18"/>
                <w:szCs w:val="18"/>
              </w:rPr>
              <w:t>rs72393728</w:t>
            </w:r>
            <w:r>
              <w:rPr>
                <w:rFonts w:ascii="Palatino Linotype" w:hAnsi="Palatino Linotype" w:cstheme="minorHAnsi"/>
                <w:sz w:val="18"/>
                <w:szCs w:val="18"/>
              </w:rPr>
              <w:t xml:space="preserve"> (</w:t>
            </w:r>
            <w:r w:rsidRPr="00CC06D3">
              <w:rPr>
                <w:rFonts w:ascii="Palatino Linotype" w:hAnsi="Palatino Linotype" w:cstheme="minorHAnsi"/>
                <w:sz w:val="18"/>
                <w:szCs w:val="18"/>
              </w:rPr>
              <w:t xml:space="preserve">5’-Ins/Del </w:t>
            </w:r>
            <w:r>
              <w:rPr>
                <w:rFonts w:ascii="Palatino Linotype" w:hAnsi="Palatino Linotype" w:cstheme="minorHAnsi"/>
                <w:sz w:val="18"/>
                <w:szCs w:val="18"/>
              </w:rPr>
              <w:t xml:space="preserve">in </w:t>
            </w:r>
            <w:r w:rsidRPr="00DD0B28">
              <w:rPr>
                <w:rFonts w:ascii="Palatino Linotype" w:hAnsi="Palatino Linotype" w:cstheme="minorHAnsi"/>
                <w:i/>
                <w:iCs/>
                <w:sz w:val="18"/>
                <w:szCs w:val="18"/>
              </w:rPr>
              <w:t>DBH</w:t>
            </w:r>
            <w:r>
              <w:rPr>
                <w:rFonts w:ascii="Palatino Linotype" w:hAnsi="Palatino Linotype" w:cstheme="minorHAnsi"/>
                <w:sz w:val="18"/>
                <w:szCs w:val="18"/>
              </w:rPr>
              <w:t>)</w:t>
            </w:r>
          </w:p>
        </w:tc>
        <w:tc>
          <w:tcPr>
            <w:tcW w:w="1080" w:type="dxa"/>
          </w:tcPr>
          <w:p w14:paraId="217B4D42" w14:textId="29007569" w:rsidR="0031439E"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741 (345</w:t>
            </w:r>
            <w:r>
              <w:rPr>
                <w:rFonts w:ascii="Palatino Linotype" w:hAnsi="Palatino Linotype" w:cstheme="minorHAnsi"/>
                <w:sz w:val="18"/>
                <w:szCs w:val="18"/>
              </w:rPr>
              <w:t xml:space="preserve"> with </w:t>
            </w:r>
            <w:r w:rsidRPr="002E21BD">
              <w:rPr>
                <w:rFonts w:ascii="Palatino Linotype" w:hAnsi="Palatino Linotype" w:cstheme="minorHAnsi"/>
                <w:sz w:val="18"/>
                <w:szCs w:val="18"/>
              </w:rPr>
              <w:t>TD</w:t>
            </w:r>
            <w:r>
              <w:rPr>
                <w:rFonts w:ascii="Palatino Linotype" w:hAnsi="Palatino Linotype" w:cstheme="minorHAnsi"/>
                <w:sz w:val="18"/>
                <w:szCs w:val="18"/>
              </w:rPr>
              <w:t>)</w:t>
            </w:r>
          </w:p>
        </w:tc>
        <w:tc>
          <w:tcPr>
            <w:tcW w:w="1170" w:type="dxa"/>
          </w:tcPr>
          <w:p w14:paraId="124F97CC" w14:textId="11A4F472" w:rsidR="0031439E" w:rsidRDefault="0031439E" w:rsidP="0031439E">
            <w:pPr>
              <w:rPr>
                <w:rFonts w:ascii="Palatino Linotype" w:hAnsi="Palatino Linotype"/>
                <w:sz w:val="18"/>
                <w:szCs w:val="18"/>
              </w:rPr>
            </w:pPr>
            <w:r w:rsidRPr="002E21BD">
              <w:rPr>
                <w:rFonts w:ascii="Palatino Linotype" w:hAnsi="Palatino Linotype" w:cstheme="minorHAnsi"/>
                <w:sz w:val="18"/>
                <w:szCs w:val="18"/>
              </w:rPr>
              <w:t>Han Chinese</w:t>
            </w:r>
          </w:p>
        </w:tc>
        <w:tc>
          <w:tcPr>
            <w:tcW w:w="1350" w:type="dxa"/>
          </w:tcPr>
          <w:p w14:paraId="127F3724" w14:textId="00426ED8" w:rsidR="0031439E" w:rsidRPr="00924ABD"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260" w:type="dxa"/>
          </w:tcPr>
          <w:p w14:paraId="3573253D" w14:textId="0FA2F524" w:rsidR="0031439E" w:rsidRPr="006A1E5F"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DSM-IV</w:t>
            </w:r>
          </w:p>
        </w:tc>
        <w:tc>
          <w:tcPr>
            <w:tcW w:w="1170" w:type="dxa"/>
          </w:tcPr>
          <w:p w14:paraId="1D6861BD" w14:textId="79A3210C"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87A5B90" w14:textId="0237AFB2" w:rsidR="0031439E" w:rsidRDefault="0031439E" w:rsidP="0031439E">
            <w:pPr>
              <w:rPr>
                <w:rFonts w:ascii="Palatino Linotype" w:hAnsi="Palatino Linotype" w:cstheme="minorHAnsi"/>
                <w:sz w:val="18"/>
                <w:szCs w:val="18"/>
              </w:rPr>
            </w:pPr>
            <w:r w:rsidRPr="002E21BD">
              <w:rPr>
                <w:rFonts w:ascii="Palatino Linotype" w:hAnsi="Palatino Linotype" w:cstheme="minorHAnsi"/>
                <w:sz w:val="18"/>
                <w:szCs w:val="18"/>
              </w:rPr>
              <w:t>clozapine, risperidone, perphenazine, sulpiride, chlorpromazine, haloperidol</w:t>
            </w:r>
          </w:p>
        </w:tc>
        <w:tc>
          <w:tcPr>
            <w:tcW w:w="1350" w:type="dxa"/>
          </w:tcPr>
          <w:p w14:paraId="19177D3B" w14:textId="2D5BFFBB" w:rsidR="0031439E" w:rsidRDefault="0031439E" w:rsidP="0031439E">
            <w:pPr>
              <w:rPr>
                <w:rFonts w:ascii="Palatino Linotype" w:hAnsi="Palatino Linotype" w:cstheme="minorHAnsi"/>
                <w:sz w:val="18"/>
                <w:szCs w:val="18"/>
              </w:rPr>
            </w:pPr>
            <w:r w:rsidRPr="00C112BA">
              <w:rPr>
                <w:rFonts w:ascii="Palatino Linotype" w:hAnsi="Palatino Linotype" w:cstheme="minorHAnsi"/>
                <w:sz w:val="18"/>
                <w:szCs w:val="18"/>
              </w:rPr>
              <w:t>agarose gel</w:t>
            </w:r>
            <w:r>
              <w:rPr>
                <w:rFonts w:ascii="Palatino Linotype" w:hAnsi="Palatino Linotype" w:cstheme="minorHAnsi"/>
                <w:sz w:val="18"/>
                <w:szCs w:val="18"/>
              </w:rPr>
              <w:t xml:space="preserve"> electrophoresis</w:t>
            </w:r>
          </w:p>
        </w:tc>
        <w:tc>
          <w:tcPr>
            <w:tcW w:w="2507" w:type="dxa"/>
          </w:tcPr>
          <w:p w14:paraId="352BF2B6" w14:textId="3D6E680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1CA1330F" w14:textId="02F0234B"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{"citationItems":[{"id":"ITEM-1","itemData":{"DOI":"10.1016/j.schres.2016.10.028","ISSN":"1573-2509","PMID":"27776953","abstract":"Long-term antipsychotic treatment for schizophrenia is associated with the development of tardive dyskinesia (TD), which is involved in increased cognitive impairment. Dopamine beta-hydroxylase (DBH) gene associated with dopamine and norepinephrine systems influences cognition. Schizophrenia with TD have higher DBH activity than those without TD. This study examined whether DBH5'-insertion/deletion (-Ins/Del) polymorphism could influence cognitive function in schizophrenia with and without TD. The presence of DBH5'-Ins/Del polymorphism was determined in 345 schizophrenia with TD and 397 schizophrenia without TD. The Abnormal Involuntary Movement Scale and Repeatable Battery for Assessment of Neuropsychological Status (RBANS) were used to assess TD severity and cognition. The allele and genotype frequencies of DBH5'-Ins/Del polymorphism did not differ between patients with and without TD (both p&gt;0.05). RBANS total score and subscales did not differ by DBH5'-Ins/Del genotype groups in patients with TD (all p&gt;0.05). However, attention score significantly differed by DBH5'-Ins/Del genotype groups in those without TD (p&lt;0.05). Patients without TD who were Del homozygous had significantly lower attention score than those without TD who were Ins alleles (p&lt;0.05). Immediate memory and attention scores were lower in patients with TD than without TD (both p&lt;0.05). This study indicated that DBH5'-Ins/Del polymorphism may not play a role in the susceptibility to TD and cognitive deficits in schizophrenia with TD, but it may influence cognitive function in schizophrenia with non-TD. Moreover, schizophrenia with TD experienced greater cognitive deficits than those with non-TD, especially in immediate memory and attention.","author":[{"dropping-particle":"","family":"Hui","given":"Li","non-dropping-particle":"","parse-names":false,"suffix":""},{"dropping-particle":"","family":"Han","given":"Mei","non-dropping-particle":"","parse-names":false,"suffix":""},{"dropping-particle":"","family":"Yin","given":"Guang Zhong","non-dropping-particle":"","parse-names":false,"suffix":""},{"dropping-particle":"","family":"Zhang","given":"Yingyang","non-dropping-particle":"","parse-names":false,"suffix":""},{"dropping-particle":"","family":"Huang","given":"Xu Feng","non-dropping-particle":"","parse-names":false,"suffix":""},{"dropping-particle":"","family":"Qian","given":"Zheng Kang","non-dropping-particle":"","parse-names":false,"suffix":""},{"dropping-particle":"","family":"Gu","given":"Wei Guo","non-dropping-particle":"","parse-names":false,"suffix":""},{"dropping-particle":"","family":"Gu","given":"Xiao Chu","non-dropping-particle":"","parse-names":false,"suffix":""},{"dropping-particle":"","family":"Zhu","given":"Xiao Min","non-dropping-particle":"","parse-names":false,"suffix":""},{"dropping-particle":"","family":"Soares","given":"Jair C","non-dropping-particle":"","parse-names":false,"suffix":""},{"dropping-particle":"","family":"Ning","given":"Yuping","non-dropping-particle":"","parse-names":false,"suffix":""},{"dropping-particle":"","family":"Zheng","given":"Yingjun","non-dropping-particle":"","parse-names":false,"suffix":""},{"dropping-particle":"","family":"Du","given":"Xiang Dong","non-dropping-particle":"","parse-names":false,"suffix":""},{"dropping-particle":"","family":"Zhang","given":"Xiang Yang","non-dropping-particle":"","parse-names":false,"suffix":""}],"container-title":"Schizophrenia research","id":"ITEM-1","issued":{"date-parts":[["2017"]]},"page":"104-109","publisher":"Schizophr Res","title":"Association between DBH 19bp insertion/deletion polymorphism and cognition in schizophrenia with and without tardive dyskinesia.","type":"article-journal","volume":"182"},"uris":["http://www.mendeley.com/documents/?uuid=1467e871-ae66-3702-9c42-e9df06ee009a"]}],"mendeley":{"formattedCitation":"(Hui et al. 2017)","plainTextFormattedCitation":"(Hui et al. 2017)","previouslyFormattedCitation":"(Hui et al. 2017)"},"properties":{"noteIndex":0},"schema":"https://github.com/citation-style-language/schema/raw/master/csl-citation.json"}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(Hui et al. 2017)</w:t>
            </w:r>
            <w:r>
              <w:rPr>
                <w:rFonts w:ascii="Palatino Linotype" w:hAnsi="Palatino Linotype" w:cstheme="minorHAnsi"/>
                <w:b/>
                <w:sz w:val="18"/>
                <w:szCs w:val="18"/>
              </w:rPr>
              <w:fldChar w:fldCharType="end"/>
            </w:r>
          </w:p>
        </w:tc>
      </w:tr>
      <w:tr w:rsidR="0031439E" w:rsidRPr="00EA57B8" w14:paraId="323F2AD2" w14:textId="6F30823D" w:rsidTr="0031439E">
        <w:tc>
          <w:tcPr>
            <w:tcW w:w="1094" w:type="dxa"/>
          </w:tcPr>
          <w:p w14:paraId="135E2598" w14:textId="61675B3B"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ADORA2A</w:t>
            </w:r>
          </w:p>
        </w:tc>
        <w:tc>
          <w:tcPr>
            <w:tcW w:w="1080" w:type="dxa"/>
          </w:tcPr>
          <w:p w14:paraId="1DD4E7F3" w14:textId="5523D840" w:rsidR="0031439E" w:rsidRPr="00924ABD" w:rsidRDefault="0031439E" w:rsidP="0031439E">
            <w:pPr>
              <w:rPr>
                <w:rFonts w:ascii="Palatino Linotype" w:hAnsi="Palatino Linotype" w:cstheme="minorHAnsi"/>
                <w:sz w:val="18"/>
                <w:szCs w:val="18"/>
              </w:rPr>
            </w:pPr>
            <w:r w:rsidRPr="00502ED2">
              <w:rPr>
                <w:rFonts w:ascii="Palatino Linotype" w:hAnsi="Palatino Linotype" w:cstheme="minorHAnsi"/>
                <w:sz w:val="18"/>
                <w:szCs w:val="18"/>
              </w:rPr>
              <w:t>2592C/Tins</w:t>
            </w:r>
          </w:p>
        </w:tc>
        <w:tc>
          <w:tcPr>
            <w:tcW w:w="1080" w:type="dxa"/>
          </w:tcPr>
          <w:p w14:paraId="0BD323CE" w14:textId="5B2BE5B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146</w:t>
            </w:r>
          </w:p>
        </w:tc>
        <w:tc>
          <w:tcPr>
            <w:tcW w:w="1170" w:type="dxa"/>
          </w:tcPr>
          <w:p w14:paraId="3E115719" w14:textId="3E188ED9" w:rsidR="0031439E" w:rsidRDefault="0031439E" w:rsidP="0031439E">
            <w:pPr>
              <w:rPr>
                <w:rFonts w:ascii="Palatino Linotype" w:hAnsi="Palatino Linotype"/>
                <w:sz w:val="18"/>
                <w:szCs w:val="18"/>
              </w:rPr>
            </w:pPr>
            <w:r>
              <w:rPr>
                <w:rFonts w:ascii="Palatino Linotype" w:hAnsi="Palatino Linotype" w:cstheme="minorHAnsi"/>
                <w:sz w:val="18"/>
                <w:szCs w:val="18"/>
              </w:rPr>
              <w:t>Caucasian (Siberian)</w:t>
            </w:r>
          </w:p>
        </w:tc>
        <w:tc>
          <w:tcPr>
            <w:tcW w:w="1350" w:type="dxa"/>
          </w:tcPr>
          <w:p w14:paraId="3A473BF0" w14:textId="4F2CEDDA" w:rsidR="0031439E" w:rsidRPr="00924ABD" w:rsidRDefault="0031439E" w:rsidP="0031439E">
            <w:pPr>
              <w:rPr>
                <w:rFonts w:ascii="Palatino Linotype" w:hAnsi="Palatino Linotype" w:cstheme="minorHAnsi"/>
                <w:sz w:val="18"/>
                <w:szCs w:val="18"/>
              </w:rPr>
            </w:pPr>
            <w:r w:rsidRPr="00AB4B4A">
              <w:rPr>
                <w:rFonts w:ascii="Palatino Linotype" w:hAnsi="Palatino Linotype" w:cstheme="minorHAnsi"/>
                <w:sz w:val="18"/>
                <w:szCs w:val="18"/>
              </w:rPr>
              <w:t>Schizophrenia</w:t>
            </w:r>
            <w:r>
              <w:rPr>
                <w:rFonts w:ascii="Palatino Linotype" w:hAnsi="Palatino Linotype" w:cstheme="minorHAnsi"/>
                <w:sz w:val="18"/>
                <w:szCs w:val="18"/>
              </w:rPr>
              <w:t xml:space="preserve"> </w:t>
            </w:r>
            <w:r w:rsidRPr="00AB4B4A">
              <w:rPr>
                <w:rFonts w:ascii="Palatino Linotype" w:hAnsi="Palatino Linotype" w:cstheme="minorHAnsi"/>
                <w:sz w:val="18"/>
                <w:szCs w:val="18"/>
              </w:rPr>
              <w:t>or schizotypal disorder</w:t>
            </w:r>
          </w:p>
        </w:tc>
        <w:tc>
          <w:tcPr>
            <w:tcW w:w="1260" w:type="dxa"/>
          </w:tcPr>
          <w:p w14:paraId="59D34891" w14:textId="09ADA7EE" w:rsidR="0031439E" w:rsidRPr="006A1E5F" w:rsidRDefault="0031439E" w:rsidP="0031439E">
            <w:pPr>
              <w:rPr>
                <w:rFonts w:ascii="Palatino Linotype" w:hAnsi="Palatino Linotype" w:cstheme="minorHAnsi"/>
                <w:sz w:val="18"/>
                <w:szCs w:val="18"/>
              </w:rPr>
            </w:pPr>
            <w:r w:rsidRPr="00AB4B4A">
              <w:rPr>
                <w:rFonts w:ascii="Palatino Linotype" w:hAnsi="Palatino Linotype" w:cstheme="minorHAnsi"/>
                <w:sz w:val="18"/>
                <w:szCs w:val="18"/>
              </w:rPr>
              <w:t>ICD-10</w:t>
            </w:r>
          </w:p>
        </w:tc>
        <w:tc>
          <w:tcPr>
            <w:tcW w:w="1170" w:type="dxa"/>
          </w:tcPr>
          <w:p w14:paraId="1993CF79" w14:textId="660FFFDE"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568B24E8" w14:textId="0ED7E083"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3313AADA" w14:textId="0ACCB48B"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assay</w:t>
            </w:r>
          </w:p>
        </w:tc>
        <w:tc>
          <w:tcPr>
            <w:tcW w:w="2507" w:type="dxa"/>
          </w:tcPr>
          <w:p w14:paraId="148E4D7B" w14:textId="6A36FFC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33015C6A" w14:textId="70473469"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{"citationItems":[{"id":"ITEM-1","itemData":{"DOI":"10.1002/hup.2226","ISSN":"1099-1077","PMID":"22585593","abstract":"BACKGROUND The adenosine A2A receptor forms a heteromeric complex with the striatal dopamine D2 receptor. We examined whether a specific polymorphism in adenosine A2A receptor (2592 C/Tins) is associated with tardive dyskinesia. METHODS Tardive dyskinesia was assessed cross-sectionally in 146 Caucasian psychiatric inpatients from Siberia. RESULTS Between-group comparisons of genotypic or allelic frequencies showed no statistically significant difference. Logistic regression analysis with the occurrence of tardive dyskinesia as dependent variable showed no significant association with age, duration of illness, gender, and genotype. CONCLUSION The interaction between the A2A and D2 receptors seems not involved in the development of tardive dyskinesia.","author":[{"dropping-particle":"","family":"Ivanova","given":"Svetlana A","non-dropping-particle":"","parse-names":false,"suffix":""},{"dropping-particle":"","family":"Hadithy","given":"Asmar F Y","non-dropping-particle":"Al","parse-names":false,"suffix":""},{"dropping-particle":"","family":"Brazovskaya","given":"Natalia","non-dropping-particle":"","parse-names":false,"suffix":""},{"dropping-particle":"","family":"Semke","given":"Arkadiy","non-dropping-particle":"","parse-names":false,"suffix":""},{"dropping-particle":"","family":"Wilffert","given":"Bob","non-dropping-particle":"","parse-names":false,"suffix":""},{"dropping-particle":"","family":"Fedorenko","given":"Olga","non-dropping-particle":"","parse-names":false,"suffix":""},{"dropping-particle":"","family":"Brouwers","given":"Jacobus R B J","non-dropping-particle":"","parse-names":false,"suffix":""},{"dropping-particle":"","family":"Loonen","given":"Anton J M","non-dropping-particle":"","parse-names":false,"suffix":""}],"container-title":"Human psychopharmacology","id":"ITEM-1","issue":"3","issued":{"date-parts":[["2012","5"]]},"page":"334-7","publisher":"Hum Psychopharmacol","title":"No involvement of the adenosine A2A receptor in tardive dyskinesia in Russian psychiatric inpatients from Siberia.","type":"article-journal","volume":"27"},"uris":["http://www.mendeley.com/documents/?uuid=99753e3a-11b4-3b1e-bb52-03031087f5e6"]}],"mendeley":{"formattedCitation":"(Ivanova et al. 2012a)","plainTextFormattedCitation":"(Ivanova et al. 2012a)","previouslyFormattedCitation":"(Ivanova et al. 2012a)"},"properties":{"noteIndex":0},"schema":"https://github.com/citation-style-language/schema/raw/master/csl-citation.json"}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(Ivanova et al. 2012a)</w:t>
            </w:r>
            <w:r>
              <w:rPr>
                <w:rFonts w:ascii="Palatino Linotype" w:hAnsi="Palatino Linotype" w:cstheme="minorHAnsi"/>
                <w:b/>
                <w:sz w:val="18"/>
                <w:szCs w:val="18"/>
              </w:rPr>
              <w:fldChar w:fldCharType="end"/>
            </w:r>
          </w:p>
        </w:tc>
      </w:tr>
      <w:tr w:rsidR="0031439E" w:rsidRPr="00EA57B8" w14:paraId="16D4DC4F" w14:textId="56432AE5" w:rsidTr="0031439E">
        <w:tc>
          <w:tcPr>
            <w:tcW w:w="1094" w:type="dxa"/>
          </w:tcPr>
          <w:p w14:paraId="78819836" w14:textId="325656D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GRIN2A, GRIN2B, DRD3, DRD4, HTR2C, HSPG2, </w:t>
            </w:r>
            <w:proofErr w:type="spellStart"/>
            <w:r w:rsidRPr="000F3F98">
              <w:rPr>
                <w:rFonts w:ascii="Palatino Linotype" w:hAnsi="Palatino Linotype" w:cstheme="minorHAnsi"/>
                <w:i/>
                <w:iCs/>
                <w:sz w:val="18"/>
                <w:szCs w:val="18"/>
              </w:rPr>
              <w:t>MnSOD</w:t>
            </w:r>
            <w:proofErr w:type="spellEnd"/>
            <w:r w:rsidRPr="000F3F98">
              <w:rPr>
                <w:rFonts w:ascii="Palatino Linotype" w:hAnsi="Palatino Linotype" w:cstheme="minorHAnsi"/>
                <w:i/>
                <w:iCs/>
                <w:sz w:val="18"/>
                <w:szCs w:val="18"/>
              </w:rPr>
              <w:t>, NQO1</w:t>
            </w:r>
          </w:p>
        </w:tc>
        <w:tc>
          <w:tcPr>
            <w:tcW w:w="1080" w:type="dxa"/>
          </w:tcPr>
          <w:p w14:paraId="1EB945C8" w14:textId="354F3141" w:rsidR="0031439E" w:rsidRPr="00924ABD" w:rsidRDefault="0031439E" w:rsidP="0031439E">
            <w:pPr>
              <w:rPr>
                <w:rFonts w:ascii="Palatino Linotype" w:hAnsi="Palatino Linotype" w:cstheme="minorHAnsi"/>
                <w:sz w:val="18"/>
                <w:szCs w:val="18"/>
              </w:rPr>
            </w:pPr>
            <w:r w:rsidRPr="001D4C44">
              <w:rPr>
                <w:rStyle w:val="st"/>
                <w:rFonts w:ascii="Palatino Linotype" w:hAnsi="Palatino Linotype"/>
                <w:sz w:val="18"/>
                <w:szCs w:val="18"/>
              </w:rPr>
              <w:t xml:space="preserve">rs9989388, rs7190619, rs8049651, rs7196095, rs9921541, rs7192557, rs9788936, rs7206256, rs11866328, </w:t>
            </w:r>
            <w:r w:rsidRPr="001D4C44">
              <w:rPr>
                <w:rStyle w:val="st"/>
                <w:rFonts w:ascii="Palatino Linotype" w:hAnsi="Palatino Linotype"/>
                <w:sz w:val="18"/>
                <w:szCs w:val="18"/>
              </w:rPr>
              <w:lastRenderedPageBreak/>
              <w:t>rs4782039, rs1345423, rs11644461, rs11646587, rs8057394, rs1650420 (</w:t>
            </w:r>
            <w:r w:rsidRPr="00265F30">
              <w:rPr>
                <w:rStyle w:val="st"/>
                <w:rFonts w:ascii="Palatino Linotype" w:hAnsi="Palatino Linotype"/>
                <w:i/>
                <w:iCs/>
                <w:sz w:val="18"/>
                <w:szCs w:val="18"/>
              </w:rPr>
              <w:t>GRIN2A</w:t>
            </w:r>
            <w:r w:rsidRPr="001D4C44">
              <w:rPr>
                <w:rStyle w:val="st"/>
                <w:rFonts w:ascii="Palatino Linotype" w:hAnsi="Palatino Linotype"/>
                <w:sz w:val="18"/>
                <w:szCs w:val="18"/>
              </w:rPr>
              <w:t>), rs12300851, rs220599, rs7313149, rs12827536, rs10772715, rs10845838, rs1805481, rs2192970,</w:t>
            </w:r>
            <w:r w:rsidRPr="0054265C">
              <w:rPr>
                <w:rStyle w:val="st"/>
                <w:rFonts w:ascii="Palatino Linotype" w:hAnsi="Palatino Linotype"/>
                <w:b/>
                <w:bCs/>
                <w:sz w:val="18"/>
                <w:szCs w:val="18"/>
              </w:rPr>
              <w:t xml:space="preserve"> </w:t>
            </w:r>
            <w:r w:rsidRPr="001D4C44">
              <w:rPr>
                <w:rStyle w:val="st"/>
                <w:rFonts w:ascii="Palatino Linotype" w:hAnsi="Palatino Linotype"/>
                <w:sz w:val="18"/>
                <w:szCs w:val="18"/>
              </w:rPr>
              <w:t>rs2300242 (</w:t>
            </w:r>
            <w:r w:rsidRPr="00265F30">
              <w:rPr>
                <w:rStyle w:val="st"/>
                <w:rFonts w:ascii="Palatino Linotype" w:hAnsi="Palatino Linotype"/>
                <w:i/>
                <w:iCs/>
                <w:sz w:val="18"/>
                <w:szCs w:val="18"/>
              </w:rPr>
              <w:t>GRIN2B</w:t>
            </w:r>
            <w:r w:rsidRPr="001D4C44">
              <w:rPr>
                <w:rStyle w:val="st"/>
                <w:rFonts w:ascii="Palatino Linotype" w:hAnsi="Palatino Linotype"/>
                <w:sz w:val="18"/>
                <w:szCs w:val="18"/>
              </w:rPr>
              <w:t>), rs167770, rs167771, rs324035, rs963468, rs1800828, rs2134655, rs3773678, rs7633291,</w:t>
            </w:r>
            <w:r w:rsidRPr="0054265C">
              <w:rPr>
                <w:rStyle w:val="st"/>
                <w:rFonts w:ascii="Palatino Linotype" w:hAnsi="Palatino Linotype"/>
                <w:b/>
                <w:bCs/>
                <w:sz w:val="18"/>
                <w:szCs w:val="18"/>
              </w:rPr>
              <w:t xml:space="preserve"> </w:t>
            </w:r>
            <w:r w:rsidRPr="001D4C44">
              <w:rPr>
                <w:rStyle w:val="st"/>
                <w:rFonts w:ascii="Palatino Linotype" w:hAnsi="Palatino Linotype"/>
                <w:sz w:val="18"/>
                <w:szCs w:val="18"/>
              </w:rPr>
              <w:t>rs9817063, rs11721264 (</w:t>
            </w:r>
            <w:r w:rsidRPr="00265F30">
              <w:rPr>
                <w:rStyle w:val="st"/>
                <w:rFonts w:ascii="Palatino Linotype" w:hAnsi="Palatino Linotype"/>
                <w:i/>
                <w:iCs/>
                <w:sz w:val="18"/>
                <w:szCs w:val="18"/>
              </w:rPr>
              <w:t>DRD3</w:t>
            </w:r>
            <w:r w:rsidRPr="001D4C44">
              <w:rPr>
                <w:rStyle w:val="st"/>
                <w:rFonts w:ascii="Palatino Linotype" w:hAnsi="Palatino Linotype"/>
                <w:sz w:val="18"/>
                <w:szCs w:val="18"/>
              </w:rPr>
              <w:t xml:space="preserve">), </w:t>
            </w:r>
            <w:r w:rsidRPr="001D4C44">
              <w:rPr>
                <w:rStyle w:val="st"/>
                <w:rFonts w:ascii="Palatino Linotype" w:hAnsi="Palatino Linotype"/>
                <w:sz w:val="18"/>
                <w:szCs w:val="18"/>
              </w:rPr>
              <w:lastRenderedPageBreak/>
              <w:t>rs3758563</w:t>
            </w:r>
            <w:r>
              <w:rPr>
                <w:rStyle w:val="st"/>
                <w:rFonts w:ascii="Palatino Linotype" w:hAnsi="Palatino Linotype"/>
                <w:sz w:val="18"/>
                <w:szCs w:val="18"/>
              </w:rPr>
              <w:t xml:space="preserve"> </w:t>
            </w:r>
            <w:r w:rsidRPr="001D4C44">
              <w:rPr>
                <w:rStyle w:val="st"/>
                <w:rFonts w:ascii="Palatino Linotype" w:hAnsi="Palatino Linotype"/>
                <w:sz w:val="18"/>
                <w:szCs w:val="18"/>
              </w:rPr>
              <w:t>(</w:t>
            </w:r>
            <w:r w:rsidRPr="00265F30">
              <w:rPr>
                <w:rStyle w:val="st"/>
                <w:rFonts w:ascii="Palatino Linotype" w:hAnsi="Palatino Linotype"/>
                <w:i/>
                <w:iCs/>
                <w:sz w:val="18"/>
                <w:szCs w:val="18"/>
              </w:rPr>
              <w:t>DRD4</w:t>
            </w:r>
            <w:r w:rsidRPr="001D4C44">
              <w:rPr>
                <w:rStyle w:val="st"/>
                <w:rFonts w:ascii="Palatino Linotype" w:hAnsi="Palatino Linotype"/>
                <w:sz w:val="18"/>
                <w:szCs w:val="18"/>
              </w:rPr>
              <w:t>), rs6318c, rs569959, rs1801412, rs3813929, rs4911871 (</w:t>
            </w:r>
            <w:r w:rsidRPr="00265F30">
              <w:rPr>
                <w:rStyle w:val="st"/>
                <w:rFonts w:ascii="Palatino Linotype" w:hAnsi="Palatino Linotype"/>
                <w:i/>
                <w:iCs/>
                <w:sz w:val="18"/>
                <w:szCs w:val="18"/>
              </w:rPr>
              <w:t>HTR2C</w:t>
            </w:r>
            <w:r w:rsidRPr="001D4C44">
              <w:rPr>
                <w:rStyle w:val="st"/>
                <w:rFonts w:ascii="Palatino Linotype" w:hAnsi="Palatino Linotype"/>
                <w:sz w:val="18"/>
                <w:szCs w:val="18"/>
              </w:rPr>
              <w:t>), rs2270697 (</w:t>
            </w:r>
            <w:r w:rsidRPr="00265F30">
              <w:rPr>
                <w:rStyle w:val="st"/>
                <w:rFonts w:ascii="Palatino Linotype" w:hAnsi="Palatino Linotype"/>
                <w:i/>
                <w:iCs/>
                <w:sz w:val="18"/>
                <w:szCs w:val="18"/>
              </w:rPr>
              <w:t>HSPG2</w:t>
            </w:r>
            <w:r w:rsidRPr="001D4C44">
              <w:rPr>
                <w:rStyle w:val="st"/>
                <w:rFonts w:ascii="Palatino Linotype" w:hAnsi="Palatino Linotype"/>
                <w:sz w:val="18"/>
                <w:szCs w:val="18"/>
              </w:rPr>
              <w:t>), rs4880 (</w:t>
            </w:r>
            <w:proofErr w:type="spellStart"/>
            <w:r w:rsidRPr="00265F30">
              <w:rPr>
                <w:rStyle w:val="st"/>
                <w:rFonts w:ascii="Palatino Linotype" w:hAnsi="Palatino Linotype"/>
                <w:i/>
                <w:iCs/>
                <w:sz w:val="18"/>
                <w:szCs w:val="18"/>
              </w:rPr>
              <w:t>MnSOD</w:t>
            </w:r>
            <w:proofErr w:type="spellEnd"/>
            <w:r w:rsidRPr="001D4C44">
              <w:rPr>
                <w:rStyle w:val="st"/>
                <w:rFonts w:ascii="Palatino Linotype" w:hAnsi="Palatino Linotype"/>
                <w:sz w:val="18"/>
                <w:szCs w:val="18"/>
              </w:rPr>
              <w:t>), rs1800566 (</w:t>
            </w:r>
            <w:r w:rsidRPr="00265F30">
              <w:rPr>
                <w:rStyle w:val="st"/>
                <w:rFonts w:ascii="Palatino Linotype" w:hAnsi="Palatino Linotype"/>
                <w:i/>
                <w:iCs/>
                <w:sz w:val="18"/>
                <w:szCs w:val="18"/>
              </w:rPr>
              <w:t>NQO1</w:t>
            </w:r>
            <w:r w:rsidRPr="001D4C44">
              <w:rPr>
                <w:rStyle w:val="st"/>
                <w:rFonts w:ascii="Palatino Linotype" w:hAnsi="Palatino Linotype"/>
                <w:sz w:val="18"/>
                <w:szCs w:val="18"/>
              </w:rPr>
              <w:t>)</w:t>
            </w:r>
          </w:p>
        </w:tc>
        <w:tc>
          <w:tcPr>
            <w:tcW w:w="1080" w:type="dxa"/>
          </w:tcPr>
          <w:p w14:paraId="44B6CE5E" w14:textId="3A2163B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431</w:t>
            </w:r>
            <w:r w:rsidRPr="00A16906">
              <w:rPr>
                <w:rFonts w:ascii="Palatino Linotype" w:hAnsi="Palatino Linotype" w:cstheme="minorHAnsi"/>
                <w:sz w:val="18"/>
                <w:szCs w:val="18"/>
              </w:rPr>
              <w:t xml:space="preserve"> </w:t>
            </w:r>
          </w:p>
        </w:tc>
        <w:tc>
          <w:tcPr>
            <w:tcW w:w="1170" w:type="dxa"/>
          </w:tcPr>
          <w:p w14:paraId="3417B548" w14:textId="2DFAC91B" w:rsidR="0031439E" w:rsidRDefault="0031439E" w:rsidP="0031439E">
            <w:pPr>
              <w:rPr>
                <w:rFonts w:ascii="Palatino Linotype" w:hAnsi="Palatino Linotype"/>
                <w:sz w:val="18"/>
                <w:szCs w:val="18"/>
              </w:rPr>
            </w:pPr>
            <w:r w:rsidRPr="00A16906">
              <w:rPr>
                <w:rFonts w:ascii="Palatino Linotype" w:hAnsi="Palatino Linotype" w:cstheme="minorHAnsi"/>
                <w:sz w:val="18"/>
                <w:szCs w:val="18"/>
              </w:rPr>
              <w:t>Caucasian</w:t>
            </w:r>
            <w:r>
              <w:rPr>
                <w:rFonts w:ascii="Palatino Linotype" w:hAnsi="Palatino Linotype" w:cstheme="minorHAnsi"/>
                <w:sz w:val="18"/>
                <w:szCs w:val="18"/>
              </w:rPr>
              <w:t xml:space="preserve"> (European)</w:t>
            </w:r>
          </w:p>
        </w:tc>
        <w:tc>
          <w:tcPr>
            <w:tcW w:w="1350" w:type="dxa"/>
          </w:tcPr>
          <w:p w14:paraId="0C92496D" w14:textId="0901ED0D" w:rsidR="0031439E" w:rsidRPr="00924ABD" w:rsidRDefault="0031439E" w:rsidP="0031439E">
            <w:pPr>
              <w:rPr>
                <w:rFonts w:ascii="Palatino Linotype" w:hAnsi="Palatino Linotype" w:cstheme="minorHAnsi"/>
                <w:sz w:val="18"/>
                <w:szCs w:val="18"/>
              </w:rPr>
            </w:pPr>
            <w:r w:rsidRPr="00EF6EAB">
              <w:rPr>
                <w:rFonts w:ascii="Palatino Linotype" w:hAnsi="Palatino Linotype" w:cstheme="minorHAnsi"/>
                <w:sz w:val="18"/>
                <w:szCs w:val="18"/>
              </w:rPr>
              <w:t xml:space="preserve">schizophrenia or schizotypical disorders </w:t>
            </w:r>
          </w:p>
        </w:tc>
        <w:tc>
          <w:tcPr>
            <w:tcW w:w="1260" w:type="dxa"/>
          </w:tcPr>
          <w:p w14:paraId="63178BE6" w14:textId="29EFAFD7" w:rsidR="0031439E" w:rsidRPr="006A1E5F" w:rsidRDefault="0031439E" w:rsidP="0031439E">
            <w:pPr>
              <w:rPr>
                <w:rFonts w:ascii="Palatino Linotype" w:hAnsi="Palatino Linotype" w:cstheme="minorHAnsi"/>
                <w:sz w:val="18"/>
                <w:szCs w:val="18"/>
              </w:rPr>
            </w:pPr>
            <w:r w:rsidRPr="00E368D6">
              <w:rPr>
                <w:rFonts w:ascii="Palatino Linotype" w:hAnsi="Palatino Linotype" w:cstheme="minorHAnsi"/>
                <w:sz w:val="18"/>
                <w:szCs w:val="18"/>
              </w:rPr>
              <w:t>ICD-10</w:t>
            </w:r>
          </w:p>
        </w:tc>
        <w:tc>
          <w:tcPr>
            <w:tcW w:w="1170" w:type="dxa"/>
          </w:tcPr>
          <w:p w14:paraId="195EE454" w14:textId="6B3993B5" w:rsidR="0031439E" w:rsidRPr="003E2E63" w:rsidRDefault="0031439E" w:rsidP="0031439E">
            <w:pPr>
              <w:rPr>
                <w:rFonts w:ascii="Palatino Linotype" w:hAnsi="Palatino Linotype" w:cstheme="minorHAnsi"/>
                <w:sz w:val="18"/>
                <w:szCs w:val="18"/>
              </w:rPr>
            </w:pPr>
            <w:r w:rsidRPr="00991DB6">
              <w:rPr>
                <w:rFonts w:ascii="Palatino Linotype" w:hAnsi="Palatino Linotype" w:cstheme="minorHAnsi"/>
                <w:sz w:val="18"/>
                <w:szCs w:val="18"/>
              </w:rPr>
              <w:t>AIMS</w:t>
            </w:r>
          </w:p>
        </w:tc>
        <w:tc>
          <w:tcPr>
            <w:tcW w:w="1170" w:type="dxa"/>
          </w:tcPr>
          <w:p w14:paraId="686A21F6" w14:textId="1AE4875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4AA5C417" w14:textId="4C289607" w:rsidR="0031439E" w:rsidRDefault="0031439E" w:rsidP="0031439E">
            <w:pPr>
              <w:rPr>
                <w:rFonts w:ascii="Palatino Linotype" w:hAnsi="Palatino Linotype" w:cstheme="minorHAnsi"/>
                <w:sz w:val="18"/>
                <w:szCs w:val="18"/>
              </w:rPr>
            </w:pPr>
            <w:r w:rsidRPr="005F411D">
              <w:rPr>
                <w:rFonts w:ascii="Palatino Linotype" w:hAnsi="Palatino Linotype" w:cstheme="minorHAnsi"/>
                <w:sz w:val="18"/>
                <w:szCs w:val="18"/>
              </w:rPr>
              <w:t>Veracode Assay</w:t>
            </w:r>
          </w:p>
        </w:tc>
        <w:tc>
          <w:tcPr>
            <w:tcW w:w="2507" w:type="dxa"/>
          </w:tcPr>
          <w:p w14:paraId="4C1075B1" w14:textId="77777777" w:rsidR="0031439E" w:rsidRPr="003333B9" w:rsidRDefault="0031439E" w:rsidP="0031439E">
            <w:pPr>
              <w:rPr>
                <w:rFonts w:ascii="Palatino Linotype" w:hAnsi="Palatino Linotype" w:cstheme="minorHAnsi"/>
                <w:sz w:val="18"/>
                <w:szCs w:val="18"/>
              </w:rPr>
            </w:pPr>
            <w:r w:rsidRPr="003333B9">
              <w:rPr>
                <w:rFonts w:ascii="Palatino Linotype" w:hAnsi="Palatino Linotype" w:cstheme="minorHAnsi"/>
                <w:sz w:val="18"/>
                <w:szCs w:val="18"/>
              </w:rPr>
              <w:t>rs11646587</w:t>
            </w:r>
            <w:r>
              <w:rPr>
                <w:rFonts w:ascii="Palatino Linotype" w:hAnsi="Palatino Linotype" w:cstheme="minorHAnsi"/>
                <w:sz w:val="18"/>
                <w:szCs w:val="18"/>
              </w:rPr>
              <w:t xml:space="preserve">, </w:t>
            </w:r>
            <w:r w:rsidRPr="003333B9">
              <w:rPr>
                <w:rFonts w:ascii="Palatino Linotype" w:hAnsi="Palatino Linotype" w:cstheme="minorHAnsi"/>
                <w:sz w:val="18"/>
                <w:szCs w:val="18"/>
              </w:rPr>
              <w:t>rs7206256</w:t>
            </w:r>
            <w:r>
              <w:rPr>
                <w:rFonts w:ascii="Palatino Linotype" w:hAnsi="Palatino Linotype" w:cstheme="minorHAnsi"/>
                <w:sz w:val="18"/>
                <w:szCs w:val="18"/>
              </w:rPr>
              <w:t xml:space="preserve"> and </w:t>
            </w:r>
          </w:p>
          <w:p w14:paraId="2E7FD767" w14:textId="77777777" w:rsidR="0031439E" w:rsidRPr="003333B9" w:rsidRDefault="0031439E" w:rsidP="0031439E">
            <w:pPr>
              <w:rPr>
                <w:rFonts w:ascii="Palatino Linotype" w:hAnsi="Palatino Linotype" w:cstheme="minorHAnsi"/>
                <w:sz w:val="18"/>
                <w:szCs w:val="18"/>
              </w:rPr>
            </w:pPr>
            <w:r w:rsidRPr="003333B9">
              <w:rPr>
                <w:rFonts w:ascii="Palatino Linotype" w:hAnsi="Palatino Linotype" w:cstheme="minorHAnsi"/>
                <w:sz w:val="18"/>
                <w:szCs w:val="18"/>
              </w:rPr>
              <w:t>rs1345423</w:t>
            </w:r>
            <w:r>
              <w:rPr>
                <w:rFonts w:ascii="Palatino Linotype" w:hAnsi="Palatino Linotype" w:cstheme="minorHAnsi"/>
                <w:sz w:val="18"/>
                <w:szCs w:val="18"/>
              </w:rPr>
              <w:t xml:space="preserve"> were associated with</w:t>
            </w:r>
            <w:r w:rsidRPr="003333B9">
              <w:rPr>
                <w:rFonts w:ascii="Palatino Linotype" w:hAnsi="Palatino Linotype" w:cstheme="minorHAnsi"/>
                <w:sz w:val="18"/>
                <w:szCs w:val="18"/>
              </w:rPr>
              <w:t xml:space="preserve"> </w:t>
            </w:r>
            <w:r>
              <w:rPr>
                <w:rFonts w:ascii="Palatino Linotype" w:hAnsi="Palatino Linotype" w:cstheme="minorHAnsi"/>
                <w:sz w:val="18"/>
                <w:szCs w:val="18"/>
              </w:rPr>
              <w:t>o</w:t>
            </w:r>
            <w:r w:rsidRPr="003333B9">
              <w:rPr>
                <w:rFonts w:ascii="Palatino Linotype" w:hAnsi="Palatino Linotype" w:cstheme="minorHAnsi"/>
                <w:sz w:val="18"/>
                <w:szCs w:val="18"/>
              </w:rPr>
              <w:t>rofacial TD</w:t>
            </w:r>
            <w:r>
              <w:rPr>
                <w:rFonts w:ascii="Palatino Linotype" w:hAnsi="Palatino Linotype" w:cstheme="minorHAnsi"/>
                <w:sz w:val="18"/>
                <w:szCs w:val="18"/>
              </w:rPr>
              <w:t xml:space="preserve">, </w:t>
            </w:r>
            <w:r w:rsidRPr="003333B9">
              <w:rPr>
                <w:rFonts w:ascii="Palatino Linotype" w:hAnsi="Palatino Linotype" w:cstheme="minorHAnsi"/>
                <w:sz w:val="18"/>
                <w:szCs w:val="18"/>
              </w:rPr>
              <w:t>rs7190619</w:t>
            </w:r>
            <w:r>
              <w:rPr>
                <w:rFonts w:ascii="Palatino Linotype" w:hAnsi="Palatino Linotype" w:cstheme="minorHAnsi"/>
                <w:sz w:val="18"/>
                <w:szCs w:val="18"/>
              </w:rPr>
              <w:t xml:space="preserve"> and </w:t>
            </w:r>
            <w:r w:rsidRPr="003333B9">
              <w:rPr>
                <w:rFonts w:ascii="Palatino Linotype" w:hAnsi="Palatino Linotype" w:cstheme="minorHAnsi"/>
                <w:sz w:val="18"/>
                <w:szCs w:val="18"/>
              </w:rPr>
              <w:t>rs9788936</w:t>
            </w:r>
            <w:r>
              <w:rPr>
                <w:rFonts w:ascii="Palatino Linotype" w:hAnsi="Palatino Linotype" w:cstheme="minorHAnsi"/>
                <w:sz w:val="18"/>
                <w:szCs w:val="18"/>
              </w:rPr>
              <w:t xml:space="preserve"> were associated with </w:t>
            </w:r>
            <w:proofErr w:type="spellStart"/>
            <w:r w:rsidRPr="002602E0">
              <w:rPr>
                <w:rFonts w:ascii="Palatino Linotype" w:hAnsi="Palatino Linotype" w:cstheme="minorHAnsi"/>
                <w:sz w:val="18"/>
                <w:szCs w:val="18"/>
              </w:rPr>
              <w:t>TDlt</w:t>
            </w:r>
            <w:proofErr w:type="spellEnd"/>
            <w:r>
              <w:rPr>
                <w:rFonts w:ascii="Palatino Linotype" w:hAnsi="Palatino Linotype" w:cstheme="minorHAnsi"/>
                <w:sz w:val="18"/>
                <w:szCs w:val="18"/>
              </w:rPr>
              <w:t xml:space="preserve">, </w:t>
            </w:r>
            <w:r w:rsidRPr="003333B9">
              <w:rPr>
                <w:rFonts w:ascii="Palatino Linotype" w:hAnsi="Palatino Linotype" w:cstheme="minorHAnsi"/>
                <w:sz w:val="18"/>
                <w:szCs w:val="18"/>
              </w:rPr>
              <w:t>rs2192970</w:t>
            </w:r>
            <w:r>
              <w:rPr>
                <w:rFonts w:ascii="Palatino Linotype" w:hAnsi="Palatino Linotype" w:cstheme="minorHAnsi"/>
                <w:sz w:val="18"/>
                <w:szCs w:val="18"/>
              </w:rPr>
              <w:t xml:space="preserve"> and </w:t>
            </w:r>
          </w:p>
          <w:p w14:paraId="7977448F" w14:textId="77777777" w:rsidR="0031439E" w:rsidRPr="003333B9" w:rsidRDefault="0031439E" w:rsidP="0031439E">
            <w:pPr>
              <w:rPr>
                <w:rFonts w:ascii="Palatino Linotype" w:hAnsi="Palatino Linotype" w:cstheme="minorHAnsi"/>
                <w:sz w:val="18"/>
                <w:szCs w:val="18"/>
              </w:rPr>
            </w:pPr>
            <w:r w:rsidRPr="003333B9">
              <w:rPr>
                <w:rFonts w:ascii="Palatino Linotype" w:hAnsi="Palatino Linotype" w:cstheme="minorHAnsi"/>
                <w:sz w:val="18"/>
                <w:szCs w:val="18"/>
              </w:rPr>
              <w:t>rs1345423</w:t>
            </w:r>
            <w:r>
              <w:rPr>
                <w:rFonts w:ascii="Palatino Linotype" w:hAnsi="Palatino Linotype" w:cstheme="minorHAnsi"/>
                <w:sz w:val="18"/>
                <w:szCs w:val="18"/>
              </w:rPr>
              <w:t xml:space="preserve"> were associated with overall TD</w:t>
            </w:r>
          </w:p>
          <w:p w14:paraId="6F8E205A" w14:textId="77777777" w:rsidR="0031439E" w:rsidRPr="003333B9" w:rsidRDefault="0031439E" w:rsidP="0031439E">
            <w:pPr>
              <w:rPr>
                <w:rFonts w:ascii="Palatino Linotype" w:hAnsi="Palatino Linotype" w:cstheme="minorHAnsi"/>
                <w:sz w:val="18"/>
                <w:szCs w:val="18"/>
              </w:rPr>
            </w:pPr>
          </w:p>
          <w:p w14:paraId="54608B82" w14:textId="0F13FCDC" w:rsidR="0031439E" w:rsidRDefault="0031439E" w:rsidP="0031439E">
            <w:pPr>
              <w:rPr>
                <w:rFonts w:ascii="Palatino Linotype" w:hAnsi="Palatino Linotype" w:cstheme="minorHAnsi"/>
                <w:sz w:val="18"/>
                <w:szCs w:val="18"/>
              </w:rPr>
            </w:pPr>
          </w:p>
        </w:tc>
        <w:tc>
          <w:tcPr>
            <w:tcW w:w="2173" w:type="dxa"/>
          </w:tcPr>
          <w:p w14:paraId="69D16B9B" w14:textId="640B6216" w:rsidR="0031439E" w:rsidRPr="003333B9"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{"citationItems":[{"id":"ITEM-1","itemData":{"DOI":"10.1038/tp.2011.66","ISSN":"2158-3188","PMID":"22832729","abstract":"Dyskinesias are involuntary muscle movements that occur spontaneously in Huntington's disease (HD) and after long-term treatments for Parkinson's disease (levodopa-induced dyskinesia; LID) or for schizophrenia (tardive dyskinesia, TD). Previous studies suggested that dyskinesias in these three conditions originate from different neuronal pathways that converge on overstimulation of the motor cortex. We hypothesized that the same variants of the N-methyl-D-aspartate receptor gene that were previously associated with the age of dyskinesia onset in HD were also associated with the vulnerability for TD and not LID. Genotyping patients with LID and TD revealed, however, that these two variants were dose-dependently associated with susceptibility to LID, but not TD. This suggested that LID, TD and HD might arise from the same neuronal pathways, but TD results from a different mechanism.","author":[{"dropping-particle":"","family":"Ivanova","given":"S A","non-dropping-particle":"","parse-names":false,"suffix":""},{"dropping-particle":"","family":"Loonen","given":"A J M","non-dropping-particle":"","parse-names":false,"suffix":""},{"dropping-particle":"","family":"Pechlivanoglou","given":"P","non-dropping-particle":"","parse-names":false,"suffix":""},{"dropping-particle":"","family":"Freidin","given":"M B","non-dropping-particle":"","parse-names":false,"suffix":""},{"dropping-particle":"","family":"Hadithy","given":"A F Y","non-dropping-particle":"Al","parse-names":false,"suffix":""},{"dropping-particle":"V","family":"Rudikov","given":"E","non-dropping-particle":"","parse-names":false,"suffix":""},{"dropping-particle":"","family":"Zhukova","given":"I A","non-dropping-particle":"","parse-names":false,"suffix":""},{"dropping-particle":"V","family":"Govorin","given":"N","non-dropping-particle":"","parse-names":false,"suffix":""},{"dropping-particle":"","family":"Sorokina","given":"V A","non-dropping-particle":"","parse-names":false,"suffix":""},{"dropping-particle":"","family":"Fedorenko","given":"O Y","non-dropping-particle":"","parse-names":false,"suffix":""},{"dropping-particle":"","family":"Alifirova","given":"V M","non-dropping-particle":"","parse-names":false,"suffix":""},{"dropping-particle":"V","family":"Semke","given":"A","non-dropping-particle":"","parse-names":false,"suffix":""},{"dropping-particle":"","family":"Brouwers","given":"J R B J","non-dropping-particle":"","parse-names":false,"suffix":""},{"dropping-particle":"","family":"Wilffert","given":"B","non-dropping-particle":"","parse-names":false,"suffix":""}],"container-title":"Translational psychiatry","id":"ITEM-1","issue":"1","issued":{"date-parts":[["2012","1","10"]]},"page":"e67","publisher":"Transl Psychiatry","title":"NMDA receptor genotypes associated with the vulnerability to develop dyskinesia.","type":"article-journal","volume":"2"},"uris":["http://www.mendeley.com/documents/?uuid=f0f5802a-1771-3f46-a521-9207c040ab40"]}],"mendeley":{"formattedCitation":"(Ivanova et al. 2012b)","plainTextFormattedCitation":"(Ivanova et al. 2012b)","previouslyFormattedCitation":"(Ivanova et al. 2012b)"},"properties":{"noteIndex":0},"schema":"https://github.com/citation-style-language/schema/raw/master/csl-citation.json"}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(Ivanova et al. 2012b)</w:t>
            </w:r>
            <w:r>
              <w:rPr>
                <w:rFonts w:ascii="Palatino Linotype" w:hAnsi="Palatino Linotype" w:cstheme="minorHAnsi"/>
                <w:sz w:val="18"/>
                <w:szCs w:val="18"/>
              </w:rPr>
              <w:fldChar w:fldCharType="end"/>
            </w:r>
          </w:p>
        </w:tc>
      </w:tr>
      <w:tr w:rsidR="0031439E" w:rsidRPr="00EA57B8" w14:paraId="30B1024C" w14:textId="221A000A" w:rsidTr="0031439E">
        <w:tc>
          <w:tcPr>
            <w:tcW w:w="1094" w:type="dxa"/>
          </w:tcPr>
          <w:p w14:paraId="648DA0A6" w14:textId="7B752E0E" w:rsidR="0031439E" w:rsidRPr="000F3F98" w:rsidRDefault="0031439E" w:rsidP="0031439E">
            <w:pPr>
              <w:rPr>
                <w:rFonts w:ascii="Palatino Linotype" w:hAnsi="Palatino Linotype" w:cstheme="minorHAnsi"/>
                <w:i/>
                <w:iCs/>
                <w:sz w:val="18"/>
                <w:szCs w:val="18"/>
              </w:rPr>
            </w:pPr>
            <w:r w:rsidRPr="000F3F98">
              <w:rPr>
                <w:rStyle w:val="st"/>
                <w:rFonts w:ascii="Palatino Linotype" w:hAnsi="Palatino Linotype"/>
                <w:i/>
                <w:iCs/>
                <w:sz w:val="18"/>
                <w:szCs w:val="18"/>
              </w:rPr>
              <w:lastRenderedPageBreak/>
              <w:t xml:space="preserve">GRIN2A, GRIN2B, DRD3, HTR2C, DRD4 </w:t>
            </w:r>
          </w:p>
        </w:tc>
        <w:tc>
          <w:tcPr>
            <w:tcW w:w="1080" w:type="dxa"/>
          </w:tcPr>
          <w:p w14:paraId="2858E383" w14:textId="5974D342" w:rsidR="0031439E" w:rsidRPr="00924ABD" w:rsidRDefault="0031439E" w:rsidP="0031439E">
            <w:pPr>
              <w:rPr>
                <w:rFonts w:ascii="Palatino Linotype" w:hAnsi="Palatino Linotype" w:cstheme="minorHAnsi"/>
                <w:sz w:val="18"/>
                <w:szCs w:val="18"/>
              </w:rPr>
            </w:pPr>
            <w:r>
              <w:rPr>
                <w:rStyle w:val="st"/>
                <w:rFonts w:ascii="Palatino Linotype" w:hAnsi="Palatino Linotype"/>
                <w:sz w:val="18"/>
                <w:szCs w:val="18"/>
              </w:rPr>
              <w:t>43 tag SNPs</w:t>
            </w:r>
          </w:p>
        </w:tc>
        <w:tc>
          <w:tcPr>
            <w:tcW w:w="1080" w:type="dxa"/>
          </w:tcPr>
          <w:p w14:paraId="71D974B3"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Cohort 1: 431 </w:t>
            </w:r>
          </w:p>
          <w:p w14:paraId="751CEA69" w14:textId="3E5EDC2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Cohort 2: 168</w:t>
            </w:r>
          </w:p>
        </w:tc>
        <w:tc>
          <w:tcPr>
            <w:tcW w:w="1170" w:type="dxa"/>
          </w:tcPr>
          <w:p w14:paraId="7159A578" w14:textId="5831B2F1" w:rsidR="0031439E" w:rsidRDefault="0031439E" w:rsidP="0031439E">
            <w:pPr>
              <w:rPr>
                <w:rFonts w:ascii="Palatino Linotype" w:hAnsi="Palatino Linotype"/>
                <w:sz w:val="18"/>
                <w:szCs w:val="18"/>
              </w:rPr>
            </w:pPr>
            <w:r w:rsidRPr="00B56638">
              <w:rPr>
                <w:rFonts w:ascii="Palatino Linotype" w:hAnsi="Palatino Linotype" w:cstheme="minorHAnsi"/>
                <w:sz w:val="18"/>
                <w:szCs w:val="18"/>
              </w:rPr>
              <w:t xml:space="preserve">Caucasian </w:t>
            </w:r>
            <w:r>
              <w:rPr>
                <w:rFonts w:ascii="Palatino Linotype" w:hAnsi="Palatino Linotype" w:cstheme="minorHAnsi"/>
                <w:sz w:val="18"/>
                <w:szCs w:val="18"/>
              </w:rPr>
              <w:t>(</w:t>
            </w:r>
            <w:r w:rsidRPr="00B56638">
              <w:rPr>
                <w:rFonts w:ascii="Palatino Linotype" w:hAnsi="Palatino Linotype" w:cstheme="minorHAnsi"/>
                <w:sz w:val="18"/>
                <w:szCs w:val="18"/>
              </w:rPr>
              <w:t>Siberia</w:t>
            </w:r>
            <w:r>
              <w:rPr>
                <w:rFonts w:ascii="Palatino Linotype" w:hAnsi="Palatino Linotype" w:cstheme="minorHAnsi"/>
                <w:sz w:val="18"/>
                <w:szCs w:val="18"/>
              </w:rPr>
              <w:t xml:space="preserve"> and Dutch) </w:t>
            </w:r>
          </w:p>
        </w:tc>
        <w:tc>
          <w:tcPr>
            <w:tcW w:w="1350" w:type="dxa"/>
          </w:tcPr>
          <w:p w14:paraId="05AAA66A"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Cohort 1: </w:t>
            </w:r>
            <w:r w:rsidRPr="0068159D">
              <w:rPr>
                <w:rFonts w:ascii="Palatino Linotype" w:hAnsi="Palatino Linotype" w:cstheme="minorHAnsi"/>
                <w:sz w:val="18"/>
                <w:szCs w:val="18"/>
              </w:rPr>
              <w:t>schizophrenia or schizotypal disorder</w:t>
            </w:r>
            <w:r>
              <w:rPr>
                <w:rFonts w:ascii="Palatino Linotype" w:hAnsi="Palatino Linotype" w:cstheme="minorHAnsi"/>
                <w:sz w:val="18"/>
                <w:szCs w:val="18"/>
              </w:rPr>
              <w:t xml:space="preserve">, </w:t>
            </w:r>
          </w:p>
          <w:p w14:paraId="7EBEE255"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Cohort 2: </w:t>
            </w:r>
          </w:p>
          <w:p w14:paraId="7BFDCF10" w14:textId="77777777" w:rsidR="0031439E" w:rsidRPr="006509D3" w:rsidRDefault="0031439E" w:rsidP="0031439E">
            <w:pPr>
              <w:rPr>
                <w:rFonts w:ascii="Palatino Linotype" w:hAnsi="Palatino Linotype" w:cstheme="minorHAnsi"/>
                <w:sz w:val="18"/>
                <w:szCs w:val="18"/>
              </w:rPr>
            </w:pPr>
            <w:r w:rsidRPr="006509D3">
              <w:rPr>
                <w:rFonts w:ascii="Palatino Linotype" w:hAnsi="Palatino Linotype" w:cstheme="minorHAnsi"/>
                <w:sz w:val="18"/>
                <w:szCs w:val="18"/>
              </w:rPr>
              <w:t>Axis I,</w:t>
            </w:r>
            <w:r>
              <w:rPr>
                <w:rFonts w:ascii="Palatino Linotype" w:hAnsi="Palatino Linotype" w:cstheme="minorHAnsi"/>
                <w:sz w:val="18"/>
                <w:szCs w:val="18"/>
              </w:rPr>
              <w:t xml:space="preserve"> </w:t>
            </w:r>
            <w:r w:rsidRPr="006509D3">
              <w:rPr>
                <w:rFonts w:ascii="Palatino Linotype" w:hAnsi="Palatino Linotype" w:cstheme="minorHAnsi"/>
                <w:sz w:val="18"/>
                <w:szCs w:val="18"/>
              </w:rPr>
              <w:t>schizophrenia</w:t>
            </w:r>
            <w:r>
              <w:rPr>
                <w:rFonts w:ascii="Palatino Linotype" w:hAnsi="Palatino Linotype" w:cstheme="minorHAnsi"/>
                <w:sz w:val="18"/>
                <w:szCs w:val="18"/>
              </w:rPr>
              <w:t xml:space="preserve">, </w:t>
            </w:r>
            <w:r w:rsidRPr="006509D3">
              <w:rPr>
                <w:rFonts w:ascii="Palatino Linotype" w:hAnsi="Palatino Linotype" w:cstheme="minorHAnsi"/>
                <w:sz w:val="18"/>
                <w:szCs w:val="18"/>
              </w:rPr>
              <w:t>psychosis,</w:t>
            </w:r>
            <w:r>
              <w:rPr>
                <w:rFonts w:ascii="Palatino Linotype" w:hAnsi="Palatino Linotype" w:cstheme="minorHAnsi"/>
                <w:sz w:val="18"/>
                <w:szCs w:val="18"/>
              </w:rPr>
              <w:t xml:space="preserve"> </w:t>
            </w:r>
            <w:r w:rsidRPr="006509D3">
              <w:rPr>
                <w:rFonts w:ascii="Palatino Linotype" w:hAnsi="Palatino Linotype" w:cstheme="minorHAnsi"/>
                <w:sz w:val="18"/>
                <w:szCs w:val="18"/>
              </w:rPr>
              <w:t>affective</w:t>
            </w:r>
            <w:r>
              <w:rPr>
                <w:rFonts w:ascii="Palatino Linotype" w:hAnsi="Palatino Linotype" w:cstheme="minorHAnsi"/>
                <w:sz w:val="18"/>
                <w:szCs w:val="18"/>
              </w:rPr>
              <w:t xml:space="preserve"> </w:t>
            </w:r>
            <w:r w:rsidRPr="006509D3">
              <w:rPr>
                <w:rFonts w:ascii="Palatino Linotype" w:hAnsi="Palatino Linotype" w:cstheme="minorHAnsi"/>
                <w:sz w:val="18"/>
                <w:szCs w:val="18"/>
              </w:rPr>
              <w:t xml:space="preserve">disorders, </w:t>
            </w:r>
          </w:p>
          <w:p w14:paraId="172DD905" w14:textId="52FD8023" w:rsidR="0031439E" w:rsidRPr="00924ABD" w:rsidRDefault="0031439E" w:rsidP="0031439E">
            <w:pPr>
              <w:rPr>
                <w:rFonts w:ascii="Palatino Linotype" w:hAnsi="Palatino Linotype" w:cstheme="minorHAnsi"/>
                <w:sz w:val="18"/>
                <w:szCs w:val="18"/>
              </w:rPr>
            </w:pPr>
            <w:r w:rsidRPr="006509D3">
              <w:rPr>
                <w:rFonts w:ascii="Palatino Linotype" w:hAnsi="Palatino Linotype" w:cstheme="minorHAnsi"/>
                <w:sz w:val="18"/>
                <w:szCs w:val="18"/>
              </w:rPr>
              <w:t>another Axis I diagnosis, and no Axis I diagnosis</w:t>
            </w:r>
          </w:p>
        </w:tc>
        <w:tc>
          <w:tcPr>
            <w:tcW w:w="1260" w:type="dxa"/>
          </w:tcPr>
          <w:p w14:paraId="6229AB22" w14:textId="77777777"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Cohort 1: </w:t>
            </w:r>
          </w:p>
          <w:p w14:paraId="54EB41FF" w14:textId="7397312F"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ICD-10, Cohort 2: </w:t>
            </w:r>
            <w:r w:rsidRPr="006509D3">
              <w:rPr>
                <w:rFonts w:ascii="Palatino Linotype" w:hAnsi="Palatino Linotype" w:cstheme="minorHAnsi"/>
                <w:sz w:val="18"/>
                <w:szCs w:val="18"/>
              </w:rPr>
              <w:t>DSM-IV</w:t>
            </w:r>
          </w:p>
        </w:tc>
        <w:tc>
          <w:tcPr>
            <w:tcW w:w="1170" w:type="dxa"/>
          </w:tcPr>
          <w:p w14:paraId="604FC1C8" w14:textId="0A46BF41"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6EC9EFF1" w14:textId="5723D8BC"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5406EC08" w14:textId="153E8003" w:rsidR="0031439E" w:rsidRDefault="0031439E" w:rsidP="0031439E">
            <w:pPr>
              <w:rPr>
                <w:rFonts w:ascii="Palatino Linotype" w:hAnsi="Palatino Linotype" w:cstheme="minorHAnsi"/>
                <w:sz w:val="18"/>
                <w:szCs w:val="18"/>
              </w:rPr>
            </w:pPr>
            <w:r w:rsidRPr="000B6B52">
              <w:rPr>
                <w:rStyle w:val="st"/>
                <w:rFonts w:ascii="Palatino Linotype" w:hAnsi="Palatino Linotype"/>
                <w:sz w:val="18"/>
                <w:szCs w:val="18"/>
              </w:rPr>
              <w:t xml:space="preserve">Veracode Assay  </w:t>
            </w:r>
          </w:p>
        </w:tc>
        <w:tc>
          <w:tcPr>
            <w:tcW w:w="2507" w:type="dxa"/>
          </w:tcPr>
          <w:p w14:paraId="2899D5EF" w14:textId="19C1B32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Statistically significant associations between </w:t>
            </w:r>
            <w:r w:rsidRPr="00C45CBE">
              <w:rPr>
                <w:rFonts w:ascii="Palatino Linotype" w:hAnsi="Palatino Linotype" w:cstheme="minorHAnsi"/>
                <w:sz w:val="18"/>
                <w:szCs w:val="18"/>
              </w:rPr>
              <w:t xml:space="preserve">rs1345423 in </w:t>
            </w:r>
            <w:r w:rsidRPr="00265F30">
              <w:rPr>
                <w:rFonts w:ascii="Palatino Linotype" w:hAnsi="Palatino Linotype" w:cstheme="minorHAnsi"/>
                <w:i/>
                <w:iCs/>
                <w:sz w:val="18"/>
                <w:szCs w:val="18"/>
              </w:rPr>
              <w:t>GRIN2A</w:t>
            </w:r>
            <w:r w:rsidRPr="00C45CBE">
              <w:rPr>
                <w:rFonts w:ascii="Palatino Linotype" w:hAnsi="Palatino Linotype" w:cstheme="minorHAnsi"/>
                <w:sz w:val="18"/>
                <w:szCs w:val="18"/>
              </w:rPr>
              <w:t xml:space="preserve"> </w:t>
            </w:r>
            <w:r>
              <w:rPr>
                <w:rFonts w:ascii="Palatino Linotype" w:hAnsi="Palatino Linotype" w:cstheme="minorHAnsi"/>
                <w:sz w:val="18"/>
                <w:szCs w:val="18"/>
              </w:rPr>
              <w:t xml:space="preserve">and </w:t>
            </w:r>
            <w:r w:rsidRPr="00697CA3">
              <w:rPr>
                <w:rFonts w:ascii="Palatino Linotype" w:hAnsi="Palatino Linotype" w:cstheme="minorHAnsi"/>
                <w:sz w:val="18"/>
                <w:szCs w:val="18"/>
              </w:rPr>
              <w:t xml:space="preserve">all </w:t>
            </w:r>
            <w:r>
              <w:rPr>
                <w:rFonts w:ascii="Palatino Linotype" w:hAnsi="Palatino Linotype" w:cstheme="minorHAnsi"/>
                <w:sz w:val="18"/>
                <w:szCs w:val="18"/>
              </w:rPr>
              <w:t xml:space="preserve">TD </w:t>
            </w:r>
            <w:r w:rsidRPr="00697CA3">
              <w:rPr>
                <w:rFonts w:ascii="Palatino Linotype" w:hAnsi="Palatino Linotype" w:cstheme="minorHAnsi"/>
                <w:sz w:val="18"/>
                <w:szCs w:val="18"/>
              </w:rPr>
              <w:t>types</w:t>
            </w:r>
            <w:r>
              <w:rPr>
                <w:rFonts w:ascii="Palatino Linotype" w:hAnsi="Palatino Linotype" w:cstheme="minorHAnsi"/>
                <w:sz w:val="18"/>
                <w:szCs w:val="18"/>
              </w:rPr>
              <w:t>, including</w:t>
            </w:r>
            <w:r w:rsidRPr="00697CA3">
              <w:rPr>
                <w:rFonts w:ascii="Palatino Linotype" w:hAnsi="Palatino Linotype" w:cstheme="minorHAnsi"/>
                <w:sz w:val="18"/>
                <w:szCs w:val="18"/>
              </w:rPr>
              <w:t xml:space="preserve"> </w:t>
            </w:r>
            <w:proofErr w:type="spellStart"/>
            <w:r w:rsidRPr="00C45CBE">
              <w:rPr>
                <w:rFonts w:ascii="Palatino Linotype" w:hAnsi="Palatino Linotype" w:cstheme="minorHAnsi"/>
                <w:sz w:val="18"/>
                <w:szCs w:val="18"/>
              </w:rPr>
              <w:t>TDlt</w:t>
            </w:r>
            <w:proofErr w:type="spellEnd"/>
            <w:r>
              <w:rPr>
                <w:rFonts w:ascii="Palatino Linotype" w:hAnsi="Palatino Linotype" w:cstheme="minorHAnsi"/>
                <w:sz w:val="18"/>
                <w:szCs w:val="18"/>
              </w:rPr>
              <w:t xml:space="preserve">, </w:t>
            </w:r>
            <w:r w:rsidRPr="00C45CBE">
              <w:rPr>
                <w:rFonts w:ascii="Palatino Linotype" w:hAnsi="Palatino Linotype" w:cstheme="minorHAnsi"/>
                <w:sz w:val="18"/>
                <w:szCs w:val="18"/>
              </w:rPr>
              <w:t xml:space="preserve">in both </w:t>
            </w:r>
            <w:r>
              <w:rPr>
                <w:rFonts w:ascii="Palatino Linotype" w:hAnsi="Palatino Linotype" w:cstheme="minorHAnsi"/>
                <w:sz w:val="18"/>
                <w:szCs w:val="18"/>
              </w:rPr>
              <w:t>cohorts</w:t>
            </w:r>
          </w:p>
        </w:tc>
        <w:tc>
          <w:tcPr>
            <w:tcW w:w="2173" w:type="dxa"/>
          </w:tcPr>
          <w:p w14:paraId="5A80343B" w14:textId="692C3BF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{"citationItems":[{"id":"ITEM-1","itemData":{"DOI":"10.1177/2050312116643673","ISSN":"2050-3121","PMID":"27127627","abstract":"OBJECTIVES An established theory for the pathogenesis of tardive dyskinesia is disturbed dopaminergic receptor sensitivity and/or dopaminergic intracellular signaling. We examined associations between genetic variants of neurotransmitter receptors and tardive dyskinesia. METHODS We assessed tardive dyskinesia in Caucasian psychiatric inpatients from Siberia (N = 431) and a long-stay population from the Netherlands (N = 168). These patients were genotyped for 43 tag single nucleotide polymorphisms in five neurotransmitter receptor genes, and the results for the two populations were compared. RESULTS Several significant associations with tardive dyskinesia were identified, but only GRIN2A (rs1345423) was found in both patient populations. This lack of agreement was probably due to the small effect size of the associations, the multiple testing and the small sample size of the Dutch patient population. After reviewing the literature, we propose that the constitutive stimulatory activity of serotonergic type 2 receptors may be relevant. CONCLUSIONS Inactivity of the serotonergic, type 2C receptor or blockade of these receptors by atypical antipsychotic drugs may decrease the vulnerability to develop tardive dyskinesia.","author":[{"dropping-particle":"","family":"Ivanova","given":"Svetlana A","non-dropping-particle":"","parse-names":false,"suffix":""},{"dropping-particle":"","family":"Loonen","given":"Anton JM","non-dropping-particle":"","parse-names":false,"suffix":""},{"dropping-particle":"","family":"Bakker","given":"P Roberto","non-dropping-particle":"","parse-names":false,"suffix":""},{"dropping-particle":"","family":"Freidin","given":"Maxim B","non-dropping-particle":"","parse-names":false,"suffix":""},{"dropping-particle":"","family":"Woerds","given":"Nienke J","non-dropping-particle":"ter","parse-names":false,"suffix":""},{"dropping-particle":"","family":"Hadithy","given":"Asmar FY","non-dropping-particle":"Al","parse-names":false,"suffix":""},{"dropping-particle":"V","family":"Semke","given":"Arkadiy","non-dropping-particle":"","parse-names":false,"suffix":""},{"dropping-particle":"","family":"Fedorenko","given":"Olga Yu","non-dropping-particle":"","parse-names":false,"suffix":""},{"dropping-particle":"","family":"Brouwers","given":"Jacobus RBJ","non-dropping-particle":"","parse-names":false,"suffix":""},{"dropping-particle":"","family":"Bokhan","given":"Nikolay A","non-dropping-particle":"","parse-names":false,"suffix":""},{"dropping-particle":"","family":"Os","given":"Jim","non-dropping-particle":"van","parse-names":false,"suffix":""},{"dropping-particle":"","family":"Harten","given":"Peter N","non-dropping-particle":"van","parse-names":false,"suffix":""},{"dropping-particle":"","family":"Wilffert","given":"Bob","non-dropping-particle":"","parse-names":false,"suffix":""}],"container-title":"SAGE Open Medicine","id":"ITEM-1","issued":{"date-parts":[["2016","1","1"]]},"page":"205031211664367","publisher":"SAGE Open Med","title":"Likelihood of mechanistic roles for dopaminergic, serotonergic and glutamatergic receptors in tardive dyskinesia: A comparison of genetic variants in two independent patient populations","type":"article-journal","volume":"4"},"uris":["http://www.mendeley.com/documents/?uuid=26d7ff0c-738b-3fbe-abb1-ba1975096c17"]}],"mendeley":{"formattedCitation":"(Ivanova et al. 2016b)","plainTextFormattedCitation":"(Ivanova et al. 2016b)","previouslyFormattedCitation":"(Ivanova et al. 2016b)"},"properties":{"noteIndex":0},"schema":"https://github.com/citation-style-language/schema/raw/master/csl-citation.json"}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(Ivanova et al. 2016b)</w:t>
            </w:r>
            <w:r>
              <w:rPr>
                <w:rFonts w:ascii="Palatino Linotype" w:hAnsi="Palatino Linotype" w:cstheme="minorHAnsi"/>
                <w:sz w:val="18"/>
                <w:szCs w:val="18"/>
              </w:rPr>
              <w:fldChar w:fldCharType="end"/>
            </w:r>
          </w:p>
        </w:tc>
      </w:tr>
      <w:tr w:rsidR="0031439E" w:rsidRPr="00EA57B8" w14:paraId="55B15051" w14:textId="0360A8E8" w:rsidTr="0031439E">
        <w:tc>
          <w:tcPr>
            <w:tcW w:w="1094" w:type="dxa"/>
          </w:tcPr>
          <w:p w14:paraId="0605780B" w14:textId="0BA3B240"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DRD2</w:t>
            </w:r>
          </w:p>
        </w:tc>
        <w:tc>
          <w:tcPr>
            <w:tcW w:w="1080" w:type="dxa"/>
          </w:tcPr>
          <w:p w14:paraId="1ADAF3F2" w14:textId="21F9FEC5"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 xml:space="preserve">rs1799978, rs1799732, </w:t>
            </w:r>
            <w:r w:rsidRPr="006A1E5F">
              <w:rPr>
                <w:rStyle w:val="Emphasis"/>
                <w:rFonts w:ascii="Palatino Linotype" w:hAnsi="Palatino Linotype"/>
                <w:i w:val="0"/>
                <w:sz w:val="18"/>
                <w:szCs w:val="18"/>
              </w:rPr>
              <w:t>rs</w:t>
            </w:r>
            <w:r w:rsidRPr="006A1E5F">
              <w:rPr>
                <w:rStyle w:val="st"/>
                <w:rFonts w:ascii="Palatino Linotype" w:hAnsi="Palatino Linotype"/>
                <w:sz w:val="18"/>
                <w:szCs w:val="18"/>
              </w:rPr>
              <w:t xml:space="preserve">1079597, rs1800498, rs1801028, rs1800497, </w:t>
            </w:r>
            <w:r w:rsidRPr="006A1E5F">
              <w:rPr>
                <w:rStyle w:val="st"/>
                <w:rFonts w:ascii="Palatino Linotype" w:hAnsi="Palatino Linotype"/>
                <w:sz w:val="18"/>
                <w:szCs w:val="18"/>
              </w:rPr>
              <w:lastRenderedPageBreak/>
              <w:t xml:space="preserve">Val96Ala, </w:t>
            </w:r>
            <w:r>
              <w:rPr>
                <w:rStyle w:val="st"/>
                <w:rFonts w:ascii="Palatino Linotype" w:hAnsi="Palatino Linotype"/>
                <w:sz w:val="18"/>
                <w:szCs w:val="18"/>
              </w:rPr>
              <w:t>rs1800499</w:t>
            </w:r>
            <w:r w:rsidRPr="006A1E5F">
              <w:rPr>
                <w:rStyle w:val="st"/>
                <w:rFonts w:ascii="Palatino Linotype" w:hAnsi="Palatino Linotype"/>
                <w:sz w:val="18"/>
                <w:szCs w:val="18"/>
              </w:rPr>
              <w:t xml:space="preserve">, </w:t>
            </w:r>
            <w:r>
              <w:rPr>
                <w:rStyle w:val="st"/>
                <w:rFonts w:ascii="Palatino Linotype" w:hAnsi="Palatino Linotype"/>
                <w:sz w:val="18"/>
                <w:szCs w:val="18"/>
              </w:rPr>
              <w:t>rs1800496</w:t>
            </w:r>
          </w:p>
        </w:tc>
        <w:tc>
          <w:tcPr>
            <w:tcW w:w="1080" w:type="dxa"/>
          </w:tcPr>
          <w:p w14:paraId="5CCD5C5C" w14:textId="0EAF83E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lastRenderedPageBreak/>
              <w:t>665</w:t>
            </w:r>
          </w:p>
        </w:tc>
        <w:tc>
          <w:tcPr>
            <w:tcW w:w="1170" w:type="dxa"/>
          </w:tcPr>
          <w:p w14:paraId="4D5D2045" w14:textId="7E647242"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 (German)</w:t>
            </w:r>
          </w:p>
        </w:tc>
        <w:tc>
          <w:tcPr>
            <w:tcW w:w="1350" w:type="dxa"/>
          </w:tcPr>
          <w:p w14:paraId="08ABD1A9" w14:textId="6E804E67" w:rsidR="0031439E" w:rsidRPr="00924ABD" w:rsidRDefault="0031439E" w:rsidP="0031439E">
            <w:pPr>
              <w:rPr>
                <w:rFonts w:ascii="Palatino Linotype" w:hAnsi="Palatino Linotype" w:cstheme="minorHAnsi"/>
                <w:sz w:val="18"/>
                <w:szCs w:val="18"/>
              </w:rPr>
            </w:pPr>
            <w:proofErr w:type="spellStart"/>
            <w:r w:rsidRPr="006A1E5F">
              <w:rPr>
                <w:rFonts w:ascii="Palatino Linotype" w:hAnsi="Palatino Linotype" w:cstheme="minorHAnsi"/>
                <w:sz w:val="18"/>
                <w:szCs w:val="18"/>
              </w:rPr>
              <w:t>schizoparanoid</w:t>
            </w:r>
            <w:proofErr w:type="spellEnd"/>
            <w:r w:rsidRPr="006A1E5F">
              <w:rPr>
                <w:rFonts w:ascii="Palatino Linotype" w:hAnsi="Palatino Linotype" w:cstheme="minorHAnsi"/>
                <w:sz w:val="18"/>
                <w:szCs w:val="18"/>
              </w:rPr>
              <w:t>, schiz</w:t>
            </w:r>
            <w:r>
              <w:rPr>
                <w:rFonts w:ascii="Palatino Linotype" w:hAnsi="Palatino Linotype" w:cstheme="minorHAnsi"/>
                <w:sz w:val="18"/>
                <w:szCs w:val="18"/>
              </w:rPr>
              <w:t>o</w:t>
            </w:r>
            <w:r w:rsidRPr="006A1E5F">
              <w:rPr>
                <w:rFonts w:ascii="Palatino Linotype" w:hAnsi="Palatino Linotype" w:cstheme="minorHAnsi"/>
                <w:sz w:val="18"/>
                <w:szCs w:val="18"/>
              </w:rPr>
              <w:t>affective, residual,</w:t>
            </w:r>
            <w:r>
              <w:rPr>
                <w:rFonts w:ascii="Palatino Linotype" w:hAnsi="Palatino Linotype" w:cstheme="minorHAnsi"/>
                <w:sz w:val="18"/>
                <w:szCs w:val="18"/>
              </w:rPr>
              <w:t xml:space="preserve"> </w:t>
            </w:r>
            <w:r w:rsidRPr="006A1E5F">
              <w:rPr>
                <w:rFonts w:ascii="Palatino Linotype" w:hAnsi="Palatino Linotype" w:cstheme="minorHAnsi"/>
                <w:sz w:val="18"/>
                <w:szCs w:val="18"/>
              </w:rPr>
              <w:t>catatonic,</w:t>
            </w:r>
            <w:r>
              <w:rPr>
                <w:rFonts w:ascii="Palatino Linotype" w:hAnsi="Palatino Linotype" w:cstheme="minorHAnsi"/>
                <w:sz w:val="18"/>
                <w:szCs w:val="18"/>
              </w:rPr>
              <w:t xml:space="preserve"> </w:t>
            </w:r>
            <w:r w:rsidRPr="006A1E5F">
              <w:rPr>
                <w:rFonts w:ascii="Palatino Linotype" w:hAnsi="Palatino Linotype" w:cstheme="minorHAnsi"/>
                <w:sz w:val="18"/>
                <w:szCs w:val="18"/>
              </w:rPr>
              <w:t>disorganized,</w:t>
            </w:r>
            <w:r>
              <w:rPr>
                <w:rFonts w:ascii="Palatino Linotype" w:hAnsi="Palatino Linotype" w:cstheme="minorHAnsi"/>
                <w:sz w:val="18"/>
                <w:szCs w:val="18"/>
              </w:rPr>
              <w:t xml:space="preserve"> </w:t>
            </w:r>
            <w:r w:rsidRPr="006A1E5F">
              <w:rPr>
                <w:rFonts w:ascii="Palatino Linotype" w:hAnsi="Palatino Linotype" w:cstheme="minorHAnsi"/>
                <w:sz w:val="18"/>
                <w:szCs w:val="18"/>
              </w:rPr>
              <w:lastRenderedPageBreak/>
              <w:t>schizophrenic, undifferentiated and</w:t>
            </w:r>
            <w:r>
              <w:rPr>
                <w:rFonts w:ascii="Palatino Linotype" w:hAnsi="Palatino Linotype" w:cstheme="minorHAnsi"/>
                <w:sz w:val="18"/>
                <w:szCs w:val="18"/>
              </w:rPr>
              <w:t xml:space="preserve"> </w:t>
            </w:r>
            <w:r w:rsidRPr="006A1E5F">
              <w:rPr>
                <w:rFonts w:ascii="Palatino Linotype" w:hAnsi="Palatino Linotype" w:cstheme="minorHAnsi"/>
                <w:sz w:val="18"/>
                <w:szCs w:val="18"/>
              </w:rPr>
              <w:t>unclassified</w:t>
            </w:r>
          </w:p>
        </w:tc>
        <w:tc>
          <w:tcPr>
            <w:tcW w:w="1260" w:type="dxa"/>
          </w:tcPr>
          <w:p w14:paraId="4296E4A9" w14:textId="4B4CAC2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lastRenderedPageBreak/>
              <w:t>DSM-IV</w:t>
            </w:r>
          </w:p>
        </w:tc>
        <w:tc>
          <w:tcPr>
            <w:tcW w:w="1170" w:type="dxa"/>
          </w:tcPr>
          <w:p w14:paraId="31CEFDF0" w14:textId="5774E27A"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6CF0B228" w14:textId="3A2156C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68EF9DCB" w14:textId="2C0A34A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Sequencing </w:t>
            </w:r>
          </w:p>
        </w:tc>
        <w:tc>
          <w:tcPr>
            <w:tcW w:w="2507" w:type="dxa"/>
          </w:tcPr>
          <w:p w14:paraId="4B8558ED" w14:textId="1E92E54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2E3C8E38" w14:textId="06173EDC"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{"citationItems":[{"id":"ITEM-1","itemData":{"DOI":"10.1038/sj.mp.4001054","ISSN":"1359-4184","PMID":"12192613","abstract":"Extrapyramidal adverse symptoms (EPS) represent a major type of adverse events in treatment with typical antipsychotic drugs which share high affinity to the dopamine D(2) receptor (DRD2). Genetic variants of this receptor may modulate the therapeutic response and the severity of adverse symptoms of antipsychotics. We analyzed nine known polymorphisms of the DRD2 in 665 schizophrenic patients with European Caucasian ethnic background and compared the intensity of acute dystonia, extrapyramidal symptoms, akathisia, and tardive dyskinesia between carriers of different DRD2 genotypes. In a subgroup of 40 patients with most severe extrapyramidal symptoms we sequenced the coding region including the exon-intron junctions of the DRD2 gene. Functionally relevant DRD2 amino acid variants (Ser(310), Cys(311)) were rare or were not found at all (Ala(96)). Complete sequence analysis of sufferers from the most severe adverse effects revealed two new intronic polymorphisms and a silent polymorphism in exon 7, but no new amino acid variants beyond those which are already known. We found no significant association between these polymorphisms and the intensity of the different types of adverse neurologic effects of the antipsychotics. These results were obtained by correlating adverse events with each of the nine single nucleotide polymorphisms and by correlation with the estimated haplotypes. In conclusion, genetic variations in the DRD2 gene were no major predictors of the individually variable adverse effects from antipsychotic treatment in Caucasian schizophrenic patients.","author":[{"dropping-particle":"","family":"Kaiser","given":"R","non-dropping-particle":"","parse-names":false,"suffix":""},{"dropping-particle":"","family":"Tremblay","given":"P-B","non-dropping-particle":"","parse-names":false,"suffix":""},{"dropping-particle":"","family":"Klufmöller","given":"F","non-dropping-particle":"","parse-names":false,"suffix":""},{"dropping-particle":"","family":"Roots","given":"I","non-dropping-particle":"","parse-names":false,"suffix":""},{"dropping-particle":"","family":"Brockmöller","given":"J","non-dropping-particle":"","parse-names":false,"suffix":""}],"container-title":"Molecular psychiatry","id":"ITEM-1","issue":"7","issued":{"date-parts":[["2002","8","23"]]},"page":"695-705","title":"Relationship between adverse effects of antipsychotic treatment and dopamine D(2) receptor polymorphisms in patients with schizophrenia.","type":"article-journal","volume":"7"},"uris":["http://www.mendeley.com/documents/?uuid=5d2d977a-13d1-3263-be59-e33e45d7d5fe"]}],"mendeley":{"formattedCitation":"(Kaiser et al. 2002)","plainTextFormattedCitation":"(Kaiser et al. 2002)","previouslyFormattedCitation":"(Kaiser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(Kaiser et al. 2002)</w:t>
            </w:r>
            <w:r w:rsidRPr="006A1E5F">
              <w:rPr>
                <w:rFonts w:ascii="Palatino Linotype" w:hAnsi="Palatino Linotype" w:cstheme="minorHAnsi"/>
                <w:sz w:val="18"/>
                <w:szCs w:val="18"/>
              </w:rPr>
              <w:fldChar w:fldCharType="end"/>
            </w:r>
          </w:p>
        </w:tc>
      </w:tr>
      <w:tr w:rsidR="0031439E" w:rsidRPr="00EA57B8" w14:paraId="0D901034" w14:textId="6428CE30" w:rsidTr="0031439E">
        <w:tc>
          <w:tcPr>
            <w:tcW w:w="1094" w:type="dxa"/>
          </w:tcPr>
          <w:p w14:paraId="09F23084" w14:textId="434B77A0"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HTR3A</w:t>
            </w:r>
          </w:p>
        </w:tc>
        <w:tc>
          <w:tcPr>
            <w:tcW w:w="1080" w:type="dxa"/>
          </w:tcPr>
          <w:p w14:paraId="2B3BEA15" w14:textId="413919D4"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rs1062613</w:t>
            </w:r>
          </w:p>
        </w:tc>
        <w:tc>
          <w:tcPr>
            <w:tcW w:w="1080" w:type="dxa"/>
          </w:tcPr>
          <w:p w14:paraId="348FEEF6" w14:textId="46A0B8A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280 (</w:t>
            </w:r>
            <w:r w:rsidRPr="00B94333">
              <w:rPr>
                <w:rFonts w:ascii="Palatino Linotype" w:hAnsi="Palatino Linotype" w:cstheme="minorHAnsi"/>
                <w:sz w:val="18"/>
                <w:szCs w:val="18"/>
              </w:rPr>
              <w:t>105</w:t>
            </w:r>
            <w:r>
              <w:rPr>
                <w:rFonts w:ascii="Palatino Linotype" w:hAnsi="Palatino Linotype" w:cstheme="minorHAnsi"/>
                <w:sz w:val="18"/>
                <w:szCs w:val="18"/>
              </w:rPr>
              <w:t xml:space="preserve"> with</w:t>
            </w:r>
            <w:r w:rsidRPr="00B94333">
              <w:rPr>
                <w:rFonts w:ascii="Palatino Linotype" w:hAnsi="Palatino Linotype" w:cstheme="minorHAnsi"/>
                <w:sz w:val="18"/>
                <w:szCs w:val="18"/>
              </w:rPr>
              <w:t xml:space="preserve"> TD</w:t>
            </w:r>
            <w:r>
              <w:rPr>
                <w:rFonts w:ascii="Palatino Linotype" w:hAnsi="Palatino Linotype" w:cstheme="minorHAnsi"/>
                <w:sz w:val="18"/>
                <w:szCs w:val="18"/>
              </w:rPr>
              <w:t>)</w:t>
            </w:r>
          </w:p>
        </w:tc>
        <w:tc>
          <w:tcPr>
            <w:tcW w:w="1170" w:type="dxa"/>
          </w:tcPr>
          <w:p w14:paraId="10CF2A36" w14:textId="1ED8A1F5" w:rsidR="0031439E" w:rsidRDefault="0031439E" w:rsidP="0031439E">
            <w:pPr>
              <w:rPr>
                <w:rFonts w:ascii="Palatino Linotype" w:hAnsi="Palatino Linotype"/>
                <w:sz w:val="18"/>
                <w:szCs w:val="18"/>
              </w:rPr>
            </w:pPr>
            <w:r>
              <w:rPr>
                <w:rFonts w:ascii="Palatino Linotype" w:hAnsi="Palatino Linotype" w:cstheme="minorHAnsi"/>
                <w:sz w:val="18"/>
                <w:szCs w:val="18"/>
              </w:rPr>
              <w:t xml:space="preserve">Korean </w:t>
            </w:r>
          </w:p>
        </w:tc>
        <w:tc>
          <w:tcPr>
            <w:tcW w:w="1350" w:type="dxa"/>
          </w:tcPr>
          <w:p w14:paraId="76932119" w14:textId="77C9EBD3"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0569A0DD" w14:textId="1868E3DB"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DSM</w:t>
            </w:r>
          </w:p>
        </w:tc>
        <w:tc>
          <w:tcPr>
            <w:tcW w:w="1170" w:type="dxa"/>
          </w:tcPr>
          <w:p w14:paraId="404CFD9A" w14:textId="0AFA191C"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64A9C314" w14:textId="37A204C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5FADB0B4" w14:textId="5D9D928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HRM</w:t>
            </w:r>
          </w:p>
        </w:tc>
        <w:tc>
          <w:tcPr>
            <w:tcW w:w="2507" w:type="dxa"/>
          </w:tcPr>
          <w:p w14:paraId="2560CC73" w14:textId="010ABE7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0C7AEB18" w14:textId="27023293"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{"citationItems":[{"id":"ITEM-1","itemData":{"DOI":"10.3109/08039488.2012.732114","ISSN":"1502-4725","PMID":"23126479","abstract":"BACKGROUND Tardive dyskinesia (TD) is a potential adverse effect of long-term treatment with antipsychotics. Previous studies have suggested a link between brain serotonergic systems and TD vulnerability. A recent report described that a serotonin 3 receptor (5-HTR3) agonist induced rhythmic movements in mice with complete paraplegia. Furthermore, it has been reported that the 5-HTR3 antagonist ondansetron is efficacious in the treatment of Gilles de la Tourette syndrome (GTS). AIM The aim of the present study was to determine whether the 5-HTR3A gene C178T polymorphism is associated with antipsychotic-induced TD in Korean schizophrenia patients. METHODS We investigated 280 Korean schizophrenia patients. Subjects with TD (n = 105) and without TD (n = 175) were matched for antipsychotic drug exposure and other relevant variables. RESULTS The distributions of genotypic (chi-squared = 3.55, p = 0.169) and allelic (chi-squared = 0.40, p = 0.528) frequencies did not differ between patients with and without TD. The total score on the Abnormal Involuntary Movement Scale also did not differ between the two genotype groups (F = 0.94, p = 0.391). CONCLUSIONS The findings of the present study do not support the involvement of the 5-HTR3A gene C178T polymorphism in TD in Korean schizophrenia subjects.","author":[{"dropping-particle":"","family":"Kang","given":"Seung-Gul","non-dropping-particle":"","parse-names":false,"suffix":""},{"dropping-particle":"","family":"Lee","given":"Heon-Jeong","non-dropping-particle":"","parse-names":false,"suffix":""},{"dropping-particle":"","family":"Yoon","given":"Ho-Kyoung","non-dropping-particle":"","parse-names":false,"suffix":""},{"dropping-particle":"","family":"Cho","given":"Sung Nam","non-dropping-particle":"","parse-names":false,"suffix":""},{"dropping-particle":"","family":"Park","given":"Young-Min","non-dropping-particle":"","parse-names":false,"suffix":""},{"dropping-particle":"","family":"Kim","given":"Leen","non-dropping-particle":"","parse-names":false,"suffix":""}],"container-title":"Nordic journal of psychiatry","id":"ITEM-1","issue":"3","issued":{"date-parts":[["2013","6"]]},"page":"214-8","publisher":"Nord J Psychiatry","title":"There is no evidence for an association between the serotonin receptor 3A gene C178T polymorphism and tardive dyskinesia in Korean schizophrenia patients.","type":"article-journal","volume":"67"},"uris":["http://www.mendeley.com/documents/?uuid=aa7ad98a-2aa5-39ca-ac7a-c874feeb47e6"]}],"mendeley":{"formattedCitation":"(Kang et al. 2013)","plainTextFormattedCitation":"(Kang et al. 2013)","previouslyFormattedCitation":"(Kang et al. 2013)"},"properties":{"noteIndex":0},"schema":"https://github.com/citation-style-language/schema/raw/master/csl-citation.json"}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(Kang et al. 2013)</w:t>
            </w:r>
            <w:r>
              <w:rPr>
                <w:rFonts w:ascii="Palatino Linotype" w:hAnsi="Palatino Linotype" w:cstheme="minorHAnsi"/>
                <w:b/>
                <w:sz w:val="18"/>
                <w:szCs w:val="18"/>
              </w:rPr>
              <w:fldChar w:fldCharType="end"/>
            </w:r>
          </w:p>
        </w:tc>
      </w:tr>
      <w:tr w:rsidR="0031439E" w:rsidRPr="00EA57B8" w14:paraId="6A5721B0" w14:textId="6299C185" w:rsidTr="0031439E">
        <w:tc>
          <w:tcPr>
            <w:tcW w:w="1094" w:type="dxa"/>
          </w:tcPr>
          <w:p w14:paraId="5D3B9EA1" w14:textId="3293DA24"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PAWR</w:t>
            </w:r>
          </w:p>
        </w:tc>
        <w:tc>
          <w:tcPr>
            <w:tcW w:w="1080" w:type="dxa"/>
          </w:tcPr>
          <w:p w14:paraId="5341729C" w14:textId="6D246A52" w:rsidR="0031439E" w:rsidRPr="00924ABD" w:rsidRDefault="0031439E" w:rsidP="0031439E">
            <w:pPr>
              <w:rPr>
                <w:rFonts w:ascii="Palatino Linotype" w:hAnsi="Palatino Linotype" w:cstheme="minorHAnsi"/>
                <w:sz w:val="18"/>
                <w:szCs w:val="18"/>
              </w:rPr>
            </w:pPr>
            <w:r>
              <w:rPr>
                <w:rStyle w:val="st"/>
                <w:rFonts w:ascii="Palatino Linotype" w:hAnsi="Palatino Linotype"/>
                <w:sz w:val="18"/>
                <w:szCs w:val="18"/>
              </w:rPr>
              <w:t>r</w:t>
            </w:r>
            <w:r w:rsidRPr="00844A89">
              <w:rPr>
                <w:rStyle w:val="st"/>
                <w:rFonts w:ascii="Palatino Linotype" w:hAnsi="Palatino Linotype"/>
                <w:sz w:val="18"/>
                <w:szCs w:val="18"/>
              </w:rPr>
              <w:t>s7979987, rs4842318,</w:t>
            </w:r>
            <w:r>
              <w:rPr>
                <w:rStyle w:val="st"/>
                <w:rFonts w:ascii="Palatino Linotype" w:hAnsi="Palatino Linotype"/>
                <w:sz w:val="18"/>
                <w:szCs w:val="18"/>
              </w:rPr>
              <w:t xml:space="preserve"> </w:t>
            </w:r>
            <w:r w:rsidRPr="00844A89">
              <w:rPr>
                <w:rStyle w:val="st"/>
                <w:rFonts w:ascii="Palatino Linotype" w:hAnsi="Palatino Linotype"/>
                <w:sz w:val="18"/>
                <w:szCs w:val="18"/>
              </w:rPr>
              <w:t>rs17005769</w:t>
            </w:r>
          </w:p>
        </w:tc>
        <w:tc>
          <w:tcPr>
            <w:tcW w:w="1080" w:type="dxa"/>
          </w:tcPr>
          <w:p w14:paraId="10D6A8A3" w14:textId="290FC46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280 </w:t>
            </w:r>
            <w:r w:rsidRPr="00245F32">
              <w:rPr>
                <w:rFonts w:ascii="Palatino Linotype" w:hAnsi="Palatino Linotype" w:cstheme="minorHAnsi"/>
                <w:sz w:val="18"/>
                <w:szCs w:val="18"/>
              </w:rPr>
              <w:t xml:space="preserve">(105 </w:t>
            </w:r>
            <w:r>
              <w:rPr>
                <w:rFonts w:ascii="Palatino Linotype" w:hAnsi="Palatino Linotype" w:cstheme="minorHAnsi"/>
                <w:sz w:val="18"/>
                <w:szCs w:val="18"/>
              </w:rPr>
              <w:t xml:space="preserve">with </w:t>
            </w:r>
            <w:r w:rsidRPr="00245F32">
              <w:rPr>
                <w:rFonts w:ascii="Palatino Linotype" w:hAnsi="Palatino Linotype" w:cstheme="minorHAnsi"/>
                <w:sz w:val="18"/>
                <w:szCs w:val="18"/>
              </w:rPr>
              <w:t>TD)</w:t>
            </w:r>
          </w:p>
        </w:tc>
        <w:tc>
          <w:tcPr>
            <w:tcW w:w="1170" w:type="dxa"/>
          </w:tcPr>
          <w:p w14:paraId="16102027" w14:textId="5CEF4E28" w:rsidR="0031439E" w:rsidRDefault="0031439E" w:rsidP="0031439E">
            <w:pPr>
              <w:rPr>
                <w:rFonts w:ascii="Palatino Linotype" w:hAnsi="Palatino Linotype"/>
                <w:sz w:val="18"/>
                <w:szCs w:val="18"/>
              </w:rPr>
            </w:pPr>
            <w:r>
              <w:rPr>
                <w:rFonts w:ascii="Palatino Linotype" w:hAnsi="Palatino Linotype" w:cstheme="minorHAnsi"/>
                <w:sz w:val="18"/>
                <w:szCs w:val="18"/>
              </w:rPr>
              <w:t xml:space="preserve">Korean </w:t>
            </w:r>
          </w:p>
        </w:tc>
        <w:tc>
          <w:tcPr>
            <w:tcW w:w="1350" w:type="dxa"/>
          </w:tcPr>
          <w:p w14:paraId="03AE2EB8" w14:textId="63963616" w:rsidR="0031439E" w:rsidRPr="00924ABD" w:rsidRDefault="0031439E" w:rsidP="0031439E">
            <w:pPr>
              <w:rPr>
                <w:rFonts w:ascii="Palatino Linotype" w:hAnsi="Palatino Linotype" w:cstheme="minorHAnsi"/>
                <w:sz w:val="18"/>
                <w:szCs w:val="18"/>
              </w:rPr>
            </w:pPr>
            <w:r w:rsidRPr="00B678EB">
              <w:rPr>
                <w:rFonts w:ascii="Palatino Linotype" w:hAnsi="Palatino Linotype" w:cstheme="minorHAnsi"/>
                <w:sz w:val="18"/>
                <w:szCs w:val="18"/>
              </w:rPr>
              <w:t>Schizophrenia</w:t>
            </w:r>
          </w:p>
        </w:tc>
        <w:tc>
          <w:tcPr>
            <w:tcW w:w="1260" w:type="dxa"/>
          </w:tcPr>
          <w:p w14:paraId="4C43054F" w14:textId="14A5D6DE" w:rsidR="0031439E" w:rsidRPr="006A1E5F" w:rsidRDefault="0031439E" w:rsidP="0031439E">
            <w:pPr>
              <w:rPr>
                <w:rFonts w:ascii="Palatino Linotype" w:hAnsi="Palatino Linotype" w:cstheme="minorHAnsi"/>
                <w:sz w:val="18"/>
                <w:szCs w:val="18"/>
              </w:rPr>
            </w:pPr>
            <w:r w:rsidRPr="006D7D14">
              <w:rPr>
                <w:rFonts w:ascii="Palatino Linotype" w:hAnsi="Palatino Linotype" w:cstheme="minorHAnsi"/>
                <w:sz w:val="18"/>
                <w:szCs w:val="18"/>
              </w:rPr>
              <w:t>DSM-IV</w:t>
            </w:r>
          </w:p>
        </w:tc>
        <w:tc>
          <w:tcPr>
            <w:tcW w:w="1170" w:type="dxa"/>
          </w:tcPr>
          <w:p w14:paraId="422F97F1" w14:textId="3930B334" w:rsidR="0031439E" w:rsidRPr="003E2E63" w:rsidRDefault="0031439E" w:rsidP="0031439E">
            <w:pPr>
              <w:rPr>
                <w:rFonts w:ascii="Palatino Linotype" w:hAnsi="Palatino Linotype" w:cstheme="minorHAnsi"/>
                <w:sz w:val="18"/>
                <w:szCs w:val="18"/>
              </w:rPr>
            </w:pPr>
            <w:r w:rsidRPr="006D7D14">
              <w:rPr>
                <w:rFonts w:ascii="Palatino Linotype" w:hAnsi="Palatino Linotype" w:cstheme="minorHAnsi"/>
                <w:sz w:val="18"/>
                <w:szCs w:val="18"/>
              </w:rPr>
              <w:t>RDC-TD</w:t>
            </w:r>
          </w:p>
        </w:tc>
        <w:tc>
          <w:tcPr>
            <w:tcW w:w="1170" w:type="dxa"/>
          </w:tcPr>
          <w:p w14:paraId="36E4D623" w14:textId="1C57A05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03F7D18A" w14:textId="68AF0A43" w:rsidR="0031439E" w:rsidRDefault="0031439E" w:rsidP="0031439E">
            <w:pPr>
              <w:rPr>
                <w:rFonts w:ascii="Palatino Linotype" w:hAnsi="Palatino Linotype" w:cstheme="minorHAnsi"/>
                <w:sz w:val="18"/>
                <w:szCs w:val="18"/>
              </w:rPr>
            </w:pPr>
            <w:r w:rsidRPr="0053414C">
              <w:rPr>
                <w:rFonts w:ascii="Palatino Linotype" w:hAnsi="Palatino Linotype" w:cstheme="minorHAnsi"/>
                <w:sz w:val="18"/>
                <w:szCs w:val="18"/>
              </w:rPr>
              <w:t>HRM</w:t>
            </w:r>
          </w:p>
        </w:tc>
        <w:tc>
          <w:tcPr>
            <w:tcW w:w="2507" w:type="dxa"/>
          </w:tcPr>
          <w:p w14:paraId="552E3FEC" w14:textId="1E29925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3FA2084C" w14:textId="6D70C169"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{"citationItems":[{"id":"ITEM-1","itemData":{"DOI":"10.4306/pi.2012.9.2.191","ISSN":"1976-3026","PMID":"22707972","abstract":"Tardive dyskinesia (TD) is a hyperkinetic movement disorder associated with the prolonged use of antipsychotic drugs. Since prostate apoptosis response 4 (Par-4) is a key ligand of the dopamine D2 receptor, the Par-4 gene (PAWR) is a good candidate gene to study in the context of TD susceptibility. We examined the association between PAWR gene polymorphisms and TD. Three single nucleotide polymorphisms of PAWR were selected for the analysis: rs7979987, rs4842318, and rs17005769. Two hundred and eighty unrelated Korean schizophrenic patients participated in this study (105 TD and 175 non-TD patients). Genotype/allele-wise and haplotype-wise analyses were performed. There were no significant differences in genotype and allele frequencies between the two groups. Haplotype analysis also did not reveal a difference between the two groups. Within the limitations imposed by the size of the clinical sample, these findings suggest that PAWR gene variants do not significantly contribute to an increased risk of TD.","author":[{"dropping-particle":"","family":"Kim","given":"Il-Soo","non-dropping-particle":"","parse-names":false,"suffix":""},{"dropping-particle":"","family":"Yoon","given":"Ho-Kyoung","non-dropping-particle":"","parse-names":false,"suffix":""},{"dropping-particle":"","family":"Kang","given":"Seung-Gul","non-dropping-particle":"","parse-names":false,"suffix":""},{"dropping-particle":"","family":"Park","given":"Young-Min","non-dropping-particle":"","parse-names":false,"suffix":""},{"dropping-particle":"","family":"Kim","given":"Yong-Ku","non-dropping-particle":"","parse-names":false,"suffix":""},{"dropping-particle":"","family":"Kim","given":"Seung-Hyun","non-dropping-particle":"","parse-names":false,"suffix":""},{"dropping-particle":"","family":"Choi","given":"Jung-Eun","non-dropping-particle":"","parse-names":false,"suffix":""},{"dropping-particle":"","family":"Kim","given":"Leen","non-dropping-particle":"","parse-names":false,"suffix":""},{"dropping-particle":"","family":"Lee","given":"Heon-Jeong","non-dropping-particle":"","parse-names":false,"suffix":""}],"container-title":"Psychiatry investigation","id":"ITEM-1","issue":"2","issued":{"date-parts":[["2012","6"]]},"page":"191-4","publisher":"Psychiatry Investig","title":"No association between PAWR gene polymorphisms and tardive dyskinesia in schizophrenia patients.","type":"article-journal","volume":"9"},"uris":["http://www.mendeley.com/documents/?uuid=d6658ab6-2286-347e-8938-5527a1c34bf6"]}],"mendeley":{"formattedCitation":"(Kim et al. 2012)","plainTextFormattedCitation":"(Kim et al. 2012)","previouslyFormattedCitation":"(Kim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(Kim et al. 2012)</w:t>
            </w:r>
            <w:r>
              <w:rPr>
                <w:rFonts w:ascii="Palatino Linotype" w:hAnsi="Palatino Linotype" w:cstheme="minorHAnsi"/>
                <w:sz w:val="18"/>
                <w:szCs w:val="18"/>
              </w:rPr>
              <w:fldChar w:fldCharType="end"/>
            </w:r>
          </w:p>
        </w:tc>
      </w:tr>
      <w:tr w:rsidR="0031439E" w:rsidRPr="00EA57B8" w14:paraId="5548AEA0" w14:textId="4625248D" w:rsidTr="0031439E">
        <w:tc>
          <w:tcPr>
            <w:tcW w:w="1094" w:type="dxa"/>
          </w:tcPr>
          <w:p w14:paraId="41A53CE8" w14:textId="775FDF47" w:rsidR="0031439E" w:rsidRPr="000F3F98" w:rsidRDefault="0031439E" w:rsidP="0031439E">
            <w:pPr>
              <w:rPr>
                <w:rFonts w:ascii="Palatino Linotype" w:hAnsi="Palatino Linotype" w:cstheme="minorHAnsi"/>
                <w:i/>
                <w:iCs/>
                <w:sz w:val="18"/>
                <w:szCs w:val="18"/>
              </w:rPr>
            </w:pPr>
            <w:proofErr w:type="spellStart"/>
            <w:r w:rsidRPr="000F3F98">
              <w:rPr>
                <w:rFonts w:ascii="Palatino Linotype" w:hAnsi="Palatino Linotype" w:cstheme="minorHAnsi"/>
                <w:i/>
                <w:iCs/>
                <w:sz w:val="18"/>
                <w:szCs w:val="18"/>
              </w:rPr>
              <w:t>ApoE</w:t>
            </w:r>
            <w:proofErr w:type="spellEnd"/>
          </w:p>
        </w:tc>
        <w:tc>
          <w:tcPr>
            <w:tcW w:w="1080" w:type="dxa"/>
          </w:tcPr>
          <w:p w14:paraId="7B1E5BBB" w14:textId="34058B59" w:rsidR="0031439E" w:rsidRPr="00924ABD" w:rsidRDefault="0031439E" w:rsidP="0031439E">
            <w:pPr>
              <w:rPr>
                <w:rFonts w:ascii="Palatino Linotype" w:hAnsi="Palatino Linotype" w:cstheme="minorHAnsi"/>
                <w:sz w:val="18"/>
                <w:szCs w:val="18"/>
              </w:rPr>
            </w:pPr>
            <w:proofErr w:type="spellStart"/>
            <w:r>
              <w:rPr>
                <w:rFonts w:ascii="Palatino Linotype" w:hAnsi="Palatino Linotype" w:cstheme="minorHAnsi"/>
                <w:sz w:val="18"/>
                <w:szCs w:val="18"/>
              </w:rPr>
              <w:t>ApoE</w:t>
            </w:r>
            <w:proofErr w:type="spellEnd"/>
            <w:r>
              <w:rPr>
                <w:rFonts w:ascii="Palatino Linotype" w:hAnsi="Palatino Linotype" w:cstheme="minorHAnsi"/>
                <w:sz w:val="18"/>
                <w:szCs w:val="18"/>
              </w:rPr>
              <w:t xml:space="preserve"> </w:t>
            </w:r>
            <w:r>
              <w:rPr>
                <w:rFonts w:ascii="Palatino Linotype" w:hAnsi="Palatino Linotype" w:cstheme="minorHAnsi"/>
                <w:sz w:val="18"/>
                <w:szCs w:val="18"/>
                <w:lang w:val="el-GR"/>
              </w:rPr>
              <w:t>ε</w:t>
            </w:r>
            <w:r w:rsidRPr="00343405">
              <w:rPr>
                <w:rFonts w:ascii="Palatino Linotype" w:hAnsi="Palatino Linotype" w:cstheme="minorHAnsi"/>
                <w:sz w:val="18"/>
                <w:szCs w:val="18"/>
              </w:rPr>
              <w:t>2,</w:t>
            </w:r>
            <w:r w:rsidRPr="007C191C">
              <w:rPr>
                <w:rFonts w:ascii="Palatino Linotype" w:hAnsi="Palatino Linotype" w:cstheme="minorHAnsi"/>
                <w:sz w:val="18"/>
                <w:szCs w:val="18"/>
              </w:rPr>
              <w:t xml:space="preserve"> </w:t>
            </w:r>
            <w:r>
              <w:rPr>
                <w:rFonts w:ascii="Palatino Linotype" w:hAnsi="Palatino Linotype" w:cstheme="minorHAnsi"/>
                <w:sz w:val="18"/>
                <w:szCs w:val="18"/>
                <w:lang w:val="el-GR"/>
              </w:rPr>
              <w:t>ε</w:t>
            </w:r>
            <w:r w:rsidRPr="00343405">
              <w:rPr>
                <w:rFonts w:ascii="Palatino Linotype" w:hAnsi="Palatino Linotype" w:cstheme="minorHAnsi"/>
                <w:sz w:val="18"/>
                <w:szCs w:val="18"/>
              </w:rPr>
              <w:t>3,</w:t>
            </w:r>
            <w:r w:rsidRPr="007C191C">
              <w:rPr>
                <w:rFonts w:ascii="Palatino Linotype" w:hAnsi="Palatino Linotype" w:cstheme="minorHAnsi"/>
                <w:sz w:val="18"/>
                <w:szCs w:val="18"/>
              </w:rPr>
              <w:t xml:space="preserve"> </w:t>
            </w:r>
            <w:r w:rsidRPr="00343405">
              <w:rPr>
                <w:rFonts w:ascii="Palatino Linotype" w:hAnsi="Palatino Linotype" w:cstheme="minorHAnsi"/>
                <w:sz w:val="18"/>
                <w:szCs w:val="18"/>
              </w:rPr>
              <w:t>and</w:t>
            </w:r>
            <w:r w:rsidRPr="007C191C">
              <w:rPr>
                <w:rFonts w:ascii="Palatino Linotype" w:hAnsi="Palatino Linotype" w:cstheme="minorHAnsi"/>
                <w:sz w:val="18"/>
                <w:szCs w:val="18"/>
              </w:rPr>
              <w:t xml:space="preserve"> </w:t>
            </w:r>
            <w:r>
              <w:rPr>
                <w:rFonts w:ascii="Palatino Linotype" w:hAnsi="Palatino Linotype" w:cstheme="minorHAnsi"/>
                <w:sz w:val="18"/>
                <w:szCs w:val="18"/>
                <w:lang w:val="el-GR"/>
              </w:rPr>
              <w:t>ε</w:t>
            </w:r>
            <w:r w:rsidRPr="00343405">
              <w:rPr>
                <w:rFonts w:ascii="Palatino Linotype" w:hAnsi="Palatino Linotype" w:cstheme="minorHAnsi"/>
                <w:sz w:val="18"/>
                <w:szCs w:val="18"/>
              </w:rPr>
              <w:t>4</w:t>
            </w:r>
          </w:p>
        </w:tc>
        <w:tc>
          <w:tcPr>
            <w:tcW w:w="1080" w:type="dxa"/>
          </w:tcPr>
          <w:p w14:paraId="56B211C3" w14:textId="53BFA62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333</w:t>
            </w:r>
            <w:r w:rsidRPr="00B76420">
              <w:rPr>
                <w:rFonts w:ascii="Palatino Linotype" w:hAnsi="Palatino Linotype" w:cstheme="minorHAnsi"/>
                <w:sz w:val="18"/>
                <w:szCs w:val="18"/>
              </w:rPr>
              <w:t xml:space="preserve"> (62 </w:t>
            </w:r>
            <w:r>
              <w:rPr>
                <w:rFonts w:ascii="Palatino Linotype" w:hAnsi="Palatino Linotype" w:cstheme="minorHAnsi"/>
                <w:sz w:val="18"/>
                <w:szCs w:val="18"/>
              </w:rPr>
              <w:t xml:space="preserve">with TD) and </w:t>
            </w:r>
            <w:r w:rsidRPr="00E37F39">
              <w:rPr>
                <w:rFonts w:ascii="Palatino Linotype" w:hAnsi="Palatino Linotype" w:cstheme="minorHAnsi"/>
                <w:sz w:val="18"/>
                <w:szCs w:val="18"/>
              </w:rPr>
              <w:t>191 controls</w:t>
            </w:r>
          </w:p>
        </w:tc>
        <w:tc>
          <w:tcPr>
            <w:tcW w:w="1170" w:type="dxa"/>
          </w:tcPr>
          <w:p w14:paraId="0860575C" w14:textId="7A570C2C" w:rsidR="0031439E" w:rsidRDefault="0031439E" w:rsidP="0031439E">
            <w:pPr>
              <w:rPr>
                <w:rFonts w:ascii="Palatino Linotype" w:hAnsi="Palatino Linotype"/>
                <w:sz w:val="18"/>
                <w:szCs w:val="18"/>
              </w:rPr>
            </w:pPr>
            <w:r>
              <w:rPr>
                <w:rFonts w:ascii="Palatino Linotype" w:hAnsi="Palatino Linotype" w:cstheme="minorHAnsi"/>
                <w:sz w:val="18"/>
                <w:szCs w:val="18"/>
              </w:rPr>
              <w:t xml:space="preserve">Japanese </w:t>
            </w:r>
          </w:p>
        </w:tc>
        <w:tc>
          <w:tcPr>
            <w:tcW w:w="1350" w:type="dxa"/>
          </w:tcPr>
          <w:p w14:paraId="73041F03" w14:textId="787AEF8A" w:rsidR="0031439E" w:rsidRPr="00924ABD" w:rsidRDefault="0031439E" w:rsidP="0031439E">
            <w:pPr>
              <w:rPr>
                <w:rFonts w:ascii="Palatino Linotype" w:hAnsi="Palatino Linotype" w:cstheme="minorHAnsi"/>
                <w:sz w:val="18"/>
                <w:szCs w:val="18"/>
              </w:rPr>
            </w:pPr>
            <w:r w:rsidRPr="00E37F39">
              <w:rPr>
                <w:rFonts w:ascii="Palatino Linotype" w:hAnsi="Palatino Linotype" w:cstheme="minorHAnsi"/>
                <w:sz w:val="18"/>
                <w:szCs w:val="18"/>
              </w:rPr>
              <w:t>Schizophreni</w:t>
            </w:r>
            <w:r>
              <w:rPr>
                <w:rFonts w:ascii="Palatino Linotype" w:hAnsi="Palatino Linotype" w:cstheme="minorHAnsi"/>
                <w:sz w:val="18"/>
                <w:szCs w:val="18"/>
              </w:rPr>
              <w:t>a</w:t>
            </w:r>
          </w:p>
        </w:tc>
        <w:tc>
          <w:tcPr>
            <w:tcW w:w="1260" w:type="dxa"/>
          </w:tcPr>
          <w:p w14:paraId="0026B7F2" w14:textId="1F446F34" w:rsidR="0031439E" w:rsidRPr="006A1E5F" w:rsidRDefault="0031439E" w:rsidP="0031439E">
            <w:pPr>
              <w:rPr>
                <w:rFonts w:ascii="Palatino Linotype" w:hAnsi="Palatino Linotype" w:cstheme="minorHAnsi"/>
                <w:sz w:val="18"/>
                <w:szCs w:val="18"/>
              </w:rPr>
            </w:pPr>
            <w:r w:rsidRPr="00E37F39">
              <w:rPr>
                <w:rFonts w:ascii="Palatino Linotype" w:hAnsi="Palatino Linotype" w:cstheme="minorHAnsi"/>
                <w:sz w:val="18"/>
                <w:szCs w:val="18"/>
              </w:rPr>
              <w:t>DSM IV</w:t>
            </w:r>
          </w:p>
        </w:tc>
        <w:tc>
          <w:tcPr>
            <w:tcW w:w="1170" w:type="dxa"/>
          </w:tcPr>
          <w:p w14:paraId="686B6A25" w14:textId="1F6AF14A"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7BD40639" w14:textId="64B75DBA"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0FFFBFCE" w14:textId="69938B19" w:rsidR="0031439E" w:rsidRDefault="0031439E" w:rsidP="0031439E">
            <w:pPr>
              <w:rPr>
                <w:rFonts w:ascii="Palatino Linotype" w:hAnsi="Palatino Linotype" w:cstheme="minorHAnsi"/>
                <w:sz w:val="18"/>
                <w:szCs w:val="18"/>
              </w:rPr>
            </w:pPr>
            <w:r w:rsidRPr="002C6B28">
              <w:rPr>
                <w:rStyle w:val="st"/>
                <w:rFonts w:ascii="Palatino Linotype" w:hAnsi="Palatino Linotype"/>
                <w:sz w:val="18"/>
                <w:szCs w:val="18"/>
              </w:rPr>
              <w:t xml:space="preserve">polyacrylamide gel </w:t>
            </w:r>
            <w:proofErr w:type="spellStart"/>
            <w:r w:rsidRPr="002C6B28">
              <w:rPr>
                <w:rStyle w:val="st"/>
                <w:rFonts w:ascii="Palatino Linotype" w:hAnsi="Palatino Linotype"/>
                <w:sz w:val="18"/>
                <w:szCs w:val="18"/>
              </w:rPr>
              <w:t>isoelectricfocusing</w:t>
            </w:r>
            <w:proofErr w:type="spellEnd"/>
          </w:p>
        </w:tc>
        <w:tc>
          <w:tcPr>
            <w:tcW w:w="2507" w:type="dxa"/>
          </w:tcPr>
          <w:p w14:paraId="616E087E" w14:textId="5C4C38D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19F80001" w14:textId="3EFDFF3E"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{"citationItems":[{"id":"ITEM-1","itemData":{"DOI":"10.1016/s0022-3956(00)00023-6","ISSN":"0022-3956","PMID":"11104846","abstract":"The findings that free radicals play a causative role in the occurrence of tardive dyskinesia (TD) and that apolipoprotein E (ApoE) 4 has decreased anti-oxidant activity suggest a potential link between TD and ApoE alleles. We, therefore, examined ApoE allelic frequencies in schizophrenic subjects with TD and non-TD. Serum samples were obtained from 333 DSM IV-diagnosed schizophrenic patients and 191 controls in Japan. The presence of TD was evaluated by research diagnostic criteria for TD. ApoE phenotypes of the serum samples were determined by polyacrylamide gel isoelectricfocusing. A total of 62 TD subjects (31 males, 31 females) were identified among all patients examined. No significant differences in ApoE allelic frequency were found between TD and non-TD groups. ApoE epsilon4 allele frequency, however, was significantly lower in the female TD group than in the male TD group. These findings do not clearly demonstrate a certain association between TD and the epsilon4 allele, but may preliminarily reveal a difference in influence of this allele on the development of TD between males and females.","author":[{"dropping-particle":"","family":"Kimura","given":"T","non-dropping-particle":"","parse-names":false,"suffix":""},{"dropping-particle":"","family":"Shono","given":"M","non-dropping-particle":"","parse-names":false,"suffix":""},{"dropping-particle":"","family":"Yokota","given":"S","non-dropping-particle":"","parse-names":false,"suffix":""},{"dropping-particle":"","family":"Ishizuka","given":"K","non-dropping-particle":"","parse-names":false,"suffix":""},{"dropping-particle":"","family":"Watanabe","given":"M","non-dropping-particle":"","parse-names":false,"suffix":""},{"dropping-particle":"","family":"Takamatsu","given":"J","non-dropping-particle":"","parse-names":false,"suffix":""},{"dropping-particle":"","family":"Miyakawa","given":"T","non-dropping-particle":"","parse-names":false,"suffix":""}],"container-title":"Journal of psychiatric research","id":"ITEM-1","issue":"4-5","issued":{"date-parts":[["2000"]]},"page":"329-32","publisher":"J Psychiatr Res","title":"Apolipoprotein E epsilon4 and tardive dyskinesia in a Japanese population.","type":"article-journal","volume":"34"},"uris":["http://www.mendeley.com/documents/?uuid=b2b73818-466f-3fa1-a426-ea7c1425faa5"]}],"mendeley":{"formattedCitation":"(Kimura et al. 2000)","plainTextFormattedCitation":"(Kimura et al. 2000)","previouslyFormattedCitation":"(Kimura et al. 2000)"},"properties":{"noteIndex":0},"schema":"https://github.com/citation-style-language/schema/raw/master/csl-citation.json"}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(Kimura et al. 2000)</w:t>
            </w:r>
            <w:r>
              <w:rPr>
                <w:rFonts w:ascii="Palatino Linotype" w:hAnsi="Palatino Linotype" w:cstheme="minorHAnsi"/>
                <w:sz w:val="18"/>
                <w:szCs w:val="18"/>
              </w:rPr>
              <w:fldChar w:fldCharType="end"/>
            </w:r>
          </w:p>
        </w:tc>
      </w:tr>
      <w:tr w:rsidR="0031439E" w:rsidRPr="00EA57B8" w14:paraId="52CD4706" w14:textId="5A24E47A" w:rsidTr="0031439E">
        <w:tc>
          <w:tcPr>
            <w:tcW w:w="1094" w:type="dxa"/>
          </w:tcPr>
          <w:p w14:paraId="0B10272D" w14:textId="7777777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DRD2, DRD3, </w:t>
            </w:r>
            <w:r w:rsidRPr="000F3F98" w:rsidDel="00163E81">
              <w:rPr>
                <w:rFonts w:ascii="Palatino Linotype" w:hAnsi="Palatino Linotype" w:cstheme="minorHAnsi"/>
                <w:i/>
                <w:iCs/>
                <w:sz w:val="18"/>
                <w:szCs w:val="18"/>
              </w:rPr>
              <w:t>5</w:t>
            </w:r>
            <w:r w:rsidRPr="000F3F98">
              <w:rPr>
                <w:rFonts w:ascii="Palatino Linotype" w:hAnsi="Palatino Linotype" w:cstheme="minorHAnsi"/>
                <w:i/>
                <w:iCs/>
                <w:sz w:val="18"/>
                <w:szCs w:val="18"/>
              </w:rPr>
              <w:t xml:space="preserve">HTR2A, </w:t>
            </w:r>
            <w:r w:rsidRPr="000F3F98" w:rsidDel="00163E81">
              <w:rPr>
                <w:rFonts w:ascii="Palatino Linotype" w:hAnsi="Palatino Linotype" w:cstheme="minorHAnsi"/>
                <w:i/>
                <w:iCs/>
                <w:sz w:val="18"/>
                <w:szCs w:val="18"/>
              </w:rPr>
              <w:t>5</w:t>
            </w:r>
            <w:r w:rsidRPr="000F3F98">
              <w:rPr>
                <w:rFonts w:ascii="Palatino Linotype" w:hAnsi="Palatino Linotype" w:cstheme="minorHAnsi"/>
                <w:i/>
                <w:iCs/>
                <w:sz w:val="18"/>
                <w:szCs w:val="18"/>
              </w:rPr>
              <w:t xml:space="preserve">HTR2C, COMT, NQO1, GSTP1, RGS2 and </w:t>
            </w:r>
            <w:proofErr w:type="spellStart"/>
            <w:r w:rsidRPr="000F3F98">
              <w:rPr>
                <w:rFonts w:ascii="Palatino Linotype" w:hAnsi="Palatino Linotype" w:cstheme="minorHAnsi"/>
                <w:i/>
                <w:iCs/>
                <w:sz w:val="18"/>
                <w:szCs w:val="18"/>
              </w:rPr>
              <w:t>MnSOD</w:t>
            </w:r>
            <w:proofErr w:type="spellEnd"/>
          </w:p>
          <w:p w14:paraId="6AD98CAC" w14:textId="77777777" w:rsidR="0031439E" w:rsidRPr="000F3F98" w:rsidRDefault="0031439E" w:rsidP="0031439E">
            <w:pPr>
              <w:rPr>
                <w:rFonts w:ascii="Palatino Linotype" w:hAnsi="Palatino Linotype" w:cstheme="minorHAnsi"/>
                <w:i/>
                <w:iCs/>
                <w:sz w:val="18"/>
                <w:szCs w:val="18"/>
              </w:rPr>
            </w:pPr>
          </w:p>
        </w:tc>
        <w:tc>
          <w:tcPr>
            <w:tcW w:w="1080" w:type="dxa"/>
          </w:tcPr>
          <w:p w14:paraId="36F69CB1" w14:textId="05BB9C3A"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rs1800497, rs6277, rs1799732, and rs1800498 (</w:t>
            </w:r>
            <w:r w:rsidRPr="00265F30">
              <w:rPr>
                <w:rStyle w:val="st"/>
                <w:rFonts w:ascii="Palatino Linotype" w:hAnsi="Palatino Linotype"/>
                <w:i/>
                <w:iCs/>
                <w:sz w:val="18"/>
                <w:szCs w:val="18"/>
              </w:rPr>
              <w:t>DRD2</w:t>
            </w:r>
            <w:r w:rsidRPr="006A1E5F">
              <w:rPr>
                <w:rStyle w:val="st"/>
                <w:rFonts w:ascii="Palatino Linotype" w:hAnsi="Palatino Linotype"/>
                <w:sz w:val="18"/>
                <w:szCs w:val="18"/>
              </w:rPr>
              <w:t>), rs6280 (</w:t>
            </w:r>
            <w:r w:rsidRPr="00265F30">
              <w:rPr>
                <w:rStyle w:val="st"/>
                <w:rFonts w:ascii="Palatino Linotype" w:hAnsi="Palatino Linotype"/>
                <w:i/>
                <w:iCs/>
                <w:sz w:val="18"/>
                <w:szCs w:val="18"/>
              </w:rPr>
              <w:t>DRD3</w:t>
            </w:r>
            <w:r w:rsidRPr="006A1E5F">
              <w:rPr>
                <w:rStyle w:val="st"/>
                <w:rFonts w:ascii="Palatino Linotype" w:hAnsi="Palatino Linotype"/>
                <w:sz w:val="18"/>
                <w:szCs w:val="18"/>
              </w:rPr>
              <w:t>), rs6313 and rs6314 (</w:t>
            </w:r>
            <w:r w:rsidRPr="00265F30">
              <w:rPr>
                <w:rStyle w:val="st"/>
                <w:rFonts w:ascii="Palatino Linotype" w:hAnsi="Palatino Linotype"/>
                <w:i/>
                <w:iCs/>
                <w:sz w:val="18"/>
                <w:szCs w:val="18"/>
              </w:rPr>
              <w:t>5HTR2A</w:t>
            </w:r>
            <w:r w:rsidRPr="006A1E5F">
              <w:rPr>
                <w:rStyle w:val="st"/>
                <w:rFonts w:ascii="Palatino Linotype" w:hAnsi="Palatino Linotype"/>
                <w:sz w:val="18"/>
                <w:szCs w:val="18"/>
              </w:rPr>
              <w:t>), rs6318 and rs3813929 (</w:t>
            </w:r>
            <w:r w:rsidRPr="00265F30">
              <w:rPr>
                <w:rStyle w:val="st"/>
                <w:rFonts w:ascii="Palatino Linotype" w:hAnsi="Palatino Linotype"/>
                <w:i/>
                <w:iCs/>
                <w:sz w:val="18"/>
                <w:szCs w:val="18"/>
              </w:rPr>
              <w:t>5HTR2C</w:t>
            </w:r>
            <w:r w:rsidRPr="006A1E5F">
              <w:rPr>
                <w:rStyle w:val="st"/>
                <w:rFonts w:ascii="Palatino Linotype" w:hAnsi="Palatino Linotype"/>
                <w:sz w:val="18"/>
                <w:szCs w:val="18"/>
              </w:rPr>
              <w:t>), rs4680 (</w:t>
            </w:r>
            <w:r w:rsidRPr="00265F30">
              <w:rPr>
                <w:rStyle w:val="st"/>
                <w:rFonts w:ascii="Palatino Linotype" w:hAnsi="Palatino Linotype"/>
                <w:i/>
                <w:iCs/>
                <w:sz w:val="18"/>
                <w:szCs w:val="18"/>
              </w:rPr>
              <w:t>COMT</w:t>
            </w:r>
            <w:r w:rsidRPr="006A1E5F">
              <w:rPr>
                <w:rStyle w:val="st"/>
                <w:rFonts w:ascii="Palatino Linotype" w:hAnsi="Palatino Linotype"/>
                <w:sz w:val="18"/>
                <w:szCs w:val="18"/>
              </w:rPr>
              <w:t xml:space="preserve">), rs1800566 </w:t>
            </w:r>
            <w:r w:rsidRPr="006A1E5F">
              <w:rPr>
                <w:rStyle w:val="st"/>
                <w:rFonts w:ascii="Palatino Linotype" w:hAnsi="Palatino Linotype"/>
                <w:sz w:val="18"/>
                <w:szCs w:val="18"/>
              </w:rPr>
              <w:lastRenderedPageBreak/>
              <w:t>(</w:t>
            </w:r>
            <w:r w:rsidRPr="00265F30">
              <w:rPr>
                <w:rStyle w:val="st"/>
                <w:rFonts w:ascii="Palatino Linotype" w:hAnsi="Palatino Linotype"/>
                <w:i/>
                <w:iCs/>
                <w:sz w:val="18"/>
                <w:szCs w:val="18"/>
              </w:rPr>
              <w:t>NQO1</w:t>
            </w:r>
            <w:r w:rsidRPr="006A1E5F">
              <w:rPr>
                <w:rStyle w:val="st"/>
                <w:rFonts w:ascii="Palatino Linotype" w:hAnsi="Palatino Linotype"/>
                <w:sz w:val="18"/>
                <w:szCs w:val="18"/>
              </w:rPr>
              <w:t>), rs1695 (</w:t>
            </w:r>
            <w:r w:rsidRPr="00265F30">
              <w:rPr>
                <w:rStyle w:val="st"/>
                <w:rFonts w:ascii="Palatino Linotype" w:hAnsi="Palatino Linotype"/>
                <w:i/>
                <w:iCs/>
                <w:sz w:val="18"/>
                <w:szCs w:val="18"/>
              </w:rPr>
              <w:t>GSTP1</w:t>
            </w:r>
            <w:r w:rsidRPr="006A1E5F">
              <w:rPr>
                <w:rStyle w:val="st"/>
                <w:rFonts w:ascii="Palatino Linotype" w:hAnsi="Palatino Linotype"/>
                <w:sz w:val="18"/>
                <w:szCs w:val="18"/>
              </w:rPr>
              <w:t>), rs4606 (</w:t>
            </w:r>
            <w:r w:rsidRPr="00265F30">
              <w:rPr>
                <w:rStyle w:val="st"/>
                <w:rFonts w:ascii="Palatino Linotype" w:hAnsi="Palatino Linotype"/>
                <w:i/>
                <w:iCs/>
                <w:sz w:val="18"/>
                <w:szCs w:val="18"/>
              </w:rPr>
              <w:t>RGS2</w:t>
            </w:r>
            <w:r w:rsidRPr="006A1E5F">
              <w:rPr>
                <w:rStyle w:val="st"/>
                <w:rFonts w:ascii="Palatino Linotype" w:hAnsi="Palatino Linotype"/>
                <w:sz w:val="18"/>
                <w:szCs w:val="18"/>
              </w:rPr>
              <w:t>), and rs4880 (</w:t>
            </w:r>
            <w:proofErr w:type="spellStart"/>
            <w:r w:rsidRPr="00265F30">
              <w:rPr>
                <w:rStyle w:val="st"/>
                <w:rFonts w:ascii="Palatino Linotype" w:hAnsi="Palatino Linotype"/>
                <w:i/>
                <w:iCs/>
                <w:sz w:val="18"/>
                <w:szCs w:val="18"/>
              </w:rPr>
              <w:t>MnSOD</w:t>
            </w:r>
            <w:proofErr w:type="spellEnd"/>
            <w:r w:rsidRPr="006A1E5F">
              <w:rPr>
                <w:rStyle w:val="st"/>
                <w:rFonts w:ascii="Palatino Linotype" w:hAnsi="Palatino Linotype"/>
                <w:sz w:val="18"/>
                <w:szCs w:val="18"/>
              </w:rPr>
              <w:t>)</w:t>
            </w:r>
          </w:p>
        </w:tc>
        <w:tc>
          <w:tcPr>
            <w:tcW w:w="1080" w:type="dxa"/>
          </w:tcPr>
          <w:p w14:paraId="2DE61608" w14:textId="09651D5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402 (</w:t>
            </w:r>
            <w:r w:rsidRPr="006A1E5F">
              <w:rPr>
                <w:rFonts w:ascii="Palatino Linotype" w:hAnsi="Palatino Linotype" w:cstheme="minorHAnsi"/>
                <w:sz w:val="18"/>
                <w:szCs w:val="18"/>
              </w:rPr>
              <w:t>188</w:t>
            </w:r>
            <w:r>
              <w:rPr>
                <w:rFonts w:ascii="Palatino Linotype" w:hAnsi="Palatino Linotype" w:cstheme="minorHAnsi"/>
                <w:sz w:val="18"/>
                <w:szCs w:val="18"/>
              </w:rPr>
              <w:t xml:space="preserve"> with TD)</w:t>
            </w:r>
          </w:p>
        </w:tc>
        <w:tc>
          <w:tcPr>
            <w:tcW w:w="1170" w:type="dxa"/>
          </w:tcPr>
          <w:p w14:paraId="6EE801AD" w14:textId="0724266C"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 (Northern European)</w:t>
            </w:r>
          </w:p>
        </w:tc>
        <w:tc>
          <w:tcPr>
            <w:tcW w:w="1350" w:type="dxa"/>
          </w:tcPr>
          <w:p w14:paraId="10E2A21A" w14:textId="77777777" w:rsidR="0031439E" w:rsidRPr="00D520D4"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Schizophreni</w:t>
            </w:r>
            <w:r>
              <w:rPr>
                <w:rFonts w:ascii="Palatino Linotype" w:hAnsi="Palatino Linotype" w:cstheme="minorHAnsi"/>
                <w:sz w:val="18"/>
                <w:szCs w:val="18"/>
              </w:rPr>
              <w:t xml:space="preserve">a, </w:t>
            </w:r>
            <w:r w:rsidRPr="00D520D4">
              <w:rPr>
                <w:rFonts w:ascii="Palatino Linotype" w:hAnsi="Palatino Linotype" w:cstheme="minorHAnsi"/>
                <w:sz w:val="18"/>
                <w:szCs w:val="18"/>
              </w:rPr>
              <w:t>Schizoaffective disorder</w:t>
            </w:r>
            <w:r>
              <w:rPr>
                <w:rFonts w:ascii="Palatino Linotype" w:hAnsi="Palatino Linotype" w:cstheme="minorHAnsi"/>
                <w:sz w:val="18"/>
                <w:szCs w:val="18"/>
              </w:rPr>
              <w:t xml:space="preserve">, </w:t>
            </w:r>
            <w:r w:rsidRPr="00D520D4">
              <w:rPr>
                <w:rFonts w:ascii="Palatino Linotype" w:hAnsi="Palatino Linotype" w:cstheme="minorHAnsi"/>
                <w:sz w:val="18"/>
                <w:szCs w:val="18"/>
              </w:rPr>
              <w:t>Schizophreniphorm disorder</w:t>
            </w:r>
            <w:r>
              <w:rPr>
                <w:rFonts w:ascii="Palatino Linotype" w:hAnsi="Palatino Linotype" w:cstheme="minorHAnsi"/>
                <w:sz w:val="18"/>
                <w:szCs w:val="18"/>
              </w:rPr>
              <w:t xml:space="preserve">, </w:t>
            </w:r>
            <w:r w:rsidRPr="00D520D4">
              <w:rPr>
                <w:rFonts w:ascii="Palatino Linotype" w:hAnsi="Palatino Linotype" w:cstheme="minorHAnsi"/>
                <w:sz w:val="18"/>
                <w:szCs w:val="18"/>
              </w:rPr>
              <w:t>Delusional disorder</w:t>
            </w:r>
            <w:r>
              <w:rPr>
                <w:rFonts w:ascii="Palatino Linotype" w:hAnsi="Palatino Linotype" w:cstheme="minorHAnsi"/>
                <w:sz w:val="18"/>
                <w:szCs w:val="18"/>
              </w:rPr>
              <w:t>,</w:t>
            </w:r>
            <w:r w:rsidRPr="00D520D4">
              <w:rPr>
                <w:rFonts w:ascii="Palatino Linotype" w:hAnsi="Palatino Linotype" w:cstheme="minorHAnsi"/>
                <w:sz w:val="18"/>
                <w:szCs w:val="18"/>
              </w:rPr>
              <w:t xml:space="preserve"> </w:t>
            </w:r>
          </w:p>
          <w:p w14:paraId="559542B5" w14:textId="61718101" w:rsidR="0031439E" w:rsidRPr="00924ABD" w:rsidRDefault="0031439E" w:rsidP="0031439E">
            <w:pPr>
              <w:rPr>
                <w:rFonts w:ascii="Palatino Linotype" w:hAnsi="Palatino Linotype" w:cstheme="minorHAnsi"/>
                <w:sz w:val="18"/>
                <w:szCs w:val="18"/>
              </w:rPr>
            </w:pPr>
            <w:r w:rsidRPr="00D520D4">
              <w:rPr>
                <w:rFonts w:ascii="Palatino Linotype" w:hAnsi="Palatino Linotype" w:cstheme="minorHAnsi"/>
                <w:sz w:val="18"/>
                <w:szCs w:val="18"/>
              </w:rPr>
              <w:t>Psychotic disorders NOS</w:t>
            </w:r>
            <w:r>
              <w:rPr>
                <w:rFonts w:ascii="Palatino Linotype" w:hAnsi="Palatino Linotype" w:cstheme="minorHAnsi"/>
                <w:sz w:val="18"/>
                <w:szCs w:val="18"/>
              </w:rPr>
              <w:t>, o</w:t>
            </w:r>
            <w:r w:rsidRPr="00D520D4">
              <w:rPr>
                <w:rFonts w:ascii="Palatino Linotype" w:hAnsi="Palatino Linotype" w:cstheme="minorHAnsi"/>
                <w:sz w:val="18"/>
                <w:szCs w:val="18"/>
              </w:rPr>
              <w:t>ther</w:t>
            </w:r>
            <w:r>
              <w:rPr>
                <w:rFonts w:ascii="Palatino Linotype" w:hAnsi="Palatino Linotype" w:cstheme="minorHAnsi"/>
                <w:sz w:val="18"/>
                <w:szCs w:val="18"/>
              </w:rPr>
              <w:t>s</w:t>
            </w:r>
            <w:r w:rsidRPr="006A1E5F">
              <w:rPr>
                <w:rFonts w:ascii="Palatino Linotype" w:hAnsi="Palatino Linotype" w:cstheme="minorHAnsi"/>
                <w:sz w:val="18"/>
                <w:szCs w:val="18"/>
              </w:rPr>
              <w:t xml:space="preserve"> </w:t>
            </w:r>
          </w:p>
        </w:tc>
        <w:tc>
          <w:tcPr>
            <w:tcW w:w="1260" w:type="dxa"/>
          </w:tcPr>
          <w:p w14:paraId="5A2CF324" w14:textId="5A6F0117" w:rsidR="0031439E" w:rsidRPr="006A1E5F" w:rsidRDefault="0031439E" w:rsidP="0031439E">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0978A0AC" w14:textId="6F89C79D"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73B88BDF" w14:textId="13BBC05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and SGAs</w:t>
            </w:r>
            <w:r w:rsidRPr="006A1E5F">
              <w:rPr>
                <w:rFonts w:ascii="Palatino Linotype" w:hAnsi="Palatino Linotype" w:cstheme="minorHAnsi"/>
                <w:sz w:val="18"/>
                <w:szCs w:val="18"/>
              </w:rPr>
              <w:t xml:space="preserve"> </w:t>
            </w:r>
          </w:p>
        </w:tc>
        <w:tc>
          <w:tcPr>
            <w:tcW w:w="1350" w:type="dxa"/>
          </w:tcPr>
          <w:p w14:paraId="09DADC5B" w14:textId="24CE3EB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Sequencing </w:t>
            </w:r>
          </w:p>
        </w:tc>
        <w:tc>
          <w:tcPr>
            <w:tcW w:w="2507" w:type="dxa"/>
          </w:tcPr>
          <w:p w14:paraId="2C4449BB" w14:textId="1749CBE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545E0C6A" w14:textId="38E581E0"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{"citationItems":[{"id":"ITEM-1","itemData":{"DOI":"10.1007/s00213-011-2394-1","ISSN":"1432-2072","PMID":"21750899","abstract":"RATIONALE Pharmacogenetic studies on antipsychotic-induced movement disorders (MD) in schizophrenia so far have focused mainly on tardive dyskinesia. Only a few examined the more acute antipsychotic-induced MD such as parkinsonism and akathisia. Notably, all MD relate to deregulation of the dopamine system. OBJECTIVE This study aimed to replicate previously reported associations in candidate genes for acute and tardive antipsychotic-induced MD in a young Caucasian sample. METHODS In 402 patients (median age 26 years), a total of 13 polymorphisms were genotyped in eight dopamine-related candidate genes selected a priori from the literature (regarding dopamine and serotonin receptors, dopamine degradation, and free radicals scavenging enzymes pathways). RESULTS Patients with MD used on average a higher haloperidol dose equivalent when compared to those without MD. The prevalence of MD was high and did not differ between first- and second-generation antipsychotics. Significant associations were found between (a) the TaqI_D polymorphism and akathisia (OR = 2.3, p = 0.001 for each extra C-allele) and (b) the -141C polymorphism and tardive dyskinesia (OR = 0.20, p = 0.001 for each extra Del allele). The other polymorphisms were not significantly associated with an MD. CONCLUSIONS Two associations were found between genetic variation TaqI_D and the -141C polymorphisms in the DRD2 gene and antipsychotic-induced MD; one with acute akathisia and one with tardive dyskinesia. These were previously reported to be associated with tardive dyskinesia and acute parkinsonism, respectively. These results suggest that the contribution of these DRD2 gene variants in the vulnerability of antipsychotic-induced MD takes place in a more general or pleiotropic way.","author":[{"dropping-particle":"","family":"Koning","given":"Jeroen P","non-dropping-particle":"","parse-names":false,"suffix":""},{"dropping-particle":"","family":"Vehof","given":"Jelle","non-dropping-particle":"","parse-names":false,"suffix":""},{"dropping-particle":"","family":"Burger","given":"Huibert","non-dropping-particle":"","parse-names":false,"suffix":""},{"dropping-particle":"","family":"Wilffert","given":"Bob","non-dropping-particle":"","parse-names":false,"suffix":""},{"dropping-particle":"","family":"Hadithy","given":"Asmar","non-dropping-particle":"Al","parse-names":false,"suffix":""},{"dropping-particle":"","family":"Alizadeh","given":"Behrooz","non-dropping-particle":"","parse-names":false,"suffix":""},{"dropping-particle":"","family":"Harten","given":"Peter N","non-dropping-particle":"van","parse-names":false,"suffix":""},{"dropping-particle":"","family":"Snieder","given":"Harold","non-dropping-particle":"","parse-names":false,"suffix":""},{"dropping-particle":"","family":"Genetic Risk and Outcome in Psychosis (GROUP) investigators","given":"","non-dropping-particle":"","parse-names":false,"suffix":""}],"container-title":"Psychopharmacology","id":"ITEM-1","issue":"3","issued":{"date-parts":[["2012","2","13"]]},"page":"727-36","title":"Association of two DRD2 gene polymorphisms with acute and tardive antipsychotic-induced movement disorders in young Caucasian patients.","type":"article-journal","volume":"219"},"uris":["http://www.mendeley.com/documents/?uuid=77455b7d-ffdd-33e6-95a6-f48ecf91e6d2"]}],"mendeley":{"formattedCitation":"(Koning et al. 2012)","plainTextFormattedCitation":"(Koning et al. 2012)","previouslyFormattedCitation":"(Koning et al. 2012)"},"properties":{"noteIndex":0},"schema":"https://github.com/citation-style-language/schema/raw/master/csl-citation.json"}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(Koning et al. 2012)</w:t>
            </w:r>
            <w:r w:rsidRPr="006A1E5F">
              <w:rPr>
                <w:rFonts w:ascii="Palatino Linotype" w:hAnsi="Palatino Linotype" w:cstheme="minorHAnsi"/>
                <w:sz w:val="18"/>
                <w:szCs w:val="18"/>
              </w:rPr>
              <w:fldChar w:fldCharType="end"/>
            </w:r>
          </w:p>
        </w:tc>
      </w:tr>
      <w:tr w:rsidR="0031439E" w:rsidRPr="00EA57B8" w14:paraId="450E5044" w14:textId="370F0E28" w:rsidTr="0031439E">
        <w:tc>
          <w:tcPr>
            <w:tcW w:w="1094" w:type="dxa"/>
          </w:tcPr>
          <w:p w14:paraId="44F148F0" w14:textId="5CFECB6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ESR 1</w:t>
            </w:r>
          </w:p>
        </w:tc>
        <w:tc>
          <w:tcPr>
            <w:tcW w:w="1080" w:type="dxa"/>
          </w:tcPr>
          <w:p w14:paraId="7787ECCF" w14:textId="35CD552E" w:rsidR="0031439E" w:rsidRPr="00B8785F"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080" w:type="dxa"/>
          </w:tcPr>
          <w:p w14:paraId="3494C84C" w14:textId="214992B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246 (118 with TD)</w:t>
            </w:r>
          </w:p>
        </w:tc>
        <w:tc>
          <w:tcPr>
            <w:tcW w:w="1170" w:type="dxa"/>
          </w:tcPr>
          <w:p w14:paraId="4AD4D244" w14:textId="1E8F2C03" w:rsidR="0031439E" w:rsidRDefault="0031439E" w:rsidP="0031439E">
            <w:pPr>
              <w:rPr>
                <w:rFonts w:ascii="Palatino Linotype" w:hAnsi="Palatino Linotype" w:cstheme="minorHAnsi"/>
                <w:sz w:val="18"/>
                <w:szCs w:val="18"/>
              </w:rPr>
            </w:pPr>
            <w:r w:rsidRPr="00895067">
              <w:rPr>
                <w:rFonts w:ascii="Palatino Linotype" w:hAnsi="Palatino Linotype" w:cstheme="minorHAnsi"/>
                <w:sz w:val="18"/>
                <w:szCs w:val="18"/>
              </w:rPr>
              <w:t>Han Chinese</w:t>
            </w:r>
          </w:p>
        </w:tc>
        <w:tc>
          <w:tcPr>
            <w:tcW w:w="1350" w:type="dxa"/>
          </w:tcPr>
          <w:p w14:paraId="61935F8E" w14:textId="75983046" w:rsidR="0031439E" w:rsidRDefault="0031439E" w:rsidP="0031439E">
            <w:pPr>
              <w:rPr>
                <w:rFonts w:ascii="Palatino Linotype" w:hAnsi="Palatino Linotype" w:cstheme="minorHAnsi"/>
                <w:sz w:val="18"/>
                <w:szCs w:val="18"/>
              </w:rPr>
            </w:pPr>
            <w:r w:rsidRPr="00E37F39">
              <w:rPr>
                <w:rFonts w:ascii="Palatino Linotype" w:hAnsi="Palatino Linotype" w:cstheme="minorHAnsi"/>
                <w:sz w:val="18"/>
                <w:szCs w:val="18"/>
              </w:rPr>
              <w:t>Schizophreni</w:t>
            </w:r>
            <w:r>
              <w:rPr>
                <w:rFonts w:ascii="Palatino Linotype" w:hAnsi="Palatino Linotype" w:cstheme="minorHAnsi"/>
                <w:sz w:val="18"/>
                <w:szCs w:val="18"/>
              </w:rPr>
              <w:t>a</w:t>
            </w:r>
          </w:p>
        </w:tc>
        <w:tc>
          <w:tcPr>
            <w:tcW w:w="1260" w:type="dxa"/>
          </w:tcPr>
          <w:p w14:paraId="6DC5B728" w14:textId="6A80EEAE" w:rsidR="0031439E" w:rsidRPr="00BC6146" w:rsidRDefault="0031439E" w:rsidP="0031439E">
            <w:pPr>
              <w:rPr>
                <w:rFonts w:ascii="Palatino Linotype" w:hAnsi="Palatino Linotype" w:cstheme="minorHAnsi"/>
                <w:sz w:val="18"/>
                <w:szCs w:val="18"/>
              </w:rPr>
            </w:pPr>
            <w:r w:rsidRPr="00483F01">
              <w:rPr>
                <w:rFonts w:ascii="Palatino Linotype" w:hAnsi="Palatino Linotype" w:cstheme="minorHAnsi"/>
                <w:sz w:val="18"/>
                <w:szCs w:val="18"/>
              </w:rPr>
              <w:t>DSM-IV</w:t>
            </w:r>
          </w:p>
        </w:tc>
        <w:tc>
          <w:tcPr>
            <w:tcW w:w="1170" w:type="dxa"/>
          </w:tcPr>
          <w:p w14:paraId="55105AF0" w14:textId="6F516FC9"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6F7D881E" w14:textId="223A6569"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3DDBEC6C" w14:textId="35513C7F" w:rsidR="0031439E" w:rsidRPr="006A1E5F" w:rsidRDefault="0031439E" w:rsidP="0031439E">
            <w:pPr>
              <w:rPr>
                <w:rFonts w:ascii="Palatino Linotype" w:hAnsi="Palatino Linotype" w:cstheme="minorHAnsi"/>
                <w:sz w:val="18"/>
                <w:szCs w:val="18"/>
              </w:rPr>
            </w:pPr>
            <w:r>
              <w:rPr>
                <w:rStyle w:val="st"/>
                <w:rFonts w:ascii="Palatino Linotype" w:hAnsi="Palatino Linotype"/>
                <w:sz w:val="18"/>
                <w:szCs w:val="18"/>
              </w:rPr>
              <w:t>PCR-RFLP (</w:t>
            </w:r>
            <w:proofErr w:type="spellStart"/>
            <w:r w:rsidRPr="00FA0741">
              <w:rPr>
                <w:rStyle w:val="st"/>
                <w:rFonts w:ascii="Palatino Linotype" w:hAnsi="Palatino Linotype"/>
                <w:sz w:val="18"/>
                <w:szCs w:val="18"/>
              </w:rPr>
              <w:t>Pvu</w:t>
            </w:r>
            <w:proofErr w:type="spellEnd"/>
            <w:r w:rsidRPr="00FA0741">
              <w:rPr>
                <w:rStyle w:val="st"/>
                <w:rFonts w:ascii="Palatino Linotype" w:hAnsi="Palatino Linotype"/>
                <w:sz w:val="18"/>
                <w:szCs w:val="18"/>
              </w:rPr>
              <w:t xml:space="preserve"> II</w:t>
            </w:r>
            <w:r w:rsidRPr="00F61460">
              <w:rPr>
                <w:rFonts w:ascii="Palatino Linotype" w:hAnsi="Palatino Linotype" w:cstheme="minorHAnsi"/>
                <w:sz w:val="18"/>
                <w:szCs w:val="18"/>
              </w:rPr>
              <w:t xml:space="preserve"> and </w:t>
            </w:r>
            <w:proofErr w:type="spellStart"/>
            <w:r w:rsidRPr="00F61460">
              <w:rPr>
                <w:rFonts w:ascii="Palatino Linotype" w:hAnsi="Palatino Linotype" w:cstheme="minorHAnsi"/>
                <w:sz w:val="18"/>
                <w:szCs w:val="18"/>
              </w:rPr>
              <w:t>Xba</w:t>
            </w:r>
            <w:proofErr w:type="spellEnd"/>
            <w:r w:rsidRPr="00F61460">
              <w:rPr>
                <w:rFonts w:ascii="Palatino Linotype" w:hAnsi="Palatino Linotype" w:cstheme="minorHAnsi"/>
                <w:sz w:val="18"/>
                <w:szCs w:val="18"/>
              </w:rPr>
              <w:t xml:space="preserve"> I</w:t>
            </w:r>
            <w:r>
              <w:rPr>
                <w:rStyle w:val="st"/>
                <w:rFonts w:ascii="Palatino Linotype" w:hAnsi="Palatino Linotype"/>
                <w:sz w:val="18"/>
                <w:szCs w:val="18"/>
              </w:rPr>
              <w:t xml:space="preserve">) </w:t>
            </w:r>
          </w:p>
        </w:tc>
        <w:tc>
          <w:tcPr>
            <w:tcW w:w="2507" w:type="dxa"/>
          </w:tcPr>
          <w:p w14:paraId="3909B916" w14:textId="088A9554"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A trend of</w:t>
            </w:r>
            <w:r w:rsidRPr="00895067">
              <w:rPr>
                <w:rFonts w:ascii="Palatino Linotype" w:hAnsi="Palatino Linotype" w:cstheme="minorHAnsi"/>
                <w:sz w:val="18"/>
                <w:szCs w:val="18"/>
              </w:rPr>
              <w:t xml:space="preserve"> association </w:t>
            </w:r>
            <w:r>
              <w:rPr>
                <w:rFonts w:ascii="Palatino Linotype" w:hAnsi="Palatino Linotype" w:cstheme="minorHAnsi"/>
                <w:sz w:val="18"/>
                <w:szCs w:val="18"/>
              </w:rPr>
              <w:t xml:space="preserve">between the </w:t>
            </w:r>
            <w:r w:rsidRPr="00895067">
              <w:rPr>
                <w:rFonts w:ascii="Palatino Linotype" w:hAnsi="Palatino Linotype" w:cstheme="minorHAnsi"/>
                <w:sz w:val="18"/>
                <w:szCs w:val="18"/>
              </w:rPr>
              <w:t xml:space="preserve">genotypes determined by </w:t>
            </w:r>
            <w:proofErr w:type="spellStart"/>
            <w:r w:rsidRPr="00895067">
              <w:rPr>
                <w:rFonts w:ascii="Palatino Linotype" w:hAnsi="Palatino Linotype" w:cstheme="minorHAnsi"/>
                <w:sz w:val="18"/>
                <w:szCs w:val="18"/>
              </w:rPr>
              <w:t>Pvu</w:t>
            </w:r>
            <w:proofErr w:type="spellEnd"/>
            <w:r w:rsidRPr="00895067">
              <w:rPr>
                <w:rFonts w:ascii="Palatino Linotype" w:hAnsi="Palatino Linotype" w:cstheme="minorHAnsi"/>
                <w:sz w:val="18"/>
                <w:szCs w:val="18"/>
              </w:rPr>
              <w:t xml:space="preserve"> II </w:t>
            </w:r>
            <w:r>
              <w:rPr>
                <w:rFonts w:ascii="Palatino Linotype" w:hAnsi="Palatino Linotype" w:cstheme="minorHAnsi"/>
                <w:sz w:val="18"/>
                <w:szCs w:val="18"/>
              </w:rPr>
              <w:t>enzyme and</w:t>
            </w:r>
            <w:r w:rsidRPr="00895067">
              <w:rPr>
                <w:rFonts w:ascii="Palatino Linotype" w:hAnsi="Palatino Linotype" w:cstheme="minorHAnsi"/>
                <w:sz w:val="18"/>
                <w:szCs w:val="18"/>
              </w:rPr>
              <w:t xml:space="preserve"> TD</w:t>
            </w:r>
          </w:p>
        </w:tc>
        <w:tc>
          <w:tcPr>
            <w:tcW w:w="2173" w:type="dxa"/>
          </w:tcPr>
          <w:p w14:paraId="579EF197" w14:textId="6A21C8D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{"citationItems":[{"id":"ITEM-1","itemData":{"DOI":"10.1159/000067808","ISSN":"0302-282X","PMID":"12566932","abstract":"Tardive dyskinesia (TD) is an involuntary movement disorder induced by long-term antipsychotic treatments. Estrogen is suggested to modulate dopamine receptors in the central nervous system and may decrease the incidence and/or relieve the symptoms of TD. In this study, 118 schizophrenia patients with antipsychotic-induced TD and 128 sex- and age-matched non-TD schizophrenia patients were recruited. All patients were assessed by the Abnormal Involuntary Movement Scale and genotyped for the polymorphisms of estrogen receptor-alpha gene (ESR 1). There was a marginal association of the genotypes determined by PVU II between TD and non-TD patients (p = 0.057), but not of the genotypes determined by XBA I (p = 0.896). However, further studies on other polymorphisms of ESR 1 or other estrogen receptors are necessary to clarify the role of estrogen in the pathogenesis of TD.","author":[{"dropping-particle":"","family":"Lai","given":"I-Ching","non-dropping-particle":"","parse-names":false,"suffix":""},{"dropping-particle":"","family":"Liao","given":"Ding-Lieh","non-dropping-particle":"","parse-names":false,"suffix":""},{"dropping-particle":"","family":"Bai","given":"Ya-Mei","non-dropping-particle":"","parse-names":false,"suffix":""},{"dropping-particle":"","family":"Lin","given":"Chao-Cheng","non-dropping-particle":"","parse-names":false,"suffix":""},{"dropping-particle":"","family":"Yu","given":"Shun-Chieh","non-dropping-particle":"","parse-names":false,"suffix":""},{"dropping-particle":"","family":"Chen","given":"Jen-Yeu","non-dropping-particle":"","parse-names":false,"suffix":""},{"dropping-particle":"","family":"Wang","given":"Ying-Chieh","non-dropping-particle":"","parse-names":false,"suffix":""}],"container-title":"Neuropsychobiology","id":"ITEM-1","issue":"4","issued":{"date-parts":[["2002"]]},"page":"173-5","publisher":"Neuropsychobiology","title":"Association study of the estrogen receptor polymorphisms with tardive dyskinesia in schizophrenia.","type":"article-journal","volume":"46"},"uris":["http://www.mendeley.com/documents/?uuid=d93ffa65-9478-3f49-88ae-4ff8058adbfd"]}],"mendeley":{"formattedCitation":"(Lai et al. 2002)","plainTextFormattedCitation":"(Lai et al. 2002)","previouslyFormattedCitation":"(Lai et al. 2002)"},"properties":{"noteIndex":0},"schema":"https://github.com/citation-style-language/schema/raw/master/csl-citation.json"}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(Lai et al. 2002)</w:t>
            </w:r>
            <w:r>
              <w:rPr>
                <w:rFonts w:ascii="Palatino Linotype" w:hAnsi="Palatino Linotype" w:cstheme="minorHAnsi"/>
                <w:sz w:val="18"/>
                <w:szCs w:val="18"/>
              </w:rPr>
              <w:fldChar w:fldCharType="end"/>
            </w:r>
          </w:p>
        </w:tc>
      </w:tr>
      <w:tr w:rsidR="0031439E" w:rsidRPr="00EA57B8" w14:paraId="39D124E2" w14:textId="07A71EA0" w:rsidTr="0031439E">
        <w:tc>
          <w:tcPr>
            <w:tcW w:w="1094" w:type="dxa"/>
          </w:tcPr>
          <w:p w14:paraId="584BCC87" w14:textId="6430A22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MRNR1A, MTNR1B</w:t>
            </w:r>
          </w:p>
        </w:tc>
        <w:tc>
          <w:tcPr>
            <w:tcW w:w="1080" w:type="dxa"/>
          </w:tcPr>
          <w:p w14:paraId="38C8DEC6" w14:textId="77777777" w:rsidR="0031439E" w:rsidRDefault="0031439E" w:rsidP="0031439E">
            <w:pPr>
              <w:rPr>
                <w:rStyle w:val="st"/>
                <w:rFonts w:ascii="Palatino Linotype" w:hAnsi="Palatino Linotype"/>
                <w:sz w:val="18"/>
                <w:szCs w:val="18"/>
              </w:rPr>
            </w:pPr>
            <w:r>
              <w:rPr>
                <w:rStyle w:val="st"/>
                <w:rFonts w:ascii="Palatino Linotype" w:hAnsi="Palatino Linotype"/>
                <w:sz w:val="18"/>
                <w:szCs w:val="18"/>
              </w:rPr>
              <w:t>6 Tag SNPs</w:t>
            </w:r>
          </w:p>
          <w:p w14:paraId="0D172567" w14:textId="77777777" w:rsidR="0031439E" w:rsidRPr="00A14207" w:rsidRDefault="0031439E" w:rsidP="0031439E">
            <w:pPr>
              <w:rPr>
                <w:rStyle w:val="st"/>
                <w:rFonts w:ascii="Palatino Linotype" w:hAnsi="Palatino Linotype"/>
                <w:sz w:val="18"/>
                <w:szCs w:val="18"/>
              </w:rPr>
            </w:pPr>
            <w:r w:rsidRPr="00A14207">
              <w:rPr>
                <w:rStyle w:val="st"/>
                <w:rFonts w:ascii="Palatino Linotype" w:hAnsi="Palatino Linotype"/>
                <w:sz w:val="18"/>
                <w:szCs w:val="18"/>
              </w:rPr>
              <w:t>rs11721818,</w:t>
            </w:r>
            <w:r>
              <w:rPr>
                <w:rStyle w:val="st"/>
                <w:rFonts w:ascii="Palatino Linotype" w:hAnsi="Palatino Linotype"/>
                <w:sz w:val="18"/>
                <w:szCs w:val="18"/>
              </w:rPr>
              <w:t xml:space="preserve"> </w:t>
            </w:r>
            <w:r w:rsidRPr="00A14207">
              <w:rPr>
                <w:rStyle w:val="st"/>
                <w:rFonts w:ascii="Palatino Linotype" w:hAnsi="Palatino Linotype"/>
                <w:sz w:val="18"/>
                <w:szCs w:val="18"/>
              </w:rPr>
              <w:t>rs2375801</w:t>
            </w:r>
            <w:r>
              <w:rPr>
                <w:rStyle w:val="st"/>
                <w:rFonts w:ascii="Palatino Linotype" w:hAnsi="Palatino Linotype"/>
                <w:sz w:val="18"/>
                <w:szCs w:val="18"/>
              </w:rPr>
              <w:t>, r</w:t>
            </w:r>
            <w:r w:rsidRPr="00A14207">
              <w:rPr>
                <w:rStyle w:val="st"/>
                <w:rFonts w:ascii="Palatino Linotype" w:hAnsi="Palatino Linotype"/>
                <w:sz w:val="18"/>
                <w:szCs w:val="18"/>
              </w:rPr>
              <w:t>s6553010</w:t>
            </w:r>
            <w:r>
              <w:rPr>
                <w:rStyle w:val="st"/>
                <w:rFonts w:ascii="Palatino Linotype" w:hAnsi="Palatino Linotype"/>
                <w:sz w:val="18"/>
                <w:szCs w:val="18"/>
              </w:rPr>
              <w:t xml:space="preserve"> (</w:t>
            </w:r>
            <w:r w:rsidRPr="00265F30">
              <w:rPr>
                <w:rStyle w:val="st"/>
                <w:rFonts w:ascii="Palatino Linotype" w:hAnsi="Palatino Linotype"/>
                <w:i/>
                <w:iCs/>
                <w:sz w:val="18"/>
                <w:szCs w:val="18"/>
              </w:rPr>
              <w:t>MTNR1A</w:t>
            </w:r>
            <w:r>
              <w:rPr>
                <w:rStyle w:val="st"/>
                <w:rFonts w:ascii="Palatino Linotype" w:hAnsi="Palatino Linotype"/>
                <w:sz w:val="18"/>
                <w:szCs w:val="18"/>
              </w:rPr>
              <w:t xml:space="preserve">), </w:t>
            </w:r>
            <w:r w:rsidRPr="00A14207">
              <w:rPr>
                <w:rStyle w:val="st"/>
                <w:rFonts w:ascii="Palatino Linotype" w:hAnsi="Palatino Linotype"/>
                <w:sz w:val="18"/>
                <w:szCs w:val="18"/>
              </w:rPr>
              <w:t xml:space="preserve">rs4753426,  </w:t>
            </w:r>
          </w:p>
          <w:p w14:paraId="6EF23D2B" w14:textId="4C02A13B" w:rsidR="0031439E" w:rsidRPr="00B8785F" w:rsidRDefault="0031439E" w:rsidP="0031439E">
            <w:pPr>
              <w:rPr>
                <w:rFonts w:ascii="Palatino Linotype" w:hAnsi="Palatino Linotype" w:cstheme="minorHAnsi"/>
                <w:sz w:val="18"/>
                <w:szCs w:val="18"/>
              </w:rPr>
            </w:pPr>
            <w:r w:rsidRPr="00A14207">
              <w:rPr>
                <w:rStyle w:val="st"/>
                <w:rFonts w:ascii="Palatino Linotype" w:hAnsi="Palatino Linotype"/>
                <w:sz w:val="18"/>
                <w:szCs w:val="18"/>
              </w:rPr>
              <w:t>rs10830963</w:t>
            </w:r>
            <w:r>
              <w:rPr>
                <w:rStyle w:val="st"/>
                <w:rFonts w:ascii="Palatino Linotype" w:hAnsi="Palatino Linotype"/>
                <w:sz w:val="18"/>
                <w:szCs w:val="18"/>
              </w:rPr>
              <w:t>, r</w:t>
            </w:r>
            <w:r w:rsidRPr="00A14207">
              <w:rPr>
                <w:rStyle w:val="st"/>
                <w:rFonts w:ascii="Palatino Linotype" w:hAnsi="Palatino Linotype"/>
                <w:sz w:val="18"/>
                <w:szCs w:val="18"/>
              </w:rPr>
              <w:t>s3781637</w:t>
            </w:r>
            <w:r>
              <w:rPr>
                <w:rStyle w:val="st"/>
                <w:rFonts w:ascii="Palatino Linotype" w:hAnsi="Palatino Linotype"/>
                <w:sz w:val="18"/>
                <w:szCs w:val="18"/>
              </w:rPr>
              <w:t xml:space="preserve"> (</w:t>
            </w:r>
            <w:r w:rsidRPr="00265F30">
              <w:rPr>
                <w:rStyle w:val="st"/>
                <w:rFonts w:ascii="Palatino Linotype" w:hAnsi="Palatino Linotype"/>
                <w:i/>
                <w:iCs/>
                <w:sz w:val="18"/>
                <w:szCs w:val="18"/>
              </w:rPr>
              <w:t>MTNR1B</w:t>
            </w:r>
            <w:r>
              <w:rPr>
                <w:rStyle w:val="st"/>
                <w:rFonts w:ascii="Palatino Linotype" w:hAnsi="Palatino Linotype"/>
                <w:sz w:val="18"/>
                <w:szCs w:val="18"/>
              </w:rPr>
              <w:t>)</w:t>
            </w:r>
          </w:p>
        </w:tc>
        <w:tc>
          <w:tcPr>
            <w:tcW w:w="1080" w:type="dxa"/>
          </w:tcPr>
          <w:p w14:paraId="5E218A90" w14:textId="1BF032D9"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418 (</w:t>
            </w:r>
            <w:r w:rsidRPr="00A14207">
              <w:rPr>
                <w:rFonts w:ascii="Palatino Linotype" w:hAnsi="Palatino Linotype" w:cstheme="minorHAnsi"/>
                <w:sz w:val="18"/>
                <w:szCs w:val="18"/>
              </w:rPr>
              <w:t>256</w:t>
            </w:r>
            <w:r>
              <w:rPr>
                <w:rFonts w:ascii="Palatino Linotype" w:hAnsi="Palatino Linotype" w:cstheme="minorHAnsi"/>
                <w:sz w:val="18"/>
                <w:szCs w:val="18"/>
              </w:rPr>
              <w:t xml:space="preserve"> with </w:t>
            </w:r>
            <w:r w:rsidRPr="00A14207">
              <w:rPr>
                <w:rFonts w:ascii="Palatino Linotype" w:hAnsi="Palatino Linotype" w:cstheme="minorHAnsi"/>
                <w:sz w:val="18"/>
                <w:szCs w:val="18"/>
              </w:rPr>
              <w:t>TD)</w:t>
            </w:r>
          </w:p>
        </w:tc>
        <w:tc>
          <w:tcPr>
            <w:tcW w:w="1170" w:type="dxa"/>
          </w:tcPr>
          <w:p w14:paraId="47CD9E8A" w14:textId="68DB5D36" w:rsidR="0031439E" w:rsidRDefault="0031439E" w:rsidP="0031439E">
            <w:pPr>
              <w:rPr>
                <w:rFonts w:ascii="Palatino Linotype" w:hAnsi="Palatino Linotype" w:cstheme="minorHAnsi"/>
                <w:sz w:val="18"/>
                <w:szCs w:val="18"/>
              </w:rPr>
            </w:pPr>
            <w:r w:rsidRPr="00991BCD">
              <w:rPr>
                <w:rFonts w:ascii="Palatino Linotype" w:hAnsi="Palatino Linotype" w:cstheme="minorHAnsi"/>
                <w:sz w:val="18"/>
                <w:szCs w:val="18"/>
              </w:rPr>
              <w:t>Han Chinese</w:t>
            </w:r>
          </w:p>
        </w:tc>
        <w:tc>
          <w:tcPr>
            <w:tcW w:w="1350" w:type="dxa"/>
          </w:tcPr>
          <w:p w14:paraId="3647E103" w14:textId="4293CB2A"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7E8FF180" w14:textId="3AE5EF56" w:rsidR="0031439E" w:rsidRPr="00BC6146" w:rsidRDefault="0031439E" w:rsidP="0031439E">
            <w:pPr>
              <w:rPr>
                <w:rFonts w:ascii="Palatino Linotype" w:hAnsi="Palatino Linotype" w:cstheme="minorHAnsi"/>
                <w:sz w:val="18"/>
                <w:szCs w:val="18"/>
              </w:rPr>
            </w:pPr>
            <w:r w:rsidRPr="00991BCD">
              <w:rPr>
                <w:rFonts w:ascii="Palatino Linotype" w:hAnsi="Palatino Linotype" w:cstheme="minorHAnsi"/>
                <w:sz w:val="18"/>
                <w:szCs w:val="18"/>
              </w:rPr>
              <w:t>DSM-IV</w:t>
            </w:r>
          </w:p>
        </w:tc>
        <w:tc>
          <w:tcPr>
            <w:tcW w:w="1170" w:type="dxa"/>
          </w:tcPr>
          <w:p w14:paraId="7330AB4A" w14:textId="221B915B"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2D283663" w14:textId="16A4251B"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7ABB3B38" w14:textId="32303681"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TaqMan assay</w:t>
            </w:r>
          </w:p>
        </w:tc>
        <w:tc>
          <w:tcPr>
            <w:tcW w:w="2507" w:type="dxa"/>
          </w:tcPr>
          <w:p w14:paraId="7BDBC994" w14:textId="7EA7C774" w:rsidR="0031439E" w:rsidRPr="006A1E5F" w:rsidRDefault="0031439E" w:rsidP="0031439E">
            <w:pPr>
              <w:rPr>
                <w:rFonts w:ascii="Palatino Linotype" w:hAnsi="Palatino Linotype" w:cstheme="minorHAnsi"/>
                <w:sz w:val="18"/>
                <w:szCs w:val="18"/>
              </w:rPr>
            </w:pPr>
            <w:r w:rsidRPr="00C8453B">
              <w:rPr>
                <w:rFonts w:ascii="Palatino Linotype" w:hAnsi="Palatino Linotype" w:cstheme="minorHAnsi"/>
                <w:sz w:val="18"/>
                <w:szCs w:val="18"/>
              </w:rPr>
              <w:t>rs11721818</w:t>
            </w:r>
            <w:r>
              <w:rPr>
                <w:rFonts w:ascii="Palatino Linotype" w:hAnsi="Palatino Linotype" w:cstheme="minorHAnsi"/>
                <w:sz w:val="18"/>
                <w:szCs w:val="18"/>
              </w:rPr>
              <w:t>A,</w:t>
            </w:r>
            <w:r w:rsidRPr="00C8453B">
              <w:rPr>
                <w:rFonts w:ascii="Palatino Linotype" w:hAnsi="Palatino Linotype" w:cstheme="minorHAnsi"/>
                <w:sz w:val="18"/>
                <w:szCs w:val="18"/>
              </w:rPr>
              <w:t xml:space="preserve"> rs2375801</w:t>
            </w:r>
            <w:r>
              <w:rPr>
                <w:rFonts w:ascii="Palatino Linotype" w:hAnsi="Palatino Linotype" w:cstheme="minorHAnsi"/>
                <w:sz w:val="18"/>
                <w:szCs w:val="18"/>
              </w:rPr>
              <w:t>T</w:t>
            </w:r>
            <w:r w:rsidRPr="00C8453B">
              <w:rPr>
                <w:rFonts w:ascii="Palatino Linotype" w:hAnsi="Palatino Linotype" w:cstheme="minorHAnsi"/>
                <w:sz w:val="18"/>
                <w:szCs w:val="18"/>
              </w:rPr>
              <w:t>,</w:t>
            </w:r>
            <w:r>
              <w:rPr>
                <w:rFonts w:ascii="Palatino Linotype" w:hAnsi="Palatino Linotype" w:cstheme="minorHAnsi"/>
                <w:sz w:val="18"/>
                <w:szCs w:val="18"/>
              </w:rPr>
              <w:t xml:space="preserve"> and </w:t>
            </w:r>
            <w:r w:rsidRPr="00C8453B">
              <w:rPr>
                <w:rFonts w:ascii="Palatino Linotype" w:hAnsi="Palatino Linotype" w:cstheme="minorHAnsi"/>
                <w:sz w:val="18"/>
                <w:szCs w:val="18"/>
              </w:rPr>
              <w:t>rs6553010</w:t>
            </w:r>
            <w:r>
              <w:rPr>
                <w:rFonts w:ascii="Palatino Linotype" w:hAnsi="Palatino Linotype" w:cstheme="minorHAnsi"/>
                <w:sz w:val="18"/>
                <w:szCs w:val="18"/>
              </w:rPr>
              <w:t>G</w:t>
            </w:r>
            <w:r w:rsidRPr="00C8453B">
              <w:rPr>
                <w:rFonts w:ascii="Palatino Linotype" w:hAnsi="Palatino Linotype" w:cstheme="minorHAnsi"/>
                <w:sz w:val="18"/>
                <w:szCs w:val="18"/>
              </w:rPr>
              <w:t xml:space="preserve"> </w:t>
            </w:r>
            <w:r>
              <w:rPr>
                <w:rFonts w:ascii="Palatino Linotype" w:hAnsi="Palatino Linotype" w:cstheme="minorHAnsi"/>
                <w:sz w:val="18"/>
                <w:szCs w:val="18"/>
              </w:rPr>
              <w:t xml:space="preserve">haplotype has a protective effect </w:t>
            </w:r>
          </w:p>
        </w:tc>
        <w:tc>
          <w:tcPr>
            <w:tcW w:w="2173" w:type="dxa"/>
          </w:tcPr>
          <w:p w14:paraId="314EA1C3" w14:textId="51DB1EEA" w:rsidR="0031439E" w:rsidRPr="00C8453B"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{"citationItems":[{"id":"ITEM-1","itemData":{"DOI":"10.3109/15622975.2010.496870","ISSN":"1814-1412","PMID":"20726823","abstract":"OBJECTIVES Antipsychotics-induced tardive dyskinesia (TD) has been suggested to be related to altered dopaminergic neurotransmission in the striatum. Melatonin has a modulating effect on dopaminergic neurotransmission in the brain; therefore, the hypothesis of an association between the melatonin receptor genes (MTNR1A, MTNR1B) and antipsychotics-induced TD was examined in this study. METHODS Schizophrenic inpatients receiving long-term antipsychotic treatment were assessed using the Abnormal Involuntary Movement Scale, and only patients who were either free of any abnormal involuntary movement (non-TD group) or who demonstrated persistent TD (TD group) were enrolled. Genotyping of six tagging single nucleus polymorphisms (SNPs) in the melatonin receptor genes (MRNR1A, MTNR1B) was then performed for each subject. RESULTS Four hundred and eighteen inpatients (TD=256, non-TD=162) fitted the study criteria and underwent TD assessment and genotyping. Individual haplotype analysis showed that the haplotype ATG was significantly associated with non-TD (permutation P=0.037), and the association was also found to be significant by global haplotype analyses (permutation P=0.045). CONCLUSIONS Our results indicated a significant association between the haplotype ATG in the MTNR1A gene and non-TD. Further replication in other countries or other populations is indicated.","author":[{"dropping-particle":"","family":"Lai","given":"I-Ching","non-dropping-particle":"","parse-names":false,"suffix":""},{"dropping-particle":"","family":"Chen","given":"Mao-Liang","non-dropping-particle":"","parse-names":false,"suffix":""},{"dropping-particle":"","family":"Wang","given":"Ying-Chieh","non-dropping-particle":"","parse-names":false,"suffix":""},{"dropping-particle":"","family":"Chen","given":"Jen-Yeu","non-dropping-particle":"","parse-names":false,"suffix":""},{"dropping-particle":"","family":"Liao","given":"Ding-Lieh","non-dropping-particle":"","parse-names":false,"suffix":""},{"dropping-particle":"","family":"Bai","given":"Ya-Mei","non-dropping-particle":"","parse-names":false,"suffix":""},{"dropping-particle":"","family":"Lin","given":"Chao-Cheng","non-dropping-particle":"","parse-names":false,"suffix":""},{"dropping-particle":"","family":"Chen","given":"Tzu-Ting","non-dropping-particle":"","parse-names":false,"suffix":""},{"dropping-particle":"","family":"Liou","given":"Ying-Jay","non-dropping-particle":"","parse-names":false,"suffix":""}],"container-title":"The world journal of biological psychiatry : the official journal of the World Federation of Societies of Biological Psychiatry","id":"ITEM-1","issue":"2","issued":{"date-parts":[["2011","3"]]},"page":"143-8","publisher":"World J Biol Psychiatry","title":"Analysis of genetic variations in the human melatonin receptor (MTNR1A, MTNR1B) genes and antipsychotics-induced tardive dyskinesia in schizophrenia.","type":"article-journal","volume":"12"},"uris":["http://www.mendeley.com/documents/?uuid=573cba31-b342-3956-80f8-9dddadfca98f"]}],"mendeley":{"formattedCitation":"(Lai et al. 2011a)","plainTextFormattedCitation":"(Lai et al. 2011a)","previouslyFormattedCitation":"(Lai et al. 2011a)"},"properties":{"noteIndex":0},"schema":"https://github.com/citation-style-language/schema/raw/master/csl-citation.json"}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(Lai et al. 2011a)</w:t>
            </w:r>
            <w:r>
              <w:rPr>
                <w:rFonts w:ascii="Palatino Linotype" w:hAnsi="Palatino Linotype" w:cstheme="minorHAnsi"/>
                <w:sz w:val="18"/>
                <w:szCs w:val="18"/>
              </w:rPr>
              <w:fldChar w:fldCharType="end"/>
            </w:r>
          </w:p>
        </w:tc>
      </w:tr>
      <w:tr w:rsidR="0031439E" w:rsidRPr="00EA57B8" w14:paraId="4AE09D82" w14:textId="30A0942D" w:rsidTr="0031439E">
        <w:tc>
          <w:tcPr>
            <w:tcW w:w="1094" w:type="dxa"/>
          </w:tcPr>
          <w:p w14:paraId="110BC606" w14:textId="40C035DB"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DRD1</w:t>
            </w:r>
          </w:p>
        </w:tc>
        <w:tc>
          <w:tcPr>
            <w:tcW w:w="1080" w:type="dxa"/>
          </w:tcPr>
          <w:p w14:paraId="0BB87E38" w14:textId="28DEECED" w:rsidR="0031439E" w:rsidRPr="00B8785F"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rs5326, rs4532 and rs265975</w:t>
            </w:r>
          </w:p>
        </w:tc>
        <w:tc>
          <w:tcPr>
            <w:tcW w:w="1080" w:type="dxa"/>
          </w:tcPr>
          <w:p w14:paraId="3FCEDA00" w14:textId="0B33F5D3"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220</w:t>
            </w:r>
          </w:p>
        </w:tc>
        <w:tc>
          <w:tcPr>
            <w:tcW w:w="1170" w:type="dxa"/>
          </w:tcPr>
          <w:p w14:paraId="7D8DF98E" w14:textId="636A5C3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Han Chinese </w:t>
            </w:r>
          </w:p>
        </w:tc>
        <w:tc>
          <w:tcPr>
            <w:tcW w:w="1350" w:type="dxa"/>
          </w:tcPr>
          <w:p w14:paraId="4AABA855" w14:textId="025FBB0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3665A683" w14:textId="2D963B8E" w:rsidR="0031439E" w:rsidRPr="00BC6146" w:rsidRDefault="0031439E" w:rsidP="0031439E">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74B1BD10" w14:textId="77778BC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&amp; </w:t>
            </w:r>
            <w:r w:rsidRPr="006A1E5F">
              <w:rPr>
                <w:rFonts w:ascii="Palatino Linotype" w:hAnsi="Palatino Linotype"/>
                <w:sz w:val="18"/>
                <w:szCs w:val="18"/>
              </w:rPr>
              <w:t>Schooler and Kane’s criteria</w:t>
            </w:r>
          </w:p>
        </w:tc>
        <w:tc>
          <w:tcPr>
            <w:tcW w:w="1170" w:type="dxa"/>
          </w:tcPr>
          <w:p w14:paraId="61AF07F8" w14:textId="403A564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long-term antipsychotic treatment</w:t>
            </w:r>
          </w:p>
        </w:tc>
        <w:tc>
          <w:tcPr>
            <w:tcW w:w="1350" w:type="dxa"/>
          </w:tcPr>
          <w:p w14:paraId="12D1AA5C" w14:textId="190D3E9C"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assay</w:t>
            </w:r>
          </w:p>
        </w:tc>
        <w:tc>
          <w:tcPr>
            <w:tcW w:w="2507" w:type="dxa"/>
          </w:tcPr>
          <w:p w14:paraId="1081492A" w14:textId="2C27A577"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Significant association between GG genotype of </w:t>
            </w:r>
            <w:r w:rsidRPr="006A1E5F">
              <w:rPr>
                <w:rFonts w:ascii="Palatino Linotype" w:hAnsi="Palatino Linotype"/>
                <w:sz w:val="18"/>
                <w:szCs w:val="18"/>
                <w:lang w:eastAsia="el-GR"/>
              </w:rPr>
              <w:t xml:space="preserve">rs4532 </w:t>
            </w:r>
            <w:r>
              <w:rPr>
                <w:rFonts w:ascii="Palatino Linotype" w:hAnsi="Palatino Linotype"/>
                <w:sz w:val="18"/>
                <w:szCs w:val="18"/>
                <w:lang w:eastAsia="el-GR"/>
              </w:rPr>
              <w:t xml:space="preserve">and </w:t>
            </w:r>
            <w:r w:rsidRPr="006A1E5F">
              <w:rPr>
                <w:rFonts w:ascii="Palatino Linotype" w:hAnsi="Palatino Linotype"/>
                <w:sz w:val="18"/>
                <w:szCs w:val="18"/>
                <w:lang w:eastAsia="el-GR"/>
              </w:rPr>
              <w:t>TD</w:t>
            </w:r>
          </w:p>
        </w:tc>
        <w:tc>
          <w:tcPr>
            <w:tcW w:w="2173" w:type="dxa"/>
          </w:tcPr>
          <w:p w14:paraId="1B615020" w14:textId="55B4F71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{"citationItems":[{"id":"ITEM-1","itemData":{"DOI":"10.1007/s00228-010-0967-2","ISSN":"1432-1041","PMID":"21181138","abstract":"BACKGROUND Dyskinesia is a kind of abnormal involuntary movement disorder that increases with age. The pathogenesis of dyskinesia may result from divergent changes in dopamine D1 receptors (DRD1) and dopamine D2 receptors (DRD2) in the brain while aging. Tardive dyskinesia (TD), a kind of dyskinesia, may develop after long-term antipsychotic treatment. Because the prevalence of TD also steadily increased with age, TD has been suggested to be the consequence of an imbalance between DRD1 and DRD2. We supposed that patients who develop TD may have genetic variants of DRD1 that cause the excitatory effects of DRD1 overwhelming the attenuated inhibitory effects of DRD2 after antipsychotic treatment. METHODS In the present study, schizophrenic inpatients receiving long-term antipsychotic treatment were first assessed using the Abnormal Involuntary Movement Scale (AIMS), and only patients who were either free of any abnormal involuntary movements (non-TD group, AIMS =0) or who showed persistent TD (TD group) were enrolled. Finally, 382 patients were recruited (TD=220, non-TD=162) and three single nucleus polymorphisms (SNPs; rs5326, rs4532 and rs265975) of DRD1 were genotyped for each subject. RESULTS Genotype frequency (%; AA/AG/GG) of rs4532 (TD: non-TD) was 61.4/35.8/2.8: 74.2/24.5/1.3. After genetic analyses, genotype GG showed significant association with TD (if OR=2.0, power (%)=98.5; if OR=1.5, power (%)=63.7; P=0.033). Haplotype frequency (%) CGC of rs5326-rs4532-rs265975 (TD: non-TD) was 19.0:13.7; and after haplotype-based analyses, haplotype CGC also showed significant association with TD (OR=1.4, permutation P=0.027). CONCLUSION Our results indicate that the genotypic variants of DRD1 might play a role in the susceptibility of TD. Further replication in other countries or other populations is highly expected.","author":[{"dropping-particle":"","family":"Lai","given":"I-Ching","non-dropping-particle":"","parse-names":false,"suffix":""},{"dropping-particle":"","family":"Mo","given":"Geng-Han","non-dropping-particle":"","parse-names":false,"suffix":""},{"dropping-particle":"","family":"Chen","given":"Mao-Liang","non-dropping-particle":"","parse-names":false,"suffix":""},{"dropping-particle":"","family":"Wang","given":"Ying-Chieh","non-dropping-particle":"","parse-names":false,"suffix":""},{"dropping-particle":"","family":"Chen","given":"Jen-Yeu","non-dropping-particle":"","parse-names":false,"suffix":""},{"dropping-particle":"","family":"Liao","given":"Ding-Lieh","non-dropping-particle":"","parse-names":false,"suffix":""},{"dropping-particle":"","family":"Bai","given":"Ya-Mei","non-dropping-particle":"","parse-names":false,"suffix":""},{"dropping-particle":"","family":"Lin","given":"Chao-Cheng","non-dropping-particle":"","parse-names":false,"suffix":""},{"dropping-particle":"","family":"Chen","given":"Tzu-Ting","non-dropping-particle":"","parse-names":false,"suffix":""},{"dropping-particle":"","family":"Liou","given":"Ying-Jay","non-dropping-particle":"","parse-names":false,"suffix":""}],"container-title":"European journal of clinical pharmacology","id":"ITEM-1","issue":"4","issued":{"date-parts":[["2011","4","22"]]},"page":"383-388","title":"Analysis of genetic variations in the dopamine D1 receptor (DRD1) gene and antipsychotics-induced tardive dyskinesia in schizophrenia.","type":"article-journal","volume":"67"},"uris":["http://www.mendeley.com/documents/?uuid=8a93bd4f-a60f-3ab7-9d94-db13c2237c65"]}],"mendeley":{"formattedCitation":"(Lai et al. 2011b)","plainTextFormattedCitation":"(Lai et al. 2011b)","previouslyFormattedCitation":"(Lai et al. 2011b)"},"properties":{"noteIndex":0},"schema":"https://github.com/citation-style-language/schema/raw/master/csl-citation.json"}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(Lai et al. 2011b)</w:t>
            </w:r>
            <w:r w:rsidRPr="006A1E5F">
              <w:rPr>
                <w:rFonts w:ascii="Palatino Linotype" w:hAnsi="Palatino Linotype" w:cstheme="minorHAnsi"/>
                <w:sz w:val="18"/>
                <w:szCs w:val="18"/>
              </w:rPr>
              <w:fldChar w:fldCharType="end"/>
            </w:r>
          </w:p>
        </w:tc>
      </w:tr>
      <w:tr w:rsidR="0031439E" w:rsidRPr="00EA57B8" w14:paraId="1101F21A" w14:textId="7F4BA3ED" w:rsidTr="0031439E">
        <w:tc>
          <w:tcPr>
            <w:tcW w:w="1094" w:type="dxa"/>
          </w:tcPr>
          <w:p w14:paraId="2469BD31" w14:textId="099D1834" w:rsidR="0031439E" w:rsidRPr="000F3F98" w:rsidRDefault="0031439E" w:rsidP="0031439E">
            <w:pPr>
              <w:rPr>
                <w:rFonts w:ascii="Palatino Linotype" w:hAnsi="Palatino Linotype" w:cstheme="minorHAnsi"/>
                <w:i/>
                <w:iCs/>
                <w:sz w:val="18"/>
                <w:szCs w:val="18"/>
              </w:rPr>
            </w:pPr>
            <w:r w:rsidRPr="000F3F98">
              <w:rPr>
                <w:rStyle w:val="st"/>
                <w:rFonts w:ascii="Palatino Linotype" w:hAnsi="Palatino Linotype"/>
                <w:i/>
                <w:iCs/>
                <w:sz w:val="18"/>
                <w:szCs w:val="18"/>
              </w:rPr>
              <w:t>NRXN1</w:t>
            </w:r>
          </w:p>
        </w:tc>
        <w:tc>
          <w:tcPr>
            <w:tcW w:w="1080" w:type="dxa"/>
          </w:tcPr>
          <w:p w14:paraId="078BBE2C" w14:textId="6AB63CF5" w:rsidR="0031439E" w:rsidRPr="00B8785F" w:rsidRDefault="0031439E" w:rsidP="0031439E">
            <w:pPr>
              <w:rPr>
                <w:rFonts w:ascii="Palatino Linotype" w:hAnsi="Palatino Linotype" w:cstheme="minorHAnsi"/>
                <w:sz w:val="18"/>
                <w:szCs w:val="18"/>
              </w:rPr>
            </w:pPr>
            <w:r w:rsidRPr="006573EF">
              <w:rPr>
                <w:rStyle w:val="st"/>
                <w:rFonts w:ascii="Palatino Linotype" w:hAnsi="Palatino Linotype"/>
                <w:sz w:val="18"/>
                <w:szCs w:val="18"/>
              </w:rPr>
              <w:t>rs17041112, rs10490162, rs1400882,</w:t>
            </w:r>
            <w:r>
              <w:rPr>
                <w:rStyle w:val="st"/>
                <w:rFonts w:ascii="Palatino Linotype" w:hAnsi="Palatino Linotype"/>
                <w:sz w:val="18"/>
                <w:szCs w:val="18"/>
              </w:rPr>
              <w:t xml:space="preserve"> </w:t>
            </w:r>
            <w:r>
              <w:rPr>
                <w:rStyle w:val="st"/>
                <w:rFonts w:ascii="Palatino Linotype" w:hAnsi="Palatino Linotype"/>
                <w:sz w:val="18"/>
                <w:szCs w:val="18"/>
              </w:rPr>
              <w:lastRenderedPageBreak/>
              <w:t>r</w:t>
            </w:r>
            <w:r w:rsidRPr="006573EF">
              <w:rPr>
                <w:rStyle w:val="st"/>
                <w:rFonts w:ascii="Palatino Linotype" w:hAnsi="Palatino Linotype"/>
                <w:sz w:val="18"/>
                <w:szCs w:val="18"/>
              </w:rPr>
              <w:t>s12467557, and rs1045881</w:t>
            </w:r>
          </w:p>
        </w:tc>
        <w:tc>
          <w:tcPr>
            <w:tcW w:w="1080" w:type="dxa"/>
          </w:tcPr>
          <w:p w14:paraId="170B4866" w14:textId="6C4D7A70"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lastRenderedPageBreak/>
              <w:t>178 (72 with TD)</w:t>
            </w:r>
          </w:p>
        </w:tc>
        <w:tc>
          <w:tcPr>
            <w:tcW w:w="1170" w:type="dxa"/>
          </w:tcPr>
          <w:p w14:paraId="26E51D30" w14:textId="735F090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p>
        </w:tc>
        <w:tc>
          <w:tcPr>
            <w:tcW w:w="1350" w:type="dxa"/>
          </w:tcPr>
          <w:p w14:paraId="3E9D93C1" w14:textId="1FEB4D5B" w:rsidR="0031439E" w:rsidRDefault="0031439E" w:rsidP="0031439E">
            <w:pPr>
              <w:rPr>
                <w:rFonts w:ascii="Palatino Linotype" w:hAnsi="Palatino Linotype" w:cstheme="minorHAnsi"/>
                <w:sz w:val="18"/>
                <w:szCs w:val="18"/>
              </w:rPr>
            </w:pPr>
            <w:r w:rsidRPr="00D71D88">
              <w:rPr>
                <w:rFonts w:ascii="Palatino Linotype" w:hAnsi="Palatino Linotype" w:cstheme="minorHAnsi"/>
                <w:sz w:val="18"/>
                <w:szCs w:val="18"/>
              </w:rPr>
              <w:t>schizophrenia</w:t>
            </w:r>
            <w:r>
              <w:t xml:space="preserve"> </w:t>
            </w:r>
            <w:r w:rsidRPr="00740687">
              <w:rPr>
                <w:rFonts w:ascii="Palatino Linotype" w:hAnsi="Palatino Linotype" w:cstheme="minorHAnsi"/>
                <w:sz w:val="18"/>
                <w:szCs w:val="18"/>
              </w:rPr>
              <w:t>or schizoaffective disorder</w:t>
            </w:r>
          </w:p>
        </w:tc>
        <w:tc>
          <w:tcPr>
            <w:tcW w:w="1260" w:type="dxa"/>
          </w:tcPr>
          <w:p w14:paraId="3E3A1A5F" w14:textId="21036BDC" w:rsidR="0031439E" w:rsidRPr="00BC6146" w:rsidRDefault="0031439E" w:rsidP="0031439E">
            <w:pPr>
              <w:rPr>
                <w:rFonts w:ascii="Palatino Linotype" w:hAnsi="Palatino Linotype" w:cstheme="minorHAnsi"/>
                <w:sz w:val="18"/>
                <w:szCs w:val="18"/>
              </w:rPr>
            </w:pPr>
            <w:r w:rsidRPr="00740687">
              <w:rPr>
                <w:rFonts w:ascii="Palatino Linotype" w:hAnsi="Palatino Linotype" w:cstheme="minorHAnsi"/>
                <w:sz w:val="18"/>
                <w:szCs w:val="18"/>
              </w:rPr>
              <w:t>DSM‐IIIR/IV</w:t>
            </w:r>
          </w:p>
        </w:tc>
        <w:tc>
          <w:tcPr>
            <w:tcW w:w="1170" w:type="dxa"/>
          </w:tcPr>
          <w:p w14:paraId="56127E62" w14:textId="1B4D9B8F"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1E876792" w14:textId="0B557F1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4B9D0A14" w14:textId="69FA3DEB" w:rsidR="0031439E" w:rsidRPr="006A1E5F" w:rsidRDefault="0031439E" w:rsidP="0031439E">
            <w:pPr>
              <w:rPr>
                <w:rFonts w:ascii="Palatino Linotype" w:hAnsi="Palatino Linotype" w:cstheme="minorHAnsi"/>
                <w:sz w:val="18"/>
                <w:szCs w:val="18"/>
              </w:rPr>
            </w:pPr>
            <w:r w:rsidRPr="006573EF">
              <w:rPr>
                <w:rStyle w:val="st"/>
                <w:rFonts w:ascii="Palatino Linotype" w:hAnsi="Palatino Linotype"/>
                <w:sz w:val="18"/>
                <w:szCs w:val="18"/>
              </w:rPr>
              <w:t>custom‐designed Illumina platform</w:t>
            </w:r>
          </w:p>
        </w:tc>
        <w:tc>
          <w:tcPr>
            <w:tcW w:w="2507" w:type="dxa"/>
          </w:tcPr>
          <w:p w14:paraId="62988A63" w14:textId="40265E0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13DCC62B" w14:textId="58BE1C7F"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{"citationItems":[{"id":"ITEM-1","itemData":{"DOI":"10.1002/hup.2568","ISSN":"1099-1077","PMID":"28120489","abstract":"OBJECTIVE Tardive dyskinesia (TD) is a motor side effect that may develop after long-term antipsychotic treatment. Schizophrenia has recently been associated with the Neurexin-1 (NRXN1) gene that codes for a cell adhesion molecule in synaptic communication. METHODS This study examined five NRXN1 single-nucleotide polymorphisms (SNPs) for possible association with the occurrence and severity of TD in 178 schizophrenia patients of European ancestry. RESULTS We did not find these SNPs to be significantly associated with TD. CONCLUSIONS More research is needed with additional SNPs and in bigger samples before we can completely rule out the role of NRXN1 in TD.","author":[{"dropping-particle":"","family":"Lanning","given":"Rachel","non-dropping-particle":"","parse-names":false,"suffix":""},{"dropping-particle":"","family":"Lett","given":"Tristram A","non-dropping-particle":"","parse-names":false,"suffix":""},{"dropping-particle":"","family":"Tiwari","given":"Arun K","non-dropping-particle":"","parse-names":false,"suffix":""},{"dropping-particle":"","family":"Brandl","given":"Eva J","non-dropping-particle":"","parse-names":false,"suffix":""},{"dropping-particle":"","family":"Luca","given":"Vincenzo","non-dropping-particle":"de","parse-names":false,"suffix":""},{"dropping-particle":"","family":"Voineskos","given":"Aristotle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Y","non-dropping-particle":"","parse-names":false,"suffix":""},{"dropping-particle":"","family":"Müller","given":"Daniel J","non-dropping-particle":"","parse-names":false,"suffix":""},{"dropping-particle":"","family":"Remington","given":"Gary","non-dropping-particle":"","parse-names":false,"suffix":""},{"dropping-particle":"","family":"Kennedy","given":"James L","non-dropping-particle":"","parse-names":false,"suffix":""},{"dropping-particle":"","family":"Zai","given":"Clement C","non-dropping-particle":"","parse-names":false,"suffix":""}],"container-title":"Human psychopharmacology","id":"ITEM-1","issue":"1","issued":{"date-parts":[["2017"]]},"publisher":"Hum Psychopharmacol","title":"Association study between the neurexin-1 gene and tardive dyskinesia.","type":"article-journal","volume":"32"},"uris":["http://www.mendeley.com/documents/?uuid=12ed2dd8-82bd-34ac-9cf3-bc23723903df"]}],"mendeley":{"formattedCitation":"(Lanning et al. 2017)","plainTextFormattedCitation":"(Lanning et al. 2017)","previouslyFormattedCitation":"(Lanning et al. 2017)"},"properties":{"noteIndex":0},"schema":"https://github.com/citation-style-language/schema/raw/master/csl-citation.json"}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(Lanning et al. 2017)</w:t>
            </w:r>
            <w:r>
              <w:rPr>
                <w:rFonts w:ascii="Palatino Linotype" w:hAnsi="Palatino Linotype" w:cstheme="minorHAnsi"/>
                <w:sz w:val="18"/>
                <w:szCs w:val="18"/>
              </w:rPr>
              <w:fldChar w:fldCharType="end"/>
            </w:r>
          </w:p>
        </w:tc>
      </w:tr>
      <w:tr w:rsidR="0031439E" w:rsidRPr="00EA57B8" w14:paraId="6D354148" w14:textId="17AB17E5" w:rsidTr="0031439E">
        <w:tc>
          <w:tcPr>
            <w:tcW w:w="1094" w:type="dxa"/>
          </w:tcPr>
          <w:p w14:paraId="7F57B47F" w14:textId="5095D70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62B45B07" w14:textId="1F664F94" w:rsidR="0031439E" w:rsidRPr="00B8785F" w:rsidRDefault="0031439E" w:rsidP="0031439E">
            <w:pPr>
              <w:rPr>
                <w:rFonts w:ascii="Palatino Linotype" w:hAnsi="Palatino Linotype" w:cstheme="minorHAnsi"/>
                <w:sz w:val="18"/>
                <w:szCs w:val="18"/>
              </w:rPr>
            </w:pPr>
            <w:r>
              <w:rPr>
                <w:rStyle w:val="st"/>
                <w:rFonts w:ascii="Palatino Linotype" w:hAnsi="Palatino Linotype"/>
                <w:sz w:val="18"/>
                <w:szCs w:val="18"/>
              </w:rPr>
              <w:t>rs6280</w:t>
            </w:r>
          </w:p>
        </w:tc>
        <w:tc>
          <w:tcPr>
            <w:tcW w:w="1080" w:type="dxa"/>
          </w:tcPr>
          <w:p w14:paraId="3C151527" w14:textId="3307B12A" w:rsidR="0031439E" w:rsidRDefault="0031439E" w:rsidP="0031439E">
            <w:pPr>
              <w:rPr>
                <w:rFonts w:ascii="Palatino Linotype" w:hAnsi="Palatino Linotype" w:cstheme="minorHAnsi"/>
                <w:sz w:val="18"/>
                <w:szCs w:val="18"/>
              </w:rPr>
            </w:pPr>
            <w:r w:rsidRPr="00D812DB">
              <w:rPr>
                <w:rFonts w:ascii="Palatino Linotype" w:hAnsi="Palatino Linotype" w:cstheme="minorHAnsi"/>
                <w:sz w:val="18"/>
                <w:szCs w:val="18"/>
              </w:rPr>
              <w:t>780 patients (317 with</w:t>
            </w:r>
            <w:r>
              <w:rPr>
                <w:rFonts w:ascii="Palatino Linotype" w:hAnsi="Palatino Linotype" w:cstheme="minorHAnsi"/>
                <w:sz w:val="18"/>
                <w:szCs w:val="18"/>
              </w:rPr>
              <w:t xml:space="preserve"> </w:t>
            </w:r>
            <w:r w:rsidRPr="00D812DB">
              <w:rPr>
                <w:rFonts w:ascii="Palatino Linotype" w:hAnsi="Palatino Linotype" w:cstheme="minorHAnsi"/>
                <w:sz w:val="18"/>
                <w:szCs w:val="18"/>
              </w:rPr>
              <w:t>TD)</w:t>
            </w:r>
          </w:p>
        </w:tc>
        <w:tc>
          <w:tcPr>
            <w:tcW w:w="1170" w:type="dxa"/>
          </w:tcPr>
          <w:p w14:paraId="49246E46" w14:textId="77777777" w:rsidR="0031439E" w:rsidRPr="00D812DB" w:rsidRDefault="0031439E" w:rsidP="0031439E">
            <w:pPr>
              <w:rPr>
                <w:rFonts w:ascii="Palatino Linotype" w:hAnsi="Palatino Linotype" w:cstheme="minorHAnsi"/>
                <w:sz w:val="18"/>
                <w:szCs w:val="18"/>
              </w:rPr>
            </w:pPr>
            <w:r w:rsidRPr="00D812DB">
              <w:rPr>
                <w:rFonts w:ascii="Palatino Linotype" w:hAnsi="Palatino Linotype" w:cstheme="minorHAnsi"/>
                <w:sz w:val="18"/>
                <w:szCs w:val="18"/>
              </w:rPr>
              <w:t>Caucasia</w:t>
            </w:r>
            <w:r>
              <w:rPr>
                <w:rFonts w:ascii="Palatino Linotype" w:hAnsi="Palatino Linotype" w:cstheme="minorHAnsi"/>
                <w:sz w:val="18"/>
                <w:szCs w:val="18"/>
              </w:rPr>
              <w:t xml:space="preserve">n (Northern Italian, German, Austrian), Israeli, </w:t>
            </w:r>
            <w:r w:rsidRPr="00D812DB">
              <w:rPr>
                <w:rFonts w:ascii="Palatino Linotype" w:hAnsi="Palatino Linotype" w:cstheme="minorHAnsi"/>
                <w:sz w:val="18"/>
                <w:szCs w:val="18"/>
              </w:rPr>
              <w:t xml:space="preserve">African </w:t>
            </w:r>
          </w:p>
          <w:p w14:paraId="0FD94B71" w14:textId="15A7615A" w:rsidR="0031439E" w:rsidRDefault="0031439E" w:rsidP="0031439E">
            <w:pPr>
              <w:rPr>
                <w:rFonts w:ascii="Palatino Linotype" w:hAnsi="Palatino Linotype" w:cstheme="minorHAnsi"/>
                <w:sz w:val="18"/>
                <w:szCs w:val="18"/>
              </w:rPr>
            </w:pPr>
            <w:r w:rsidRPr="00D812DB">
              <w:rPr>
                <w:rFonts w:ascii="Palatino Linotype" w:hAnsi="Palatino Linotype" w:cstheme="minorHAnsi"/>
                <w:sz w:val="18"/>
                <w:szCs w:val="18"/>
              </w:rPr>
              <w:t>America</w:t>
            </w:r>
            <w:r>
              <w:rPr>
                <w:rFonts w:ascii="Palatino Linotype" w:hAnsi="Palatino Linotype" w:cstheme="minorHAnsi"/>
                <w:sz w:val="18"/>
                <w:szCs w:val="18"/>
              </w:rPr>
              <w:t>n</w:t>
            </w:r>
          </w:p>
        </w:tc>
        <w:tc>
          <w:tcPr>
            <w:tcW w:w="1350" w:type="dxa"/>
          </w:tcPr>
          <w:p w14:paraId="514E7F14" w14:textId="77777777" w:rsidR="0031439E" w:rsidRPr="00B97AF2" w:rsidRDefault="0031439E" w:rsidP="0031439E">
            <w:pPr>
              <w:rPr>
                <w:rFonts w:ascii="Palatino Linotype" w:hAnsi="Palatino Linotype" w:cstheme="minorHAnsi"/>
                <w:sz w:val="18"/>
                <w:szCs w:val="18"/>
              </w:rPr>
            </w:pPr>
            <w:r w:rsidRPr="00B97AF2">
              <w:rPr>
                <w:rFonts w:ascii="Palatino Linotype" w:hAnsi="Palatino Linotype" w:cstheme="minorHAnsi"/>
                <w:sz w:val="18"/>
                <w:szCs w:val="18"/>
              </w:rPr>
              <w:t>Schizophreni</w:t>
            </w:r>
            <w:r>
              <w:rPr>
                <w:rFonts w:ascii="Palatino Linotype" w:hAnsi="Palatino Linotype" w:cstheme="minorHAnsi"/>
                <w:sz w:val="18"/>
                <w:szCs w:val="18"/>
              </w:rPr>
              <w:t xml:space="preserve">a or </w:t>
            </w:r>
            <w:r w:rsidRPr="00B97AF2">
              <w:rPr>
                <w:rFonts w:ascii="Palatino Linotype" w:hAnsi="Palatino Linotype" w:cstheme="minorHAnsi"/>
                <w:sz w:val="18"/>
                <w:szCs w:val="18"/>
              </w:rPr>
              <w:t>schizoaffective</w:t>
            </w:r>
          </w:p>
          <w:p w14:paraId="1E2FF276" w14:textId="4B6E03BF" w:rsidR="0031439E" w:rsidRDefault="0031439E" w:rsidP="0031439E">
            <w:pPr>
              <w:rPr>
                <w:rFonts w:ascii="Palatino Linotype" w:hAnsi="Palatino Linotype" w:cstheme="minorHAnsi"/>
                <w:sz w:val="18"/>
                <w:szCs w:val="18"/>
              </w:rPr>
            </w:pPr>
            <w:r w:rsidRPr="00B97AF2">
              <w:rPr>
                <w:rFonts w:ascii="Palatino Linotype" w:hAnsi="Palatino Linotype" w:cstheme="minorHAnsi"/>
                <w:sz w:val="18"/>
                <w:szCs w:val="18"/>
              </w:rPr>
              <w:t>disorder</w:t>
            </w:r>
          </w:p>
        </w:tc>
        <w:tc>
          <w:tcPr>
            <w:tcW w:w="1260" w:type="dxa"/>
          </w:tcPr>
          <w:p w14:paraId="30756C7D" w14:textId="56929C4A" w:rsidR="0031439E" w:rsidRPr="00BC6146" w:rsidRDefault="0031439E" w:rsidP="0031439E">
            <w:pPr>
              <w:rPr>
                <w:rFonts w:ascii="Palatino Linotype" w:hAnsi="Palatino Linotype" w:cstheme="minorHAnsi"/>
                <w:sz w:val="18"/>
                <w:szCs w:val="18"/>
              </w:rPr>
            </w:pPr>
            <w:r w:rsidRPr="00B97AF2">
              <w:rPr>
                <w:rFonts w:ascii="Palatino Linotype" w:hAnsi="Palatino Linotype" w:cstheme="minorHAnsi"/>
                <w:sz w:val="18"/>
                <w:szCs w:val="18"/>
              </w:rPr>
              <w:t>DSM-IV</w:t>
            </w:r>
            <w:r>
              <w:rPr>
                <w:rFonts w:ascii="Palatino Linotype" w:hAnsi="Palatino Linotype" w:cstheme="minorHAnsi"/>
                <w:sz w:val="18"/>
                <w:szCs w:val="18"/>
              </w:rPr>
              <w:t>, I</w:t>
            </w:r>
            <w:r w:rsidRPr="00B97AF2">
              <w:rPr>
                <w:rFonts w:ascii="Palatino Linotype" w:hAnsi="Palatino Linotype" w:cstheme="minorHAnsi"/>
                <w:sz w:val="18"/>
                <w:szCs w:val="18"/>
              </w:rPr>
              <w:t>CD-9</w:t>
            </w:r>
          </w:p>
        </w:tc>
        <w:tc>
          <w:tcPr>
            <w:tcW w:w="1170" w:type="dxa"/>
          </w:tcPr>
          <w:p w14:paraId="23CFC629" w14:textId="51829DEC" w:rsidR="0031439E" w:rsidRPr="006A1E5F" w:rsidRDefault="0031439E" w:rsidP="0031439E">
            <w:pPr>
              <w:rPr>
                <w:rFonts w:ascii="Palatino Linotype" w:hAnsi="Palatino Linotype" w:cstheme="minorHAnsi"/>
                <w:sz w:val="18"/>
                <w:szCs w:val="18"/>
              </w:rPr>
            </w:pPr>
            <w:r w:rsidRPr="00047103">
              <w:rPr>
                <w:rFonts w:ascii="Palatino Linotype" w:hAnsi="Palatino Linotype" w:cstheme="minorHAnsi"/>
                <w:sz w:val="18"/>
                <w:szCs w:val="18"/>
              </w:rPr>
              <w:t>Research Diagnostic Criteria for TD (Schooler and Kane 1982)</w:t>
            </w:r>
            <w:r>
              <w:rPr>
                <w:rFonts w:ascii="Palatino Linotype" w:hAnsi="Palatino Linotype" w:cstheme="minorHAnsi"/>
                <w:sz w:val="18"/>
                <w:szCs w:val="18"/>
              </w:rPr>
              <w:t xml:space="preserve">, AIMS, </w:t>
            </w:r>
            <w:r w:rsidRPr="00047103">
              <w:rPr>
                <w:rFonts w:ascii="Palatino Linotype" w:hAnsi="Palatino Linotype" w:cstheme="minorHAnsi"/>
                <w:sz w:val="18"/>
                <w:szCs w:val="18"/>
              </w:rPr>
              <w:t>Tardive Dyskinesia</w:t>
            </w:r>
            <w:r>
              <w:rPr>
                <w:rFonts w:ascii="Palatino Linotype" w:hAnsi="Palatino Linotype" w:cstheme="minorHAnsi"/>
                <w:sz w:val="18"/>
                <w:szCs w:val="18"/>
              </w:rPr>
              <w:t xml:space="preserve"> </w:t>
            </w:r>
            <w:r w:rsidRPr="00047103">
              <w:rPr>
                <w:rFonts w:ascii="Palatino Linotype" w:hAnsi="Palatino Linotype" w:cstheme="minorHAnsi"/>
                <w:sz w:val="18"/>
                <w:szCs w:val="18"/>
              </w:rPr>
              <w:t>Rating Scale</w:t>
            </w:r>
          </w:p>
        </w:tc>
        <w:tc>
          <w:tcPr>
            <w:tcW w:w="1170" w:type="dxa"/>
          </w:tcPr>
          <w:p w14:paraId="74F1E90F" w14:textId="1AF134D0"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7F86E04D" w14:textId="3283CD61"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sz w:val="18"/>
                <w:szCs w:val="18"/>
              </w:rPr>
              <w:t>Ms</w:t>
            </w:r>
            <w:r>
              <w:rPr>
                <w:rFonts w:ascii="Palatino Linotype" w:hAnsi="Palatino Linotype"/>
                <w:sz w:val="18"/>
                <w:szCs w:val="18"/>
              </w:rPr>
              <w:t>c</w:t>
            </w:r>
            <w:r w:rsidRPr="006A1E5F">
              <w:rPr>
                <w:rFonts w:ascii="Palatino Linotype" w:hAnsi="Palatino Linotype"/>
                <w:sz w:val="18"/>
                <w:szCs w:val="18"/>
              </w:rPr>
              <w:t>l</w:t>
            </w:r>
            <w:proofErr w:type="spellEnd"/>
            <w:r w:rsidRPr="006A1E5F">
              <w:rPr>
                <w:rFonts w:ascii="Palatino Linotype" w:hAnsi="Palatino Linotype"/>
                <w:sz w:val="18"/>
                <w:szCs w:val="18"/>
              </w:rPr>
              <w:t>)</w:t>
            </w:r>
          </w:p>
        </w:tc>
        <w:tc>
          <w:tcPr>
            <w:tcW w:w="2507" w:type="dxa"/>
          </w:tcPr>
          <w:p w14:paraId="7457F3EA" w14:textId="056AD676"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w:t>
            </w:r>
            <w:proofErr w:type="spellStart"/>
            <w:r>
              <w:rPr>
                <w:rFonts w:ascii="Palatino Linotype" w:hAnsi="Palatino Linotype" w:cstheme="minorHAnsi"/>
                <w:sz w:val="18"/>
                <w:szCs w:val="18"/>
              </w:rPr>
              <w:t>Gly</w:t>
            </w:r>
            <w:proofErr w:type="spellEnd"/>
            <w:r>
              <w:rPr>
                <w:rFonts w:ascii="Palatino Linotype" w:hAnsi="Palatino Linotype" w:cstheme="minorHAnsi"/>
                <w:sz w:val="18"/>
                <w:szCs w:val="18"/>
              </w:rPr>
              <w:t xml:space="preserve"> allele and TD</w:t>
            </w:r>
          </w:p>
        </w:tc>
        <w:tc>
          <w:tcPr>
            <w:tcW w:w="2173" w:type="dxa"/>
          </w:tcPr>
          <w:p w14:paraId="19C06F7B" w14:textId="74FEF940"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{"citationItems":[{"id":"ITEM-1","itemData":{"DOI":"10.1016/S0893-133X(02)00293-2","ISSN":"0893-133X","PMID":"12062911","abstract":"Variability among individuals in their therapeutic response to psychotropic drugs and in susceptibility to adverse effects is considerable. Pharmacogenetics addresses the contribution of genetic factors to this variability. An important focus of interest in pharmacogenetics has been on candidate genes that play a role in susceptibility to the antipsychotic drug-induced adverse effect, tardive dyskinesia (TD). Four published studies have reported an association between a serine (ser) to glycine (gly) polymorphism in exon 1 of the dopamine D3 receptor gene (DRD3) and TD; three failed to replicate this finding and one found an insignificant trend. We examined the association in a pooled sample of 780 patients (317 with TD and 463 without TD) drawn from 6 research centers, who were divided into 8 groups based on their population origin. The analysis employed stepwise logistic regression so as to allow confounding effects of group, age, and gender to be taken into account. TD was significantly associated with DRD3 gly allele carrier status (x(2)=4.46, df 1, p =.04) and with DRD3 genotype (x(2)=6.62, df 2, p =.04) over and above the effect of group. Similar positive effects were observed when controlling for age and gender (x(2)=5.02, df 1, p =.02 for gly allele carrier status; x(2) = 7.51, df 2, p =.002 for genotype). Examining abnormal involuntary movement scores as a continuous variable, we found that patients homozygous for the gly allele had significantly higher scores than ser-gly heterozygotes (p =.006) or ser-ser homozygotes (p &lt;.0001). We also performed a meta-analysis that included, besides the groups in the combined analysis, three other published studies on DRD3 and TD. The Mantel-Haenszel pooled odds ratio for DRD3 gly allele carrier status increasing susceptibility to TD was 1.33 (95% CI 1.04-1.70, p =.02); the cumulative pooled estimate showed an odds ratio of 1.52 (95% CI 1.08-1.68, p &lt;.0001). These findings support a small but significant contribution of the DRD3 ser9gly polymorphism to TD susceptibility that is demonstrable over and above population effects and the effect of age and gender on the phenotype.","author":[{"dropping-particle":"","family":"Lerer","given":"Bernard","non-dropping-particle":"","parse-names":false,"suffix":""},{"dropping-particle":"","family":"Segman","given":"Ronnen H","non-dropping-particle":"","parse-names":false,"suffix":""},{"dropping-particle":"","family":"Fangerau","given":"Heiner","non-dropping-particle":"","parse-names":false,"suffix":""},{"dropping-particle":"","family":"Daly","given":"Ann K","non-dropping-particle":"","parse-names":false,"suffix":""},{"dropping-particle":"","family":"Basile","given":"Vincenzo S","non-dropping-particle":"","parse-names":false,"suffix":""},{"dropping-particle":"","family":"Cavallaro","given":"Roberto","non-dropping-particle":"","parse-names":false,"suffix":""},{"dropping-particle":"","family":"Aschauer","given":"Harald N","non-dropping-particle":"","parse-names":false,"suffix":""},{"dropping-particle":"","family":"McCreadie","given":"Robin G","non-dropping-particle":"","parse-names":false,"suffix":""},{"dropping-particle":"","family":"Ohlraun","given":"Stephanie","non-dropping-particle":"","parse-names":false,"suffix":""},{"dropping-particle":"","family":"Ferrier","given":"Nicol","non-dropping-particle":"","parse-names":false,"suffix":""},{"dropping-particle":"","family":"Masellis","given":"Mario","non-dropping-particle":"","parse-names":false,"suffix":""},{"dropping-particle":"","family":"Verga","given":"Massimiliano","non-dropping-particle":"","parse-names":false,"suffix":""},{"dropping-particle":"","family":"Scharfetter","given":"Joachim","non-dropping-particle":"","parse-names":false,"suffix":""},{"dropping-particle":"","family":"Rietschel","given":"Marcella","non-dropping-particle":"","parse-names":false,"suffix":""},{"dropping-particle":"","family":"Lovlie","given":"Roger","non-dropping-particle":"","parse-names":false,"suffix":""},{"dropping-particle":"","family":"Levy","given":"Uriel Heresco","non-dropping-particle":"","parse-names":false,"suffix":""},{"dropping-particle":"","family":"Meltzer","given":"Herbert Y","non-dropping-particle":"","parse-names":false,"suffix":""},{"dropping-particle":"","family":"Kennedy","given":"James L","non-dropping-particle":"","parse-names":false,"suffix":""},{"dropping-particle":"","family":"Steen","given":"Vidar M","non-dropping-particle":"","parse-names":false,"suffix":""},{"dropping-particle":"","family":"Macciardi","given":"Fabio","non-dropping-particle":"","parse-names":false,"suffix":""}],"container-title":"Neuropsychopharmacology : official publication of the American College of Neuropsychopharmacology","id":"ITEM-1","issue":"1","issued":{"date-parts":[["2002","7"]]},"page":"105-19","title":"Pharmacogenetics of tardive dyskinesia: combined analysis of 780 patients supports association with dopamine D3 receptor gene Ser9Gly polymorphism.","type":"article-journal","volume":"27"},"uris":["http://www.mendeley.com/documents/?uuid=dc7d1cd0-46ad-384b-84a9-adccad2883fb"]}],"mendeley":{"formattedCitation":"(Lerer et al. 2002)","plainTextFormattedCitation":"(Lerer et al. 2002)","previouslyFormattedCitation":"(Lerer et al. 2002)"},"properties":{"noteIndex":0},"schema":"https://github.com/citation-style-language/schema/raw/master/csl-citation.json"}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(Lerer et al. 2002)</w:t>
            </w:r>
            <w:r>
              <w:rPr>
                <w:rFonts w:ascii="Palatino Linotype" w:hAnsi="Palatino Linotype" w:cstheme="minorHAnsi"/>
                <w:sz w:val="18"/>
                <w:szCs w:val="18"/>
              </w:rPr>
              <w:fldChar w:fldCharType="end"/>
            </w:r>
          </w:p>
        </w:tc>
      </w:tr>
      <w:tr w:rsidR="0031439E" w:rsidRPr="00EA57B8" w14:paraId="26BEC8AA" w14:textId="06817982" w:rsidTr="0031439E">
        <w:tc>
          <w:tcPr>
            <w:tcW w:w="1094" w:type="dxa"/>
          </w:tcPr>
          <w:p w14:paraId="4A875192" w14:textId="2EF82E05"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AKT1, GSK3B</w:t>
            </w:r>
          </w:p>
        </w:tc>
        <w:tc>
          <w:tcPr>
            <w:tcW w:w="1080" w:type="dxa"/>
          </w:tcPr>
          <w:p w14:paraId="4451366A" w14:textId="020A4D90" w:rsidR="0031439E" w:rsidRPr="00924ABD" w:rsidRDefault="0031439E" w:rsidP="0031439E">
            <w:pPr>
              <w:rPr>
                <w:rFonts w:ascii="Palatino Linotype" w:hAnsi="Palatino Linotype" w:cstheme="minorHAnsi"/>
                <w:sz w:val="18"/>
                <w:szCs w:val="18"/>
              </w:rPr>
            </w:pPr>
            <w:r w:rsidRPr="00B8785F">
              <w:rPr>
                <w:rFonts w:ascii="Palatino Linotype" w:hAnsi="Palatino Linotype" w:cstheme="minorHAnsi"/>
                <w:sz w:val="18"/>
                <w:szCs w:val="18"/>
              </w:rPr>
              <w:t>rs334558 (</w:t>
            </w:r>
            <w:r w:rsidRPr="000558F2">
              <w:rPr>
                <w:rFonts w:ascii="Palatino Linotype" w:hAnsi="Palatino Linotype" w:cstheme="minorHAnsi"/>
                <w:i/>
                <w:iCs/>
                <w:sz w:val="18"/>
                <w:szCs w:val="18"/>
              </w:rPr>
              <w:t>GSK3B</w:t>
            </w:r>
            <w:r w:rsidRPr="00B8785F">
              <w:rPr>
                <w:rFonts w:ascii="Palatino Linotype" w:hAnsi="Palatino Linotype" w:cstheme="minorHAnsi"/>
                <w:sz w:val="18"/>
                <w:szCs w:val="18"/>
              </w:rPr>
              <w:t>)</w:t>
            </w:r>
            <w:r>
              <w:rPr>
                <w:rFonts w:ascii="Palatino Linotype" w:hAnsi="Palatino Linotype" w:cstheme="minorHAnsi"/>
                <w:sz w:val="18"/>
                <w:szCs w:val="18"/>
              </w:rPr>
              <w:t xml:space="preserve">, </w:t>
            </w:r>
            <w:r w:rsidRPr="00B8785F">
              <w:rPr>
                <w:rFonts w:ascii="Palatino Linotype" w:hAnsi="Palatino Linotype" w:cstheme="minorHAnsi"/>
                <w:sz w:val="18"/>
                <w:szCs w:val="18"/>
              </w:rPr>
              <w:t>rs3730358 and rs1130214</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AKT1</w:t>
            </w:r>
            <w:r w:rsidRPr="00B8785F">
              <w:rPr>
                <w:rFonts w:ascii="Palatino Linotype" w:hAnsi="Palatino Linotype" w:cstheme="minorHAnsi"/>
                <w:sz w:val="18"/>
                <w:szCs w:val="18"/>
              </w:rPr>
              <w:t>)</w:t>
            </w:r>
          </w:p>
        </w:tc>
        <w:tc>
          <w:tcPr>
            <w:tcW w:w="1080" w:type="dxa"/>
          </w:tcPr>
          <w:p w14:paraId="7AA15B51" w14:textId="604E3553"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449 (121 with TD)</w:t>
            </w:r>
          </w:p>
        </w:tc>
        <w:tc>
          <w:tcPr>
            <w:tcW w:w="1170" w:type="dxa"/>
          </w:tcPr>
          <w:p w14:paraId="1B393853" w14:textId="33608AD8" w:rsidR="0031439E" w:rsidRDefault="0031439E" w:rsidP="0031439E">
            <w:pPr>
              <w:rPr>
                <w:rFonts w:ascii="Palatino Linotype" w:hAnsi="Palatino Linotype"/>
                <w:sz w:val="18"/>
                <w:szCs w:val="18"/>
              </w:rPr>
            </w:pPr>
            <w:r>
              <w:rPr>
                <w:rFonts w:ascii="Palatino Linotype" w:hAnsi="Palatino Linotype" w:cstheme="minorHAnsi"/>
                <w:sz w:val="18"/>
                <w:szCs w:val="18"/>
              </w:rPr>
              <w:t>Caucasian</w:t>
            </w:r>
            <w:r w:rsidRPr="00362248">
              <w:rPr>
                <w:rFonts w:ascii="Palatino Linotype" w:hAnsi="Palatino Linotype" w:cstheme="minorHAnsi"/>
                <w:sz w:val="18"/>
                <w:szCs w:val="18"/>
              </w:rPr>
              <w:t xml:space="preserve"> </w:t>
            </w:r>
            <w:r>
              <w:rPr>
                <w:rFonts w:ascii="Palatino Linotype" w:hAnsi="Palatino Linotype" w:cstheme="minorHAnsi"/>
                <w:sz w:val="18"/>
                <w:szCs w:val="18"/>
              </w:rPr>
              <w:t>(</w:t>
            </w:r>
            <w:r w:rsidRPr="00362248">
              <w:rPr>
                <w:rFonts w:ascii="Palatino Linotype" w:hAnsi="Palatino Linotype" w:cstheme="minorHAnsi"/>
                <w:sz w:val="18"/>
                <w:szCs w:val="18"/>
              </w:rPr>
              <w:t>Siberian</w:t>
            </w:r>
            <w:r>
              <w:rPr>
                <w:rFonts w:ascii="Palatino Linotype" w:hAnsi="Palatino Linotype" w:cstheme="minorHAnsi"/>
                <w:sz w:val="18"/>
                <w:szCs w:val="18"/>
              </w:rPr>
              <w:t>)</w:t>
            </w:r>
            <w:r w:rsidRPr="00362248">
              <w:rPr>
                <w:rFonts w:ascii="Palatino Linotype" w:hAnsi="Palatino Linotype" w:cstheme="minorHAnsi"/>
                <w:sz w:val="18"/>
                <w:szCs w:val="18"/>
              </w:rPr>
              <w:t xml:space="preserve"> </w:t>
            </w:r>
          </w:p>
        </w:tc>
        <w:tc>
          <w:tcPr>
            <w:tcW w:w="1350" w:type="dxa"/>
          </w:tcPr>
          <w:p w14:paraId="7D329267" w14:textId="19BB5B36"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182779D9" w14:textId="43A6D8D2" w:rsidR="0031439E" w:rsidRPr="006A1E5F" w:rsidRDefault="0031439E" w:rsidP="0031439E">
            <w:pPr>
              <w:rPr>
                <w:rFonts w:ascii="Palatino Linotype" w:hAnsi="Palatino Linotype" w:cstheme="minorHAnsi"/>
                <w:sz w:val="18"/>
                <w:szCs w:val="18"/>
              </w:rPr>
            </w:pPr>
            <w:r w:rsidRPr="00BC6146">
              <w:rPr>
                <w:rFonts w:ascii="Palatino Linotype" w:hAnsi="Palatino Linotype" w:cstheme="minorHAnsi"/>
                <w:sz w:val="18"/>
                <w:szCs w:val="18"/>
              </w:rPr>
              <w:t>ICD‐10</w:t>
            </w:r>
          </w:p>
        </w:tc>
        <w:tc>
          <w:tcPr>
            <w:tcW w:w="1170" w:type="dxa"/>
          </w:tcPr>
          <w:p w14:paraId="3D7A3A32" w14:textId="72D8BE96"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15176B21" w14:textId="0014799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3E759818" w14:textId="2C88EAA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w:t>
            </w:r>
          </w:p>
        </w:tc>
        <w:tc>
          <w:tcPr>
            <w:tcW w:w="2507" w:type="dxa"/>
          </w:tcPr>
          <w:p w14:paraId="4058B905" w14:textId="1B9DB706"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301F3011" w14:textId="57060483"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{"citationItems":[{"id":"ITEM-1","itemData":{"DOI":"10.1002/hup.2685","abstract":"Objective: AKT1 and GSK3B take part in one of the intracellular cascades activated by the D2 dopamine receptor (DRD2). This receptor is antagonized by antipsychotics and plays a role in the pathogenesis of antipsychotic-induced tardive dyskinesia (TD). The present study investigated association of several polymorphisms in the two candidate genes, AKT1 and GSK3B, with TD in antipsychotic-treated patients with schizophrenia. Methods: DNA samples from 449 patients from several Siberian regions (Russia) were genotyped, and the results were analyzed using chi-squared tests and analyses of variance. Results: Antipsychotic-induced TD was not associated with either of the tested functional polymorphisms (rs334558, rs1130214, and rs3730358). Conclusions: Despite regulation of AKT1 and GSK3B by DRD2, we found no evidence that these two kinases play a major role in the pathogenesis of antipsychotic-induced TD. These results agree with previously published data and necessitate further exploration of other pathogenic mechanisms, such as neurotoxic-ity due to excessive dopamine metabolism.","author":[{"dropping-particle":"","family":"Levchenko","given":"Anastasia","non-dropping-particle":"","parse-names":false,"suffix":""},{"dropping-particle":"","family":"Vyalova","given":"Natalya","non-dropping-particle":"","parse-names":false,"suffix":""},{"dropping-particle":"V","family":"Pozhidaev","given":"Ivan","non-dropping-particle":"","parse-names":false,"suffix":""},{"dropping-particle":"","family":"Anastasiia","given":"|","non-dropping-particle":"","parse-names":false,"suffix":""},{"dropping-particle":"","family":"Boiko","given":"S","non-dropping-particle":"","parse-names":false,"suffix":""},{"dropping-particle":"","family":"Osmanova","given":"Diana Z","non-dropping-particle":"","parse-names":false,"suffix":""},{"dropping-particle":"","family":"Fedorenko","given":"Olga Yu","non-dropping-particle":"","parse-names":false,"suffix":""},{"dropping-particle":"V","family":"Semke","given":"Arkadiy","non-dropping-particle":"","parse-names":false,"suffix":""},{"dropping-particle":"","family":"Nikolay","given":"|","non-dropping-particle":"","parse-names":false,"suffix":""},{"dropping-particle":"","family":"Bokhan","given":"A","non-dropping-particle":"","parse-names":false,"suffix":""},{"dropping-particle":"","family":"Wilffert","given":"Bob","non-dropping-particle":"","parse-names":false,"suffix":""},{"dropping-particle":"","family":"Loonen","given":"Anton J M","non-dropping-particle":"","parse-names":false,"suffix":""},{"dropping-particle":"","family":"Ivanova","given":"Svetlana A","non-dropping-particle":"","parse-names":false,"suffix":""}],"id":"ITEM-1","issued":{"date-parts":[["2019"]]},"title":"No evidence so far of a major role of AKT1 and GSK3B in the pathogenesis of antipsychotic-induced tardive dyskinesia","type":"article-journal"},"uris":["http://www.mendeley.com/documents/?uuid=b3235aee-e2ba-323d-b39c-ddf958fa8704"]}],"mendeley":{"formattedCitation":"(Levchenko et al. 2019)","plainTextFormattedCitation":"(Levchenko et al. 2019)","previouslyFormattedCitation":"(Levchenko et al. 2019)"},"properties":{"noteIndex":0},"schema":"https://github.com/citation-style-language/schema/raw/master/csl-citation.json"}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(Levchenko et al. 2019)</w:t>
            </w:r>
            <w:r>
              <w:rPr>
                <w:rFonts w:ascii="Palatino Linotype" w:hAnsi="Palatino Linotype" w:cstheme="minorHAnsi"/>
                <w:b/>
                <w:sz w:val="18"/>
                <w:szCs w:val="18"/>
              </w:rPr>
              <w:fldChar w:fldCharType="end"/>
            </w:r>
          </w:p>
        </w:tc>
      </w:tr>
      <w:tr w:rsidR="0031439E" w:rsidRPr="00EA57B8" w14:paraId="67BE4531" w14:textId="3783CCB9" w:rsidTr="0031439E">
        <w:tc>
          <w:tcPr>
            <w:tcW w:w="1094" w:type="dxa"/>
          </w:tcPr>
          <w:p w14:paraId="1C9976A2" w14:textId="2C5F173C"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4668F04E" w14:textId="570B2E84" w:rsidR="0031439E" w:rsidRPr="00A25B54"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42D7B6CE" w14:textId="63044FFF"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115</w:t>
            </w:r>
          </w:p>
        </w:tc>
        <w:tc>
          <w:tcPr>
            <w:tcW w:w="1170" w:type="dxa"/>
          </w:tcPr>
          <w:p w14:paraId="688CC7D6" w14:textId="377DE5D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Chinese (Taiwanese) </w:t>
            </w:r>
          </w:p>
        </w:tc>
        <w:tc>
          <w:tcPr>
            <w:tcW w:w="1350" w:type="dxa"/>
          </w:tcPr>
          <w:p w14:paraId="7BDB561F" w14:textId="73E855A1"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Schizophrenia or schizoaffective disorder</w:t>
            </w:r>
          </w:p>
        </w:tc>
        <w:tc>
          <w:tcPr>
            <w:tcW w:w="1260" w:type="dxa"/>
          </w:tcPr>
          <w:p w14:paraId="2883ED5B" w14:textId="3329F57A" w:rsidR="0031439E" w:rsidRPr="006A1E5F" w:rsidRDefault="0031439E" w:rsidP="0031439E">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68358CE7" w14:textId="6BBB2A0D"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w:t>
            </w:r>
          </w:p>
        </w:tc>
        <w:tc>
          <w:tcPr>
            <w:tcW w:w="1170" w:type="dxa"/>
          </w:tcPr>
          <w:p w14:paraId="696B79BE" w14:textId="064921AC"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5B2A6994" w14:textId="3E9D7B2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PCR-RFPL (</w:t>
            </w:r>
            <w:proofErr w:type="spellStart"/>
            <w:r w:rsidRPr="006A1E5F">
              <w:rPr>
                <w:rFonts w:ascii="Palatino Linotype" w:hAnsi="Palatino Linotype" w:cstheme="minorHAnsi"/>
                <w:sz w:val="18"/>
                <w:szCs w:val="18"/>
              </w:rPr>
              <w:t>MscI</w:t>
            </w:r>
            <w:proofErr w:type="spellEnd"/>
            <w:r w:rsidRPr="006A1E5F">
              <w:rPr>
                <w:rFonts w:ascii="Palatino Linotype" w:hAnsi="Palatino Linotype" w:cstheme="minorHAnsi"/>
                <w:sz w:val="18"/>
                <w:szCs w:val="18"/>
              </w:rPr>
              <w:t>)</w:t>
            </w:r>
          </w:p>
        </w:tc>
        <w:tc>
          <w:tcPr>
            <w:tcW w:w="2507" w:type="dxa"/>
          </w:tcPr>
          <w:p w14:paraId="052140C4" w14:textId="3A8A85CC"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S</w:t>
            </w:r>
            <w:r w:rsidRPr="006A1E5F">
              <w:rPr>
                <w:rFonts w:ascii="Palatino Linotype" w:hAnsi="Palatino Linotype" w:cstheme="minorHAnsi"/>
                <w:sz w:val="18"/>
                <w:szCs w:val="18"/>
              </w:rPr>
              <w:t xml:space="preserve">ignificant association between </w:t>
            </w:r>
            <w:r>
              <w:rPr>
                <w:rFonts w:ascii="Palatino Linotype" w:hAnsi="Palatino Linotype" w:cstheme="minorHAnsi"/>
                <w:sz w:val="18"/>
                <w:szCs w:val="18"/>
              </w:rPr>
              <w:t xml:space="preserve">rs6280 </w:t>
            </w:r>
            <w:r w:rsidRPr="006A1E5F">
              <w:rPr>
                <w:rFonts w:ascii="Palatino Linotype" w:hAnsi="Palatino Linotype" w:cstheme="minorHAnsi"/>
                <w:sz w:val="18"/>
                <w:szCs w:val="18"/>
              </w:rPr>
              <w:t>heterozygotes and TD</w:t>
            </w:r>
          </w:p>
        </w:tc>
        <w:tc>
          <w:tcPr>
            <w:tcW w:w="2173" w:type="dxa"/>
          </w:tcPr>
          <w:p w14:paraId="5651B929" w14:textId="585C62F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{"citationItems":[{"id":"ITEM-1","itemData":{"DOI":"10.1159/000054924","ISSN":"0302-282X","PMID":"11490179","abstract":"It has been suggested that dopamine D3 receptor (DRD3) may have important implications for antipsychotic-induced tardive dyskinesia (TD). Previous studies have demonstrated an association between a serine to glycine polymorphism in the first exon of the DRD3 gene and TD; however, the results have been inconsistent. Therefore, we have replicated these studies using a Chinese sample population. A total of 115 schizophrenic patients from chronic wards were assessed for TD severity using the Abnormal Involuntary Movements Scale (AIMS) and were subsequently genotyped for the DRD3 polymorphism. The mean AIMS score for patients carrying the heterozygote (DRD3(ser-gly)) was significantly greater than for those with the homozygotes (DRD3(ser-ser) and DRD3(gly-gly)). Our results are in line with a previous report, the results of which suggest that the presence of the DRD3(ser-gly) genotype may be a risk factor for the development of TD in patients treated with antipsychotics.","author":[{"dropping-particle":"","family":"Liao","given":"D L","non-dropping-particle":"","parse-names":false,"suffix":""},{"dropping-particle":"","family":"Yeh","given":"Y C","non-dropping-particle":"","parse-names":false,"suffix":""},{"dropping-particle":"","family":"Chen","given":"H M","non-dropping-particle":"","parse-names":false,"suffix":""},{"dropping-particle":"","family":"Chen","given":"H","non-dropping-particle":"","parse-names":false,"suffix":""},{"dropping-particle":"","family":"Hong","given":"C J","non-dropping-particle":"","parse-names":false,"suffix":""},{"dropping-particle":"","family":"Tsai","given":"S J","non-dropping-particle":"","parse-names":false,"suffix":""}],"container-title":"Neuropsychobiology","id":"ITEM-1","issue":"2","issued":{"date-parts":[["2001"]]},"page":"95-8","title":"Association between the Ser9Gly polymorphism of the dopamine D3 receptor gene and tardive dyskinesia in Chinese schizophrenic patients.","type":"article-journal","volume":"44"},"uris":["http://www.mendeley.com/documents/?uuid=80571632-2c68-3c49-833b-864033d3a772"]}],"mendeley":{"formattedCitation":"(Liao et al. 2001)","plainTextFormattedCitation":"(Liao et al. 2001)","previouslyFormattedCitation":"(Liao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(Liao et al. 2001)</w:t>
            </w:r>
            <w:r w:rsidRPr="006A1E5F">
              <w:rPr>
                <w:rFonts w:ascii="Palatino Linotype" w:hAnsi="Palatino Linotype" w:cstheme="minorHAnsi"/>
                <w:sz w:val="18"/>
                <w:szCs w:val="18"/>
              </w:rPr>
              <w:fldChar w:fldCharType="end"/>
            </w:r>
          </w:p>
        </w:tc>
      </w:tr>
      <w:tr w:rsidR="0031439E" w:rsidRPr="00EA57B8" w14:paraId="6A130EC4" w14:textId="18393F93" w:rsidTr="0031439E">
        <w:tc>
          <w:tcPr>
            <w:tcW w:w="1094" w:type="dxa"/>
          </w:tcPr>
          <w:p w14:paraId="218DBF87" w14:textId="1C0A68D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COMT, MAOA</w:t>
            </w:r>
          </w:p>
        </w:tc>
        <w:tc>
          <w:tcPr>
            <w:tcW w:w="1080" w:type="dxa"/>
          </w:tcPr>
          <w:p w14:paraId="5663F291" w14:textId="77777777" w:rsidR="0031439E" w:rsidRPr="00A25B54" w:rsidRDefault="0031439E" w:rsidP="0031439E">
            <w:pPr>
              <w:rPr>
                <w:rFonts w:ascii="Palatino Linotype" w:hAnsi="Palatino Linotype" w:cstheme="minorHAnsi"/>
                <w:sz w:val="18"/>
                <w:szCs w:val="18"/>
              </w:rPr>
            </w:pPr>
            <w:r w:rsidRPr="00A25B54">
              <w:rPr>
                <w:rFonts w:ascii="Palatino Linotype" w:hAnsi="Palatino Linotype" w:cstheme="minorHAnsi"/>
                <w:sz w:val="18"/>
                <w:szCs w:val="18"/>
              </w:rPr>
              <w:t>rs4680</w:t>
            </w:r>
            <w:r>
              <w:rPr>
                <w:rFonts w:ascii="Palatino Linotype" w:hAnsi="Palatino Linotype" w:cstheme="minorHAnsi"/>
                <w:sz w:val="18"/>
                <w:szCs w:val="18"/>
              </w:rPr>
              <w:t xml:space="preserve"> (</w:t>
            </w:r>
            <w:r w:rsidRPr="00DD0B28">
              <w:rPr>
                <w:rFonts w:ascii="Palatino Linotype" w:hAnsi="Palatino Linotype" w:cstheme="minorHAnsi"/>
                <w:i/>
                <w:iCs/>
                <w:sz w:val="18"/>
                <w:szCs w:val="18"/>
              </w:rPr>
              <w:t>COMT</w:t>
            </w:r>
            <w:r>
              <w:rPr>
                <w:rFonts w:ascii="Palatino Linotype" w:hAnsi="Palatino Linotype" w:cstheme="minorHAnsi"/>
                <w:sz w:val="18"/>
                <w:szCs w:val="18"/>
              </w:rPr>
              <w:t xml:space="preserve">), </w:t>
            </w:r>
            <w:r w:rsidRPr="00A25B54">
              <w:rPr>
                <w:rFonts w:ascii="Palatino Linotype" w:hAnsi="Palatino Linotype" w:cstheme="minorHAnsi"/>
                <w:sz w:val="18"/>
                <w:szCs w:val="18"/>
              </w:rPr>
              <w:t>30-bp repeat in the</w:t>
            </w:r>
          </w:p>
          <w:p w14:paraId="55F974A9" w14:textId="535D79F1" w:rsidR="0031439E" w:rsidRPr="00924ABD" w:rsidRDefault="0031439E" w:rsidP="0031439E">
            <w:pPr>
              <w:rPr>
                <w:rFonts w:ascii="Palatino Linotype" w:hAnsi="Palatino Linotype" w:cstheme="minorHAnsi"/>
                <w:sz w:val="18"/>
                <w:szCs w:val="18"/>
              </w:rPr>
            </w:pPr>
            <w:r w:rsidRPr="00A25B54">
              <w:rPr>
                <w:rFonts w:ascii="Palatino Linotype" w:hAnsi="Palatino Linotype" w:cstheme="minorHAnsi"/>
                <w:sz w:val="18"/>
                <w:szCs w:val="18"/>
              </w:rPr>
              <w:t xml:space="preserve">promoter region of </w:t>
            </w:r>
            <w:r w:rsidRPr="00DD0B28">
              <w:rPr>
                <w:rFonts w:ascii="Palatino Linotype" w:hAnsi="Palatino Linotype" w:cstheme="minorHAnsi"/>
                <w:i/>
                <w:iCs/>
                <w:sz w:val="18"/>
                <w:szCs w:val="18"/>
              </w:rPr>
              <w:t>MAOA</w:t>
            </w:r>
          </w:p>
        </w:tc>
        <w:tc>
          <w:tcPr>
            <w:tcW w:w="1080" w:type="dxa"/>
          </w:tcPr>
          <w:p w14:paraId="5DFD5EB8" w14:textId="441C078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206 (97 with TD)</w:t>
            </w:r>
          </w:p>
        </w:tc>
        <w:tc>
          <w:tcPr>
            <w:tcW w:w="1170" w:type="dxa"/>
          </w:tcPr>
          <w:p w14:paraId="5C27A530" w14:textId="02591B30" w:rsidR="0031439E" w:rsidRDefault="0031439E" w:rsidP="0031439E">
            <w:pPr>
              <w:rPr>
                <w:rFonts w:ascii="Palatino Linotype" w:hAnsi="Palatino Linotype"/>
                <w:sz w:val="18"/>
                <w:szCs w:val="18"/>
              </w:rPr>
            </w:pPr>
            <w:r>
              <w:rPr>
                <w:rFonts w:ascii="Palatino Linotype" w:hAnsi="Palatino Linotype" w:cstheme="minorHAnsi"/>
                <w:sz w:val="18"/>
                <w:szCs w:val="18"/>
              </w:rPr>
              <w:t>Han Chinese</w:t>
            </w:r>
          </w:p>
        </w:tc>
        <w:tc>
          <w:tcPr>
            <w:tcW w:w="1350" w:type="dxa"/>
          </w:tcPr>
          <w:p w14:paraId="77F9154D" w14:textId="2F74B7D0"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29B31646" w14:textId="2BBC62F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566A331A" w14:textId="752D2AEA"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33744B6" w14:textId="60D4520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3A53D2E8" w14:textId="4C5B126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2507" w:type="dxa"/>
          </w:tcPr>
          <w:p w14:paraId="3CCEF17D" w14:textId="5CDF01E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6748B088" w14:textId="53675E4D"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10.1097/YPG.0b013e32835e8df6","ISSN":"1473-5873","PMID":"23344637","author":[{"dropping-particle":"","family":"Li","given":"Hui","non-dropping-particle":"","parse-names":false,"suffix":""},{"dropping-particle":"","family":"Tan","given":"Yunlong","non-dropping-particle":"","parse-names":false,"suffix":""},{"dropping-particle":"","family":"Wang","given":"Zhiren","non-dropping-particle":"","parse-names":false,"suffix":""},{"dropping-particle":"","family":"Yang","given":"Fude","non-dropping-particle":"","parse-names":false,"suffix":""},{"dropping-particle":"","family":"Zuo","given":"Lingjun","non-dropping-particle":"","parse-names":false,"suffix":""},{"dropping-particle":"","family":"Luo","given":"Xingguang","non-dropping-particle":"","parse-names":false,"suffix":""}],"container-title":"Psychiatric genetics","id":"ITEM-1","issue":"4","issued":{"date-parts":[["2013","8"]]},"page":"176","publisher":"Psychiatr Genet","title":"Association study on tardive dyskinesia and polymorphisms in COMT and MAOA in Chinese population.","type":"article-journal","volume":"23"},"uris":["http://www.mendeley.com/documents/?uuid=b1a3d6cb-9cfa-3ca1-8e5e-1bce5f4f209a"]}],"mendeley":{"formattedCitation":"(Li et al. 2013)","plainTextFormattedCitation":"(Li et al. 2013)","previouslyFormattedCitation":"(Li et al. 2013)"},"properties":{"noteIndex":0},"schema":"https://github.com/citation-style-language/schema/raw/master/csl-citation.json"}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(Li et al. 2013)</w:t>
            </w:r>
            <w:r>
              <w:rPr>
                <w:rFonts w:ascii="Palatino Linotype" w:hAnsi="Palatino Linotype" w:cstheme="minorHAnsi"/>
                <w:sz w:val="18"/>
                <w:szCs w:val="18"/>
              </w:rPr>
              <w:fldChar w:fldCharType="end"/>
            </w:r>
          </w:p>
        </w:tc>
      </w:tr>
      <w:tr w:rsidR="00B92D4C" w:rsidRPr="00EA57B8" w14:paraId="74567006" w14:textId="77777777" w:rsidTr="0031439E">
        <w:tc>
          <w:tcPr>
            <w:tcW w:w="1094" w:type="dxa"/>
          </w:tcPr>
          <w:p w14:paraId="790E7BB1" w14:textId="78629C5B" w:rsidR="00B92D4C" w:rsidRPr="000F3F98" w:rsidRDefault="00B92D4C" w:rsidP="0031439E">
            <w:pPr>
              <w:rPr>
                <w:rFonts w:ascii="Palatino Linotype" w:hAnsi="Palatino Linotype" w:cstheme="minorHAnsi"/>
                <w:i/>
                <w:iCs/>
                <w:sz w:val="18"/>
                <w:szCs w:val="18"/>
              </w:rPr>
            </w:pPr>
            <w:r>
              <w:rPr>
                <w:rFonts w:ascii="Palatino Linotype" w:hAnsi="Palatino Linotype" w:cstheme="minorHAnsi"/>
                <w:i/>
                <w:iCs/>
                <w:sz w:val="18"/>
                <w:szCs w:val="18"/>
              </w:rPr>
              <w:lastRenderedPageBreak/>
              <w:t>DRD2</w:t>
            </w:r>
          </w:p>
        </w:tc>
        <w:tc>
          <w:tcPr>
            <w:tcW w:w="1080" w:type="dxa"/>
          </w:tcPr>
          <w:p w14:paraId="3BAC343B" w14:textId="6F4C7F9C" w:rsidR="00B92D4C" w:rsidRPr="00FD5BBC" w:rsidRDefault="00B92D4C" w:rsidP="00B92D4C">
            <w:pPr>
              <w:rPr>
                <w:rStyle w:val="st"/>
                <w:rFonts w:ascii="Palatino Linotype" w:hAnsi="Palatino Linotype"/>
                <w:sz w:val="18"/>
                <w:szCs w:val="18"/>
              </w:rPr>
            </w:pPr>
            <w:r>
              <w:rPr>
                <w:rStyle w:val="st"/>
                <w:rFonts w:ascii="Palatino Linotype" w:hAnsi="Palatino Linotype"/>
                <w:sz w:val="18"/>
                <w:szCs w:val="18"/>
              </w:rPr>
              <w:t>rs1799732</w:t>
            </w:r>
            <w:r w:rsidRPr="00B92D4C">
              <w:rPr>
                <w:rStyle w:val="st"/>
                <w:rFonts w:ascii="Palatino Linotype" w:hAnsi="Palatino Linotype"/>
                <w:sz w:val="18"/>
                <w:szCs w:val="18"/>
              </w:rPr>
              <w:t xml:space="preserve">, </w:t>
            </w:r>
            <w:r>
              <w:rPr>
                <w:rStyle w:val="st"/>
                <w:rFonts w:ascii="Palatino Linotype" w:hAnsi="Palatino Linotype"/>
                <w:sz w:val="18"/>
                <w:szCs w:val="18"/>
              </w:rPr>
              <w:t>rs</w:t>
            </w:r>
            <w:r w:rsidRPr="00B92D4C">
              <w:rPr>
                <w:rStyle w:val="st"/>
                <w:rFonts w:ascii="Palatino Linotype" w:hAnsi="Palatino Linotype"/>
                <w:sz w:val="18"/>
                <w:szCs w:val="18"/>
              </w:rPr>
              <w:t>1079597,</w:t>
            </w:r>
            <w:r>
              <w:rPr>
                <w:rStyle w:val="st"/>
                <w:rFonts w:ascii="Palatino Linotype" w:hAnsi="Palatino Linotype"/>
                <w:sz w:val="18"/>
                <w:szCs w:val="18"/>
              </w:rPr>
              <w:t xml:space="preserve"> rs1800498</w:t>
            </w:r>
            <w:r w:rsidRPr="00B92D4C">
              <w:rPr>
                <w:rStyle w:val="st"/>
                <w:rFonts w:ascii="Palatino Linotype" w:hAnsi="Palatino Linotype"/>
                <w:sz w:val="18"/>
                <w:szCs w:val="18"/>
              </w:rPr>
              <w:t xml:space="preserve">, rs1801028 and </w:t>
            </w:r>
            <w:r>
              <w:rPr>
                <w:rStyle w:val="st"/>
                <w:rFonts w:ascii="Palatino Linotype" w:hAnsi="Palatino Linotype"/>
                <w:sz w:val="18"/>
                <w:szCs w:val="18"/>
              </w:rPr>
              <w:t>rs1800497</w:t>
            </w:r>
          </w:p>
        </w:tc>
        <w:tc>
          <w:tcPr>
            <w:tcW w:w="1080" w:type="dxa"/>
          </w:tcPr>
          <w:p w14:paraId="095573EE" w14:textId="3FFFD11A" w:rsidR="00EE3ECC" w:rsidRPr="00EE3ECC" w:rsidRDefault="00EE3ECC" w:rsidP="00EE3ECC">
            <w:pPr>
              <w:rPr>
                <w:rFonts w:ascii="Palatino Linotype" w:hAnsi="Palatino Linotype" w:cstheme="minorHAnsi"/>
                <w:sz w:val="18"/>
                <w:szCs w:val="18"/>
              </w:rPr>
            </w:pPr>
            <w:r>
              <w:rPr>
                <w:rFonts w:ascii="Palatino Linotype" w:hAnsi="Palatino Linotype" w:cstheme="minorHAnsi"/>
                <w:sz w:val="18"/>
                <w:szCs w:val="18"/>
              </w:rPr>
              <w:t>2</w:t>
            </w:r>
            <w:r w:rsidRPr="00EE3ECC">
              <w:rPr>
                <w:rFonts w:ascii="Palatino Linotype" w:hAnsi="Palatino Linotype" w:cstheme="minorHAnsi"/>
                <w:sz w:val="18"/>
                <w:szCs w:val="18"/>
              </w:rPr>
              <w:t>53 (</w:t>
            </w:r>
            <w:r>
              <w:rPr>
                <w:rFonts w:ascii="Palatino Linotype" w:hAnsi="Palatino Linotype" w:cstheme="minorHAnsi"/>
                <w:sz w:val="18"/>
                <w:szCs w:val="18"/>
              </w:rPr>
              <w:t xml:space="preserve">126 with </w:t>
            </w:r>
            <w:r w:rsidRPr="00EE3ECC">
              <w:rPr>
                <w:rFonts w:ascii="Palatino Linotype" w:hAnsi="Palatino Linotype" w:cstheme="minorHAnsi"/>
                <w:sz w:val="18"/>
                <w:szCs w:val="18"/>
              </w:rPr>
              <w:t>TD</w:t>
            </w:r>
            <w:r>
              <w:rPr>
                <w:rFonts w:ascii="Palatino Linotype" w:hAnsi="Palatino Linotype" w:cstheme="minorHAnsi"/>
                <w:sz w:val="18"/>
                <w:szCs w:val="18"/>
              </w:rPr>
              <w:t>)</w:t>
            </w:r>
          </w:p>
          <w:p w14:paraId="585C89E2" w14:textId="1D791B54" w:rsidR="00B92D4C" w:rsidRDefault="00B92D4C" w:rsidP="00EE3ECC">
            <w:pPr>
              <w:rPr>
                <w:rFonts w:ascii="Palatino Linotype" w:hAnsi="Palatino Linotype" w:cstheme="minorHAnsi"/>
                <w:sz w:val="18"/>
                <w:szCs w:val="18"/>
              </w:rPr>
            </w:pPr>
          </w:p>
        </w:tc>
        <w:tc>
          <w:tcPr>
            <w:tcW w:w="1170" w:type="dxa"/>
          </w:tcPr>
          <w:p w14:paraId="712283C2" w14:textId="70F7CA66" w:rsidR="00B92D4C" w:rsidRPr="00FD5BBC" w:rsidRDefault="0082167D"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54258F74" w14:textId="4A1A16D1" w:rsidR="00B92D4C" w:rsidRPr="00FD5BBC" w:rsidRDefault="00EE3ECC" w:rsidP="0031439E">
            <w:pPr>
              <w:rPr>
                <w:rFonts w:ascii="Palatino Linotype" w:hAnsi="Palatino Linotype" w:cstheme="minorHAnsi"/>
                <w:sz w:val="18"/>
                <w:szCs w:val="18"/>
              </w:rPr>
            </w:pPr>
            <w:r w:rsidRPr="00EE3ECC">
              <w:rPr>
                <w:rFonts w:ascii="Palatino Linotype" w:hAnsi="Palatino Linotype" w:cstheme="minorHAnsi"/>
                <w:sz w:val="18"/>
                <w:szCs w:val="18"/>
              </w:rPr>
              <w:t>schizophrenia</w:t>
            </w:r>
          </w:p>
        </w:tc>
        <w:tc>
          <w:tcPr>
            <w:tcW w:w="1260" w:type="dxa"/>
          </w:tcPr>
          <w:p w14:paraId="3FFD3739" w14:textId="7F072A9E" w:rsidR="00B92D4C" w:rsidRPr="00FD5BBC" w:rsidRDefault="0082167D"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703C56A1" w14:textId="4E3DDCAA" w:rsidR="00B92D4C" w:rsidRDefault="0082167D"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55D43EEC" w14:textId="51D7E2B0" w:rsidR="00B92D4C" w:rsidRDefault="0082167D"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4A7EB4E2" w14:textId="00B4B9C2" w:rsidR="00B92D4C" w:rsidRPr="006A1E5F" w:rsidRDefault="0082167D"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2507" w:type="dxa"/>
          </w:tcPr>
          <w:p w14:paraId="3AD62F4D" w14:textId="51E089F2" w:rsidR="00BF5B45" w:rsidRPr="00BF5B45" w:rsidRDefault="00BF5B45" w:rsidP="00BF5B45">
            <w:pPr>
              <w:rPr>
                <w:rFonts w:ascii="Palatino Linotype" w:hAnsi="Palatino Linotype" w:cstheme="minorHAnsi"/>
                <w:sz w:val="18"/>
                <w:szCs w:val="18"/>
              </w:rPr>
            </w:pPr>
            <w:r>
              <w:rPr>
                <w:rFonts w:ascii="Palatino Linotype" w:hAnsi="Palatino Linotype" w:cstheme="minorHAnsi"/>
                <w:sz w:val="18"/>
                <w:szCs w:val="18"/>
              </w:rPr>
              <w:t>Association between rs1800497</w:t>
            </w:r>
            <w:r w:rsidR="00132B77">
              <w:rPr>
                <w:rFonts w:ascii="Palatino Linotype" w:hAnsi="Palatino Linotype" w:cstheme="minorHAnsi"/>
                <w:sz w:val="18"/>
                <w:szCs w:val="18"/>
              </w:rPr>
              <w:t xml:space="preserve">, </w:t>
            </w:r>
            <w:r>
              <w:rPr>
                <w:rFonts w:ascii="Palatino Linotype" w:hAnsi="Palatino Linotype" w:cstheme="minorHAnsi"/>
                <w:sz w:val="18"/>
                <w:szCs w:val="18"/>
              </w:rPr>
              <w:t>rs1079597</w:t>
            </w:r>
            <w:r w:rsidR="00132B77">
              <w:rPr>
                <w:rFonts w:ascii="Palatino Linotype" w:hAnsi="Palatino Linotype" w:cstheme="minorHAnsi"/>
                <w:sz w:val="18"/>
                <w:szCs w:val="18"/>
              </w:rPr>
              <w:t xml:space="preserve"> and their haplotypes</w:t>
            </w:r>
            <w:r>
              <w:rPr>
                <w:rFonts w:ascii="Palatino Linotype" w:hAnsi="Palatino Linotype" w:cstheme="minorHAnsi"/>
                <w:sz w:val="18"/>
                <w:szCs w:val="18"/>
              </w:rPr>
              <w:t xml:space="preserve"> with TD</w:t>
            </w:r>
            <w:r w:rsidR="00132B77">
              <w:rPr>
                <w:rFonts w:ascii="Palatino Linotype" w:hAnsi="Palatino Linotype" w:cstheme="minorHAnsi"/>
                <w:sz w:val="18"/>
                <w:szCs w:val="18"/>
              </w:rPr>
              <w:t xml:space="preserve">. </w:t>
            </w:r>
            <w:r w:rsidRPr="00BF5B45">
              <w:rPr>
                <w:rFonts w:ascii="Palatino Linotype" w:hAnsi="Palatino Linotype" w:cstheme="minorHAnsi"/>
                <w:sz w:val="18"/>
                <w:szCs w:val="18"/>
              </w:rPr>
              <w:t>B2B2 genotype, B2 allele,</w:t>
            </w:r>
          </w:p>
          <w:p w14:paraId="45E160A2" w14:textId="77777777" w:rsidR="00BF5B45" w:rsidRPr="00BF5B45" w:rsidRDefault="00BF5B45" w:rsidP="00BF5B45">
            <w:pPr>
              <w:rPr>
                <w:rFonts w:ascii="Palatino Linotype" w:hAnsi="Palatino Linotype" w:cstheme="minorHAnsi"/>
                <w:sz w:val="18"/>
                <w:szCs w:val="18"/>
              </w:rPr>
            </w:pPr>
            <w:r w:rsidRPr="00BF5B45">
              <w:rPr>
                <w:rFonts w:ascii="Palatino Linotype" w:hAnsi="Palatino Linotype" w:cstheme="minorHAnsi"/>
                <w:sz w:val="18"/>
                <w:szCs w:val="18"/>
              </w:rPr>
              <w:t>A2A2 genotype and A2 allele had increased risk for</w:t>
            </w:r>
          </w:p>
          <w:p w14:paraId="79EE1113" w14:textId="1C6421BA" w:rsidR="00B92D4C" w:rsidRPr="006A1E5F" w:rsidRDefault="00BF5B45" w:rsidP="00132B77">
            <w:pPr>
              <w:rPr>
                <w:rFonts w:ascii="Palatino Linotype" w:hAnsi="Palatino Linotype" w:cstheme="minorHAnsi"/>
                <w:sz w:val="18"/>
                <w:szCs w:val="18"/>
              </w:rPr>
            </w:pPr>
            <w:r w:rsidRPr="00BF5B45">
              <w:rPr>
                <w:rFonts w:ascii="Palatino Linotype" w:hAnsi="Palatino Linotype" w:cstheme="minorHAnsi"/>
                <w:sz w:val="18"/>
                <w:szCs w:val="18"/>
              </w:rPr>
              <w:t>TD</w:t>
            </w:r>
            <w:r w:rsidR="00132B77">
              <w:rPr>
                <w:rFonts w:ascii="Palatino Linotype" w:hAnsi="Palatino Linotype" w:cstheme="minorHAnsi"/>
                <w:sz w:val="18"/>
                <w:szCs w:val="18"/>
              </w:rPr>
              <w:t>.</w:t>
            </w:r>
          </w:p>
        </w:tc>
        <w:tc>
          <w:tcPr>
            <w:tcW w:w="2173" w:type="dxa"/>
          </w:tcPr>
          <w:p w14:paraId="3D11F0FA" w14:textId="1A6A520E" w:rsidR="00B92D4C" w:rsidRDefault="00B92D4C"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82167D">
              <w:rPr>
                <w:rFonts w:ascii="Palatino Linotype" w:hAnsi="Palatino Linotype" w:cstheme="minorHAnsi"/>
                <w:sz w:val="18"/>
                <w:szCs w:val="18"/>
              </w:rPr>
              <w:instrText>ADDIN CSL_CITATION {"citationItems":[{"id":"ITEM-1","itemData":{"DOI":"10.1016/j.schres.2006.04.008","ISSN":"09209964","PMID":"16769201","author":[{"dropping-particle":"","family":"Liou","given":"Ying-Jay","non-dropping-particle":"","parse-names":false,"suffix":""},{"dropping-particle":"","family":"Lai","given":"I-Ching","non-dropping-particle":"","parse-names":false,"suffix":""},{"dropping-particle":"","family":"Liao","given":"Ding-Lieh","non-dropping-particle":"","parse-names":false,"suffix":""},{"dropping-particle":"","family":"Chen","given":"Jen-Yeu","non-dropping-particle":"","parse-names":false,"suffix":""},{"dropping-particle":"","family":"Bai","given":"Ya-Mei","non-dropping-particle":"","parse-names":false,"suffix":""},{"dropping-particle":"","family":"Lin","given":"Chao-Cheng","non-dropping-particle":"","parse-names":false,"suffix":""},{"dropping-particle":"","family":"Lin","given":"Chih-Yuan","non-dropping-particle":"","parse-names":false,"suffix":""},{"dropping-particle":"","family":"Chen","given":"Tzu-Ting","non-dropping-particle":"","parse-names":false,"suffix":""},{"dropping-particle":"","family":"Chen","given":"Chun-Ming","non-dropping-particle":"","parse-names":false,"suffix":""},{"dropping-particle":"","family":"Wang","given":"Ying-Chieh","non-dropping-particle":"","parse-names":false,"suffix":""}],"container-title":"Schizophrenia Research","id":"ITEM-1","issue":"1-3","issued":{"date-parts":[["2006","9"]]},"page":"323-325","title":"The human dopamine receptor D2 (DRD2) gene is associated with tardive dyskinesia in patients with schizophrenia","type":"article-journal","volume":"86"},"uris":["http://www.mendeley.com/documents/?uuid=85e5ea80-5cba-3331-9a55-e631a3443be1"]}],"mendeley":{"formattedCitation":"(Liou et al. 2006)","plainTextFormattedCitation":"(Liou et al. 2006)","previouslyFormattedCitation":"(Liou et al. 2006)"},"properties":{"noteIndex":0},"schema":"https://github.com/citation-style-language/schema/raw/master/csl-citation.json"}</w:instrText>
            </w:r>
            <w:r>
              <w:rPr>
                <w:rFonts w:ascii="Palatino Linotype" w:hAnsi="Palatino Linotype" w:cstheme="minorHAnsi"/>
                <w:sz w:val="18"/>
                <w:szCs w:val="18"/>
              </w:rPr>
              <w:fldChar w:fldCharType="separate"/>
            </w:r>
            <w:r w:rsidRPr="00B92D4C">
              <w:rPr>
                <w:rFonts w:ascii="Palatino Linotype" w:hAnsi="Palatino Linotype" w:cstheme="minorHAnsi"/>
                <w:noProof/>
                <w:sz w:val="18"/>
                <w:szCs w:val="18"/>
              </w:rPr>
              <w:t>(Liou et al. 2006)</w:t>
            </w:r>
            <w:r>
              <w:rPr>
                <w:rFonts w:ascii="Palatino Linotype" w:hAnsi="Palatino Linotype" w:cstheme="minorHAnsi"/>
                <w:sz w:val="18"/>
                <w:szCs w:val="18"/>
              </w:rPr>
              <w:fldChar w:fldCharType="end"/>
            </w:r>
          </w:p>
        </w:tc>
      </w:tr>
      <w:tr w:rsidR="0031439E" w:rsidRPr="00EA57B8" w14:paraId="62B3815C" w14:textId="6AA95235" w:rsidTr="0031439E">
        <w:tc>
          <w:tcPr>
            <w:tcW w:w="1094" w:type="dxa"/>
          </w:tcPr>
          <w:p w14:paraId="0D60258E" w14:textId="782D757A"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3C8D7235" w14:textId="0300B359" w:rsidR="0031439E" w:rsidRPr="00924ABD" w:rsidRDefault="0031439E" w:rsidP="0031439E">
            <w:pPr>
              <w:rPr>
                <w:rFonts w:ascii="Palatino Linotype" w:hAnsi="Palatino Linotype" w:cstheme="minorHAnsi"/>
                <w:sz w:val="18"/>
                <w:szCs w:val="18"/>
              </w:rPr>
            </w:pPr>
            <w:r w:rsidRPr="00FD5BBC">
              <w:rPr>
                <w:rStyle w:val="st"/>
                <w:rFonts w:ascii="Palatino Linotype" w:hAnsi="Palatino Linotype"/>
                <w:sz w:val="18"/>
                <w:szCs w:val="18"/>
              </w:rPr>
              <w:t>rs6280</w:t>
            </w:r>
          </w:p>
        </w:tc>
        <w:tc>
          <w:tcPr>
            <w:tcW w:w="1080" w:type="dxa"/>
          </w:tcPr>
          <w:p w14:paraId="196328E2" w14:textId="4CED11B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75 (</w:t>
            </w:r>
            <w:r w:rsidRPr="00FD5BBC">
              <w:rPr>
                <w:rFonts w:ascii="Palatino Linotype" w:hAnsi="Palatino Linotype" w:cstheme="minorHAnsi"/>
                <w:sz w:val="18"/>
                <w:szCs w:val="18"/>
              </w:rPr>
              <w:t>32 with TD</w:t>
            </w:r>
            <w:r>
              <w:rPr>
                <w:rFonts w:ascii="Palatino Linotype" w:hAnsi="Palatino Linotype" w:cstheme="minorHAnsi"/>
                <w:sz w:val="18"/>
                <w:szCs w:val="18"/>
              </w:rPr>
              <w:t>)</w:t>
            </w:r>
          </w:p>
        </w:tc>
        <w:tc>
          <w:tcPr>
            <w:tcW w:w="1170" w:type="dxa"/>
          </w:tcPr>
          <w:p w14:paraId="0C242079" w14:textId="3DCD2552" w:rsidR="0031439E" w:rsidRDefault="0031439E" w:rsidP="0031439E">
            <w:pPr>
              <w:rPr>
                <w:rFonts w:ascii="Palatino Linotype" w:hAnsi="Palatino Linotype"/>
                <w:sz w:val="18"/>
                <w:szCs w:val="18"/>
              </w:rPr>
            </w:pPr>
            <w:r w:rsidRPr="00FD5BBC">
              <w:rPr>
                <w:rFonts w:ascii="Palatino Linotype" w:hAnsi="Palatino Linotype" w:cstheme="minorHAnsi"/>
                <w:sz w:val="18"/>
                <w:szCs w:val="18"/>
              </w:rPr>
              <w:t xml:space="preserve">Caucasian </w:t>
            </w:r>
            <w:r>
              <w:rPr>
                <w:rFonts w:ascii="Palatino Linotype" w:hAnsi="Palatino Linotype" w:cstheme="minorHAnsi"/>
                <w:sz w:val="18"/>
                <w:szCs w:val="18"/>
              </w:rPr>
              <w:t>(</w:t>
            </w:r>
            <w:r w:rsidRPr="00FD5BBC">
              <w:rPr>
                <w:rFonts w:ascii="Palatino Linotype" w:hAnsi="Palatino Linotype" w:cstheme="minorHAnsi"/>
                <w:sz w:val="18"/>
                <w:szCs w:val="18"/>
              </w:rPr>
              <w:t>European</w:t>
            </w:r>
            <w:r>
              <w:rPr>
                <w:rFonts w:ascii="Palatino Linotype" w:hAnsi="Palatino Linotype" w:cstheme="minorHAnsi"/>
                <w:sz w:val="18"/>
                <w:szCs w:val="18"/>
              </w:rPr>
              <w:t>)</w:t>
            </w:r>
          </w:p>
        </w:tc>
        <w:tc>
          <w:tcPr>
            <w:tcW w:w="1350" w:type="dxa"/>
          </w:tcPr>
          <w:p w14:paraId="60FE888A" w14:textId="021DA019" w:rsidR="0031439E" w:rsidRPr="00924ABD" w:rsidRDefault="0031439E" w:rsidP="0031439E">
            <w:pPr>
              <w:rPr>
                <w:rFonts w:ascii="Palatino Linotype" w:hAnsi="Palatino Linotype" w:cstheme="minorHAnsi"/>
                <w:sz w:val="18"/>
                <w:szCs w:val="18"/>
              </w:rPr>
            </w:pPr>
            <w:r w:rsidRPr="00FD5BBC">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260" w:type="dxa"/>
          </w:tcPr>
          <w:p w14:paraId="45938260" w14:textId="77777777" w:rsidR="0031439E" w:rsidRPr="00FD5BBC" w:rsidRDefault="0031439E" w:rsidP="0031439E">
            <w:pPr>
              <w:rPr>
                <w:rFonts w:ascii="Palatino Linotype" w:hAnsi="Palatino Linotype" w:cstheme="minorHAnsi"/>
                <w:sz w:val="18"/>
                <w:szCs w:val="18"/>
              </w:rPr>
            </w:pPr>
            <w:r w:rsidRPr="00FD5BBC">
              <w:rPr>
                <w:rFonts w:ascii="Palatino Linotype" w:hAnsi="Palatino Linotype" w:cstheme="minorHAnsi"/>
                <w:sz w:val="18"/>
                <w:szCs w:val="18"/>
              </w:rPr>
              <w:t>DSM-III-R</w:t>
            </w:r>
          </w:p>
          <w:p w14:paraId="1FC8F405" w14:textId="0CD14F5F" w:rsidR="0031439E" w:rsidRPr="006A1E5F" w:rsidRDefault="0031439E" w:rsidP="0031439E">
            <w:pPr>
              <w:rPr>
                <w:rFonts w:ascii="Palatino Linotype" w:hAnsi="Palatino Linotype" w:cstheme="minorHAnsi"/>
                <w:sz w:val="18"/>
                <w:szCs w:val="18"/>
              </w:rPr>
            </w:pPr>
          </w:p>
        </w:tc>
        <w:tc>
          <w:tcPr>
            <w:tcW w:w="1170" w:type="dxa"/>
          </w:tcPr>
          <w:p w14:paraId="7B462E24" w14:textId="46FD658F"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E652279" w14:textId="022DF0C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18E85E7E" w14:textId="377A9CE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PCR-RFPL (</w:t>
            </w:r>
            <w:proofErr w:type="spellStart"/>
            <w:r w:rsidRPr="006A1E5F">
              <w:rPr>
                <w:rFonts w:ascii="Palatino Linotype" w:hAnsi="Palatino Linotype" w:cstheme="minorHAnsi"/>
                <w:sz w:val="18"/>
                <w:szCs w:val="18"/>
              </w:rPr>
              <w:t>MscI</w:t>
            </w:r>
            <w:proofErr w:type="spellEnd"/>
            <w:r w:rsidRPr="006A1E5F">
              <w:rPr>
                <w:rFonts w:ascii="Palatino Linotype" w:hAnsi="Palatino Linotype" w:cstheme="minorHAnsi"/>
                <w:sz w:val="18"/>
                <w:szCs w:val="18"/>
              </w:rPr>
              <w:t>)</w:t>
            </w:r>
          </w:p>
        </w:tc>
        <w:tc>
          <w:tcPr>
            <w:tcW w:w="2507" w:type="dxa"/>
          </w:tcPr>
          <w:p w14:paraId="257DB5C8" w14:textId="75E1C32C"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trend of association between </w:t>
            </w:r>
            <w:r>
              <w:rPr>
                <w:rFonts w:ascii="Palatino Linotype" w:hAnsi="Palatino Linotype" w:cstheme="minorHAnsi"/>
                <w:sz w:val="18"/>
                <w:szCs w:val="18"/>
              </w:rPr>
              <w:t xml:space="preserve">rs6280 </w:t>
            </w:r>
            <w:proofErr w:type="spellStart"/>
            <w:r w:rsidRPr="006A1E5F">
              <w:rPr>
                <w:rFonts w:ascii="Palatino Linotype" w:hAnsi="Palatino Linotype" w:cstheme="minorHAnsi"/>
                <w:sz w:val="18"/>
                <w:szCs w:val="18"/>
              </w:rPr>
              <w:t>Gly</w:t>
            </w:r>
            <w:proofErr w:type="spellEnd"/>
            <w:r w:rsidRPr="006A1E5F">
              <w:rPr>
                <w:rFonts w:ascii="Palatino Linotype" w:hAnsi="Palatino Linotype" w:cstheme="minorHAnsi"/>
                <w:sz w:val="18"/>
                <w:szCs w:val="18"/>
              </w:rPr>
              <w:t>-allele and TD</w:t>
            </w:r>
          </w:p>
        </w:tc>
        <w:tc>
          <w:tcPr>
            <w:tcW w:w="2173" w:type="dxa"/>
          </w:tcPr>
          <w:p w14:paraId="7CC39E4E" w14:textId="50E1E6D7"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{"citationItems":[{"id":"ITEM-1","itemData":{"DOI":"10.1017/S1461145700001796","ISSN":"1469-5111","PMID":"11343580","abstract":"This study was undertaken to re-examine whether homozygosity for the Gly-9 variant (allele 2) of the dopamine D3 receptor gene (DRD3) is associated with increased risk for tardive dyskinesia (TD) in schizophrenic patients. Seventy-one antipsychotic-treated subjects with schizophrenia from Newcastle upon Tyne, UK, were genotyped for the presence of allele 1 (Ser-9) and allele 2 (Gly-9) of the dopamine D3 receptor (DRD3) Ser-9-Gly polymorphism. Among 32 patients with TD, 7 subjects (22 %) were homozygous for the Gly-9 variant (2-2 genotype), whereas 4 out of 39 patients (10 %) without TD had this genotype. The non-significant tendency in this sample towards an over-representation of allele 2 and the 2-2 genotype among schizophrenic patients with TD is in line with our initial report as well as recent studies by others, indicating that the Gly-9 allele of DRD3 may be a susceptibility factor for the development of TD in neuroleptic-treated individuals with schizophrenia. There are, however, some recent non-supportive reports, and since the trend in our present study failed to reach statistical significance, further studies on larger samples and future meta-analysis may be necessary to establish the role of the DRD3 in the pathogenesis of TD.","author":[{"dropping-particle":"","family":"Løvlie","given":"Roger","non-dropping-particle":"","parse-names":false,"suffix":""},{"dropping-particle":"","family":"Daly","given":"Ann K.","non-dropping-particle":"","parse-names":false,"suffix":""},{"dropping-particle":"","family":"Blennerhassett","given":"Richard","non-dropping-particle":"","parse-names":false,"suffix":""},{"dropping-particle":"","family":"Ferrier","given":"Nicol","non-dropping-particle":"","parse-names":false,"suffix":""},{"dropping-particle":"","family":"Steen","given":"Vidar M.","non-dropping-particle":"","parse-names":false,"suffix":""}],"container-title":"The international journal of neuropsychopharmacology","id":"ITEM-1","issue":"1","issued":{"date-parts":[["2000","3"]]},"page":"61-65","title":"Homozygosity for the Gly-9 variant of the dopamine D3 receptor and risk for tardive dyskinesia in schizophrenic patients.","type":"article-journal","volume":"3"},"uris":["http://www.mendeley.com/documents/?uuid=87ec4080-50d5-301b-a92e-3dd2a8027ed2"]}],"mendeley":{"formattedCitation":"(Løvlie et al. 2000)","plainTextFormattedCitation":"(Løvlie et al. 2000)","previouslyFormattedCitation":"(Løvlie et al. 2000)"},"properties":{"noteIndex":0},"schema":"https://github.com/citation-style-language/schema/raw/master/csl-citation.json"}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(Løvlie et al. 2000)</w:t>
            </w:r>
            <w:r>
              <w:rPr>
                <w:rFonts w:ascii="Palatino Linotype" w:hAnsi="Palatino Linotype" w:cstheme="minorHAnsi"/>
                <w:sz w:val="18"/>
                <w:szCs w:val="18"/>
              </w:rPr>
              <w:fldChar w:fldCharType="end"/>
            </w:r>
          </w:p>
        </w:tc>
      </w:tr>
      <w:tr w:rsidR="0031439E" w:rsidRPr="00EA57B8" w14:paraId="783261D8" w14:textId="779D1B7B" w:rsidTr="0031439E">
        <w:tc>
          <w:tcPr>
            <w:tcW w:w="1094" w:type="dxa"/>
          </w:tcPr>
          <w:p w14:paraId="0706A3BF" w14:textId="02A114C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DISC1, DRD2, SLC18A2</w:t>
            </w:r>
          </w:p>
        </w:tc>
        <w:tc>
          <w:tcPr>
            <w:tcW w:w="1080" w:type="dxa"/>
          </w:tcPr>
          <w:p w14:paraId="24C482F9" w14:textId="78A6BBAE" w:rsidR="0031439E" w:rsidRPr="00924ABD" w:rsidRDefault="0031439E" w:rsidP="0031439E">
            <w:pPr>
              <w:rPr>
                <w:rFonts w:ascii="Palatino Linotype" w:hAnsi="Palatino Linotype" w:cstheme="minorHAnsi"/>
                <w:sz w:val="18"/>
                <w:szCs w:val="18"/>
              </w:rPr>
            </w:pPr>
            <w:r w:rsidRPr="00C63244">
              <w:rPr>
                <w:rStyle w:val="st"/>
                <w:rFonts w:ascii="Palatino Linotype" w:hAnsi="Palatino Linotype"/>
                <w:sz w:val="18"/>
                <w:szCs w:val="18"/>
              </w:rPr>
              <w:t>rs2492367</w:t>
            </w:r>
            <w:r>
              <w:rPr>
                <w:rStyle w:val="st"/>
                <w:rFonts w:ascii="Palatino Linotype" w:hAnsi="Palatino Linotype"/>
                <w:sz w:val="18"/>
                <w:szCs w:val="18"/>
              </w:rPr>
              <w:t xml:space="preserve">, </w:t>
            </w:r>
            <w:r w:rsidRPr="00C63244">
              <w:rPr>
                <w:rStyle w:val="st"/>
                <w:rFonts w:ascii="Palatino Linotype" w:hAnsi="Palatino Linotype"/>
                <w:sz w:val="18"/>
                <w:szCs w:val="18"/>
              </w:rPr>
              <w:t>rs3738398</w:t>
            </w:r>
            <w:r>
              <w:rPr>
                <w:rStyle w:val="st"/>
                <w:rFonts w:ascii="Palatino Linotype" w:hAnsi="Palatino Linotype"/>
                <w:sz w:val="18"/>
                <w:szCs w:val="18"/>
              </w:rPr>
              <w:t xml:space="preserve">, </w:t>
            </w:r>
            <w:r w:rsidRPr="00C63244">
              <w:rPr>
                <w:rStyle w:val="st"/>
                <w:rFonts w:ascii="Palatino Linotype" w:hAnsi="Palatino Linotype"/>
                <w:sz w:val="18"/>
                <w:szCs w:val="18"/>
              </w:rPr>
              <w:t>rs1322784</w:t>
            </w:r>
            <w:r>
              <w:rPr>
                <w:rStyle w:val="st"/>
                <w:rFonts w:ascii="Palatino Linotype" w:hAnsi="Palatino Linotype"/>
                <w:sz w:val="18"/>
                <w:szCs w:val="18"/>
              </w:rPr>
              <w:t xml:space="preserve">, </w:t>
            </w:r>
            <w:r w:rsidRPr="00C63244">
              <w:rPr>
                <w:rStyle w:val="st"/>
                <w:rFonts w:ascii="Palatino Linotype" w:hAnsi="Palatino Linotype"/>
                <w:sz w:val="18"/>
                <w:szCs w:val="18"/>
              </w:rPr>
              <w:t>rs11122359</w:t>
            </w:r>
            <w:r>
              <w:rPr>
                <w:rStyle w:val="st"/>
                <w:rFonts w:ascii="Palatino Linotype" w:hAnsi="Palatino Linotype"/>
                <w:sz w:val="18"/>
                <w:szCs w:val="18"/>
              </w:rPr>
              <w:t xml:space="preserve">, </w:t>
            </w:r>
            <w:r w:rsidRPr="00C63244">
              <w:rPr>
                <w:rStyle w:val="st"/>
                <w:rFonts w:ascii="Palatino Linotype" w:hAnsi="Palatino Linotype"/>
                <w:sz w:val="18"/>
                <w:szCs w:val="18"/>
              </w:rPr>
              <w:t>rs821597</w:t>
            </w:r>
            <w:r>
              <w:rPr>
                <w:rStyle w:val="st"/>
                <w:rFonts w:ascii="Palatino Linotype" w:hAnsi="Palatino Linotype"/>
                <w:sz w:val="18"/>
                <w:szCs w:val="18"/>
              </w:rPr>
              <w:t xml:space="preserve">, </w:t>
            </w:r>
            <w:r w:rsidRPr="00C63244">
              <w:rPr>
                <w:rStyle w:val="st"/>
                <w:rFonts w:ascii="Palatino Linotype" w:hAnsi="Palatino Linotype"/>
                <w:sz w:val="18"/>
                <w:szCs w:val="18"/>
              </w:rPr>
              <w:t>rs701158</w:t>
            </w:r>
            <w:r>
              <w:rPr>
                <w:rStyle w:val="st"/>
                <w:rFonts w:ascii="Palatino Linotype" w:hAnsi="Palatino Linotype"/>
                <w:sz w:val="18"/>
                <w:szCs w:val="18"/>
              </w:rPr>
              <w:t xml:space="preserve">, </w:t>
            </w:r>
            <w:r w:rsidRPr="00C63244">
              <w:rPr>
                <w:rStyle w:val="st"/>
                <w:rFonts w:ascii="Palatino Linotype" w:hAnsi="Palatino Linotype"/>
                <w:sz w:val="18"/>
                <w:szCs w:val="18"/>
              </w:rPr>
              <w:t>rs3738401</w:t>
            </w:r>
            <w:r>
              <w:rPr>
                <w:rStyle w:val="st"/>
                <w:rFonts w:ascii="Palatino Linotype" w:hAnsi="Palatino Linotype"/>
                <w:sz w:val="18"/>
                <w:szCs w:val="18"/>
              </w:rPr>
              <w:t xml:space="preserve">, </w:t>
            </w:r>
            <w:r w:rsidRPr="00C63244">
              <w:rPr>
                <w:rStyle w:val="st"/>
                <w:rFonts w:ascii="Palatino Linotype" w:hAnsi="Palatino Linotype"/>
                <w:sz w:val="18"/>
                <w:szCs w:val="18"/>
              </w:rPr>
              <w:t>rs6675281</w:t>
            </w:r>
            <w:r>
              <w:rPr>
                <w:rStyle w:val="st"/>
                <w:rFonts w:ascii="Palatino Linotype" w:hAnsi="Palatino Linotype"/>
                <w:sz w:val="18"/>
                <w:szCs w:val="18"/>
              </w:rPr>
              <w:t xml:space="preserve">, </w:t>
            </w:r>
            <w:r w:rsidRPr="00C63244">
              <w:rPr>
                <w:rStyle w:val="st"/>
                <w:rFonts w:ascii="Palatino Linotype" w:hAnsi="Palatino Linotype"/>
                <w:sz w:val="18"/>
                <w:szCs w:val="18"/>
              </w:rPr>
              <w:t>rs821616</w:t>
            </w:r>
            <w:r>
              <w:rPr>
                <w:rStyle w:val="st"/>
                <w:rFonts w:ascii="Palatino Linotype" w:hAnsi="Palatino Linotype"/>
                <w:sz w:val="18"/>
                <w:szCs w:val="18"/>
              </w:rPr>
              <w:t xml:space="preserve"> (</w:t>
            </w:r>
            <w:r w:rsidRPr="00265F30">
              <w:rPr>
                <w:rStyle w:val="st"/>
                <w:rFonts w:ascii="Palatino Linotype" w:hAnsi="Palatino Linotype"/>
                <w:i/>
                <w:iCs/>
                <w:sz w:val="18"/>
                <w:szCs w:val="18"/>
              </w:rPr>
              <w:t>DISC1</w:t>
            </w:r>
            <w:r>
              <w:rPr>
                <w:rStyle w:val="st"/>
                <w:rFonts w:ascii="Palatino Linotype" w:hAnsi="Palatino Linotype"/>
                <w:sz w:val="18"/>
                <w:szCs w:val="18"/>
              </w:rPr>
              <w:t xml:space="preserve">), </w:t>
            </w:r>
            <w:r w:rsidRPr="00D55812">
              <w:rPr>
                <w:rStyle w:val="st"/>
                <w:rFonts w:ascii="Palatino Linotype" w:hAnsi="Palatino Linotype"/>
                <w:sz w:val="18"/>
                <w:szCs w:val="18"/>
              </w:rPr>
              <w:t>rs6277,</w:t>
            </w:r>
            <w:r>
              <w:rPr>
                <w:rStyle w:val="st"/>
                <w:rFonts w:ascii="Palatino Linotype" w:hAnsi="Palatino Linotype"/>
                <w:sz w:val="18"/>
                <w:szCs w:val="18"/>
              </w:rPr>
              <w:t xml:space="preserve"> </w:t>
            </w:r>
            <w:r w:rsidRPr="00D55812">
              <w:rPr>
                <w:rStyle w:val="st"/>
                <w:rFonts w:ascii="Palatino Linotype" w:hAnsi="Palatino Linotype"/>
                <w:sz w:val="18"/>
                <w:szCs w:val="18"/>
              </w:rPr>
              <w:t>rs1800497</w:t>
            </w:r>
            <w:r>
              <w:rPr>
                <w:rStyle w:val="st"/>
                <w:rFonts w:ascii="Palatino Linotype" w:hAnsi="Palatino Linotype"/>
                <w:sz w:val="18"/>
                <w:szCs w:val="18"/>
              </w:rPr>
              <w:t xml:space="preserve"> (</w:t>
            </w:r>
            <w:r w:rsidRPr="00265F30">
              <w:rPr>
                <w:rStyle w:val="st"/>
                <w:rFonts w:ascii="Palatino Linotype" w:hAnsi="Palatino Linotype"/>
                <w:i/>
                <w:iCs/>
                <w:sz w:val="18"/>
                <w:szCs w:val="18"/>
              </w:rPr>
              <w:t>DRD2</w:t>
            </w:r>
            <w:r>
              <w:rPr>
                <w:rStyle w:val="st"/>
                <w:rFonts w:ascii="Palatino Linotype" w:hAnsi="Palatino Linotype"/>
                <w:sz w:val="18"/>
                <w:szCs w:val="18"/>
              </w:rPr>
              <w:t>)</w:t>
            </w:r>
            <w:r w:rsidRPr="00D55812">
              <w:rPr>
                <w:rStyle w:val="st"/>
                <w:rFonts w:ascii="Palatino Linotype" w:hAnsi="Palatino Linotype"/>
                <w:sz w:val="18"/>
                <w:szCs w:val="18"/>
              </w:rPr>
              <w:t>,</w:t>
            </w:r>
            <w:r>
              <w:rPr>
                <w:rStyle w:val="st"/>
                <w:rFonts w:ascii="Palatino Linotype" w:hAnsi="Palatino Linotype"/>
                <w:sz w:val="18"/>
                <w:szCs w:val="18"/>
              </w:rPr>
              <w:t xml:space="preserve"> </w:t>
            </w:r>
            <w:r w:rsidRPr="00D55812">
              <w:rPr>
                <w:rStyle w:val="st"/>
                <w:rFonts w:ascii="Palatino Linotype" w:hAnsi="Palatino Linotype"/>
                <w:sz w:val="18"/>
                <w:szCs w:val="18"/>
              </w:rPr>
              <w:t>rs363224</w:t>
            </w:r>
            <w:r>
              <w:rPr>
                <w:rStyle w:val="st"/>
                <w:rFonts w:ascii="Palatino Linotype" w:hAnsi="Palatino Linotype"/>
                <w:sz w:val="18"/>
                <w:szCs w:val="18"/>
              </w:rPr>
              <w:t xml:space="preserve"> (</w:t>
            </w:r>
            <w:r w:rsidRPr="00265F30">
              <w:rPr>
                <w:rStyle w:val="st"/>
                <w:rFonts w:ascii="Palatino Linotype" w:hAnsi="Palatino Linotype"/>
                <w:i/>
                <w:iCs/>
                <w:sz w:val="18"/>
                <w:szCs w:val="18"/>
              </w:rPr>
              <w:t>SLC18A2</w:t>
            </w:r>
            <w:r>
              <w:rPr>
                <w:rStyle w:val="st"/>
                <w:rFonts w:ascii="Palatino Linotype" w:hAnsi="Palatino Linotype"/>
                <w:sz w:val="18"/>
                <w:szCs w:val="18"/>
              </w:rPr>
              <w:t>)</w:t>
            </w:r>
          </w:p>
        </w:tc>
        <w:tc>
          <w:tcPr>
            <w:tcW w:w="1080" w:type="dxa"/>
          </w:tcPr>
          <w:p w14:paraId="21E140DB" w14:textId="2F7AF48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174 (74 with TD)</w:t>
            </w:r>
          </w:p>
        </w:tc>
        <w:tc>
          <w:tcPr>
            <w:tcW w:w="1170" w:type="dxa"/>
          </w:tcPr>
          <w:p w14:paraId="5981E673" w14:textId="1B04BD2F" w:rsidR="0031439E" w:rsidRDefault="0031439E" w:rsidP="0031439E">
            <w:pPr>
              <w:rPr>
                <w:rFonts w:ascii="Palatino Linotype" w:hAnsi="Palatino Linotype"/>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p>
        </w:tc>
        <w:tc>
          <w:tcPr>
            <w:tcW w:w="1350" w:type="dxa"/>
          </w:tcPr>
          <w:p w14:paraId="6772C243" w14:textId="1FDA867F" w:rsidR="0031439E" w:rsidRPr="00924ABD" w:rsidRDefault="0031439E" w:rsidP="0031439E">
            <w:pPr>
              <w:rPr>
                <w:rFonts w:ascii="Palatino Linotype" w:hAnsi="Palatino Linotype" w:cstheme="minorHAnsi"/>
                <w:sz w:val="18"/>
                <w:szCs w:val="18"/>
              </w:rPr>
            </w:pPr>
            <w:r>
              <w:rPr>
                <w:rFonts w:ascii="Palatino Linotype" w:hAnsi="Palatino Linotype" w:cstheme="minorHAnsi"/>
                <w:sz w:val="18"/>
                <w:szCs w:val="18"/>
              </w:rPr>
              <w:t>Schizophrenia or schizoaffective disorder</w:t>
            </w:r>
          </w:p>
        </w:tc>
        <w:tc>
          <w:tcPr>
            <w:tcW w:w="1260" w:type="dxa"/>
          </w:tcPr>
          <w:p w14:paraId="3893612D" w14:textId="1D66887C"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D</w:t>
            </w:r>
            <w:r w:rsidRPr="006D1A8C">
              <w:rPr>
                <w:rFonts w:ascii="Palatino Linotype" w:hAnsi="Palatino Linotype" w:cstheme="minorHAnsi"/>
                <w:sz w:val="18"/>
                <w:szCs w:val="18"/>
              </w:rPr>
              <w:t>SM-III-R or DSM-IV</w:t>
            </w:r>
          </w:p>
        </w:tc>
        <w:tc>
          <w:tcPr>
            <w:tcW w:w="1170" w:type="dxa"/>
          </w:tcPr>
          <w:p w14:paraId="0903D737" w14:textId="018EC86E"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AIMS, </w:t>
            </w:r>
            <w:r w:rsidRPr="006F355E">
              <w:rPr>
                <w:rFonts w:ascii="Palatino Linotype" w:hAnsi="Palatino Linotype" w:cstheme="minorHAnsi"/>
                <w:sz w:val="18"/>
                <w:szCs w:val="18"/>
              </w:rPr>
              <w:t>HSDS</w:t>
            </w:r>
          </w:p>
        </w:tc>
        <w:tc>
          <w:tcPr>
            <w:tcW w:w="1170" w:type="dxa"/>
          </w:tcPr>
          <w:p w14:paraId="7364009D" w14:textId="5DABCD1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5E788A9C" w14:textId="22E80736"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TaqMan assay</w:t>
            </w:r>
          </w:p>
        </w:tc>
        <w:tc>
          <w:tcPr>
            <w:tcW w:w="2507" w:type="dxa"/>
          </w:tcPr>
          <w:p w14:paraId="516A5B03" w14:textId="3A695A5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Interaction between </w:t>
            </w:r>
            <w:r w:rsidRPr="00CE22AC">
              <w:rPr>
                <w:rFonts w:ascii="Palatino Linotype" w:hAnsi="Palatino Linotype" w:cstheme="minorHAnsi"/>
                <w:sz w:val="18"/>
                <w:szCs w:val="18"/>
              </w:rPr>
              <w:t>rs363224</w:t>
            </w:r>
            <w:r>
              <w:rPr>
                <w:rFonts w:ascii="Palatino Linotype" w:hAnsi="Palatino Linotype" w:cstheme="minorHAnsi"/>
                <w:sz w:val="18"/>
                <w:szCs w:val="18"/>
              </w:rPr>
              <w:t xml:space="preserve"> (</w:t>
            </w:r>
            <w:r w:rsidRPr="00265F30">
              <w:rPr>
                <w:rFonts w:ascii="Palatino Linotype" w:hAnsi="Palatino Linotype" w:cstheme="minorHAnsi"/>
                <w:i/>
                <w:iCs/>
                <w:sz w:val="18"/>
                <w:szCs w:val="18"/>
              </w:rPr>
              <w:t>SLC18A2</w:t>
            </w:r>
            <w:r>
              <w:rPr>
                <w:rFonts w:ascii="Palatino Linotype" w:hAnsi="Palatino Linotype" w:cstheme="minorHAnsi"/>
                <w:sz w:val="18"/>
                <w:szCs w:val="18"/>
              </w:rPr>
              <w:t>)</w:t>
            </w:r>
            <w:r w:rsidRPr="00CE22AC">
              <w:rPr>
                <w:rFonts w:ascii="Palatino Linotype" w:hAnsi="Palatino Linotype" w:cstheme="minorHAnsi"/>
                <w:sz w:val="18"/>
                <w:szCs w:val="18"/>
              </w:rPr>
              <w:t xml:space="preserve"> and</w:t>
            </w:r>
            <w:r>
              <w:rPr>
                <w:rFonts w:ascii="Palatino Linotype" w:hAnsi="Palatino Linotype" w:cstheme="minorHAnsi"/>
                <w:sz w:val="18"/>
                <w:szCs w:val="18"/>
              </w:rPr>
              <w:t xml:space="preserve"> </w:t>
            </w:r>
            <w:r w:rsidRPr="00CE22AC">
              <w:rPr>
                <w:rFonts w:ascii="Palatino Linotype" w:hAnsi="Palatino Linotype" w:cstheme="minorHAnsi"/>
                <w:sz w:val="18"/>
                <w:szCs w:val="18"/>
              </w:rPr>
              <w:t xml:space="preserve">rs11122359 </w:t>
            </w:r>
            <w:r>
              <w:rPr>
                <w:rFonts w:ascii="Palatino Linotype" w:hAnsi="Palatino Linotype" w:cstheme="minorHAnsi"/>
                <w:sz w:val="18"/>
                <w:szCs w:val="18"/>
              </w:rPr>
              <w:t>(</w:t>
            </w:r>
            <w:r w:rsidRPr="00265F30">
              <w:rPr>
                <w:rFonts w:ascii="Palatino Linotype" w:hAnsi="Palatino Linotype" w:cstheme="minorHAnsi"/>
                <w:i/>
                <w:iCs/>
                <w:sz w:val="18"/>
                <w:szCs w:val="18"/>
              </w:rPr>
              <w:t>DISC1</w:t>
            </w:r>
            <w:r>
              <w:rPr>
                <w:rFonts w:ascii="Palatino Linotype" w:hAnsi="Palatino Linotype" w:cstheme="minorHAnsi"/>
                <w:sz w:val="18"/>
                <w:szCs w:val="18"/>
              </w:rPr>
              <w:t xml:space="preserve">) </w:t>
            </w:r>
            <w:r w:rsidRPr="00CE22AC">
              <w:rPr>
                <w:rFonts w:ascii="Palatino Linotype" w:hAnsi="Palatino Linotype" w:cstheme="minorHAnsi"/>
                <w:sz w:val="18"/>
                <w:szCs w:val="18"/>
              </w:rPr>
              <w:t xml:space="preserve">genotypes </w:t>
            </w:r>
            <w:r>
              <w:rPr>
                <w:rFonts w:ascii="Palatino Linotype" w:hAnsi="Palatino Linotype" w:cstheme="minorHAnsi"/>
                <w:sz w:val="18"/>
                <w:szCs w:val="18"/>
              </w:rPr>
              <w:t xml:space="preserve">with </w:t>
            </w:r>
            <w:r w:rsidRPr="00CE22AC">
              <w:rPr>
                <w:rFonts w:ascii="Palatino Linotype" w:hAnsi="Palatino Linotype" w:cstheme="minorHAnsi"/>
                <w:sz w:val="18"/>
                <w:szCs w:val="18"/>
              </w:rPr>
              <w:t>TD severity</w:t>
            </w:r>
          </w:p>
        </w:tc>
        <w:tc>
          <w:tcPr>
            <w:tcW w:w="2173" w:type="dxa"/>
          </w:tcPr>
          <w:p w14:paraId="61343558" w14:textId="3E95DBE9"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 xml:space="preserve">ADDIN CSL_CITATION {"citationItems":[{"id":"ITEM-1","itemData":{"DOI":"10.1016/j.neulet.2018.08.007","ISSN":"1872-7972","PMID":"30118782","abstract":"Tardive dyskinesia (TD) is an involuntary movement disorder that occurs in </w:instrText>
            </w:r>
            <w:r w:rsidR="005E78F7">
              <w:rPr>
                <w:rFonts w:ascii="Cambria Math" w:hAnsi="Cambria Math" w:cs="Cambria Math"/>
                <w:sz w:val="18"/>
                <w:szCs w:val="18"/>
              </w:rPr>
              <w:instrText>∼</w:instrText>
            </w:r>
            <w:r w:rsidR="005E78F7">
              <w:rPr>
                <w:rFonts w:ascii="Palatino Linotype" w:hAnsi="Palatino Linotype" w:cstheme="minorHAnsi"/>
                <w:sz w:val="18"/>
                <w:szCs w:val="18"/>
              </w:rPr>
              <w:instrText>20% of patients after extended antipsychotic use. Its pathophysiology is unclear; however, familial patterns and gene association studies indicate an inherited component to risk. The disrupted in schizophrenia 1 (DISC1) gene was selected for analysis because it interacts with and regulates two important proteins involved in antipsychotic medication action: the dopamine D2 receptor and the cAMP phosphodiesterase type IVB (PDE4B). The D2 receptor is the obligate target of all existing antipsychotic medications, and PDE4B hydrolyzes cAMP, a core signaling molecule activated by agonist binding to the D2 receptor. Notably, PDE4B inhibitors such as rolipram have been shown to reduce TD-like behaviours in animal models. Nine single-nucleotide polymorphisms (SNPs) in the DISC1 gene were investigated in a sample of 193 chronic schizophrenia patients for association with the presence and severity of TD, with age and sex as additional variables. TD severity was measured using the Abnormal Involuntary Movement Scale (AIMS). Two DISC1 SNPs were associated with TD severity (uncorrected p &lt; 0.05), but these findings did not survive correction for multiple testing. This preliminary investigation suggests that DISC1 gene variants do not affect risk for TD or severity.","author":[{"dropping-particle":"","family":"Lu","given":"Justin Y","non-dropping-particle":"","parse-names":false,"suffix":""},{"dropping-particle":"","family":"Tiwari","given":"Arun K","non-dropping-particle":"","parse-names":false,"suffix":""},{"dropping-particle":"","family":"Zai","given":"Gwyneth C","non-dropping-particle":"","parse-names":false,"suffix":""},{"dropping-particle":"","family":"Rastogi","given":"Anjali","non-dropping-particle":"","parse-names":false,"suffix":""},{"dropping-particle":"","family":"Shaikh","given":"Sajid A","non-dropping-particle":"","parse-names":false,"suffix":""},{"dropping-particle":"","family":"Müller","given":"Daniel J","non-dropping-particle":"","parse-names":false,"suffix":""},{"dropping-particle":"","family":"Voineskos","given":"Aristotle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Y","non-dropping-particle":"","parse-names":false,"suffix":""},{"dropping-particle":"","family":"Remington","given":"Gary","non-dropping-particle":"","parse-names":false,"suffix":""},{"dropping-particle":"","family":"Wong","given":"Albert H C","non-dropping-particle":"","parse-names":false,"suffix":""},{"dropping-particle":"","family":"Kennedy","given":"James L","non-dropping-particle":"","parse-names":false,"suffix":""},{"dropping-particle":"","family":"Zai","given":"Clement C","non-dropping-particle":"","parse-names":false,"suffix":""}],"container-title":"Neuroscience letters","id":"ITEM-1","issued":{"date-parts":[["2018"]]},"page":"17-22","publisher":"Neurosci Lett","title":"Association study of Disrupted-In-Schizophrenia-1 gene variants and tardive dyskinesia.","type":"article-journal","volume":"686"},"uris":["http://www.mendeley.com/documents/?uuid=a939d663-c671-3d08-be16-82f9bdaa13b6"]}],"mendeley":{"formattedCitation":"(Lu et al. 2018)","plainTextFormattedCitation":"(Lu et al. 2018)","previouslyFormattedCitation":"(Lu et al. 2018)"},"properties":{"noteIndex":0},"schema":"https://github.com/citation-style-language/schema/raw/master/csl-citation.json"}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(Lu et al. 2018)</w:t>
            </w:r>
            <w:r>
              <w:rPr>
                <w:rFonts w:ascii="Palatino Linotype" w:hAnsi="Palatino Linotype" w:cstheme="minorHAnsi"/>
                <w:sz w:val="18"/>
                <w:szCs w:val="18"/>
              </w:rPr>
              <w:fldChar w:fldCharType="end"/>
            </w:r>
          </w:p>
        </w:tc>
      </w:tr>
      <w:tr w:rsidR="0031439E" w:rsidRPr="00EA57B8" w14:paraId="65AC5C35" w14:textId="2AEF4DF5" w:rsidTr="0031439E">
        <w:tc>
          <w:tcPr>
            <w:tcW w:w="1094" w:type="dxa"/>
          </w:tcPr>
          <w:p w14:paraId="07600A6D" w14:textId="03F17ADD"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DTNBP1</w:t>
            </w:r>
          </w:p>
        </w:tc>
        <w:tc>
          <w:tcPr>
            <w:tcW w:w="1080" w:type="dxa"/>
          </w:tcPr>
          <w:p w14:paraId="0A7C9E57" w14:textId="62032230" w:rsidR="0031439E" w:rsidRPr="00924ABD" w:rsidRDefault="0031439E" w:rsidP="0031439E">
            <w:pPr>
              <w:rPr>
                <w:rFonts w:ascii="Palatino Linotype" w:hAnsi="Palatino Linotype" w:cstheme="minorHAnsi"/>
                <w:sz w:val="18"/>
                <w:szCs w:val="18"/>
              </w:rPr>
            </w:pPr>
            <w:r w:rsidRPr="00E87C37">
              <w:rPr>
                <w:rFonts w:ascii="Palatino Linotype" w:hAnsi="Palatino Linotype" w:cstheme="minorHAnsi"/>
                <w:sz w:val="18"/>
                <w:szCs w:val="18"/>
              </w:rPr>
              <w:t>rs760761</w:t>
            </w:r>
            <w:r>
              <w:rPr>
                <w:rFonts w:ascii="Palatino Linotype" w:hAnsi="Palatino Linotype" w:cstheme="minorHAnsi"/>
                <w:sz w:val="18"/>
                <w:szCs w:val="18"/>
              </w:rPr>
              <w:t>,</w:t>
            </w:r>
            <w:r w:rsidRPr="00E87C37">
              <w:rPr>
                <w:rFonts w:ascii="Palatino Linotype" w:hAnsi="Palatino Linotype" w:cstheme="minorHAnsi"/>
                <w:sz w:val="18"/>
                <w:szCs w:val="18"/>
              </w:rPr>
              <w:t xml:space="preserve"> rs3213207</w:t>
            </w:r>
            <w:r>
              <w:rPr>
                <w:rFonts w:ascii="Palatino Linotype" w:hAnsi="Palatino Linotype" w:cstheme="minorHAnsi"/>
                <w:sz w:val="18"/>
                <w:szCs w:val="18"/>
              </w:rPr>
              <w:t>,</w:t>
            </w:r>
            <w:r w:rsidRPr="00E87C37">
              <w:rPr>
                <w:rFonts w:ascii="Palatino Linotype" w:hAnsi="Palatino Linotype" w:cstheme="minorHAnsi"/>
                <w:sz w:val="18"/>
                <w:szCs w:val="18"/>
              </w:rPr>
              <w:t xml:space="preserve"> rs16876738</w:t>
            </w:r>
            <w:r>
              <w:rPr>
                <w:rFonts w:ascii="Palatino Linotype" w:hAnsi="Palatino Linotype" w:cstheme="minorHAnsi"/>
                <w:sz w:val="18"/>
                <w:szCs w:val="18"/>
              </w:rPr>
              <w:t>,</w:t>
            </w:r>
            <w:r w:rsidRPr="00E87C37">
              <w:rPr>
                <w:rFonts w:ascii="Palatino Linotype" w:hAnsi="Palatino Linotype" w:cstheme="minorHAnsi"/>
                <w:sz w:val="18"/>
                <w:szCs w:val="18"/>
              </w:rPr>
              <w:t xml:space="preserve"> rs2619539</w:t>
            </w:r>
            <w:r>
              <w:rPr>
                <w:rFonts w:ascii="Palatino Linotype" w:hAnsi="Palatino Linotype" w:cstheme="minorHAnsi"/>
                <w:sz w:val="18"/>
                <w:szCs w:val="18"/>
              </w:rPr>
              <w:t xml:space="preserve">, </w:t>
            </w:r>
            <w:r w:rsidRPr="00E87C37">
              <w:rPr>
                <w:rFonts w:ascii="Palatino Linotype" w:hAnsi="Palatino Linotype" w:cstheme="minorHAnsi"/>
                <w:sz w:val="18"/>
                <w:szCs w:val="18"/>
              </w:rPr>
              <w:t>rs875462</w:t>
            </w:r>
            <w:r>
              <w:rPr>
                <w:rFonts w:ascii="Palatino Linotype" w:hAnsi="Palatino Linotype" w:cstheme="minorHAnsi"/>
                <w:sz w:val="18"/>
                <w:szCs w:val="18"/>
              </w:rPr>
              <w:t>,</w:t>
            </w:r>
            <w:r w:rsidRPr="00E87C37">
              <w:rPr>
                <w:rFonts w:ascii="Palatino Linotype" w:hAnsi="Palatino Linotype" w:cstheme="minorHAnsi"/>
                <w:sz w:val="18"/>
                <w:szCs w:val="18"/>
              </w:rPr>
              <w:t xml:space="preserve"> </w:t>
            </w:r>
            <w:r w:rsidRPr="00E87C37">
              <w:rPr>
                <w:rFonts w:ascii="Palatino Linotype" w:hAnsi="Palatino Linotype" w:cstheme="minorHAnsi"/>
                <w:sz w:val="18"/>
                <w:szCs w:val="18"/>
              </w:rPr>
              <w:lastRenderedPageBreak/>
              <w:t>rs17470454</w:t>
            </w:r>
          </w:p>
        </w:tc>
        <w:tc>
          <w:tcPr>
            <w:tcW w:w="1080" w:type="dxa"/>
          </w:tcPr>
          <w:p w14:paraId="69D31F8F" w14:textId="2D43643B" w:rsidR="0031439E" w:rsidRDefault="0031439E" w:rsidP="0031439E">
            <w:pPr>
              <w:rPr>
                <w:rFonts w:ascii="Palatino Linotype" w:hAnsi="Palatino Linotype" w:cstheme="minorHAnsi"/>
                <w:sz w:val="18"/>
                <w:szCs w:val="18"/>
              </w:rPr>
            </w:pPr>
            <w:r w:rsidRPr="00482A4A">
              <w:rPr>
                <w:rFonts w:ascii="Palatino Linotype" w:hAnsi="Palatino Linotype" w:cstheme="minorHAnsi"/>
                <w:sz w:val="18"/>
                <w:szCs w:val="18"/>
              </w:rPr>
              <w:lastRenderedPageBreak/>
              <w:t>136</w:t>
            </w:r>
            <w:r>
              <w:rPr>
                <w:rFonts w:ascii="Palatino Linotype" w:hAnsi="Palatino Linotype" w:cstheme="minorHAnsi"/>
                <w:sz w:val="18"/>
                <w:szCs w:val="18"/>
              </w:rPr>
              <w:t xml:space="preserve"> (</w:t>
            </w:r>
            <w:r w:rsidRPr="00482A4A">
              <w:rPr>
                <w:rFonts w:ascii="Palatino Linotype" w:hAnsi="Palatino Linotype" w:cstheme="minorHAnsi"/>
                <w:sz w:val="18"/>
                <w:szCs w:val="18"/>
              </w:rPr>
              <w:t>59 w</w:t>
            </w:r>
            <w:r>
              <w:rPr>
                <w:rFonts w:ascii="Palatino Linotype" w:hAnsi="Palatino Linotype" w:cstheme="minorHAnsi"/>
                <w:sz w:val="18"/>
                <w:szCs w:val="18"/>
              </w:rPr>
              <w:t xml:space="preserve">ith </w:t>
            </w:r>
            <w:r w:rsidRPr="00482A4A">
              <w:rPr>
                <w:rFonts w:ascii="Palatino Linotype" w:hAnsi="Palatino Linotype" w:cstheme="minorHAnsi"/>
                <w:sz w:val="18"/>
                <w:szCs w:val="18"/>
              </w:rPr>
              <w:t>TD)</w:t>
            </w:r>
          </w:p>
        </w:tc>
        <w:tc>
          <w:tcPr>
            <w:tcW w:w="1170" w:type="dxa"/>
          </w:tcPr>
          <w:p w14:paraId="636E9461" w14:textId="0D68E847" w:rsidR="0031439E" w:rsidRDefault="0031439E" w:rsidP="0031439E">
            <w:pPr>
              <w:rPr>
                <w:rFonts w:ascii="Palatino Linotype" w:hAnsi="Palatino Linotype"/>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p>
        </w:tc>
        <w:tc>
          <w:tcPr>
            <w:tcW w:w="1350" w:type="dxa"/>
          </w:tcPr>
          <w:p w14:paraId="243F2881" w14:textId="0CA3B227" w:rsidR="0031439E" w:rsidRPr="00924ABD" w:rsidRDefault="0031439E" w:rsidP="0031439E">
            <w:pPr>
              <w:rPr>
                <w:rFonts w:ascii="Palatino Linotype" w:hAnsi="Palatino Linotype" w:cstheme="minorHAnsi"/>
                <w:sz w:val="18"/>
                <w:szCs w:val="18"/>
              </w:rPr>
            </w:pPr>
            <w:r w:rsidRPr="00E55F1D">
              <w:rPr>
                <w:rFonts w:ascii="Palatino Linotype" w:eastAsiaTheme="minorHAnsi" w:hAnsi="Palatino Linotype" w:cstheme="minorHAnsi"/>
                <w:sz w:val="18"/>
                <w:szCs w:val="18"/>
                <w:lang w:eastAsia="en-US"/>
              </w:rPr>
              <w:t>schizophrenia or schizoaffective disorder</w:t>
            </w:r>
          </w:p>
        </w:tc>
        <w:tc>
          <w:tcPr>
            <w:tcW w:w="1260" w:type="dxa"/>
          </w:tcPr>
          <w:p w14:paraId="2601997B" w14:textId="7EF64B25" w:rsidR="0031439E" w:rsidRPr="006A1E5F" w:rsidRDefault="0031439E" w:rsidP="0031439E">
            <w:pPr>
              <w:rPr>
                <w:rFonts w:ascii="Palatino Linotype" w:hAnsi="Palatino Linotype" w:cstheme="minorHAnsi"/>
                <w:sz w:val="18"/>
                <w:szCs w:val="18"/>
              </w:rPr>
            </w:pPr>
            <w:r w:rsidRPr="00E55F1D">
              <w:rPr>
                <w:rFonts w:ascii="Palatino Linotype" w:eastAsiaTheme="minorHAnsi" w:hAnsi="Palatino Linotype" w:cstheme="minorHAnsi"/>
                <w:sz w:val="18"/>
                <w:szCs w:val="18"/>
                <w:lang w:eastAsia="en-US"/>
              </w:rPr>
              <w:t>DSM-III-R or DSM-IV</w:t>
            </w:r>
          </w:p>
        </w:tc>
        <w:tc>
          <w:tcPr>
            <w:tcW w:w="1170" w:type="dxa"/>
          </w:tcPr>
          <w:p w14:paraId="2669DB80" w14:textId="49ADC77F"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AIMS or the modified </w:t>
            </w:r>
            <w:r w:rsidRPr="005725A7">
              <w:rPr>
                <w:rFonts w:ascii="Palatino Linotype" w:hAnsi="Palatino Linotype" w:cstheme="minorHAnsi"/>
                <w:sz w:val="18"/>
                <w:szCs w:val="18"/>
              </w:rPr>
              <w:t>H</w:t>
            </w:r>
            <w:r>
              <w:rPr>
                <w:rFonts w:ascii="Palatino Linotype" w:hAnsi="Palatino Linotype" w:cstheme="minorHAnsi"/>
                <w:sz w:val="18"/>
                <w:szCs w:val="18"/>
              </w:rPr>
              <w:t>SDS</w:t>
            </w:r>
          </w:p>
        </w:tc>
        <w:tc>
          <w:tcPr>
            <w:tcW w:w="1170" w:type="dxa"/>
          </w:tcPr>
          <w:p w14:paraId="461692D8" w14:textId="2ACB331F"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 SGAs, or no exposure</w:t>
            </w:r>
          </w:p>
        </w:tc>
        <w:tc>
          <w:tcPr>
            <w:tcW w:w="1350" w:type="dxa"/>
          </w:tcPr>
          <w:p w14:paraId="6B0C3E09" w14:textId="5074F9E3"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assay</w:t>
            </w:r>
          </w:p>
        </w:tc>
        <w:tc>
          <w:tcPr>
            <w:tcW w:w="2507" w:type="dxa"/>
          </w:tcPr>
          <w:p w14:paraId="32A35A33" w14:textId="77777777" w:rsidR="0031439E" w:rsidRPr="00FE6137"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the haplotype </w:t>
            </w:r>
            <w:r w:rsidRPr="00FE6137">
              <w:rPr>
                <w:rFonts w:ascii="Palatino Linotype" w:hAnsi="Palatino Linotype" w:cstheme="minorHAnsi"/>
                <w:sz w:val="18"/>
                <w:szCs w:val="18"/>
              </w:rPr>
              <w:t>rs2619539</w:t>
            </w:r>
            <w:r>
              <w:rPr>
                <w:rFonts w:ascii="Palatino Linotype" w:hAnsi="Palatino Linotype" w:cstheme="minorHAnsi"/>
                <w:sz w:val="18"/>
                <w:szCs w:val="18"/>
              </w:rPr>
              <w:t>G</w:t>
            </w:r>
            <w:r w:rsidRPr="00FE6137">
              <w:rPr>
                <w:rFonts w:ascii="Palatino Linotype" w:hAnsi="Palatino Linotype" w:cstheme="minorHAnsi"/>
                <w:sz w:val="18"/>
                <w:szCs w:val="18"/>
              </w:rPr>
              <w:t>, rs875462</w:t>
            </w:r>
            <w:r>
              <w:rPr>
                <w:rFonts w:ascii="Palatino Linotype" w:hAnsi="Palatino Linotype" w:cstheme="minorHAnsi"/>
                <w:sz w:val="18"/>
                <w:szCs w:val="18"/>
              </w:rPr>
              <w:t>T</w:t>
            </w:r>
            <w:r w:rsidRPr="00FE6137">
              <w:rPr>
                <w:rFonts w:ascii="Palatino Linotype" w:hAnsi="Palatino Linotype" w:cstheme="minorHAnsi"/>
                <w:sz w:val="18"/>
                <w:szCs w:val="18"/>
              </w:rPr>
              <w:t>, and rs17470454</w:t>
            </w:r>
            <w:r>
              <w:rPr>
                <w:rFonts w:ascii="Palatino Linotype" w:hAnsi="Palatino Linotype" w:cstheme="minorHAnsi"/>
                <w:sz w:val="18"/>
                <w:szCs w:val="18"/>
              </w:rPr>
              <w:t xml:space="preserve">G </w:t>
            </w:r>
            <w:r w:rsidRPr="00FE6137">
              <w:rPr>
                <w:rFonts w:ascii="Palatino Linotype" w:hAnsi="Palatino Linotype" w:cstheme="minorHAnsi"/>
                <w:sz w:val="18"/>
                <w:szCs w:val="18"/>
              </w:rPr>
              <w:t>with</w:t>
            </w:r>
            <w:r>
              <w:rPr>
                <w:rFonts w:ascii="Palatino Linotype" w:hAnsi="Palatino Linotype" w:cstheme="minorHAnsi"/>
                <w:sz w:val="18"/>
                <w:szCs w:val="18"/>
              </w:rPr>
              <w:t xml:space="preserve"> </w:t>
            </w:r>
            <w:r w:rsidRPr="00FE6137">
              <w:rPr>
                <w:rFonts w:ascii="Palatino Linotype" w:hAnsi="Palatino Linotype" w:cstheme="minorHAnsi"/>
                <w:sz w:val="18"/>
                <w:szCs w:val="18"/>
              </w:rPr>
              <w:t xml:space="preserve">higher </w:t>
            </w:r>
            <w:r>
              <w:rPr>
                <w:rFonts w:ascii="Palatino Linotype" w:hAnsi="Palatino Linotype" w:cstheme="minorHAnsi"/>
                <w:sz w:val="18"/>
                <w:szCs w:val="18"/>
              </w:rPr>
              <w:t xml:space="preserve">TD </w:t>
            </w:r>
            <w:r w:rsidRPr="00FE6137">
              <w:rPr>
                <w:rFonts w:ascii="Palatino Linotype" w:hAnsi="Palatino Linotype" w:cstheme="minorHAnsi"/>
                <w:sz w:val="18"/>
                <w:szCs w:val="18"/>
              </w:rPr>
              <w:t xml:space="preserve">risk for TD </w:t>
            </w:r>
            <w:r>
              <w:rPr>
                <w:rFonts w:ascii="Palatino Linotype" w:hAnsi="Palatino Linotype" w:cstheme="minorHAnsi"/>
                <w:sz w:val="18"/>
                <w:szCs w:val="18"/>
              </w:rPr>
              <w:t xml:space="preserve">and the haplotype </w:t>
            </w:r>
            <w:r w:rsidRPr="00FE6137">
              <w:rPr>
                <w:rFonts w:ascii="Palatino Linotype" w:hAnsi="Palatino Linotype" w:cstheme="minorHAnsi"/>
                <w:sz w:val="18"/>
                <w:szCs w:val="18"/>
              </w:rPr>
              <w:t>rs760761</w:t>
            </w:r>
            <w:r>
              <w:rPr>
                <w:rFonts w:ascii="Palatino Linotype" w:hAnsi="Palatino Linotype" w:cstheme="minorHAnsi"/>
                <w:sz w:val="18"/>
                <w:szCs w:val="18"/>
              </w:rPr>
              <w:t>A</w:t>
            </w:r>
            <w:r w:rsidRPr="00FE6137">
              <w:rPr>
                <w:rFonts w:ascii="Palatino Linotype" w:hAnsi="Palatino Linotype" w:cstheme="minorHAnsi"/>
                <w:sz w:val="18"/>
                <w:szCs w:val="18"/>
              </w:rPr>
              <w:t>,</w:t>
            </w:r>
          </w:p>
          <w:p w14:paraId="4FB4C9BE" w14:textId="3FC81D1C" w:rsidR="0031439E" w:rsidRDefault="0031439E" w:rsidP="0031439E">
            <w:pPr>
              <w:rPr>
                <w:rFonts w:ascii="Palatino Linotype" w:hAnsi="Palatino Linotype" w:cstheme="minorHAnsi"/>
                <w:sz w:val="18"/>
                <w:szCs w:val="18"/>
              </w:rPr>
            </w:pPr>
            <w:r w:rsidRPr="00FE6137">
              <w:rPr>
                <w:rFonts w:ascii="Palatino Linotype" w:hAnsi="Palatino Linotype" w:cstheme="minorHAnsi"/>
                <w:sz w:val="18"/>
                <w:szCs w:val="18"/>
              </w:rPr>
              <w:lastRenderedPageBreak/>
              <w:t>rs3213207</w:t>
            </w:r>
            <w:r>
              <w:rPr>
                <w:rFonts w:ascii="Palatino Linotype" w:hAnsi="Palatino Linotype" w:cstheme="minorHAnsi"/>
                <w:sz w:val="18"/>
                <w:szCs w:val="18"/>
              </w:rPr>
              <w:t>T</w:t>
            </w:r>
            <w:r w:rsidRPr="00FE6137">
              <w:rPr>
                <w:rFonts w:ascii="Palatino Linotype" w:hAnsi="Palatino Linotype" w:cstheme="minorHAnsi"/>
                <w:sz w:val="18"/>
                <w:szCs w:val="18"/>
              </w:rPr>
              <w:t>, and rs16876738</w:t>
            </w:r>
            <w:r>
              <w:rPr>
                <w:rFonts w:ascii="Palatino Linotype" w:hAnsi="Palatino Linotype" w:cstheme="minorHAnsi"/>
                <w:sz w:val="18"/>
                <w:szCs w:val="18"/>
              </w:rPr>
              <w:t xml:space="preserve">C with TD severity </w:t>
            </w:r>
          </w:p>
        </w:tc>
        <w:tc>
          <w:tcPr>
            <w:tcW w:w="2173" w:type="dxa"/>
          </w:tcPr>
          <w:p w14:paraId="398E7371" w14:textId="625AAB46" w:rsidR="0031439E" w:rsidRDefault="0031439E" w:rsidP="0031439E">
            <w:pPr>
              <w:rPr>
                <w:rFonts w:ascii="Palatino Linotype" w:hAnsi="Palatino Linotype" w:cstheme="minorHAnsi"/>
                <w:sz w:val="18"/>
                <w:szCs w:val="18"/>
              </w:rPr>
            </w:pPr>
            <w:r>
              <w:rPr>
                <w:rFonts w:ascii="Palatino Linotype" w:hAnsi="Palatino Linotype" w:cstheme="minorHAnsi"/>
                <w:b/>
                <w:sz w:val="18"/>
                <w:szCs w:val="18"/>
              </w:rPr>
              <w:lastRenderedPageBreak/>
              <w:fldChar w:fldCharType="begin" w:fldLock="1"/>
            </w:r>
            <w:r w:rsidR="005E78F7">
              <w:rPr>
                <w:rFonts w:ascii="Palatino Linotype" w:hAnsi="Palatino Linotype" w:cstheme="minorHAnsi"/>
                <w:b/>
                <w:sz w:val="18"/>
                <w:szCs w:val="18"/>
              </w:rPr>
              <w:instrText>ADDIN CSL_CITATION {"citationItems":[{"id":"ITEM-1","itemData":{"DOI":"10.1002/ddr.21681","ISSN":"1098-2299","PMID":"32394511","abstract":"Tardive dyskinesia (TD) is a potentially irreversible movement disorder observed following long-term antipsychotic exposure. Its cause is unknown; however, a genetic component has been supported by studies of affected families. Dysbindin-1, encoded by the dystrobrevin-binding protein 1 DTNBP1 gene, has been associated with schizophrenia and is potentially involved in dopamine neurotransmission through its regulation of dopamine release and dopamine D2 receptor recycling, making it a candidate for investigation in TD. We investigated common variants across the DTNBP1 gene in our schizophrenia/patients with schizoaffective disorder of European ancestry. We found a number of DTNBP1 three-marker haplotypes to be associated with TD occurrence and TD severity (p &lt; 0.05). These preliminary findings, if replicated in larger independent samples, would suggest that drugs targeting dysbindin-1 may be an option in the prevention and treatment of TD.","author":[{"dropping-particle":"","family":"Maes","given":"Miriam S","non-dropping-particle":"","parse-names":false,"suffix":""},{"dropping-particle":"","family":"Lu","given":"Justin Y","non-dropping-particle":"","parse-names":false,"suffix":""},{"dropping-particle":"","family":"Tiwari","given":"Arun K","non-dropping-particle":"","parse-names":false,"suffix":""},{"dropping-particle":"","family":"Freeman","given":"Natalie","non-dropping-particle":"","parse-names":false,"suffix":""},{"dropping-particle":"","family":"Luca","given":"Vincenzo","non-dropping-particle":"de","parse-names":false,"suffix":""},{"dropping-particle":"","family":"Müller","given":"Daniel J","non-dropping-particle":"","parse-names":false,"suffix":""},{"dropping-particle":"","family":"Voineskos","given":"Aristotle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L","non-dropping-particle":"","parse-names":false,"suffix":""},{"dropping-particle":"","family":"Zai","given":"Clement C","non-dropping-particle":"","parse-names":false,"suffix":""}],"container-title":"Drug development research","id":"ITEM-1","issue":"5","issued":{"date-parts":[["2021","8"]]},"page":"678-684","publisher":"Drug Dev Res","title":"Schizophrenia-associated gene dysbindin-1 and tardive dyskinesia.","type":"article-journal","volume":"82"},"uris":["http://www.mendeley.com/documents/?uuid=c28e2db8-bd73-31ff-bfe7-55a6970fbdfa"]}],"mendeley":{"formattedCitation":"(Maes et al. 2021)","plainTextFormattedCitation":"(Maes et al. 2021)","previouslyFormattedCitation":"(Maes et al. 2021)"},"properties":{"noteIndex":0},"schema":"https://github.com/citation-style-language/schema/raw/master/csl-citation.json"}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(Maes et al. 2021)</w:t>
            </w:r>
            <w:r>
              <w:rPr>
                <w:rFonts w:ascii="Palatino Linotype" w:hAnsi="Palatino Linotype" w:cstheme="minorHAnsi"/>
                <w:b/>
                <w:sz w:val="18"/>
                <w:szCs w:val="18"/>
              </w:rPr>
              <w:fldChar w:fldCharType="end"/>
            </w:r>
          </w:p>
        </w:tc>
      </w:tr>
      <w:tr w:rsidR="0031439E" w:rsidRPr="00EA57B8" w14:paraId="3FB8682B" w14:textId="28EF7BD0" w:rsidTr="0031439E">
        <w:tc>
          <w:tcPr>
            <w:tcW w:w="1094" w:type="dxa"/>
          </w:tcPr>
          <w:p w14:paraId="41DAB00D" w14:textId="25E68813"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COMT, MAOA and MAOB</w:t>
            </w:r>
          </w:p>
        </w:tc>
        <w:tc>
          <w:tcPr>
            <w:tcW w:w="1080" w:type="dxa"/>
          </w:tcPr>
          <w:p w14:paraId="17FF15CD" w14:textId="77777777"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r</w:t>
            </w:r>
            <w:r w:rsidRPr="006A1E5F">
              <w:rPr>
                <w:rFonts w:ascii="Palatino Linotype" w:hAnsi="Palatino Linotype" w:cstheme="minorHAnsi"/>
                <w:sz w:val="18"/>
                <w:szCs w:val="18"/>
              </w:rPr>
              <w:t>s4680 (</w:t>
            </w:r>
            <w:r w:rsidRPr="00DD0B28">
              <w:rPr>
                <w:rFonts w:ascii="Palatino Linotype" w:hAnsi="Palatino Linotype" w:cstheme="minorHAnsi"/>
                <w:i/>
                <w:iCs/>
                <w:sz w:val="18"/>
                <w:szCs w:val="18"/>
              </w:rPr>
              <w:t>COMT</w:t>
            </w:r>
            <w:r w:rsidRPr="006A1E5F">
              <w:rPr>
                <w:rFonts w:ascii="Palatino Linotype" w:hAnsi="Palatino Linotype" w:cstheme="minorHAnsi"/>
                <w:sz w:val="18"/>
                <w:szCs w:val="18"/>
              </w:rPr>
              <w:t xml:space="preserve">), 30-bp repeat </w:t>
            </w:r>
          </w:p>
          <w:p w14:paraId="7DA0C6AC" w14:textId="2FF4053B"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in the promoter of MAOA, </w:t>
            </w:r>
            <w:r w:rsidRPr="006A1E5F">
              <w:rPr>
                <w:rStyle w:val="st"/>
                <w:rFonts w:ascii="Palatino Linotype" w:hAnsi="Palatino Linotype"/>
                <w:sz w:val="18"/>
                <w:szCs w:val="18"/>
              </w:rPr>
              <w:t>rs1799836</w:t>
            </w:r>
            <w:r w:rsidRPr="006A1E5F">
              <w:rPr>
                <w:rFonts w:ascii="Palatino Linotype" w:hAnsi="Palatino Linotype"/>
                <w:sz w:val="18"/>
                <w:szCs w:val="18"/>
              </w:rPr>
              <w:t xml:space="preserve"> (</w:t>
            </w:r>
            <w:r w:rsidRPr="00DD0B28">
              <w:rPr>
                <w:rFonts w:ascii="Palatino Linotype" w:hAnsi="Palatino Linotype"/>
                <w:i/>
                <w:iCs/>
                <w:sz w:val="18"/>
                <w:szCs w:val="18"/>
              </w:rPr>
              <w:t>MAOB</w:t>
            </w:r>
            <w:r w:rsidRPr="006A1E5F">
              <w:rPr>
                <w:rFonts w:ascii="Palatino Linotype" w:hAnsi="Palatino Linotype"/>
                <w:sz w:val="18"/>
                <w:szCs w:val="18"/>
              </w:rPr>
              <w:t>)</w:t>
            </w:r>
          </w:p>
        </w:tc>
        <w:tc>
          <w:tcPr>
            <w:tcW w:w="1080" w:type="dxa"/>
          </w:tcPr>
          <w:p w14:paraId="1BF2C087" w14:textId="3F79854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206</w:t>
            </w:r>
            <w:r>
              <w:rPr>
                <w:rFonts w:ascii="Palatino Linotype" w:hAnsi="Palatino Linotype" w:cstheme="minorHAnsi"/>
                <w:sz w:val="18"/>
                <w:szCs w:val="18"/>
              </w:rPr>
              <w:t xml:space="preserve"> </w:t>
            </w:r>
          </w:p>
        </w:tc>
        <w:tc>
          <w:tcPr>
            <w:tcW w:w="1170" w:type="dxa"/>
          </w:tcPr>
          <w:p w14:paraId="4AD0C140" w14:textId="33FA83EE"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Japanese </w:t>
            </w:r>
          </w:p>
        </w:tc>
        <w:tc>
          <w:tcPr>
            <w:tcW w:w="1350" w:type="dxa"/>
          </w:tcPr>
          <w:p w14:paraId="459295A8" w14:textId="2CA40F76"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23842CF8" w14:textId="2CF1FF14"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20BDDEE4" w14:textId="5AD37A9B"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2F1C9E88" w14:textId="7E136C1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77FA88BE" w14:textId="4A25A74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cstheme="minorHAnsi"/>
                <w:i/>
                <w:iCs/>
                <w:sz w:val="18"/>
                <w:szCs w:val="18"/>
              </w:rPr>
              <w:t>Mae</w:t>
            </w:r>
            <w:r w:rsidRPr="006A1E5F">
              <w:rPr>
                <w:rFonts w:ascii="Palatino Linotype" w:hAnsi="Palatino Linotype" w:cstheme="minorHAnsi"/>
                <w:sz w:val="18"/>
                <w:szCs w:val="18"/>
              </w:rPr>
              <w:t>III</w:t>
            </w:r>
            <w:proofErr w:type="spellEnd"/>
            <w:r w:rsidRPr="006A1E5F">
              <w:rPr>
                <w:rFonts w:ascii="Palatino Linotype" w:hAnsi="Palatino Linotype"/>
                <w:sz w:val="18"/>
                <w:szCs w:val="18"/>
              </w:rPr>
              <w:t>)</w:t>
            </w:r>
          </w:p>
        </w:tc>
        <w:tc>
          <w:tcPr>
            <w:tcW w:w="2507" w:type="dxa"/>
          </w:tcPr>
          <w:p w14:paraId="615CC9D9" w14:textId="218E7C26"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066D922A" w14:textId="5F87D336"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{"citationItems":[{"id":"ITEM-1","itemData":{"DOI":"10.1016/j.psychres.2004.03.011","ISSN":"0165-1781","PMID":"15261699","abstract":"Several lines of evidence suggest that tardive dyskinesia (TD) may be associated with altered dopaminergic neurotransmission. We hypothesized that deranged dopamine degradation enzyme activities might be related to the susceptibility to TD through altered dopaminergic neurotransmission in the central nervous system. In the present study, we investigated the relationship between the gene polymorphisms of three dopamine degradation enzymes and TD. We genotyped the valine/methionine polymorphism of codon 108/158 in the catechol-O-methyltransferase (COMT) gene, the 30-bp repeat polymorphism in the promoter of the monoamine oxidase A (MAOA) gene, and the A/G polymorphism in intron 13 of the monoamine oxidase B (MAOB) gene in 206 Japanese patients with schizophrenia. No significant difference was found in total scores on the Abnormal Involuntary Movement Scale (AIMS) among the subject groups, sorted according to the COMT, MAOA and MAOB genotypes. Moreover, no significant difference was found in allele frequencies between patients with TD and patients without TD for any of the polymorphisms. As both COMT and MAO genes are involved in degrading catecholamines, we also sought evidence for additive and epistatic effects, but none was observed. Our data, therefore, do not support the hypothesis that polymorphisms in COMT, MAOA, and MAOB genes are involved individually or in combination in the predisposition to TD.","author":[{"dropping-particle":"","family":"Matsumoto","given":"Chima","non-dropping-particle":"","parse-names":false,"suffix":""},{"dropping-particle":"","family":"Shinkai","given":"Takahiro","non-dropping-particle":"","parse-names":false,"suffix":""},{"dropping-particle":"","family":"Hori","given":"Hiroko","non-dropping-particle":"","parse-names":false,"suffix":""},{"dropping-particle":"","family":"Ohmori","given":"Osamu","non-dropping-particle":"","parse-names":false,"suffix":""},{"dropping-particle":"","family":"Nakamura","given":"Jun","non-dropping-particle":"","parse-names":false,"suffix":""}],"container-title":"Psychiatry research","id":"ITEM-1","issue":"1-2","issued":{"date-parts":[["2004","6","30"]]},"page":"1-7","title":"Polymorphisms of dopamine degradation enzyme (COMT and MAO) genes and tardive dyskinesia in patients with schizophrenia.","type":"article-journal","volume":"127"},"uris":["http://www.mendeley.com/documents/?uuid=ce43a72e-fb62-3179-921c-806faa31e605"]}],"mendeley":{"formattedCitation":"(Matsumoto et al. 2004b)","plainTextFormattedCitation":"(Matsumoto et al. 2004b)","previouslyFormattedCitation":"(Matsumoto et al. 2004b)"},"properties":{"noteIndex":0},"schema":"https://github.com/citation-style-language/schema/raw/master/csl-citation.json"}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(Matsumoto et al. 2004b)</w:t>
            </w:r>
            <w:r w:rsidRPr="006A1E5F">
              <w:rPr>
                <w:rFonts w:ascii="Palatino Linotype" w:hAnsi="Palatino Linotype" w:cstheme="minorHAnsi"/>
                <w:sz w:val="18"/>
                <w:szCs w:val="18"/>
              </w:rPr>
              <w:fldChar w:fldCharType="end"/>
            </w:r>
          </w:p>
        </w:tc>
      </w:tr>
      <w:tr w:rsidR="0031439E" w:rsidRPr="00EA57B8" w14:paraId="34E2D0B8" w14:textId="348D0031" w:rsidTr="0031439E">
        <w:tc>
          <w:tcPr>
            <w:tcW w:w="1094" w:type="dxa"/>
          </w:tcPr>
          <w:p w14:paraId="69F8EA16" w14:textId="73CC7B8E"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OPRM1</w:t>
            </w:r>
            <w:r w:rsidRPr="000F3F98">
              <w:rPr>
                <w:rFonts w:ascii="Palatino Linotype" w:hAnsi="Palatino Linotype" w:cstheme="minorHAnsi"/>
                <w:i/>
                <w:iCs/>
                <w:sz w:val="18"/>
                <w:szCs w:val="18"/>
                <w:lang w:val="el-GR"/>
              </w:rPr>
              <w:t>, OPRD1</w:t>
            </w:r>
          </w:p>
        </w:tc>
        <w:tc>
          <w:tcPr>
            <w:tcW w:w="1080" w:type="dxa"/>
          </w:tcPr>
          <w:p w14:paraId="0D394595" w14:textId="06ACD9A5" w:rsidR="0031439E" w:rsidRPr="00AE2DED" w:rsidRDefault="0031439E" w:rsidP="0031439E">
            <w:pPr>
              <w:rPr>
                <w:rFonts w:ascii="Palatino Linotype" w:hAnsi="Palatino Linotype"/>
                <w:sz w:val="18"/>
                <w:szCs w:val="18"/>
                <w:lang w:val="fr-FR"/>
                <w:rPrChange w:id="66" w:author="Samson Oyebanjo" w:date="2021-12-31T16:52:00Z">
                  <w:rPr>
                    <w:rFonts w:ascii="Palatino Linotype" w:hAnsi="Palatino Linotype"/>
                    <w:sz w:val="18"/>
                    <w:szCs w:val="18"/>
                  </w:rPr>
                </w:rPrChange>
              </w:rPr>
            </w:pPr>
            <w:r w:rsidRPr="00AE2DED">
              <w:rPr>
                <w:rFonts w:ascii="Palatino Linotype" w:hAnsi="Palatino Linotype" w:cstheme="minorHAnsi"/>
                <w:sz w:val="18"/>
                <w:szCs w:val="18"/>
                <w:lang w:val="fr-FR"/>
                <w:rPrChange w:id="67" w:author="Samson Oyebanjo" w:date="2021-12-31T16:52:00Z">
                  <w:rPr>
                    <w:rFonts w:ascii="Palatino Linotype" w:hAnsi="Palatino Linotype" w:cstheme="minorHAnsi"/>
                    <w:sz w:val="18"/>
                    <w:szCs w:val="18"/>
                  </w:rPr>
                </w:rPrChange>
              </w:rPr>
              <w:t>rs1799971 (</w:t>
            </w:r>
            <w:r w:rsidRPr="00AE2DED">
              <w:rPr>
                <w:rFonts w:ascii="Palatino Linotype" w:hAnsi="Palatino Linotype" w:cstheme="minorHAnsi"/>
                <w:i/>
                <w:iCs/>
                <w:sz w:val="18"/>
                <w:szCs w:val="18"/>
                <w:lang w:val="fr-FR"/>
                <w:rPrChange w:id="68" w:author="Samson Oyebanjo" w:date="2021-12-31T16:52:00Z">
                  <w:rPr>
                    <w:rFonts w:ascii="Palatino Linotype" w:hAnsi="Palatino Linotype" w:cstheme="minorHAnsi"/>
                    <w:i/>
                    <w:iCs/>
                    <w:sz w:val="18"/>
                    <w:szCs w:val="18"/>
                  </w:rPr>
                </w:rPrChange>
              </w:rPr>
              <w:t>OPRM1</w:t>
            </w:r>
            <w:r w:rsidRPr="00AE2DED">
              <w:rPr>
                <w:rFonts w:ascii="Palatino Linotype" w:hAnsi="Palatino Linotype" w:cstheme="minorHAnsi"/>
                <w:sz w:val="18"/>
                <w:szCs w:val="18"/>
                <w:lang w:val="fr-FR"/>
                <w:rPrChange w:id="69" w:author="Samson Oyebanjo" w:date="2021-12-31T16:52:00Z">
                  <w:rPr>
                    <w:rFonts w:ascii="Palatino Linotype" w:hAnsi="Palatino Linotype" w:cstheme="minorHAnsi"/>
                    <w:sz w:val="18"/>
                    <w:szCs w:val="18"/>
                  </w:rPr>
                </w:rPrChange>
              </w:rPr>
              <w:t>), 921T/C (</w:t>
            </w:r>
            <w:r w:rsidRPr="00AE2DED">
              <w:rPr>
                <w:rFonts w:ascii="Palatino Linotype" w:hAnsi="Palatino Linotype" w:cstheme="minorHAnsi"/>
                <w:i/>
                <w:iCs/>
                <w:sz w:val="18"/>
                <w:szCs w:val="18"/>
                <w:lang w:val="fr-FR"/>
                <w:rPrChange w:id="70" w:author="Samson Oyebanjo" w:date="2021-12-31T16:52:00Z">
                  <w:rPr>
                    <w:rFonts w:ascii="Palatino Linotype" w:hAnsi="Palatino Linotype" w:cstheme="minorHAnsi"/>
                    <w:i/>
                    <w:iCs/>
                    <w:sz w:val="18"/>
                    <w:szCs w:val="18"/>
                  </w:rPr>
                </w:rPrChange>
              </w:rPr>
              <w:t>OPRD1</w:t>
            </w:r>
            <w:r w:rsidRPr="00AE2DED">
              <w:rPr>
                <w:rFonts w:ascii="Palatino Linotype" w:hAnsi="Palatino Linotype" w:cstheme="minorHAnsi"/>
                <w:sz w:val="18"/>
                <w:szCs w:val="18"/>
                <w:lang w:val="fr-FR"/>
                <w:rPrChange w:id="71" w:author="Samson Oyebanjo" w:date="2021-12-31T16:52:00Z">
                  <w:rPr>
                    <w:rFonts w:ascii="Palatino Linotype" w:hAnsi="Palatino Linotype" w:cstheme="minorHAnsi"/>
                    <w:sz w:val="18"/>
                    <w:szCs w:val="18"/>
                  </w:rPr>
                </w:rPrChange>
              </w:rPr>
              <w:t>)</w:t>
            </w:r>
          </w:p>
        </w:tc>
        <w:tc>
          <w:tcPr>
            <w:tcW w:w="1080" w:type="dxa"/>
          </w:tcPr>
          <w:p w14:paraId="692F14B5" w14:textId="30264783" w:rsidR="0031439E" w:rsidRDefault="0031439E" w:rsidP="0031439E">
            <w:pPr>
              <w:rPr>
                <w:rFonts w:ascii="Palatino Linotype" w:hAnsi="Palatino Linotype"/>
                <w:sz w:val="18"/>
                <w:szCs w:val="18"/>
              </w:rPr>
            </w:pPr>
            <w:r>
              <w:rPr>
                <w:rFonts w:ascii="Palatino Linotype" w:hAnsi="Palatino Linotype" w:cstheme="minorHAnsi"/>
                <w:sz w:val="18"/>
                <w:szCs w:val="18"/>
              </w:rPr>
              <w:t>216</w:t>
            </w:r>
          </w:p>
        </w:tc>
        <w:tc>
          <w:tcPr>
            <w:tcW w:w="1170" w:type="dxa"/>
          </w:tcPr>
          <w:p w14:paraId="4E3A4AB4" w14:textId="47924BC0" w:rsidR="0031439E" w:rsidRPr="00B04EEF" w:rsidRDefault="0031439E" w:rsidP="0031439E">
            <w:pPr>
              <w:rPr>
                <w:rFonts w:ascii="Palatino Linotype" w:hAnsi="Palatino Linotype"/>
                <w:sz w:val="18"/>
                <w:szCs w:val="18"/>
              </w:rPr>
            </w:pPr>
            <w:r>
              <w:rPr>
                <w:rFonts w:ascii="Palatino Linotype" w:hAnsi="Palatino Linotype" w:cstheme="minorHAnsi"/>
                <w:sz w:val="18"/>
                <w:szCs w:val="18"/>
              </w:rPr>
              <w:t xml:space="preserve">Japanese </w:t>
            </w:r>
          </w:p>
        </w:tc>
        <w:tc>
          <w:tcPr>
            <w:tcW w:w="1350" w:type="dxa"/>
          </w:tcPr>
          <w:p w14:paraId="2D50CB43" w14:textId="5270D273" w:rsidR="0031439E" w:rsidRDefault="0031439E" w:rsidP="0031439E">
            <w:pPr>
              <w:rPr>
                <w:rFonts w:ascii="Palatino Linotype" w:hAnsi="Palatino Linotype"/>
                <w:sz w:val="18"/>
                <w:szCs w:val="18"/>
              </w:rPr>
            </w:pPr>
            <w:r w:rsidRPr="00E37F39">
              <w:rPr>
                <w:rFonts w:ascii="Palatino Linotype" w:hAnsi="Palatino Linotype" w:cstheme="minorHAnsi"/>
                <w:sz w:val="18"/>
                <w:szCs w:val="18"/>
              </w:rPr>
              <w:t>Schizophreni</w:t>
            </w:r>
            <w:r>
              <w:rPr>
                <w:rFonts w:ascii="Palatino Linotype" w:hAnsi="Palatino Linotype" w:cstheme="minorHAnsi"/>
                <w:sz w:val="18"/>
                <w:szCs w:val="18"/>
              </w:rPr>
              <w:t>a</w:t>
            </w:r>
          </w:p>
        </w:tc>
        <w:tc>
          <w:tcPr>
            <w:tcW w:w="1260" w:type="dxa"/>
          </w:tcPr>
          <w:p w14:paraId="0F928416" w14:textId="4D466D7A" w:rsidR="0031439E" w:rsidRPr="00CB51F0" w:rsidRDefault="0031439E" w:rsidP="0031439E">
            <w:pPr>
              <w:rPr>
                <w:rFonts w:ascii="Palatino Linotype" w:hAnsi="Palatino Linotype"/>
                <w:sz w:val="18"/>
                <w:szCs w:val="18"/>
              </w:rPr>
            </w:pPr>
            <w:r w:rsidRPr="00476A67">
              <w:rPr>
                <w:rFonts w:ascii="Palatino Linotype" w:hAnsi="Palatino Linotype" w:cstheme="minorHAnsi"/>
                <w:sz w:val="18"/>
                <w:szCs w:val="18"/>
              </w:rPr>
              <w:t>DSM-IV</w:t>
            </w:r>
          </w:p>
        </w:tc>
        <w:tc>
          <w:tcPr>
            <w:tcW w:w="1170" w:type="dxa"/>
          </w:tcPr>
          <w:p w14:paraId="02E2030F" w14:textId="21E2CA26" w:rsidR="0031439E" w:rsidRDefault="0031439E" w:rsidP="0031439E">
            <w:pPr>
              <w:rPr>
                <w:rFonts w:ascii="Palatino Linotype" w:hAnsi="Palatino Linotype"/>
                <w:sz w:val="18"/>
                <w:szCs w:val="18"/>
              </w:rPr>
            </w:pPr>
            <w:r>
              <w:rPr>
                <w:rFonts w:ascii="Palatino Linotype" w:hAnsi="Palatino Linotype" w:cstheme="minorHAnsi"/>
                <w:sz w:val="18"/>
                <w:szCs w:val="18"/>
              </w:rPr>
              <w:t>AIMS</w:t>
            </w:r>
          </w:p>
        </w:tc>
        <w:tc>
          <w:tcPr>
            <w:tcW w:w="1170" w:type="dxa"/>
          </w:tcPr>
          <w:p w14:paraId="339BF95E" w14:textId="1471CBB4" w:rsidR="0031439E" w:rsidRDefault="0031439E" w:rsidP="0031439E">
            <w:pPr>
              <w:rPr>
                <w:rFonts w:ascii="Palatino Linotype" w:hAnsi="Palatino Linotype"/>
                <w:sz w:val="18"/>
                <w:szCs w:val="18"/>
              </w:rPr>
            </w:pPr>
            <w:r>
              <w:rPr>
                <w:rFonts w:ascii="Palatino Linotype" w:hAnsi="Palatino Linotype" w:cstheme="minorHAnsi"/>
                <w:sz w:val="18"/>
                <w:szCs w:val="18"/>
              </w:rPr>
              <w:t>NA</w:t>
            </w:r>
          </w:p>
        </w:tc>
        <w:tc>
          <w:tcPr>
            <w:tcW w:w="1350" w:type="dxa"/>
          </w:tcPr>
          <w:p w14:paraId="01BA575B" w14:textId="6CA07F32" w:rsidR="0031439E" w:rsidRDefault="0031439E" w:rsidP="0031439E">
            <w:pPr>
              <w:rPr>
                <w:rFonts w:ascii="Palatino Linotype" w:hAnsi="Palatino Linotype" w:cstheme="minorHAnsi"/>
                <w:sz w:val="18"/>
                <w:szCs w:val="18"/>
              </w:rPr>
            </w:pPr>
            <w:r>
              <w:rPr>
                <w:rStyle w:val="st"/>
                <w:rFonts w:ascii="Palatino Linotype" w:hAnsi="Palatino Linotype"/>
                <w:sz w:val="18"/>
                <w:szCs w:val="18"/>
              </w:rPr>
              <w:t>PCR-RFLP (</w:t>
            </w:r>
            <w:proofErr w:type="spellStart"/>
            <w:r w:rsidRPr="00476A67">
              <w:rPr>
                <w:rStyle w:val="st"/>
                <w:rFonts w:ascii="Palatino Linotype" w:hAnsi="Palatino Linotype"/>
                <w:sz w:val="18"/>
                <w:szCs w:val="18"/>
              </w:rPr>
              <w:t>MaeIII</w:t>
            </w:r>
            <w:proofErr w:type="spellEnd"/>
            <w:r>
              <w:rPr>
                <w:rStyle w:val="st"/>
                <w:rFonts w:ascii="Palatino Linotype" w:hAnsi="Palatino Linotype"/>
                <w:sz w:val="18"/>
                <w:szCs w:val="18"/>
              </w:rPr>
              <w:t>)</w:t>
            </w:r>
          </w:p>
        </w:tc>
        <w:tc>
          <w:tcPr>
            <w:tcW w:w="2507" w:type="dxa"/>
          </w:tcPr>
          <w:p w14:paraId="64B5FE1F" w14:textId="643C93F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lower frequency of rs1799971 </w:t>
            </w:r>
            <w:r w:rsidRPr="00476A67">
              <w:rPr>
                <w:rFonts w:ascii="Palatino Linotype" w:hAnsi="Palatino Linotype" w:cstheme="minorHAnsi"/>
                <w:sz w:val="18"/>
                <w:szCs w:val="18"/>
              </w:rPr>
              <w:t>G allele</w:t>
            </w:r>
            <w:r>
              <w:rPr>
                <w:rFonts w:ascii="Palatino Linotype" w:hAnsi="Palatino Linotype" w:cstheme="minorHAnsi"/>
                <w:sz w:val="18"/>
                <w:szCs w:val="18"/>
              </w:rPr>
              <w:t xml:space="preserve"> and TD</w:t>
            </w:r>
          </w:p>
        </w:tc>
        <w:tc>
          <w:tcPr>
            <w:tcW w:w="2173" w:type="dxa"/>
          </w:tcPr>
          <w:p w14:paraId="204D34B7" w14:textId="7FB90D52"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0920-9964(00)00188-2","ISSN":"0920-9964","PMID":"11595401","author":[{"dropping-particle":"","family":"Ohmori","given":"O","non-dropping-particle":"","parse-names":false,"suffix":""},{"dropping-particle":"","family":"Shinkai","given":"T","non-dropping-particle":"","parse-names":false,"suffix":""},{"dropping-particle":"","family":"Hori","given":"H","non-dropping-particle":"","parse-names":false,"suffix":""},{"dropping-particle":"","family":"Kojima","given":"H","non-dropping-particle":"","parse-names":false,"suffix":""},{"dropping-particle":"","family":"Nakamura","given":"J","non-dropping-particle":"","parse-names":false,"suffix":""}],"container-title":"Schizophrenia research","id":"ITEM-1","issue":"1-2","issued":{"date-parts":[["2001","10","1"]]},"page":"137-8","publisher":"Schizophr Res","title":"Polymorphisms of mu and delta opioid receptor genes and tardive dyskinesia in patients with schizophrenia.","type":"article-journal","volume":"52"},"uris":["http://www.mendeley.com/documents/?uuid=7fa75336-568a-344e-bf47-8212cedcac19"]}],"mendeley":{"formattedCitation":"(Ohmori et al. 2001)","plainTextFormattedCitation":"(Ohmori et al. 2001)","previouslyFormattedCitation":"(Ohmori et al. 2001)"},"properties":{"noteIndex":0},"schema":"https://github.com/citation-style-language/schema/raw/master/csl-citation.json"}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(Ohmori et al. 2001)</w:t>
            </w:r>
            <w:r>
              <w:rPr>
                <w:rFonts w:ascii="Palatino Linotype" w:hAnsi="Palatino Linotype" w:cstheme="minorHAnsi"/>
                <w:sz w:val="18"/>
                <w:szCs w:val="18"/>
              </w:rPr>
              <w:fldChar w:fldCharType="end"/>
            </w:r>
          </w:p>
        </w:tc>
      </w:tr>
      <w:tr w:rsidR="0031439E" w:rsidRPr="00EA57B8" w14:paraId="2B9B2669" w14:textId="4CEC0CF2" w:rsidTr="0031439E">
        <w:tc>
          <w:tcPr>
            <w:tcW w:w="1094" w:type="dxa"/>
          </w:tcPr>
          <w:p w14:paraId="1FE015A4" w14:textId="6C779B3F"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HTR6</w:t>
            </w:r>
          </w:p>
        </w:tc>
        <w:tc>
          <w:tcPr>
            <w:tcW w:w="1080" w:type="dxa"/>
          </w:tcPr>
          <w:p w14:paraId="72AAF10B" w14:textId="438BBE25" w:rsidR="0031439E" w:rsidRPr="00875BDC" w:rsidRDefault="0031439E" w:rsidP="0031439E">
            <w:pPr>
              <w:rPr>
                <w:rFonts w:ascii="Palatino Linotype" w:hAnsi="Palatino Linotype"/>
                <w:sz w:val="18"/>
                <w:szCs w:val="18"/>
              </w:rPr>
            </w:pPr>
            <w:r w:rsidRPr="006A1E5F">
              <w:rPr>
                <w:rFonts w:ascii="Palatino Linotype" w:hAnsi="Palatino Linotype" w:cstheme="minorHAnsi"/>
                <w:sz w:val="18"/>
                <w:szCs w:val="18"/>
              </w:rPr>
              <w:t>rs1805054</w:t>
            </w:r>
            <w:r w:rsidRPr="006A1E5F">
              <w:rPr>
                <w:rFonts w:ascii="Palatino Linotype" w:hAnsi="Palatino Linotype"/>
                <w:b/>
                <w:bCs/>
                <w:sz w:val="18"/>
                <w:szCs w:val="18"/>
              </w:rPr>
              <w:t>  </w:t>
            </w:r>
          </w:p>
        </w:tc>
        <w:tc>
          <w:tcPr>
            <w:tcW w:w="1080" w:type="dxa"/>
          </w:tcPr>
          <w:p w14:paraId="22EE233E" w14:textId="630A5E64"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173</w:t>
            </w:r>
          </w:p>
        </w:tc>
        <w:tc>
          <w:tcPr>
            <w:tcW w:w="1170" w:type="dxa"/>
          </w:tcPr>
          <w:p w14:paraId="24CAB8E6" w14:textId="1FD41113" w:rsidR="0031439E" w:rsidRPr="00B04EEF"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Japanese </w:t>
            </w:r>
          </w:p>
        </w:tc>
        <w:tc>
          <w:tcPr>
            <w:tcW w:w="1350" w:type="dxa"/>
          </w:tcPr>
          <w:p w14:paraId="10240BF3" w14:textId="259FCB3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Schizophrenia </w:t>
            </w:r>
          </w:p>
        </w:tc>
        <w:tc>
          <w:tcPr>
            <w:tcW w:w="1260" w:type="dxa"/>
          </w:tcPr>
          <w:p w14:paraId="51EB2C30" w14:textId="7E43B121" w:rsidR="0031439E" w:rsidRPr="00CB51F0"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170" w:type="dxa"/>
          </w:tcPr>
          <w:p w14:paraId="460B0F25" w14:textId="05EF2904"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AIMS </w:t>
            </w:r>
          </w:p>
        </w:tc>
        <w:tc>
          <w:tcPr>
            <w:tcW w:w="1170" w:type="dxa"/>
          </w:tcPr>
          <w:p w14:paraId="3150D2E3" w14:textId="430532D4"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350" w:type="dxa"/>
          </w:tcPr>
          <w:p w14:paraId="04B71D25" w14:textId="397BC79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507" w:type="dxa"/>
          </w:tcPr>
          <w:p w14:paraId="7FE5BD46" w14:textId="5CA46D6D"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16B99029" w14:textId="75BB00F0"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{"citationItems":[{"id":"ITEM-1","itemData":{"ISSN":"0165-1781","PMID":"12057822","abstract":"Possible involvement of serotonergic (5-hydroxytryptamine: 5-HT) receptors in the pathophysiology of tardive dyskinesia (TD) has been suggested. In the present study, the relationship between the 5-HT(6) receptor gene (HTR6) polymorphisms and TD was studied in 173 Japanese patients with schizophrenia. The 267C/T allele of HTR6 was genotyped using PCR amplification followed by endonuclease digestion. The patients with the three 267C/T genotypes showed no significant difference in gender, age, duration of illness, or current antipsychotic dose. In addition, there were no significant differences in total AIMS scores among patients with the three genotypes. Moreover, no significant differences in genotypes and allele frequencies were observed between subjects with and without TD. These results suggest that the 267C/T polymorphism of HTR6 does not confer increased susceptibility to TD.","author":[{"dropping-particle":"","family":"Ohmori","given":"Osamu","non-dropping-particle":"","parse-names":false,"suffix":""},{"dropping-particle":"","family":"Shinkai","given":"Takahiro","non-dropping-particle":"","parse-names":false,"suffix":""},{"dropping-particle":"","family":"Hori","given":"Hiroko","non-dropping-particle":"","parse-names":false,"suffix":""},{"dropping-particle":"","family":"Nakamura","given":"Jun","non-dropping-particle":"","parse-names":false,"suffix":""}],"container-title":"Psychiatry research","id":"ITEM-1","issue":"2","issued":{"date-parts":[["2002","6","1"]]},"page":"97-102","title":"Genetic association analysis of 5-HT(6) receptor gene polymorphism (267C/T) with tardive dyskinesia.","type":"article-journal","volume":"110"},"uris":["http://www.mendeley.com/documents/?uuid=b50dd089-3559-3df3-a142-e0ee6b9d1bd0"]}],"mendeley":{"formattedCitation":"(Ohmori et al. 2002)","plainTextFormattedCitation":"(Ohmori et al. 2002)","previouslyFormattedCitation":"(Ohmori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(Ohmori et al. 2002)</w:t>
            </w:r>
            <w:r w:rsidRPr="006A1E5F">
              <w:rPr>
                <w:rFonts w:ascii="Palatino Linotype" w:hAnsi="Palatino Linotype" w:cstheme="minorHAnsi"/>
                <w:sz w:val="18"/>
                <w:szCs w:val="18"/>
              </w:rPr>
              <w:fldChar w:fldCharType="end"/>
            </w:r>
          </w:p>
        </w:tc>
      </w:tr>
      <w:tr w:rsidR="0031439E" w:rsidRPr="00EA57B8" w14:paraId="01F1A991" w14:textId="67DC2C1D" w:rsidTr="0031439E">
        <w:tc>
          <w:tcPr>
            <w:tcW w:w="1094" w:type="dxa"/>
          </w:tcPr>
          <w:p w14:paraId="7439FFE4" w14:textId="6DE58F62"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DRD2</w:t>
            </w:r>
          </w:p>
        </w:tc>
        <w:tc>
          <w:tcPr>
            <w:tcW w:w="1080" w:type="dxa"/>
          </w:tcPr>
          <w:p w14:paraId="1ABA94A5" w14:textId="77777777" w:rsidR="0031439E" w:rsidRPr="00AE2DED" w:rsidRDefault="0031439E" w:rsidP="0031439E">
            <w:pPr>
              <w:rPr>
                <w:rStyle w:val="st"/>
                <w:rFonts w:ascii="Palatino Linotype" w:hAnsi="Palatino Linotype"/>
                <w:sz w:val="18"/>
                <w:szCs w:val="18"/>
                <w:lang w:val="fr-FR"/>
                <w:rPrChange w:id="72" w:author="Samson Oyebanjo" w:date="2021-12-31T16:52:00Z">
                  <w:rPr>
                    <w:rStyle w:val="st"/>
                    <w:rFonts w:ascii="Palatino Linotype" w:hAnsi="Palatino Linotype"/>
                    <w:sz w:val="18"/>
                    <w:szCs w:val="18"/>
                  </w:rPr>
                </w:rPrChange>
              </w:rPr>
            </w:pPr>
            <w:r w:rsidRPr="00AE2DED">
              <w:rPr>
                <w:rStyle w:val="st"/>
                <w:rFonts w:ascii="Palatino Linotype" w:hAnsi="Palatino Linotype"/>
                <w:sz w:val="18"/>
                <w:szCs w:val="18"/>
                <w:lang w:val="fr-FR"/>
                <w:rPrChange w:id="73" w:author="Samson Oyebanjo" w:date="2021-12-31T16:52:00Z">
                  <w:rPr>
                    <w:rStyle w:val="st"/>
                    <w:rFonts w:ascii="Palatino Linotype" w:hAnsi="Palatino Linotype"/>
                    <w:sz w:val="18"/>
                    <w:szCs w:val="18"/>
                  </w:rPr>
                </w:rPrChange>
              </w:rPr>
              <w:t xml:space="preserve">rs1799732, rs1800497, rs1800498, </w:t>
            </w:r>
          </w:p>
          <w:p w14:paraId="701AB108" w14:textId="02E5431B" w:rsidR="0031439E" w:rsidRPr="00AE2DED" w:rsidRDefault="0031439E" w:rsidP="0031439E">
            <w:pPr>
              <w:rPr>
                <w:rFonts w:ascii="Palatino Linotype" w:hAnsi="Palatino Linotype"/>
                <w:sz w:val="18"/>
                <w:szCs w:val="18"/>
                <w:lang w:val="fr-FR"/>
                <w:rPrChange w:id="74" w:author="Samson Oyebanjo" w:date="2021-12-31T16:52:00Z">
                  <w:rPr>
                    <w:rFonts w:ascii="Palatino Linotype" w:hAnsi="Palatino Linotype"/>
                    <w:sz w:val="18"/>
                    <w:szCs w:val="18"/>
                  </w:rPr>
                </w:rPrChange>
              </w:rPr>
            </w:pPr>
            <w:r w:rsidRPr="00AE2DED">
              <w:rPr>
                <w:rStyle w:val="st"/>
                <w:rFonts w:ascii="Palatino Linotype" w:hAnsi="Palatino Linotype"/>
                <w:sz w:val="18"/>
                <w:szCs w:val="18"/>
                <w:lang w:val="fr-FR"/>
                <w:rPrChange w:id="75" w:author="Samson Oyebanjo" w:date="2021-12-31T16:52:00Z">
                  <w:rPr>
                    <w:rStyle w:val="st"/>
                    <w:rFonts w:ascii="Palatino Linotype" w:hAnsi="Palatino Linotype"/>
                    <w:sz w:val="18"/>
                    <w:szCs w:val="18"/>
                  </w:rPr>
                </w:rPrChange>
              </w:rPr>
              <w:t>rs1801028, rs6275</w:t>
            </w:r>
          </w:p>
        </w:tc>
        <w:tc>
          <w:tcPr>
            <w:tcW w:w="1080" w:type="dxa"/>
          </w:tcPr>
          <w:p w14:paraId="4B066CA0" w14:textId="304C0906"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100</w:t>
            </w:r>
          </w:p>
        </w:tc>
        <w:tc>
          <w:tcPr>
            <w:tcW w:w="1170" w:type="dxa"/>
          </w:tcPr>
          <w:p w14:paraId="5082258B" w14:textId="7002F715" w:rsidR="0031439E" w:rsidRPr="00B04EEF"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Korean  </w:t>
            </w:r>
          </w:p>
        </w:tc>
        <w:tc>
          <w:tcPr>
            <w:tcW w:w="1350" w:type="dxa"/>
          </w:tcPr>
          <w:p w14:paraId="2BE72328" w14:textId="3CCDD18C"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Schizophrenia </w:t>
            </w:r>
          </w:p>
        </w:tc>
        <w:tc>
          <w:tcPr>
            <w:tcW w:w="1260" w:type="dxa"/>
          </w:tcPr>
          <w:p w14:paraId="5D3C9151" w14:textId="3EECB782" w:rsidR="0031439E" w:rsidRPr="00CB51F0" w:rsidRDefault="0031439E" w:rsidP="0031439E">
            <w:pPr>
              <w:rPr>
                <w:rFonts w:ascii="Palatino Linotype" w:hAnsi="Palatino Linotype"/>
                <w:sz w:val="18"/>
                <w:szCs w:val="18"/>
              </w:rPr>
            </w:pPr>
            <w:r w:rsidRPr="006A1E5F">
              <w:rPr>
                <w:rFonts w:ascii="Palatino Linotype" w:hAnsi="Palatino Linotype" w:cstheme="minorHAnsi"/>
                <w:sz w:val="18"/>
                <w:szCs w:val="18"/>
              </w:rPr>
              <w:t>Korean version of DSM</w:t>
            </w:r>
          </w:p>
        </w:tc>
        <w:tc>
          <w:tcPr>
            <w:tcW w:w="1170" w:type="dxa"/>
          </w:tcPr>
          <w:p w14:paraId="779FBDD1" w14:textId="1A48D34A"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AIMS &amp; </w:t>
            </w:r>
            <w:r w:rsidRPr="006A1E5F">
              <w:rPr>
                <w:rFonts w:ascii="Palatino Linotype" w:hAnsi="Palatino Linotype"/>
                <w:sz w:val="18"/>
                <w:szCs w:val="18"/>
              </w:rPr>
              <w:t>Schooler and Kane’s criteria</w:t>
            </w:r>
          </w:p>
        </w:tc>
        <w:tc>
          <w:tcPr>
            <w:tcW w:w="1170" w:type="dxa"/>
          </w:tcPr>
          <w:p w14:paraId="4642029F" w14:textId="76DE8849"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FGAs</w:t>
            </w:r>
          </w:p>
        </w:tc>
        <w:tc>
          <w:tcPr>
            <w:tcW w:w="1350" w:type="dxa"/>
          </w:tcPr>
          <w:p w14:paraId="6D6B65CD" w14:textId="521F408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4C2D53B8" w14:textId="13FB0CA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04954FB9" w14:textId="10067FFF"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{"citationItems":[{"id":"ITEM-1","itemData":{"DOI":"10.4306/pi.2011.8.1.49","ISSN":"1976-3026","PMID":"21519536","abstract":"OBJECTIVE Tardive dyskinesia (TD) is a long-term adverse effect of antipsychotic. Dopaminergic activity in the nigrostriatal system have been proposed to be involved in development of TD and dopamine D2 receptors (DRD2) has been regarded as a candidate gene for TD because the antipsychotics have potent antagonism DRD2. This study was aimed to find the relationship between DRD2 gene and antipsychotic-induced TD. METHODS We evaluated whether 5 DRD2 single nucleotide polymorphisms (-141Cins&gt;del/TaqID/NcoI/Ser311Cys/TaqIA) are associated with antipsychotic-induced TD in 263 Korean schizophrenia patients with (n=100) and without TD (n=163) who were matched for antipsychotic drug exposure and other relevant variables. Haplotype analyses were also performed. RESULTS None of 5 polymorphisms were found to be significantly associated with TD and with TD severity as measured by Abnormal Involuntary Movement Scale. Overall haplotype (-141Cins&gt;del/TaqID/NcoI/Ser311Cys/TaqIA) frequency was also not significantly different between TD and non-TD groups, although one rare haplotype (I-D1-T-G-A1) showed significantly different frequency between TD and non-TD groups (2.7% vs. 8.5%, respectively, p=0.031). CONCLUSION The present study does not support that DRD2 gene may be involved in TD in the Korean population, although further studies are warranted.","author":[{"dropping-particle":"","family":"Park","given":"Young-Min","non-dropping-particle":"","parse-names":false,"suffix":""},{"dropping-particle":"","family":"Kang","given":"Seung-Gul","non-dropping-particle":"","parse-names":false,"suffix":""},{"dropping-particle":"","family":"Choi","given":"Jung-Eun","non-dropping-particle":"","parse-names":false,"suffix":""},{"dropping-particle":"","family":"Kim","given":"Yong-Ku","non-dropping-particle":"","parse-names":false,"suffix":""},{"dropping-particle":"","family":"Kim","given":"Seung-Hyun","non-dropping-particle":"","parse-names":false,"suffix":""},{"dropping-particle":"","family":"Park","given":"Ji-Young","non-dropping-particle":"","parse-names":false,"suffix":""},{"dropping-particle":"","family":"Kim","given":"Leen","non-dropping-particle":"","parse-names":false,"suffix":""},{"dropping-particle":"","family":"Lee","given":"Heon-Jeong","non-dropping-particle":"","parse-names":false,"suffix":""}],"container-title":"Psychiatry investigation","id":"ITEM-1","issue":"1","issued":{"date-parts":[["2011","3"]]},"page":"49-54","title":"No Evidence for an Association between Dopamine D2 Receptor Polymorphisms and Tardive Dyskinesia in Korean Schizophrenia Patients.","type":"article-journal","volume":"8"},"uris":["http://www.mendeley.com/documents/?uuid=0d92ac51-ebf7-3ee0-b990-f99abbdc5052"]}],"mendeley":{"formattedCitation":"(Park et al. 2011)","plainTextFormattedCitation":"(Park et al. 2011)","previouslyFormattedCitation":"(Park et al. 2011)"},"properties":{"noteIndex":0},"schema":"https://github.com/citation-style-language/schema/raw/master/csl-citation.json"}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(Park et al. 2011)</w:t>
            </w:r>
            <w:r w:rsidRPr="006A1E5F">
              <w:rPr>
                <w:rFonts w:ascii="Palatino Linotype" w:hAnsi="Palatino Linotype" w:cstheme="minorHAnsi"/>
                <w:sz w:val="18"/>
                <w:szCs w:val="18"/>
              </w:rPr>
              <w:fldChar w:fldCharType="end"/>
            </w:r>
          </w:p>
        </w:tc>
      </w:tr>
      <w:tr w:rsidR="0031439E" w:rsidRPr="00EA57B8" w14:paraId="07AA1F3B" w14:textId="6F2010FF" w:rsidTr="0031439E">
        <w:tc>
          <w:tcPr>
            <w:tcW w:w="1094" w:type="dxa"/>
          </w:tcPr>
          <w:p w14:paraId="4075E252" w14:textId="7777777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HTR1A, </w:t>
            </w:r>
          </w:p>
          <w:p w14:paraId="0578382A" w14:textId="7777777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HTR1B, HTR2A, HTR2C, </w:t>
            </w:r>
          </w:p>
          <w:p w14:paraId="700F4499" w14:textId="7777777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HTR3A, HTR3B, HTR6</w:t>
            </w:r>
          </w:p>
          <w:p w14:paraId="14C79B45" w14:textId="77777777" w:rsidR="0031439E" w:rsidRPr="000F3F98" w:rsidRDefault="0031439E" w:rsidP="0031439E">
            <w:pPr>
              <w:rPr>
                <w:rFonts w:ascii="Palatino Linotype" w:hAnsi="Palatino Linotype" w:cstheme="minorHAnsi"/>
                <w:i/>
                <w:iCs/>
                <w:sz w:val="18"/>
                <w:szCs w:val="18"/>
              </w:rPr>
            </w:pPr>
          </w:p>
          <w:p w14:paraId="4052BFF8" w14:textId="77777777" w:rsidR="0031439E" w:rsidRPr="000F3F98" w:rsidRDefault="0031439E" w:rsidP="0031439E">
            <w:pPr>
              <w:rPr>
                <w:rFonts w:ascii="Palatino Linotype" w:hAnsi="Palatino Linotype"/>
                <w:i/>
                <w:iCs/>
                <w:sz w:val="18"/>
                <w:szCs w:val="18"/>
              </w:rPr>
            </w:pPr>
          </w:p>
        </w:tc>
        <w:tc>
          <w:tcPr>
            <w:tcW w:w="1080" w:type="dxa"/>
          </w:tcPr>
          <w:p w14:paraId="489C58F1" w14:textId="77777777" w:rsidR="0031439E" w:rsidRDefault="0031439E" w:rsidP="0031439E">
            <w:pPr>
              <w:rPr>
                <w:rFonts w:ascii="Palatino Linotype" w:hAnsi="Palatino Linotype" w:cstheme="minorHAnsi"/>
                <w:sz w:val="18"/>
                <w:szCs w:val="18"/>
              </w:rPr>
            </w:pPr>
            <w:r w:rsidRPr="00862CD3">
              <w:rPr>
                <w:rFonts w:ascii="Palatino Linotype" w:hAnsi="Palatino Linotype" w:cstheme="minorHAnsi"/>
                <w:sz w:val="18"/>
                <w:szCs w:val="18"/>
              </w:rPr>
              <w:t>rs6295,</w:t>
            </w:r>
            <w:r>
              <w:rPr>
                <w:rFonts w:ascii="Palatino Linotype" w:hAnsi="Palatino Linotype" w:cstheme="minorHAnsi"/>
                <w:sz w:val="18"/>
                <w:szCs w:val="18"/>
              </w:rPr>
              <w:t xml:space="preserve"> </w:t>
            </w:r>
            <w:r w:rsidRPr="00862CD3">
              <w:rPr>
                <w:rFonts w:ascii="Palatino Linotype" w:hAnsi="Palatino Linotype" w:cstheme="minorHAnsi"/>
                <w:sz w:val="18"/>
                <w:szCs w:val="18"/>
              </w:rPr>
              <w:t>rs1364043, rs10042486, rs1800042, rs749099</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HTR1A</w:t>
            </w:r>
            <w:r w:rsidRPr="00862CD3">
              <w:rPr>
                <w:rFonts w:ascii="Palatino Linotype" w:hAnsi="Palatino Linotype" w:cstheme="minorHAnsi"/>
                <w:sz w:val="18"/>
                <w:szCs w:val="18"/>
              </w:rPr>
              <w:t>),</w:t>
            </w:r>
            <w:r>
              <w:rPr>
                <w:rFonts w:ascii="Palatino Linotype" w:hAnsi="Palatino Linotype" w:cstheme="minorHAnsi"/>
                <w:sz w:val="18"/>
                <w:szCs w:val="18"/>
              </w:rPr>
              <w:t xml:space="preserve"> </w:t>
            </w:r>
            <w:r w:rsidRPr="00862CD3">
              <w:rPr>
                <w:rFonts w:ascii="Palatino Linotype" w:hAnsi="Palatino Linotype" w:cstheme="minorHAnsi"/>
                <w:sz w:val="18"/>
                <w:szCs w:val="18"/>
              </w:rPr>
              <w:t xml:space="preserve">rs6298, rs6296, </w:t>
            </w:r>
            <w:r w:rsidRPr="00862CD3">
              <w:rPr>
                <w:rFonts w:ascii="Palatino Linotype" w:hAnsi="Palatino Linotype" w:cstheme="minorHAnsi"/>
                <w:sz w:val="18"/>
                <w:szCs w:val="18"/>
              </w:rPr>
              <w:lastRenderedPageBreak/>
              <w:t>rs130058</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HTR1B</w:t>
            </w:r>
            <w:r w:rsidRPr="00862CD3">
              <w:rPr>
                <w:rFonts w:ascii="Palatino Linotype" w:hAnsi="Palatino Linotype" w:cstheme="minorHAnsi"/>
                <w:sz w:val="18"/>
                <w:szCs w:val="18"/>
              </w:rPr>
              <w:t>),</w:t>
            </w:r>
          </w:p>
          <w:p w14:paraId="310CFC34" w14:textId="77777777" w:rsidR="0031439E" w:rsidRPr="00862CD3" w:rsidRDefault="0031439E" w:rsidP="0031439E">
            <w:pPr>
              <w:rPr>
                <w:rFonts w:ascii="Palatino Linotype" w:hAnsi="Palatino Linotype" w:cstheme="minorHAnsi"/>
                <w:sz w:val="18"/>
                <w:szCs w:val="18"/>
              </w:rPr>
            </w:pPr>
            <w:r w:rsidRPr="00862CD3">
              <w:rPr>
                <w:rFonts w:ascii="Palatino Linotype" w:hAnsi="Palatino Linotype" w:cstheme="minorHAnsi"/>
                <w:sz w:val="18"/>
                <w:szCs w:val="18"/>
              </w:rPr>
              <w:t>rs6311, rs6313,</w:t>
            </w:r>
          </w:p>
          <w:p w14:paraId="5A342AE2" w14:textId="77777777" w:rsidR="0031439E" w:rsidRDefault="0031439E" w:rsidP="0031439E">
            <w:pPr>
              <w:rPr>
                <w:rFonts w:ascii="Palatino Linotype" w:hAnsi="Palatino Linotype" w:cstheme="minorHAnsi"/>
                <w:sz w:val="18"/>
                <w:szCs w:val="18"/>
              </w:rPr>
            </w:pPr>
            <w:r w:rsidRPr="00862CD3">
              <w:rPr>
                <w:rFonts w:ascii="Palatino Linotype" w:hAnsi="Palatino Linotype" w:cstheme="minorHAnsi"/>
                <w:sz w:val="18"/>
                <w:szCs w:val="18"/>
              </w:rPr>
              <w:t>rs6314, rs7997012, rs1928040, rs9316233, rs2224721</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HTR2A</w:t>
            </w:r>
            <w:r>
              <w:rPr>
                <w:rFonts w:ascii="Palatino Linotype" w:hAnsi="Palatino Linotype" w:cstheme="minorHAnsi"/>
                <w:sz w:val="18"/>
                <w:szCs w:val="18"/>
              </w:rPr>
              <w:t xml:space="preserve">), </w:t>
            </w:r>
          </w:p>
          <w:p w14:paraId="1E5E11B2" w14:textId="77777777" w:rsidR="0031439E" w:rsidRPr="00862CD3" w:rsidRDefault="0031439E" w:rsidP="0031439E">
            <w:pPr>
              <w:rPr>
                <w:rFonts w:ascii="Palatino Linotype" w:hAnsi="Palatino Linotype" w:cstheme="minorHAnsi"/>
                <w:sz w:val="18"/>
                <w:szCs w:val="18"/>
              </w:rPr>
            </w:pPr>
            <w:r w:rsidRPr="00862CD3">
              <w:rPr>
                <w:rFonts w:ascii="Palatino Linotype" w:hAnsi="Palatino Linotype" w:cstheme="minorHAnsi"/>
                <w:sz w:val="18"/>
                <w:szCs w:val="18"/>
              </w:rPr>
              <w:t>(rs6318, rs5946189, rs569959, rs17326429, rs4911871, rs3813929,</w:t>
            </w:r>
          </w:p>
          <w:p w14:paraId="419B59AC" w14:textId="19D99B3B" w:rsidR="0031439E" w:rsidRPr="00875BDC" w:rsidRDefault="0031439E" w:rsidP="0031439E">
            <w:pPr>
              <w:rPr>
                <w:rFonts w:ascii="Palatino Linotype" w:hAnsi="Palatino Linotype"/>
                <w:sz w:val="18"/>
                <w:szCs w:val="18"/>
              </w:rPr>
            </w:pPr>
            <w:r w:rsidRPr="00862CD3">
              <w:rPr>
                <w:rFonts w:ascii="Palatino Linotype" w:hAnsi="Palatino Linotype" w:cstheme="minorHAnsi"/>
                <w:sz w:val="18"/>
                <w:szCs w:val="18"/>
              </w:rPr>
              <w:t>rs1801412, rs1285830</w:t>
            </w:r>
            <w:r>
              <w:rPr>
                <w:rFonts w:ascii="Palatino Linotype" w:hAnsi="Palatino Linotype" w:cstheme="minorHAnsi"/>
                <w:sz w:val="18"/>
                <w:szCs w:val="18"/>
              </w:rPr>
              <w:t>0 (</w:t>
            </w:r>
            <w:r w:rsidRPr="000558F2">
              <w:rPr>
                <w:rFonts w:ascii="Palatino Linotype" w:hAnsi="Palatino Linotype" w:cstheme="minorHAnsi"/>
                <w:i/>
                <w:iCs/>
                <w:sz w:val="18"/>
                <w:szCs w:val="18"/>
              </w:rPr>
              <w:t>HTR2C</w:t>
            </w:r>
            <w:r>
              <w:rPr>
                <w:rFonts w:ascii="Palatino Linotype" w:hAnsi="Palatino Linotype" w:cstheme="minorHAnsi"/>
                <w:sz w:val="18"/>
                <w:szCs w:val="18"/>
              </w:rPr>
              <w:t xml:space="preserve">), </w:t>
            </w:r>
            <w:r w:rsidRPr="00862CD3">
              <w:rPr>
                <w:rFonts w:ascii="Palatino Linotype" w:hAnsi="Palatino Linotype" w:cstheme="minorHAnsi"/>
                <w:sz w:val="18"/>
                <w:szCs w:val="18"/>
              </w:rPr>
              <w:t>rs1062613, rs33940208,</w:t>
            </w:r>
            <w:r w:rsidRPr="00862CD3">
              <w:t xml:space="preserve"> </w:t>
            </w:r>
            <w:r w:rsidRPr="00862CD3">
              <w:rPr>
                <w:rFonts w:ascii="Palatino Linotype" w:hAnsi="Palatino Linotype" w:cstheme="minorHAnsi"/>
                <w:sz w:val="18"/>
                <w:szCs w:val="18"/>
              </w:rPr>
              <w:t>rs1176713</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HTR3A</w:t>
            </w:r>
            <w:r w:rsidRPr="00862CD3">
              <w:rPr>
                <w:rFonts w:ascii="Palatino Linotype" w:hAnsi="Palatino Linotype" w:cstheme="minorHAnsi"/>
                <w:sz w:val="18"/>
                <w:szCs w:val="18"/>
              </w:rPr>
              <w:t>),</w:t>
            </w:r>
            <w:r>
              <w:rPr>
                <w:rFonts w:ascii="Palatino Linotype" w:hAnsi="Palatino Linotype" w:cstheme="minorHAnsi"/>
                <w:sz w:val="18"/>
                <w:szCs w:val="18"/>
              </w:rPr>
              <w:t xml:space="preserve"> </w:t>
            </w:r>
            <w:r w:rsidRPr="00862CD3">
              <w:rPr>
                <w:rFonts w:ascii="Palatino Linotype" w:hAnsi="Palatino Linotype" w:cstheme="minorHAnsi"/>
                <w:sz w:val="18"/>
                <w:szCs w:val="18"/>
              </w:rPr>
              <w:t>rs1176744</w:t>
            </w:r>
            <w:r>
              <w:rPr>
                <w:rFonts w:ascii="Palatino Linotype" w:hAnsi="Palatino Linotype" w:cstheme="minorHAnsi"/>
                <w:sz w:val="18"/>
                <w:szCs w:val="18"/>
              </w:rPr>
              <w:t xml:space="preserve"> (</w:t>
            </w:r>
            <w:r w:rsidRPr="000558F2">
              <w:rPr>
                <w:rFonts w:ascii="Palatino Linotype" w:hAnsi="Palatino Linotype" w:cstheme="minorHAnsi"/>
                <w:i/>
                <w:iCs/>
                <w:sz w:val="18"/>
                <w:szCs w:val="18"/>
              </w:rPr>
              <w:t>HTR3B</w:t>
            </w:r>
            <w:r w:rsidRPr="00862CD3">
              <w:rPr>
                <w:rFonts w:ascii="Palatino Linotype" w:hAnsi="Palatino Linotype" w:cstheme="minorHAnsi"/>
                <w:sz w:val="18"/>
                <w:szCs w:val="18"/>
              </w:rPr>
              <w:t>) and rs1805054 (</w:t>
            </w:r>
            <w:r w:rsidRPr="000558F2">
              <w:rPr>
                <w:rFonts w:ascii="Palatino Linotype" w:hAnsi="Palatino Linotype" w:cstheme="minorHAnsi"/>
                <w:i/>
                <w:iCs/>
                <w:sz w:val="18"/>
                <w:szCs w:val="18"/>
              </w:rPr>
              <w:t>HTR6</w:t>
            </w:r>
            <w:r w:rsidRPr="00862CD3">
              <w:rPr>
                <w:rFonts w:ascii="Palatino Linotype" w:hAnsi="Palatino Linotype" w:cstheme="minorHAnsi"/>
                <w:sz w:val="18"/>
                <w:szCs w:val="18"/>
              </w:rPr>
              <w:t>)</w:t>
            </w:r>
          </w:p>
        </w:tc>
        <w:tc>
          <w:tcPr>
            <w:tcW w:w="1080" w:type="dxa"/>
          </w:tcPr>
          <w:p w14:paraId="7FCBE762" w14:textId="4C24D770" w:rsidR="0031439E" w:rsidRDefault="0031439E" w:rsidP="0031439E">
            <w:pPr>
              <w:rPr>
                <w:rFonts w:ascii="Palatino Linotype" w:hAnsi="Palatino Linotype"/>
                <w:sz w:val="18"/>
                <w:szCs w:val="18"/>
              </w:rPr>
            </w:pPr>
            <w:r w:rsidRPr="00690A37">
              <w:rPr>
                <w:rFonts w:ascii="Palatino Linotype" w:hAnsi="Palatino Linotype" w:cstheme="minorHAnsi"/>
                <w:sz w:val="18"/>
                <w:szCs w:val="18"/>
              </w:rPr>
              <w:lastRenderedPageBreak/>
              <w:t xml:space="preserve">449 </w:t>
            </w:r>
            <w:r>
              <w:rPr>
                <w:rFonts w:ascii="Palatino Linotype" w:hAnsi="Palatino Linotype" w:cstheme="minorHAnsi"/>
                <w:sz w:val="18"/>
                <w:szCs w:val="18"/>
              </w:rPr>
              <w:t>(</w:t>
            </w:r>
            <w:r w:rsidRPr="00BE603B">
              <w:rPr>
                <w:rFonts w:ascii="Palatino Linotype" w:hAnsi="Palatino Linotype" w:cstheme="minorHAnsi"/>
                <w:sz w:val="18"/>
                <w:szCs w:val="18"/>
              </w:rPr>
              <w:t>121</w:t>
            </w:r>
            <w:r>
              <w:rPr>
                <w:rFonts w:ascii="Palatino Linotype" w:hAnsi="Palatino Linotype" w:cstheme="minorHAnsi"/>
                <w:sz w:val="18"/>
                <w:szCs w:val="18"/>
              </w:rPr>
              <w:t xml:space="preserve"> with TD)</w:t>
            </w:r>
          </w:p>
        </w:tc>
        <w:tc>
          <w:tcPr>
            <w:tcW w:w="1170" w:type="dxa"/>
          </w:tcPr>
          <w:p w14:paraId="4C789AE1" w14:textId="3C69B596" w:rsidR="0031439E" w:rsidRPr="00B04EEF" w:rsidRDefault="0031439E" w:rsidP="0031439E">
            <w:pPr>
              <w:rPr>
                <w:rFonts w:ascii="Palatino Linotype" w:hAnsi="Palatino Linotype"/>
                <w:sz w:val="18"/>
                <w:szCs w:val="18"/>
              </w:rPr>
            </w:pPr>
            <w:r w:rsidRPr="00690A37">
              <w:rPr>
                <w:rFonts w:ascii="Palatino Linotype" w:hAnsi="Palatino Linotype" w:cstheme="minorHAnsi"/>
                <w:sz w:val="18"/>
                <w:szCs w:val="18"/>
              </w:rPr>
              <w:t>Caucasian</w:t>
            </w:r>
          </w:p>
        </w:tc>
        <w:tc>
          <w:tcPr>
            <w:tcW w:w="1350" w:type="dxa"/>
          </w:tcPr>
          <w:p w14:paraId="49DA8261" w14:textId="3E68036C" w:rsidR="0031439E" w:rsidRDefault="0031439E" w:rsidP="0031439E">
            <w:pPr>
              <w:rPr>
                <w:rFonts w:ascii="Palatino Linotype" w:hAnsi="Palatino Linotype"/>
                <w:sz w:val="18"/>
                <w:szCs w:val="18"/>
              </w:rPr>
            </w:pPr>
            <w:r w:rsidRPr="00690A37">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260" w:type="dxa"/>
          </w:tcPr>
          <w:p w14:paraId="5EC89881" w14:textId="37582E76" w:rsidR="0031439E" w:rsidRPr="00CB51F0" w:rsidRDefault="0031439E" w:rsidP="0031439E">
            <w:pPr>
              <w:rPr>
                <w:rFonts w:ascii="Palatino Linotype" w:hAnsi="Palatino Linotype"/>
                <w:sz w:val="18"/>
                <w:szCs w:val="18"/>
              </w:rPr>
            </w:pPr>
            <w:r w:rsidRPr="00690A37">
              <w:rPr>
                <w:rFonts w:ascii="Palatino Linotype" w:hAnsi="Palatino Linotype" w:cstheme="minorHAnsi"/>
                <w:sz w:val="18"/>
                <w:szCs w:val="18"/>
              </w:rPr>
              <w:t>ICD-10</w:t>
            </w:r>
          </w:p>
        </w:tc>
        <w:tc>
          <w:tcPr>
            <w:tcW w:w="1170" w:type="dxa"/>
          </w:tcPr>
          <w:p w14:paraId="508F81D3" w14:textId="4CFB31BE" w:rsidR="0031439E" w:rsidRDefault="0031439E" w:rsidP="0031439E">
            <w:pPr>
              <w:rPr>
                <w:rFonts w:ascii="Palatino Linotype" w:hAnsi="Palatino Linotype"/>
                <w:sz w:val="18"/>
                <w:szCs w:val="18"/>
              </w:rPr>
            </w:pPr>
            <w:r w:rsidRPr="00862CD3">
              <w:rPr>
                <w:rFonts w:ascii="Palatino Linotype" w:hAnsi="Palatino Linotype" w:cstheme="minorHAnsi"/>
                <w:sz w:val="18"/>
                <w:szCs w:val="18"/>
              </w:rPr>
              <w:t>AIMS</w:t>
            </w:r>
          </w:p>
        </w:tc>
        <w:tc>
          <w:tcPr>
            <w:tcW w:w="1170" w:type="dxa"/>
          </w:tcPr>
          <w:p w14:paraId="2C746A3F" w14:textId="5BB02DCC" w:rsidR="0031439E" w:rsidRDefault="0031439E" w:rsidP="0031439E">
            <w:pPr>
              <w:rPr>
                <w:rFonts w:ascii="Palatino Linotype" w:hAnsi="Palatino Linotype"/>
                <w:sz w:val="18"/>
                <w:szCs w:val="18"/>
              </w:rPr>
            </w:pPr>
            <w:r>
              <w:rPr>
                <w:rFonts w:ascii="Palatino Linotype" w:hAnsi="Palatino Linotype" w:cstheme="minorHAnsi"/>
                <w:sz w:val="18"/>
                <w:szCs w:val="18"/>
              </w:rPr>
              <w:t>NA</w:t>
            </w:r>
          </w:p>
        </w:tc>
        <w:tc>
          <w:tcPr>
            <w:tcW w:w="1350" w:type="dxa"/>
          </w:tcPr>
          <w:p w14:paraId="091CD0A0" w14:textId="10D9DAE8" w:rsidR="0031439E" w:rsidRDefault="0031439E" w:rsidP="0031439E">
            <w:pPr>
              <w:rPr>
                <w:rFonts w:ascii="Palatino Linotype" w:hAnsi="Palatino Linotype" w:cstheme="minorHAnsi"/>
                <w:sz w:val="18"/>
                <w:szCs w:val="18"/>
              </w:rPr>
            </w:pPr>
            <w:r w:rsidRPr="00862CD3">
              <w:rPr>
                <w:rFonts w:ascii="Palatino Linotype" w:hAnsi="Palatino Linotype" w:cstheme="minorHAnsi"/>
                <w:sz w:val="18"/>
                <w:szCs w:val="18"/>
              </w:rPr>
              <w:t xml:space="preserve">SEQUENOM Mass Array </w:t>
            </w:r>
            <w:r>
              <w:rPr>
                <w:rFonts w:ascii="Palatino Linotype" w:hAnsi="Palatino Linotype" w:cstheme="minorHAnsi"/>
                <w:sz w:val="18"/>
                <w:szCs w:val="18"/>
              </w:rPr>
              <w:t xml:space="preserve">(combination of </w:t>
            </w:r>
            <w:r w:rsidRPr="00862CD3">
              <w:rPr>
                <w:rFonts w:ascii="Palatino Linotype" w:hAnsi="Palatino Linotype" w:cstheme="minorHAnsi"/>
                <w:sz w:val="18"/>
                <w:szCs w:val="18"/>
              </w:rPr>
              <w:t>spectrometry with end-point PCR</w:t>
            </w:r>
            <w:r>
              <w:rPr>
                <w:rFonts w:ascii="Palatino Linotype" w:hAnsi="Palatino Linotype" w:cstheme="minorHAnsi"/>
                <w:sz w:val="18"/>
                <w:szCs w:val="18"/>
              </w:rPr>
              <w:t>)</w:t>
            </w:r>
          </w:p>
        </w:tc>
        <w:tc>
          <w:tcPr>
            <w:tcW w:w="2507" w:type="dxa"/>
          </w:tcPr>
          <w:p w14:paraId="317C4685" w14:textId="10AFAA0F" w:rsidR="0031439E" w:rsidRDefault="0031439E" w:rsidP="0031439E">
            <w:pPr>
              <w:rPr>
                <w:rFonts w:ascii="Palatino Linotype" w:hAnsi="Palatino Linotype" w:cstheme="minorHAnsi"/>
                <w:sz w:val="18"/>
                <w:szCs w:val="18"/>
              </w:rPr>
            </w:pPr>
            <w:r w:rsidRPr="00690A37">
              <w:rPr>
                <w:rFonts w:ascii="Palatino Linotype" w:hAnsi="Palatino Linotype" w:cstheme="minorHAnsi"/>
                <w:sz w:val="18"/>
                <w:szCs w:val="18"/>
              </w:rPr>
              <w:t xml:space="preserve">Significant associations </w:t>
            </w:r>
            <w:r>
              <w:rPr>
                <w:rFonts w:ascii="Palatino Linotype" w:hAnsi="Palatino Linotype" w:cstheme="minorHAnsi"/>
                <w:sz w:val="18"/>
                <w:szCs w:val="18"/>
              </w:rPr>
              <w:t xml:space="preserve">between </w:t>
            </w:r>
            <w:r w:rsidRPr="00690A37">
              <w:rPr>
                <w:rFonts w:ascii="Palatino Linotype" w:hAnsi="Palatino Linotype" w:cstheme="minorHAnsi"/>
                <w:sz w:val="18"/>
                <w:szCs w:val="18"/>
              </w:rPr>
              <w:t xml:space="preserve">rs1928040 </w:t>
            </w:r>
            <w:r>
              <w:rPr>
                <w:rFonts w:ascii="Palatino Linotype" w:hAnsi="Palatino Linotype" w:cstheme="minorHAnsi"/>
                <w:sz w:val="18"/>
                <w:szCs w:val="18"/>
              </w:rPr>
              <w:t>(</w:t>
            </w:r>
            <w:r w:rsidRPr="00DD0B28">
              <w:rPr>
                <w:rFonts w:ascii="Palatino Linotype" w:hAnsi="Palatino Linotype" w:cstheme="minorHAnsi"/>
                <w:i/>
                <w:iCs/>
                <w:sz w:val="18"/>
                <w:szCs w:val="18"/>
              </w:rPr>
              <w:t>HTR2A</w:t>
            </w:r>
            <w:r>
              <w:rPr>
                <w:rFonts w:ascii="Palatino Linotype" w:hAnsi="Palatino Linotype" w:cstheme="minorHAnsi"/>
                <w:sz w:val="18"/>
                <w:szCs w:val="18"/>
              </w:rPr>
              <w:t>)</w:t>
            </w:r>
            <w:r w:rsidRPr="00690A37">
              <w:rPr>
                <w:rFonts w:ascii="Palatino Linotype" w:hAnsi="Palatino Linotype" w:cstheme="minorHAnsi"/>
                <w:sz w:val="18"/>
                <w:szCs w:val="18"/>
              </w:rPr>
              <w:t xml:space="preserve"> and</w:t>
            </w:r>
            <w:r>
              <w:rPr>
                <w:rFonts w:ascii="Palatino Linotype" w:hAnsi="Palatino Linotype" w:cstheme="minorHAnsi"/>
                <w:sz w:val="18"/>
                <w:szCs w:val="18"/>
              </w:rPr>
              <w:t xml:space="preserve"> </w:t>
            </w:r>
            <w:r w:rsidRPr="00690A37">
              <w:rPr>
                <w:rFonts w:ascii="Palatino Linotype" w:hAnsi="Palatino Linotype" w:cstheme="minorHAnsi"/>
                <w:sz w:val="18"/>
                <w:szCs w:val="18"/>
              </w:rPr>
              <w:t xml:space="preserve">rs1801412 </w:t>
            </w:r>
            <w:r>
              <w:rPr>
                <w:rFonts w:ascii="Palatino Linotype" w:hAnsi="Palatino Linotype" w:cstheme="minorHAnsi"/>
                <w:sz w:val="18"/>
                <w:szCs w:val="18"/>
              </w:rPr>
              <w:t>(</w:t>
            </w:r>
            <w:r w:rsidRPr="00DD0B28">
              <w:rPr>
                <w:rFonts w:ascii="Palatino Linotype" w:hAnsi="Palatino Linotype" w:cstheme="minorHAnsi"/>
                <w:i/>
                <w:iCs/>
                <w:sz w:val="18"/>
                <w:szCs w:val="18"/>
              </w:rPr>
              <w:t>HTR2C</w:t>
            </w:r>
            <w:r>
              <w:rPr>
                <w:rFonts w:ascii="Palatino Linotype" w:hAnsi="Palatino Linotype" w:cstheme="minorHAnsi"/>
                <w:sz w:val="18"/>
                <w:szCs w:val="18"/>
              </w:rPr>
              <w:t>)</w:t>
            </w:r>
            <w:r w:rsidRPr="00690A37">
              <w:rPr>
                <w:rFonts w:ascii="Palatino Linotype" w:hAnsi="Palatino Linotype" w:cstheme="minorHAnsi"/>
                <w:sz w:val="18"/>
                <w:szCs w:val="18"/>
              </w:rPr>
              <w:t xml:space="preserve"> in female patients</w:t>
            </w:r>
            <w:r>
              <w:rPr>
                <w:rFonts w:ascii="Palatino Linotype" w:hAnsi="Palatino Linotype" w:cstheme="minorHAnsi"/>
                <w:sz w:val="18"/>
                <w:szCs w:val="18"/>
              </w:rPr>
              <w:t xml:space="preserve"> with </w:t>
            </w:r>
            <w:r w:rsidRPr="00690A37">
              <w:rPr>
                <w:rFonts w:ascii="Palatino Linotype" w:hAnsi="Palatino Linotype" w:cstheme="minorHAnsi"/>
                <w:sz w:val="18"/>
                <w:szCs w:val="18"/>
              </w:rPr>
              <w:t>the orofacial type of TD</w:t>
            </w:r>
          </w:p>
        </w:tc>
        <w:tc>
          <w:tcPr>
            <w:tcW w:w="2173" w:type="dxa"/>
          </w:tcPr>
          <w:p w14:paraId="3C38E798" w14:textId="120B69FA" w:rsidR="0031439E" w:rsidRPr="00690A37"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{"citationItems":[{"id":"ITEM-1","itemData":{"DOI":"10.3389/fnmol.2020.00063","ISSN":"1662-5099","PMID":"32390801","abstract":"Background Tardive dyskinesia (TD) is a common side effect of antipsychotic treatment. This movement disorder consists of orofacial and limb-truncal components. The present study is aimed at investigating the role of serotonin receptors (HTR) in modulating tardive dyskinesia by genotyping patients with schizophrenia. Methods A set of 29 SNPs of genes of serotonin receptors HTR1A, HTR1B, HTR2A, HTR2C, HTR3A, HTR3B, and HTR6 was studied in a population of 449 Caucasians (226 females and 223 males) with verified clinical diagnosis of schizophrenia (according to ICD-10: F20). Five SNPs were excluded because of low minor allele frequency or for not passing the Hardy-Weinberg equilibrium test. Affinity of antipsychotics to 5-HT2 receptors was defined according to previous publications. Genotyping was carried out with SEQUENOM Mass Array Analyzer 4. Results Statistically significant associations of rs1928040 of HTR2A gene in groups of patients with orofacial type of TD and total diagnosis of TD was found for alleles, and a statistical trend for genotypes. Moreover, statistically significant associations were discovered in the female group for rs1801412 of HTR2C for alleles and genotypes. Excluding patients who used HTR2A, respectively, HTR2C antagonists changed little to the associations of HTR2A polymorphisms, but caused a major change of the magnitude of the association of HTR2C variants. Due to the low patient numbers, these sub-analyses did not have significant results. Conclusion We found significant associations in rs1928040 of HTR2A and for rs1801412 of X-bound HTR2C in female patients. The associations were particularly related to the orofacial type of TD. Excluding patients using relevant antagonists particularly affected rs1801412, but not rs1928040-related associations. This suggest that rs1801412 is directly or indirectly linked to the functioning of HTR2C. Further study of variants of the HTR2C gene in a larger group of male patients who were not using HTR2C antagonists is necessary in order to verify a possible functional role of this receptor.","author":[{"dropping-particle":"V","family":"Pozhidaev","given":"Ivan","non-dropping-particle":"","parse-names":false,"suffix":""},{"dropping-particle":"","family":"Paderina","given":"Diana Z","non-dropping-particle":"","parse-names":false,"suffix":""},{"dropping-particle":"","family":"Fedorenko","given":"Olga Yu","non-dropping-particle":"","parse-names":false,"suffix":""},{"dropping-particle":"","family":"Kornetova","given":"Elena G","non-dropping-particle":"","parse-names":false,"suffix":""},{"dropping-particle":"V","family":"Semke","given":"Arkadiy","non-dropping-particle":"","parse-names":false,"suffix":""},{"dropping-particle":"","family":"Loonen","given":"Anton J M","non-dropping-particle":"","parse-names":false,"suffix":""},{"dropping-particle":"","family":"Bokhan","given":"Nikolay A","non-dropping-particle":"","parse-names":false,"suffix":""},{"dropping-particle":"","family":"Wilffert","given":"Bob","non-dropping-particle":"","parse-names":false,"suffix":""},{"dropping-particle":"","family":"Ivanova","given":"Svetlana A","non-dropping-particle":"","parse-names":false,"suffix":""}],"container-title":"Frontiers in molecular neuroscience","id":"ITEM-1","issued":{"date-parts":[["2020"]]},"page":"63","publisher":"Front Mol Neurosci","title":"5-Hydroxytryptamine Receptors and Tardive Dyskinesia in Schizophrenia.","type":"article-journal","volume":"13"},"uris":["http://www.mendeley.com/documents/?uuid=3ec9eefe-6379-3e0b-99fd-9957c1b8c849"]}],"mendeley":{"formattedCitation":"(Pozhidaev et al. 2020)","plainTextFormattedCitation":"(Pozhidaev et al. 2020)","previouslyFormattedCitation":"(Pozhidaev et al. 2020)"},"properties":{"noteIndex":0},"schema":"https://github.com/citation-style-language/schema/raw/master/csl-citation.json"}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(Pozhidaev et al. 2020)</w:t>
            </w:r>
            <w:r>
              <w:rPr>
                <w:rFonts w:ascii="Palatino Linotype" w:hAnsi="Palatino Linotype" w:cstheme="minorHAnsi"/>
                <w:b/>
                <w:sz w:val="18"/>
                <w:szCs w:val="18"/>
              </w:rPr>
              <w:fldChar w:fldCharType="end"/>
            </w:r>
          </w:p>
        </w:tc>
      </w:tr>
      <w:tr w:rsidR="0031439E" w:rsidRPr="00EA57B8" w14:paraId="7305949F" w14:textId="6E198DDB" w:rsidTr="0031439E">
        <w:tc>
          <w:tcPr>
            <w:tcW w:w="1094" w:type="dxa"/>
          </w:tcPr>
          <w:p w14:paraId="50363E66" w14:textId="7E5288E2"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DRD3</w:t>
            </w:r>
          </w:p>
        </w:tc>
        <w:tc>
          <w:tcPr>
            <w:tcW w:w="1080" w:type="dxa"/>
          </w:tcPr>
          <w:p w14:paraId="4C049C4E" w14:textId="3F5A3BE4" w:rsidR="0031439E" w:rsidRPr="00875BDC" w:rsidRDefault="0031439E" w:rsidP="0031439E">
            <w:pPr>
              <w:rPr>
                <w:rFonts w:ascii="Palatino Linotype" w:hAnsi="Palatino Linotype"/>
                <w:sz w:val="18"/>
                <w:szCs w:val="18"/>
              </w:rPr>
            </w:pPr>
            <w:r w:rsidRPr="006A1E5F">
              <w:rPr>
                <w:rStyle w:val="st"/>
                <w:rFonts w:ascii="Palatino Linotype" w:hAnsi="Palatino Linotype"/>
                <w:sz w:val="18"/>
                <w:szCs w:val="18"/>
              </w:rPr>
              <w:t>rs6280</w:t>
            </w:r>
          </w:p>
        </w:tc>
        <w:tc>
          <w:tcPr>
            <w:tcW w:w="1080" w:type="dxa"/>
          </w:tcPr>
          <w:p w14:paraId="67ED4096" w14:textId="03B861FD"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157 </w:t>
            </w:r>
          </w:p>
        </w:tc>
        <w:tc>
          <w:tcPr>
            <w:tcW w:w="1170" w:type="dxa"/>
          </w:tcPr>
          <w:p w14:paraId="13D3BC0C" w14:textId="5393D750" w:rsidR="0031439E" w:rsidRPr="00B04EEF" w:rsidRDefault="0031439E" w:rsidP="0031439E">
            <w:pPr>
              <w:rPr>
                <w:rFonts w:ascii="Palatino Linotype" w:hAnsi="Palatino Linotype"/>
                <w:sz w:val="18"/>
                <w:szCs w:val="18"/>
              </w:rPr>
            </w:pPr>
            <w:r w:rsidRPr="006A1E5F">
              <w:rPr>
                <w:rFonts w:ascii="Palatino Linotype" w:hAnsi="Palatino Linotype" w:cstheme="minorHAnsi"/>
                <w:sz w:val="18"/>
                <w:szCs w:val="18"/>
              </w:rPr>
              <w:t>Caucasian (German)</w:t>
            </w:r>
          </w:p>
        </w:tc>
        <w:tc>
          <w:tcPr>
            <w:tcW w:w="1350" w:type="dxa"/>
          </w:tcPr>
          <w:p w14:paraId="3CE1CE02" w14:textId="69B7FEF0"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schizophrenia or </w:t>
            </w:r>
            <w:r w:rsidRPr="006A1E5F">
              <w:rPr>
                <w:rFonts w:ascii="Palatino Linotype" w:hAnsi="Palatino Linotype" w:cstheme="minorHAnsi"/>
                <w:sz w:val="18"/>
                <w:szCs w:val="18"/>
              </w:rPr>
              <w:lastRenderedPageBreak/>
              <w:t>schizoaffective disorder</w:t>
            </w:r>
          </w:p>
        </w:tc>
        <w:tc>
          <w:tcPr>
            <w:tcW w:w="1260" w:type="dxa"/>
          </w:tcPr>
          <w:p w14:paraId="3DA8FEAA" w14:textId="52BC2616" w:rsidR="0031439E" w:rsidRPr="00CB51F0" w:rsidRDefault="0031439E" w:rsidP="0031439E">
            <w:pPr>
              <w:rPr>
                <w:rFonts w:ascii="Palatino Linotype" w:hAnsi="Palatino Linotype"/>
                <w:sz w:val="18"/>
                <w:szCs w:val="18"/>
              </w:rPr>
            </w:pPr>
            <w:r w:rsidRPr="006A1E5F">
              <w:rPr>
                <w:rFonts w:ascii="Palatino Linotype" w:hAnsi="Palatino Linotype" w:cstheme="minorHAnsi"/>
                <w:sz w:val="18"/>
                <w:szCs w:val="18"/>
              </w:rPr>
              <w:lastRenderedPageBreak/>
              <w:t>NA</w:t>
            </w:r>
          </w:p>
        </w:tc>
        <w:tc>
          <w:tcPr>
            <w:tcW w:w="1170" w:type="dxa"/>
          </w:tcPr>
          <w:p w14:paraId="173E94BB" w14:textId="170DFF39"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TDRS</w:t>
            </w:r>
          </w:p>
        </w:tc>
        <w:tc>
          <w:tcPr>
            <w:tcW w:w="1170" w:type="dxa"/>
          </w:tcPr>
          <w:p w14:paraId="56DC7CA9" w14:textId="0F04F066"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long-term neuroleptic medication</w:t>
            </w:r>
          </w:p>
        </w:tc>
        <w:tc>
          <w:tcPr>
            <w:tcW w:w="1350" w:type="dxa"/>
          </w:tcPr>
          <w:p w14:paraId="63A7381C" w14:textId="4B871F7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21206669" w14:textId="19D0059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6563EA04" w14:textId="19290A11"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{"citationItems":[{"id":"ITEM-1","itemData":{"ISSN":"0940-1334","PMID":"10738862","abstract":"In the search for genetic factors contributing to tardive dyskinesia, dopamine receptor genes are considered major candidates. The dopamine D3 receptor is of primary interest as dopamine D3 receptor knock-out mice show locomotor hyperactivation resembling extrapyramidal side-effects of neuroleptic treatment. Furthermore, Steen and colleagues (1997) recently reported an association between tardive dyskinesia and a dopamine D3 receptor gene variant. In the present study we tried to replicate this finding. We investigated 157 patients with schizophrenia or schizoaffective disorder receiving long-term neuroleptic medication who never or persistently displayed tardive dyskinesia. As advanced age is a main risk factor for tardive dyskinesia, we also compared older patients with a long duration of schizophrenia not displaying tardive dyskinesia to younger patients with a shorter duration of the illness displaying tardive dyskinesia. However, we found no evidence that the dopamine D3 receptor gene is likely to confer susceptibility to the development of tardive dyskinesia.","author":[{"dropping-particle":"","family":"Rietschel","given":"M","non-dropping-particle":"","parse-names":false,"suffix":""},{"dropping-particle":"","family":"Krauss","given":"H","non-dropping-particle":"","parse-names":false,"suffix":""},{"dropping-particle":"","family":"Müller","given":"D J","non-dropping-particle":"","parse-names":false,"suffix":""},{"dropping-particle":"","family":"Schulze","given":"T G","non-dropping-particle":"","parse-names":false,"suffix":""},{"dropping-particle":"","family":"Knapp","given":"M","non-dropping-particle":"","parse-names":false,"suffix":""},{"dropping-particle":"","family":"Marwinski","given":"K","non-dropping-particle":"","parse-names":false,"suffix":""},{"dropping-particle":"","family":"Maroldt","given":"A O","non-dropping-particle":"","parse-names":false,"suffix":""},{"dropping-particle":"","family":"Paus","given":"S","non-dropping-particle":"","parse-names":false,"suffix":""},{"dropping-particle":"","family":"Grünhage","given":"F","non-dropping-particle":"","parse-names":false,"suffix":""},{"dropping-particle":"","family":"Propping","given":"P","non-dropping-particle":"","parse-names":false,"suffix":""},{"dropping-particle":"","family":"Maier","given":"W","non-dropping-particle":"","parse-names":false,"suffix":""},{"dropping-particle":"","family":"Held","given":"T","non-dropping-particle":"","parse-names":false,"suffix":""},{"dropping-particle":"","family":"Nöthen","given":"M M","non-dropping-particle":"","parse-names":false,"suffix":""}],"container-title":"European archives of psychiatry and clinical neuroscience","id":"ITEM-1","issue":"1","issued":{"date-parts":[["2000"]]},"page":"31-5","title":"Dopamine D3 receptor variant and tardive dyskinesia.","type":"article-journal","volume":"250"},"uris":["http://www.mendeley.com/documents/?uuid=d281a217-af6e-35dc-8fc4-d7a4b110a95c"]}],"mendeley":{"formattedCitation":"(Rietschel et al. 2000)","plainTextFormattedCitation":"(Rietschel et al. 2000)","previouslyFormattedCitation":"(Rietschel et al. 2000)"},"properties":{"noteIndex":0},"schema":"https://github.com/citation-style-language/schema/raw/master/csl-citation.json"}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(Rietschel et al. 2000)</w:t>
            </w:r>
            <w:r w:rsidRPr="006A1E5F">
              <w:rPr>
                <w:rFonts w:ascii="Palatino Linotype" w:hAnsi="Palatino Linotype" w:cstheme="minorHAnsi"/>
                <w:sz w:val="18"/>
                <w:szCs w:val="18"/>
              </w:rPr>
              <w:fldChar w:fldCharType="end"/>
            </w:r>
          </w:p>
        </w:tc>
      </w:tr>
      <w:tr w:rsidR="0031439E" w:rsidRPr="00EA57B8" w14:paraId="2B291865" w14:textId="4515852D" w:rsidTr="0031439E">
        <w:tc>
          <w:tcPr>
            <w:tcW w:w="1094" w:type="dxa"/>
          </w:tcPr>
          <w:p w14:paraId="784D4A95" w14:textId="07D798AA"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DRD3</w:t>
            </w:r>
          </w:p>
        </w:tc>
        <w:tc>
          <w:tcPr>
            <w:tcW w:w="1080" w:type="dxa"/>
          </w:tcPr>
          <w:p w14:paraId="48333282" w14:textId="75086F6C" w:rsidR="0031439E" w:rsidRPr="00875BDC" w:rsidRDefault="0031439E" w:rsidP="0031439E">
            <w:pPr>
              <w:rPr>
                <w:rFonts w:ascii="Palatino Linotype" w:hAnsi="Palatino Linotype"/>
                <w:sz w:val="18"/>
                <w:szCs w:val="18"/>
              </w:rPr>
            </w:pPr>
            <w:r w:rsidRPr="006A1E5F">
              <w:rPr>
                <w:rStyle w:val="st"/>
                <w:rFonts w:ascii="Palatino Linotype" w:hAnsi="Palatino Linotype"/>
                <w:sz w:val="18"/>
                <w:szCs w:val="18"/>
              </w:rPr>
              <w:t>rs6280</w:t>
            </w:r>
          </w:p>
        </w:tc>
        <w:tc>
          <w:tcPr>
            <w:tcW w:w="1080" w:type="dxa"/>
          </w:tcPr>
          <w:p w14:paraId="6F259325" w14:textId="5FA76EE1"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100</w:t>
            </w:r>
          </w:p>
        </w:tc>
        <w:tc>
          <w:tcPr>
            <w:tcW w:w="1170" w:type="dxa"/>
          </w:tcPr>
          <w:p w14:paraId="0F8ADE31" w14:textId="35559644" w:rsidR="0031439E" w:rsidRPr="00B04EEF"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Caucasian </w:t>
            </w:r>
          </w:p>
        </w:tc>
        <w:tc>
          <w:tcPr>
            <w:tcW w:w="1350" w:type="dxa"/>
          </w:tcPr>
          <w:p w14:paraId="5D7AB911" w14:textId="2F72711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 xml:space="preserve">Schizophrenia </w:t>
            </w:r>
          </w:p>
        </w:tc>
        <w:tc>
          <w:tcPr>
            <w:tcW w:w="1260" w:type="dxa"/>
          </w:tcPr>
          <w:p w14:paraId="481AB504" w14:textId="546956A5" w:rsidR="0031439E" w:rsidRPr="00CB51F0"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170" w:type="dxa"/>
          </w:tcPr>
          <w:p w14:paraId="439F2D40" w14:textId="682DE93B"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AIMS</w:t>
            </w:r>
          </w:p>
        </w:tc>
        <w:tc>
          <w:tcPr>
            <w:tcW w:w="1170" w:type="dxa"/>
          </w:tcPr>
          <w:p w14:paraId="4C97BF13" w14:textId="44596ED9"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long-term anti-psychotic drug therapy</w:t>
            </w:r>
          </w:p>
        </w:tc>
        <w:tc>
          <w:tcPr>
            <w:tcW w:w="1350" w:type="dxa"/>
          </w:tcPr>
          <w:p w14:paraId="748A1909" w14:textId="35FE62AF"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70EF6601" w14:textId="7B1CA3F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Association </w:t>
            </w:r>
            <w:r>
              <w:rPr>
                <w:rFonts w:ascii="Palatino Linotype" w:hAnsi="Palatino Linotype" w:cstheme="minorHAnsi"/>
                <w:sz w:val="18"/>
                <w:szCs w:val="18"/>
              </w:rPr>
              <w:t xml:space="preserve">between rs6280 </w:t>
            </w:r>
            <w:proofErr w:type="spellStart"/>
            <w:r w:rsidRPr="006A1E5F">
              <w:rPr>
                <w:rFonts w:ascii="Palatino Linotype" w:hAnsi="Palatino Linotype" w:cstheme="minorHAnsi"/>
                <w:sz w:val="18"/>
                <w:szCs w:val="18"/>
              </w:rPr>
              <w:t>Gly</w:t>
            </w:r>
            <w:proofErr w:type="spellEnd"/>
            <w:r w:rsidRPr="006A1E5F">
              <w:rPr>
                <w:rFonts w:ascii="Palatino Linotype" w:hAnsi="Palatino Linotype" w:cstheme="minorHAnsi"/>
                <w:sz w:val="18"/>
                <w:szCs w:val="18"/>
              </w:rPr>
              <w:t xml:space="preserve">-allele </w:t>
            </w:r>
            <w:r>
              <w:rPr>
                <w:rFonts w:ascii="Palatino Linotype" w:hAnsi="Palatino Linotype" w:cstheme="minorHAnsi"/>
                <w:sz w:val="18"/>
                <w:szCs w:val="18"/>
              </w:rPr>
              <w:t>and</w:t>
            </w:r>
            <w:r w:rsidRPr="006A1E5F">
              <w:rPr>
                <w:rFonts w:ascii="Palatino Linotype" w:hAnsi="Palatino Linotype" w:cstheme="minorHAnsi"/>
                <w:sz w:val="18"/>
                <w:szCs w:val="18"/>
              </w:rPr>
              <w:t xml:space="preserve"> TD</w:t>
            </w:r>
          </w:p>
        </w:tc>
        <w:tc>
          <w:tcPr>
            <w:tcW w:w="2173" w:type="dxa"/>
          </w:tcPr>
          <w:p w14:paraId="65A2F480" w14:textId="5417C45B"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{"citationItems":[{"id":"ITEM-1","itemData":{"ISSN":"1359-4184","PMID":"9106238","abstract":"Schizophrenia is a serious psychiatric illness with a life-time risk of approximately one percent. Many of the patients, but not all, benefit from treatment with anti-psychotic drugs known to block dopamine D2-like receptors. The use of conventional neuroleptics is, however, hampered by the risk of extrapyramidal side-effects. Tardive dyskinesia (TD) is usually regarded as the most serious of these drug-induced movement disorders due to its high prevalence and potentially irreversible nature. In this study, we have investigated the genetic variation of the dopamine D3 receptor gene (DRD3) as a putative risk factor for TD in schizophrenic patients receiving long-term anti-psychotic drug therapy. We found a high frequency (22-24%) of homozygosity for the Ser9Gly variant (allele 2) of the DRD3 gene among subjects with TD in both a cross-sectional and a longitudinal evaluation, as compared with the relative under-representation (4-6%) of this genotype in patients with no or fluctuating TD. This result indicates that autosomal inheritance of two polymorphic Ser9Gly alleles (2-2 genotype), but not homozygosity for the wild-type allele (1-1 genotype), is a susceptibility factor for the development of TD, an observation which may improve the understanding of the pathophysiological mechanisms of TD and influence the design and choice of future anti-psychotic drugs. The correlation between a serious motor side-effect and a genetic marker could lead to selection bias in the sampling of schizophrenic patients for genetic studies, and may therefore explain the apparent association reported between susceptibility for schizophrenia per se and homozygosity for the DRD3 gene.","author":[{"dropping-particle":"","family":"Steen","given":"V M","non-dropping-particle":"","parse-names":false,"suffix":""},{"dropping-particle":"","family":"Løvlie","given":"R","non-dropping-particle":"","parse-names":false,"suffix":""},{"dropping-particle":"","family":"MacEwan","given":"T","non-dropping-particle":"","parse-names":false,"suffix":""},{"dropping-particle":"","family":"McCreadie","given":"R G","non-dropping-particle":"","parse-names":false,"suffix":""}],"container-title":"Molecular psychiatry","id":"ITEM-1","issue":"2","issued":{"date-parts":[["1997","3"]]},"page":"139-45","title":"Dopamine D3-receptor gene variant and susceptibility to tardive dyskinesia in schizophrenic patients.","type":"article-journal","volume":"2"},"uris":["http://www.mendeley.com/documents/?uuid=405013af-3437-3cc8-8d53-4046cacd02b3"]}],"mendeley":{"formattedCitation":"(Steen et al. 1997)","plainTextFormattedCitation":"(Steen et al. 1997)","previouslyFormattedCitation":"(Steen et al. 1997)"},"properties":{"noteIndex":0},"schema":"https://github.com/citation-style-language/schema/raw/master/csl-citation.json"}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(Steen et al. 1997)</w:t>
            </w:r>
            <w:r w:rsidRPr="006A1E5F">
              <w:rPr>
                <w:rFonts w:ascii="Palatino Linotype" w:hAnsi="Palatino Linotype" w:cstheme="minorHAnsi"/>
                <w:sz w:val="18"/>
                <w:szCs w:val="18"/>
              </w:rPr>
              <w:fldChar w:fldCharType="end"/>
            </w:r>
          </w:p>
        </w:tc>
      </w:tr>
      <w:tr w:rsidR="0031439E" w:rsidRPr="00EA57B8" w14:paraId="3FFDF9F3" w14:textId="378AB495" w:rsidTr="0031439E">
        <w:tc>
          <w:tcPr>
            <w:tcW w:w="1094" w:type="dxa"/>
          </w:tcPr>
          <w:p w14:paraId="61091714" w14:textId="58CDD8E0"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34C74843" w14:textId="6C05F51F"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5C2BFEB1" w14:textId="3B9987B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53</w:t>
            </w:r>
          </w:p>
        </w:tc>
        <w:tc>
          <w:tcPr>
            <w:tcW w:w="1170" w:type="dxa"/>
          </w:tcPr>
          <w:p w14:paraId="1ED6A9AA" w14:textId="0BF96A01"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Ashkenazi and non-Ashkenazi</w:t>
            </w:r>
          </w:p>
        </w:tc>
        <w:tc>
          <w:tcPr>
            <w:tcW w:w="1350" w:type="dxa"/>
          </w:tcPr>
          <w:p w14:paraId="2C379EAC" w14:textId="7A646401"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6CCF0400" w14:textId="785D6AAD"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5CD953D5" w14:textId="32D279D7"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w:t>
            </w:r>
          </w:p>
        </w:tc>
        <w:tc>
          <w:tcPr>
            <w:tcW w:w="1170" w:type="dxa"/>
          </w:tcPr>
          <w:p w14:paraId="1871F882" w14:textId="4F9904D9"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Antipsychotics </w:t>
            </w:r>
          </w:p>
        </w:tc>
        <w:tc>
          <w:tcPr>
            <w:tcW w:w="1350" w:type="dxa"/>
          </w:tcPr>
          <w:p w14:paraId="67575CCE" w14:textId="3C5BC73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1D9032EA" w14:textId="27F615F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Association between </w:t>
            </w:r>
            <w:r>
              <w:rPr>
                <w:rFonts w:ascii="Palatino Linotype" w:hAnsi="Palatino Linotype" w:cstheme="minorHAnsi"/>
                <w:sz w:val="18"/>
                <w:szCs w:val="18"/>
              </w:rPr>
              <w:t xml:space="preserve">rs6280 </w:t>
            </w:r>
            <w:r w:rsidRPr="006A1E5F">
              <w:rPr>
                <w:rFonts w:ascii="Palatino Linotype" w:hAnsi="Palatino Linotype" w:cstheme="minorHAnsi"/>
                <w:sz w:val="18"/>
                <w:szCs w:val="18"/>
              </w:rPr>
              <w:t>Ser/</w:t>
            </w:r>
            <w:proofErr w:type="spellStart"/>
            <w:r w:rsidRPr="006A1E5F">
              <w:rPr>
                <w:rFonts w:ascii="Palatino Linotype" w:hAnsi="Palatino Linotype" w:cstheme="minorHAnsi"/>
                <w:sz w:val="18"/>
                <w:szCs w:val="18"/>
              </w:rPr>
              <w:t>Gly</w:t>
            </w:r>
            <w:proofErr w:type="spellEnd"/>
            <w:r w:rsidRPr="006A1E5F">
              <w:rPr>
                <w:rFonts w:ascii="Palatino Linotype" w:hAnsi="Palatino Linotype" w:cstheme="minorHAnsi"/>
                <w:sz w:val="18"/>
                <w:szCs w:val="18"/>
              </w:rPr>
              <w:t xml:space="preserve"> genotypes </w:t>
            </w:r>
            <w:r>
              <w:rPr>
                <w:rFonts w:ascii="Palatino Linotype" w:hAnsi="Palatino Linotype" w:cstheme="minorHAnsi"/>
                <w:sz w:val="18"/>
                <w:szCs w:val="18"/>
              </w:rPr>
              <w:t xml:space="preserve">and </w:t>
            </w:r>
            <w:r w:rsidRPr="006A1E5F">
              <w:rPr>
                <w:rFonts w:ascii="Palatino Linotype" w:hAnsi="Palatino Linotype" w:cstheme="minorHAnsi"/>
                <w:sz w:val="18"/>
                <w:szCs w:val="18"/>
              </w:rPr>
              <w:t xml:space="preserve">TD </w:t>
            </w:r>
          </w:p>
        </w:tc>
        <w:tc>
          <w:tcPr>
            <w:tcW w:w="2173" w:type="dxa"/>
          </w:tcPr>
          <w:p w14:paraId="5F3E890D" w14:textId="76D7E9F9"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{"citationItems":[{"id":"ITEM-1","itemData":{"ISSN":"1359-4184","PMID":"10395214","abstract":"Dopamine receptor antagonism is a common mechanism underlying the therapeutic efficacy of all classical antipsychotic drugs. It is also thought to underlie the propensity of these agents to induce the movement disorder, tardive dyskinesia (TD), in one fifth of chronically exposed schizophrenia patients. We examined the polymorphic serine to glycine substitution in the first exon of the gene encoding the dopamine D3 receptor (DRD3) inn 53 schizophrenia patients with TD, 63 matched patients with similar antipsychotic exposure but no TD and 117 normal controls. There was a difference in allele frequency that was of borderline significance (P = 0.055), due to an excess of the DRD3gly allele (allele 2) in the schizophrenia patients with TD. The difference in genotype distribution among the groups was highly significant (chi2 = 19.1, d.f. 4, P = 0.0008) due to an excess of the DRD3ser-gly genotype in the schizophrenia patients with TD. The difference between the schizophrenia patients with TD and the controls was highly significant (chi2 = 19.0, d.f. 2, P = 0.00007), even after correction for multiple testing, as was the difference between the combined group of schizophrenia patients and the controls (chi2 = 12.2, d.f. 2, P = 0.002). Comparing the schizophrenia patients with and without TD, genotypes containing the gly allele (DRD3ser-gly and DRD3gly-gly genotypes combined) were significantly associated with dyskinesia (OR = 2.62, 95% CI 1.18-5.59, P = 0.02). DRD3 genotype and age at first antipsychotic treatment contributed significantly to total score on the Abnormal Involuntary Movements Scale (AIMS). The contribution of DRD3 to the variance in AIMS total was 5.2% and the total proportion of the variance accounted for by these two variables together was 11.9%. These results support and extend the report by Steen et al (1997) of an association between DRD3 and TD in schizophrenia patients.","author":[{"dropping-particle":"","family":"Segman","given":"R","non-dropping-particle":"","parse-names":false,"suffix":""},{"dropping-particle":"","family":"Neeman","given":"T","non-dropping-particle":"","parse-names":false,"suffix":""},{"dropping-particle":"","family":"Heresco-Levy","given":"U","non-dropping-particle":"","parse-names":false,"suffix":""},{"dropping-particle":"","family":"Finkel","given":"B","non-dropping-particle":"","parse-names":false,"suffix":""},{"dropping-particle":"","family":"Karagichev","given":"L","non-dropping-particle":"","parse-names":false,"suffix":""},{"dropping-particle":"","family":"Schlafman","given":"M","non-dropping-particle":"","parse-names":false,"suffix":""},{"dropping-particle":"","family":"Dorevitch","given":"A","non-dropping-particle":"","parse-names":false,"suffix":""},{"dropping-particle":"","family":"Yakir","given":"A","non-dropping-particle":"","parse-names":false,"suffix":""},{"dropping-particle":"","family":"Lerner","given":"A","non-dropping-particle":"","parse-names":false,"suffix":""},{"dropping-particle":"","family":"Shelevoy","given":"A","non-dropping-particle":"","parse-names":false,"suffix":""},{"dropping-particle":"","family":"Lerer","given":"B","non-dropping-particle":"","parse-names":false,"suffix":""}],"container-title":"Molecular psychiatry","id":"ITEM-1","issue":"3","issued":{"date-parts":[["1999","5"]]},"page":"247-53","title":"Genotypic association between the dopamine D3 receptor and tardive dyskinesia in chronic schizophrenia.","type":"article-journal","volume":"4"},"uris":["http://www.mendeley.com/documents/?uuid=03bb26ef-9e5a-39df-a8bd-b5289a835851"]}],"mendeley":{"formattedCitation":"(Segman et al. 1999)","plainTextFormattedCitation":"(Segman et al. 1999)","previouslyFormattedCitation":"(Segman et al. 1999)"},"properties":{"noteIndex":0},"schema":"https://github.com/citation-style-language/schema/raw/master/csl-citation.json"}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1999)</w:t>
            </w:r>
            <w:r w:rsidRPr="006A1E5F">
              <w:rPr>
                <w:rFonts w:ascii="Palatino Linotype" w:hAnsi="Palatino Linotype" w:cstheme="minorHAnsi"/>
                <w:sz w:val="18"/>
                <w:szCs w:val="18"/>
              </w:rPr>
              <w:fldChar w:fldCharType="end"/>
            </w:r>
          </w:p>
        </w:tc>
      </w:tr>
      <w:tr w:rsidR="0031439E" w:rsidRPr="00EA57B8" w14:paraId="0899566D" w14:textId="7D1C9827" w:rsidTr="0031439E">
        <w:tc>
          <w:tcPr>
            <w:tcW w:w="1094" w:type="dxa"/>
          </w:tcPr>
          <w:p w14:paraId="4FDFA181" w14:textId="7BB6C9EF"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HTR2C, DRD3</w:t>
            </w:r>
          </w:p>
        </w:tc>
        <w:tc>
          <w:tcPr>
            <w:tcW w:w="1080" w:type="dxa"/>
          </w:tcPr>
          <w:p w14:paraId="5143B30B" w14:textId="2E6DC9AA"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rs6318 (</w:t>
            </w:r>
            <w:r w:rsidRPr="00DD0B28">
              <w:rPr>
                <w:rStyle w:val="st"/>
                <w:rFonts w:ascii="Palatino Linotype" w:hAnsi="Palatino Linotype"/>
                <w:i/>
                <w:iCs/>
                <w:sz w:val="18"/>
                <w:szCs w:val="18"/>
              </w:rPr>
              <w:t>HTR2C</w:t>
            </w:r>
            <w:r w:rsidRPr="006A1E5F">
              <w:rPr>
                <w:rStyle w:val="st"/>
                <w:rFonts w:ascii="Palatino Linotype" w:hAnsi="Palatino Linotype"/>
                <w:sz w:val="18"/>
                <w:szCs w:val="18"/>
              </w:rPr>
              <w:t>), rs6280 (</w:t>
            </w:r>
            <w:r w:rsidRPr="00DD0B28">
              <w:rPr>
                <w:rStyle w:val="st"/>
                <w:rFonts w:ascii="Palatino Linotype" w:hAnsi="Palatino Linotype"/>
                <w:i/>
                <w:iCs/>
                <w:sz w:val="18"/>
                <w:szCs w:val="18"/>
              </w:rPr>
              <w:t>DRD3</w:t>
            </w:r>
            <w:r w:rsidRPr="006A1E5F">
              <w:rPr>
                <w:rStyle w:val="st"/>
                <w:rFonts w:ascii="Palatino Linotype" w:hAnsi="Palatino Linotype"/>
                <w:sz w:val="18"/>
                <w:szCs w:val="18"/>
              </w:rPr>
              <w:t>)</w:t>
            </w:r>
          </w:p>
        </w:tc>
        <w:tc>
          <w:tcPr>
            <w:tcW w:w="1080" w:type="dxa"/>
          </w:tcPr>
          <w:p w14:paraId="2D389D64" w14:textId="44DE51B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55</w:t>
            </w:r>
          </w:p>
        </w:tc>
        <w:tc>
          <w:tcPr>
            <w:tcW w:w="1170" w:type="dxa"/>
          </w:tcPr>
          <w:p w14:paraId="6FFACA7C" w14:textId="1FF14327"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NA</w:t>
            </w:r>
          </w:p>
        </w:tc>
        <w:tc>
          <w:tcPr>
            <w:tcW w:w="1350" w:type="dxa"/>
          </w:tcPr>
          <w:p w14:paraId="0336E9FE" w14:textId="05AA0411"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6CBB5AF6" w14:textId="666AABEF"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6A9D7738" w14:textId="2552CCAA"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170" w:type="dxa"/>
          </w:tcPr>
          <w:p w14:paraId="35F386D2" w14:textId="74824B4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5A87FA35" w14:textId="458DF0F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2507" w:type="dxa"/>
          </w:tcPr>
          <w:p w14:paraId="2D96ADE1" w14:textId="7162841A"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Association between rs6318 Ser allele and</w:t>
            </w:r>
            <w:r w:rsidRPr="006A1E5F">
              <w:rPr>
                <w:rFonts w:ascii="Palatino Linotype" w:hAnsi="Palatino Linotype" w:cstheme="minorHAnsi"/>
                <w:sz w:val="18"/>
                <w:szCs w:val="18"/>
              </w:rPr>
              <w:t xml:space="preserve"> TD</w:t>
            </w:r>
          </w:p>
        </w:tc>
        <w:tc>
          <w:tcPr>
            <w:tcW w:w="2173" w:type="dxa"/>
          </w:tcPr>
          <w:p w14:paraId="4D06079A" w14:textId="06DA35F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{"citationItems":[{"id":"ITEM-1","itemData":{"ISSN":"0033-3158","PMID":"11140333","abstract":"RATIONALE Tardive dyskinesia (TD) is a longterm adverse effect of dopamine receptor blockers. The dopamine D3 receptor gene (DRD3) ser9gly polymorphism has been previously associated with susceptibility to TD. Serotonin receptor antagonism has been proposed as a common mechanism contributing to the low extra-pyramidal effects profile of atypical antipsychotic drugs. OBJECTIVES To examine the association of a functional polymorphism in the 5-HT2C receptor gene (HT2CR) with TD and the joint contribution of HT2CR and DRD3 to susceptibility. METHODS Case control association analysis of allele and genotype frequencies among schizophrenia patients with (n=55) and without TD (n=60), matched for antipsychotic drug exposure and other relevant variables, and normal control subjects (n=97). Parametric analyses of the contribution of 5-HT2Cser and DRD3gly alleles to dyskinesia scores. RESULTS We found a significant excess of 5-HT2Cser alleles in schizophrenia patients with TD (27.2%) compared to patients without TD (14.6%) and normal controls (14.2%; chi2=6.4, df 2, P=0.03) which was due to the female patients (chi2=8.6, df 2, P=0.01). Among the female TD patients there was an excess of cys-ser and ser-ser genotypes (chi2= 11.9, df 4, P=0.02). Analysis of covariance (ANCOVA), controlling for age at first antipsychotic treatment, revealed a significant effect of 5-HT2C genotype on orofacial dyskinesia (OFD) scores (F=3.47, df 2, P=.03). In a stepwise multiple regression analysis, 5-HT2C and DRD3 genotype (5-HT2Cser and DRD3gly allele carriage) respectively contributed 4.2% and 4.7% to the variance in OFD scores. CONCLUSIONS These findings support a small but significant contribution of the HT2CR and DRD3 to susceptibility to TD, which is additive in nature.","author":[{"dropping-particle":"","family":"Segman","given":"R H","non-dropping-particle":"","parse-names":false,"suffix":""},{"dropping-particle":"","family":"Heresco-Levy","given":"U","non-dropping-particle":"","parse-names":false,"suffix":""},{"dropping-particle":"","family":"Finkel","given":"B","non-dropping-particle":"","parse-names":false,"suffix":""},{"dropping-particle":"","family":"Inbar","given":"R","non-dropping-particle":"","parse-names":false,"suffix":""},{"dropping-particle":"","family":"Neeman","given":"T","non-dropping-particle":"","parse-names":false,"suffix":""},{"dropping-particle":"","family":"Schlafman","given":"M","non-dropping-particle":"","parse-names":false,"suffix":""},{"dropping-particle":"","family":"Dorevitch","given":"A","non-dropping-particle":"","parse-names":false,"suffix":""},{"dropping-particle":"","family":"Yakir","given":"A","non-dropping-particle":"","parse-names":false,"suffix":""},{"dropping-particle":"","family":"Lerner","given":"A","non-dropping-particle":"","parse-names":false,"suffix":""},{"dropping-particle":"","family":"Goltser","given":"T","non-dropping-particle":"","parse-names":false,"suffix":""},{"dropping-particle":"","family":"Shelevoy","given":"A","non-dropping-particle":"","parse-names":false,"suffix":""},{"dropping-particle":"","family":"Lerer","given":"B","non-dropping-particle":"","parse-names":false,"suffix":""}],"container-title":"Psychopharmacology","id":"ITEM-1","issue":"4","issued":{"date-parts":[["2000","11"]]},"page":"408-13","title":"Association between the serotonin 2C receptor gene and tardive dyskinesia in chronic schizophrenia: additive contribution of 5-HT2Cser and DRD3gly alleles to susceptibility.","type":"article-journal","volume":"152"},"uris":["http://www.mendeley.com/documents/?uuid=0af08257-6c6a-36d7-b5eb-b052729f0834"]}],"mendeley":{"formattedCitation":"(Segman et al. 2000)","plainTextFormattedCitation":"(Segman et al. 2000)","previouslyFormattedCitation":"(Segman et al. 2000)"},"properties":{"noteIndex":0},"schema":"https://github.com/citation-style-language/schema/raw/master/csl-citation.json"}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2000)</w:t>
            </w:r>
            <w:r w:rsidRPr="006A1E5F">
              <w:rPr>
                <w:rFonts w:ascii="Palatino Linotype" w:hAnsi="Palatino Linotype" w:cstheme="minorHAnsi"/>
                <w:sz w:val="18"/>
                <w:szCs w:val="18"/>
              </w:rPr>
              <w:fldChar w:fldCharType="end"/>
            </w:r>
          </w:p>
        </w:tc>
      </w:tr>
      <w:tr w:rsidR="0031439E" w:rsidRPr="00EA57B8" w14:paraId="1A35C00B" w14:textId="7B5E8D76" w:rsidTr="0031439E">
        <w:tc>
          <w:tcPr>
            <w:tcW w:w="1094" w:type="dxa"/>
          </w:tcPr>
          <w:p w14:paraId="62673A7D" w14:textId="30E65D89"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HTR2A</w:t>
            </w:r>
          </w:p>
        </w:tc>
        <w:tc>
          <w:tcPr>
            <w:tcW w:w="1080" w:type="dxa"/>
          </w:tcPr>
          <w:p w14:paraId="109F304E" w14:textId="77777777" w:rsidR="0031439E" w:rsidRPr="006A1E5F" w:rsidRDefault="0031439E" w:rsidP="0031439E">
            <w:pPr>
              <w:rPr>
                <w:rStyle w:val="st"/>
                <w:rFonts w:ascii="Palatino Linotype" w:hAnsi="Palatino Linotype"/>
                <w:sz w:val="18"/>
                <w:szCs w:val="18"/>
              </w:rPr>
            </w:pPr>
            <w:r w:rsidRPr="006A1E5F">
              <w:rPr>
                <w:rStyle w:val="st"/>
                <w:rFonts w:ascii="Palatino Linotype" w:hAnsi="Palatino Linotype"/>
                <w:sz w:val="18"/>
                <w:szCs w:val="18"/>
              </w:rPr>
              <w:t xml:space="preserve">rs6313, rs6311, </w:t>
            </w:r>
          </w:p>
          <w:p w14:paraId="2D3BA9F3" w14:textId="460CEA84" w:rsidR="0031439E" w:rsidRPr="00924ABD"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and rs6314</w:t>
            </w:r>
          </w:p>
        </w:tc>
        <w:tc>
          <w:tcPr>
            <w:tcW w:w="1080" w:type="dxa"/>
          </w:tcPr>
          <w:p w14:paraId="64F38F44" w14:textId="788D9D0C"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121</w:t>
            </w:r>
            <w:r w:rsidRPr="00B90AC5">
              <w:rPr>
                <w:rFonts w:ascii="Palatino Linotype" w:hAnsi="Palatino Linotype" w:cstheme="minorHAnsi"/>
                <w:sz w:val="18"/>
                <w:szCs w:val="18"/>
              </w:rPr>
              <w:t xml:space="preserve"> (59</w:t>
            </w:r>
            <w:r>
              <w:rPr>
                <w:rFonts w:ascii="Palatino Linotype" w:hAnsi="Palatino Linotype" w:cstheme="minorHAnsi"/>
                <w:sz w:val="18"/>
                <w:szCs w:val="18"/>
              </w:rPr>
              <w:t xml:space="preserve"> with</w:t>
            </w:r>
            <w:r w:rsidRPr="00B90AC5">
              <w:rPr>
                <w:rFonts w:ascii="Palatino Linotype" w:hAnsi="Palatino Linotype" w:cstheme="minorHAnsi"/>
                <w:sz w:val="18"/>
                <w:szCs w:val="18"/>
              </w:rPr>
              <w:t xml:space="preserve"> TD</w:t>
            </w:r>
            <w:r>
              <w:rPr>
                <w:rFonts w:ascii="Palatino Linotype" w:hAnsi="Palatino Linotype" w:cstheme="minorHAnsi"/>
                <w:sz w:val="18"/>
                <w:szCs w:val="18"/>
              </w:rPr>
              <w:t xml:space="preserve">) and </w:t>
            </w:r>
            <w:r w:rsidRPr="00B90AC5">
              <w:rPr>
                <w:rFonts w:ascii="Palatino Linotype" w:hAnsi="Palatino Linotype" w:cstheme="minorHAnsi"/>
                <w:sz w:val="18"/>
                <w:szCs w:val="18"/>
              </w:rPr>
              <w:t>96 control</w:t>
            </w:r>
            <w:r>
              <w:rPr>
                <w:rFonts w:ascii="Palatino Linotype" w:hAnsi="Palatino Linotype" w:cstheme="minorHAnsi"/>
                <w:sz w:val="18"/>
                <w:szCs w:val="18"/>
              </w:rPr>
              <w:t>s</w:t>
            </w:r>
          </w:p>
        </w:tc>
        <w:tc>
          <w:tcPr>
            <w:tcW w:w="1170" w:type="dxa"/>
          </w:tcPr>
          <w:p w14:paraId="6BCEC00E"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Jewish</w:t>
            </w:r>
            <w:r>
              <w:rPr>
                <w:rFonts w:ascii="Palatino Linotype" w:hAnsi="Palatino Linotype" w:cstheme="minorHAnsi"/>
                <w:sz w:val="18"/>
                <w:szCs w:val="18"/>
              </w:rPr>
              <w:t xml:space="preserve"> (A</w:t>
            </w:r>
            <w:r w:rsidRPr="006A1E5F">
              <w:rPr>
                <w:rFonts w:ascii="Palatino Linotype" w:hAnsi="Palatino Linotype" w:cstheme="minorHAnsi"/>
                <w:sz w:val="18"/>
                <w:szCs w:val="18"/>
              </w:rPr>
              <w:t>shkenazi or non-</w:t>
            </w:r>
          </w:p>
          <w:p w14:paraId="6ECC022F" w14:textId="75AACC19"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Ashkenaz</w:t>
            </w:r>
            <w:r>
              <w:rPr>
                <w:rFonts w:ascii="Palatino Linotype" w:hAnsi="Palatino Linotype" w:cstheme="minorHAnsi"/>
                <w:sz w:val="18"/>
                <w:szCs w:val="18"/>
              </w:rPr>
              <w:t xml:space="preserve">i) </w:t>
            </w:r>
          </w:p>
        </w:tc>
        <w:tc>
          <w:tcPr>
            <w:tcW w:w="1350" w:type="dxa"/>
          </w:tcPr>
          <w:p w14:paraId="237CC727" w14:textId="3464D464"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04F0E33C" w14:textId="1B34DD2B"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284A33E3" w14:textId="5615701E"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RDC-TD</w:t>
            </w:r>
          </w:p>
        </w:tc>
        <w:tc>
          <w:tcPr>
            <w:tcW w:w="1170" w:type="dxa"/>
          </w:tcPr>
          <w:p w14:paraId="41B5630E" w14:textId="0F7B234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66A5F6E3" w14:textId="02049E8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w:t>
            </w:r>
          </w:p>
        </w:tc>
        <w:tc>
          <w:tcPr>
            <w:tcW w:w="2507" w:type="dxa"/>
          </w:tcPr>
          <w:p w14:paraId="07FD4466" w14:textId="06435F91"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Association between rs6313 C and rs6311 G alleles, and CC and GG genotypes respectively, with TD</w:t>
            </w:r>
          </w:p>
        </w:tc>
        <w:tc>
          <w:tcPr>
            <w:tcW w:w="2173" w:type="dxa"/>
          </w:tcPr>
          <w:p w14:paraId="7565E4FF" w14:textId="11FA1857"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{"citationItems":[{"id":"ITEM-1","itemData":{"DOI":"10.1038/sj.mp.4000842","ISSN":"1359-4184","PMID":"11317227","abstract":"Tardive dyskinesia (TD) is a long-term adverse effect of antipsychotic drugs that are dopamine D2 receptor blockers.(1) Serotonin receptor antagonism has been proposed as a common mechanism contributing to the low extrapyramidal effects profile of atypical antipsychotic drugs.(2) We examined the association of three polymorphisms in the 5-HT2A receptor gene (HTR2A) with TD susceptibility--T102C(3) and his452tyr(4) in the coding region and A-1438G(5) in the promoter--in matched schizophrenia patients with (n = 59, SCZ-TD-Y) and without TD (n = 62, SCZ-TD-N) and normal control subjects (n = 96). The T102C and the A-1438G polymorphisms are in complete linkage disequilibrium but not his452tyr. There was a significant excess of 102C and -1438G alleles (62.7%) in the SCZ-TD-Y patients compared to SCZ-TD-N patients (41.1%) and controls (45.9%; chi(2) = 12.8, df = 2, P = 0.002; SCZ-TD-Y vs SCZ-TD-N, chi(2) = 11.4, df = 1, P = 0.0008, OR 2.41, 95% CI 1.43-3.99) and of 102CC and -1438GG genotypes (SCZ-TD-Y 42.4%, SCZ-TD-N, 16.1%, controls 20.8%, chi(2) = 13.3, df = 4, P = 0.01). The 102CC and the -1438GG genotypes were associated with significantly higher AIMS trunk dyskinesia scores (F = 3.9; df = 2, 116; P = 0.02) and more incapacitation (F = 5.0; df = 2, 115; P = 0.006). The his452tyr polymorphism showed no association with TD. These findings suggest that the 5-HT2A receptor gene is significantly associated with susceptibility to TD in patients with chronic schizophrenia. Previously reported association of the T102C and A-1438G polymorphisms with schizophrenia(6) may reflect association of a sub-group of patients with a susceptibility to abnormal involuntary movements related to antipsychotic drug exposure.","author":[{"dropping-particle":"","family":"Segman","given":"R H","non-dropping-particle":"","parse-names":false,"suffix":""},{"dropping-particle":"","family":"Heresco-Levy","given":"U","non-dropping-particle":"","parse-names":false,"suffix":""},{"dropping-particle":"","family":"Finkel","given":"B","non-dropping-particle":"","parse-names":false,"suffix":""},{"dropping-particle":"","family":"Goltser","given":"T","non-dropping-particle":"","parse-names":false,"suffix":""},{"dropping-particle":"","family":"Shalem","given":"R","non-dropping-particle":"","parse-names":false,"suffix":""},{"dropping-particle":"","family":"Schlafman","given":"M","non-dropping-particle":"","parse-names":false,"suffix":""},{"dropping-particle":"","family":"Dorevitch","given":"A","non-dropping-particle":"","parse-names":false,"suffix":""},{"dropping-particle":"","family":"Yakir","given":"A","non-dropping-particle":"","parse-names":false,"suffix":""},{"dropping-particle":"","family":"Greenberg","given":"D","non-dropping-particle":"","parse-names":false,"suffix":""},{"dropping-particle":"","family":"Lerner","given":"A","non-dropping-particle":"","parse-names":false,"suffix":""},{"dropping-particle":"","family":"Lerer","given":"B","non-dropping-particle":"","parse-names":false,"suffix":""}],"container-title":"Molecular psychiatry","id":"ITEM-1","issue":"2","issued":{"date-parts":[["2001","3","17"]]},"page":"225-9","title":"Association between the serotonin 2A receptor gene and tardive dyskinesia in chronic schizophrenia.","type":"article-journal","volume":"6"},"uris":["http://www.mendeley.com/documents/?uuid=ebc71da1-896b-3a02-b46a-7429210887ea"]}],"mendeley":{"formattedCitation":"(Segman et al. 2001)","plainTextFormattedCitation":"(Segman et al. 2001)","previouslyFormattedCitation":"(Segman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2001)</w:t>
            </w:r>
            <w:r w:rsidRPr="006A1E5F">
              <w:rPr>
                <w:rFonts w:ascii="Palatino Linotype" w:hAnsi="Palatino Linotype" w:cstheme="minorHAnsi"/>
                <w:sz w:val="18"/>
                <w:szCs w:val="18"/>
              </w:rPr>
              <w:fldChar w:fldCharType="end"/>
            </w:r>
          </w:p>
        </w:tc>
      </w:tr>
      <w:tr w:rsidR="0031439E" w:rsidRPr="00EA57B8" w14:paraId="6EF52906" w14:textId="610EF1A9" w:rsidTr="0031439E">
        <w:tc>
          <w:tcPr>
            <w:tcW w:w="1094" w:type="dxa"/>
          </w:tcPr>
          <w:p w14:paraId="15B82F06" w14:textId="1CD4639F"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ACE</w:t>
            </w:r>
          </w:p>
        </w:tc>
        <w:tc>
          <w:tcPr>
            <w:tcW w:w="1080" w:type="dxa"/>
          </w:tcPr>
          <w:p w14:paraId="55F0C83A" w14:textId="1AFE7925" w:rsidR="0031439E" w:rsidRPr="00924ABD" w:rsidRDefault="0031439E" w:rsidP="0031439E">
            <w:pPr>
              <w:rPr>
                <w:rFonts w:ascii="Palatino Linotype" w:hAnsi="Palatino Linotype" w:cstheme="minorHAnsi"/>
                <w:sz w:val="18"/>
                <w:szCs w:val="18"/>
              </w:rPr>
            </w:pPr>
            <w:r w:rsidRPr="00A16694">
              <w:rPr>
                <w:rFonts w:ascii="Palatino Linotype" w:hAnsi="Palatino Linotype" w:cstheme="minorHAnsi"/>
                <w:sz w:val="18"/>
                <w:szCs w:val="18"/>
              </w:rPr>
              <w:t>insertion/deletion</w:t>
            </w:r>
            <w:r>
              <w:rPr>
                <w:rFonts w:ascii="Palatino Linotype" w:hAnsi="Palatino Linotype" w:cstheme="minorHAnsi"/>
                <w:sz w:val="18"/>
                <w:szCs w:val="18"/>
              </w:rPr>
              <w:t xml:space="preserve"> </w:t>
            </w:r>
            <w:r w:rsidRPr="00A16694">
              <w:rPr>
                <w:rFonts w:ascii="Palatino Linotype" w:hAnsi="Palatino Linotype" w:cstheme="minorHAnsi"/>
                <w:sz w:val="18"/>
                <w:szCs w:val="18"/>
              </w:rPr>
              <w:t xml:space="preserve">in the 16th intron </w:t>
            </w:r>
          </w:p>
        </w:tc>
        <w:tc>
          <w:tcPr>
            <w:tcW w:w="1080" w:type="dxa"/>
          </w:tcPr>
          <w:p w14:paraId="113E4B1D" w14:textId="2F7A44A1"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113 (55 with TD) and </w:t>
            </w:r>
            <w:r w:rsidRPr="00610CAE">
              <w:rPr>
                <w:rFonts w:ascii="Palatino Linotype" w:hAnsi="Palatino Linotype" w:cstheme="minorHAnsi"/>
                <w:sz w:val="18"/>
                <w:szCs w:val="18"/>
              </w:rPr>
              <w:t>87</w:t>
            </w:r>
            <w:r>
              <w:rPr>
                <w:rFonts w:ascii="Palatino Linotype" w:hAnsi="Palatino Linotype" w:cstheme="minorHAnsi"/>
                <w:sz w:val="18"/>
                <w:szCs w:val="18"/>
              </w:rPr>
              <w:t xml:space="preserve"> controls</w:t>
            </w:r>
          </w:p>
        </w:tc>
        <w:tc>
          <w:tcPr>
            <w:tcW w:w="1170" w:type="dxa"/>
          </w:tcPr>
          <w:p w14:paraId="1DD45C8C" w14:textId="00A79335" w:rsidR="0031439E" w:rsidRDefault="0031439E" w:rsidP="0031439E">
            <w:pPr>
              <w:rPr>
                <w:rFonts w:ascii="Palatino Linotype" w:hAnsi="Palatino Linotype"/>
                <w:sz w:val="18"/>
                <w:szCs w:val="18"/>
              </w:rPr>
            </w:pPr>
            <w:r w:rsidRPr="002A69F8">
              <w:rPr>
                <w:rFonts w:ascii="Palatino Linotype" w:hAnsi="Palatino Linotype" w:cstheme="minorHAnsi"/>
                <w:sz w:val="18"/>
                <w:szCs w:val="18"/>
              </w:rPr>
              <w:t>Jewish Israeli (Ashkenazi or non-Ashkenaz</w:t>
            </w:r>
            <w:r>
              <w:rPr>
                <w:rFonts w:ascii="Palatino Linotype" w:hAnsi="Palatino Linotype" w:cstheme="minorHAnsi"/>
                <w:sz w:val="18"/>
                <w:szCs w:val="18"/>
              </w:rPr>
              <w:t>i)</w:t>
            </w:r>
          </w:p>
        </w:tc>
        <w:tc>
          <w:tcPr>
            <w:tcW w:w="1350" w:type="dxa"/>
          </w:tcPr>
          <w:p w14:paraId="76EF257F" w14:textId="37C70D01" w:rsidR="0031439E" w:rsidRPr="00924ABD" w:rsidRDefault="0031439E" w:rsidP="0031439E">
            <w:pPr>
              <w:rPr>
                <w:rFonts w:ascii="Palatino Linotype" w:hAnsi="Palatino Linotype" w:cstheme="minorHAnsi"/>
                <w:sz w:val="18"/>
                <w:szCs w:val="18"/>
              </w:rPr>
            </w:pPr>
            <w:r w:rsidRPr="00610CAE">
              <w:rPr>
                <w:rFonts w:ascii="Palatino Linotype" w:hAnsi="Palatino Linotype" w:cstheme="minorHAnsi"/>
                <w:sz w:val="18"/>
                <w:szCs w:val="18"/>
              </w:rPr>
              <w:t>Schizophrenia</w:t>
            </w:r>
            <w:r>
              <w:rPr>
                <w:rFonts w:ascii="Palatino Linotype" w:hAnsi="Palatino Linotype" w:cstheme="minorHAnsi"/>
                <w:sz w:val="18"/>
                <w:szCs w:val="18"/>
              </w:rPr>
              <w:t xml:space="preserve">, </w:t>
            </w:r>
            <w:r w:rsidRPr="00610CAE">
              <w:rPr>
                <w:rFonts w:ascii="Palatino Linotype" w:hAnsi="Palatino Linotype" w:cstheme="minorHAnsi"/>
                <w:sz w:val="18"/>
                <w:szCs w:val="18"/>
              </w:rPr>
              <w:t>major depression</w:t>
            </w:r>
            <w:r>
              <w:rPr>
                <w:rFonts w:ascii="Palatino Linotype" w:hAnsi="Palatino Linotype" w:cstheme="minorHAnsi"/>
                <w:sz w:val="18"/>
                <w:szCs w:val="18"/>
              </w:rPr>
              <w:t xml:space="preserve">, </w:t>
            </w:r>
            <w:r w:rsidRPr="00610CAE">
              <w:rPr>
                <w:rFonts w:ascii="Palatino Linotype" w:hAnsi="Palatino Linotype" w:cstheme="minorHAnsi"/>
                <w:sz w:val="18"/>
                <w:szCs w:val="18"/>
              </w:rPr>
              <w:t>and bipolar disorder</w:t>
            </w:r>
          </w:p>
        </w:tc>
        <w:tc>
          <w:tcPr>
            <w:tcW w:w="1260" w:type="dxa"/>
          </w:tcPr>
          <w:p w14:paraId="4F7E73A5" w14:textId="6A4AB468" w:rsidR="0031439E" w:rsidRPr="006A1E5F" w:rsidRDefault="0031439E" w:rsidP="0031439E">
            <w:pPr>
              <w:rPr>
                <w:rFonts w:ascii="Palatino Linotype" w:hAnsi="Palatino Linotype" w:cstheme="minorHAnsi"/>
                <w:sz w:val="18"/>
                <w:szCs w:val="18"/>
              </w:rPr>
            </w:pPr>
            <w:r w:rsidRPr="00610CAE">
              <w:rPr>
                <w:rFonts w:ascii="Palatino Linotype" w:hAnsi="Palatino Linotype" w:cstheme="minorHAnsi"/>
                <w:sz w:val="18"/>
                <w:szCs w:val="18"/>
              </w:rPr>
              <w:t>DSM-IV</w:t>
            </w:r>
          </w:p>
        </w:tc>
        <w:tc>
          <w:tcPr>
            <w:tcW w:w="1170" w:type="dxa"/>
          </w:tcPr>
          <w:p w14:paraId="41275A2E" w14:textId="4EF7E54E" w:rsidR="0031439E" w:rsidRPr="003E2E6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1DBB7D5D" w14:textId="1724ADEA"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3CC52CC8" w14:textId="7530B5E8" w:rsidR="0031439E" w:rsidRDefault="0031439E" w:rsidP="0031439E">
            <w:pPr>
              <w:rPr>
                <w:rFonts w:ascii="Palatino Linotype" w:hAnsi="Palatino Linotype" w:cstheme="minorHAnsi"/>
                <w:sz w:val="18"/>
                <w:szCs w:val="18"/>
              </w:rPr>
            </w:pPr>
            <w:r>
              <w:rPr>
                <w:rStyle w:val="st"/>
                <w:rFonts w:ascii="Palatino Linotype" w:hAnsi="Palatino Linotype"/>
                <w:sz w:val="18"/>
                <w:szCs w:val="18"/>
              </w:rPr>
              <w:t>NA</w:t>
            </w:r>
          </w:p>
        </w:tc>
        <w:tc>
          <w:tcPr>
            <w:tcW w:w="2507" w:type="dxa"/>
          </w:tcPr>
          <w:p w14:paraId="7353BFE2" w14:textId="68BF858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1559D74F" w14:textId="53194B85"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{"citationItems":[{"id":"ITEM-1","itemData":{"DOI":"10.1002/ajmg.10255","ISSN":"0148-7299","PMID":"11920854","abstract":"Angiotensin converting enzyme (ACE) is a candidate gene for psychiatric disorders. We examined the frequency of a functional insertion/deletion (I/D) polymorphism in the 16th intron of the ACE gene (located on chromosome 17q23) in groups of patients with schizophrenia (n = 104 and 113), major depression (n = 55), and bipolar disorder (n = 87) compared to healthy control subjects (n = 87). There was no evidence for allelic or genotypic association of the polymorphism with any of the disorders or with tardive dyskinesia (TD) in patients with schizophrenia. In a sample of nuclear families (n = 61) made up of one or more patients with schizophrenia recruited with their parents, there was no evidence for biased transmission of ACE I/D alleles. Particularly in the case of schizophrenia, these findings do not support an association of the ACE I/D polymorphism with the phenotypes examined.","author":[{"dropping-particle":"","family":"Segman","given":"Ronnen H","non-dropping-particle":"","parse-names":false,"suffix":""},{"dropping-particle":"","family":"Shapira","given":"Yami","non-dropping-particle":"","parse-names":false,"suffix":""},{"dropping-particle":"","family":"Modai","given":"Ilan","non-dropping-particle":"","parse-names":false,"suffix":""},{"dropping-particle":"","family":"Hamdan","given":"Adnan","non-dropping-particle":"","parse-names":false,"suffix":""},{"dropping-particle":"","family":"Zislin","given":"Joseph","non-dropping-particle":"","parse-names":false,"suffix":""},{"dropping-particle":"","family":"Heresco-Levy","given":"Uriel","non-dropping-particle":"","parse-names":false,"suffix":""},{"dropping-particle":"","family":"Kanyas","given":"Kyra","non-dropping-particle":"","parse-names":false,"suffix":""},{"dropping-particle":"","family":"Hirschmann","given":"Shmuel","non-dropping-particle":"","parse-names":false,"suffix":""},{"dropping-particle":"","family":"Karni","given":"Osnat","non-dropping-particle":"","parse-names":false,"suffix":""},{"dropping-particle":"","family":"Finkel","given":"Boris","non-dropping-particle":"","parse-names":false,"suffix":""},{"dropping-particle":"","family":"Schlafman","given":"Michael","non-dropping-particle":"","parse-names":false,"suffix":""},{"dropping-particle":"","family":"Lerner","given":"Arturo","non-dropping-particle":"","parse-names":false,"suffix":""},{"dropping-particle":"","family":"Shapira","given":"Baruch","non-dropping-particle":"","parse-names":false,"suffix":""},{"dropping-particle":"","family":"Macciardi","given":"Fabio","non-dropping-particle":"","parse-names":false,"suffix":""},{"dropping-particle":"","family":"Lerer","given":"Bernard","non-dropping-particle":"","parse-names":false,"suffix":""}],"container-title":"American journal of medical genetics","id":"ITEM-1","issue":"3","issued":{"date-parts":[["2002","4","8"]]},"page":"310-4","publisher":"Am J Med Genet","title":"Angiotensin converting enzyme gene insertion/deletion polymorphism: case-control association studies in schizophrenia, major affective disorder, and tardive dyskinesia and a family-based association study in schizophrenia.","type":"article-journal","volume":"114"},"uris":["http://www.mendeley.com/documents/?uuid=b64c9c06-8141-35bc-9895-9a852449250e"]}],"mendeley":{"formattedCitation":"(Segman et al. 2002b)","plainTextFormattedCitation":"(Segman et al. 2002b)","previouslyFormattedCitation":"(Segman et al. 2002b)"},"properties":{"noteIndex":0},"schema":"https://github.com/citation-style-language/schema/raw/master/csl-citation.json"}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2002b)</w:t>
            </w:r>
            <w:r>
              <w:rPr>
                <w:rFonts w:ascii="Palatino Linotype" w:hAnsi="Palatino Linotype" w:cstheme="minorHAnsi"/>
                <w:sz w:val="18"/>
                <w:szCs w:val="18"/>
              </w:rPr>
              <w:fldChar w:fldCharType="end"/>
            </w:r>
          </w:p>
        </w:tc>
      </w:tr>
      <w:tr w:rsidR="0031439E" w:rsidRPr="00EA57B8" w14:paraId="79BC6848" w14:textId="32A5AF4B" w:rsidTr="0031439E">
        <w:tc>
          <w:tcPr>
            <w:tcW w:w="1094" w:type="dxa"/>
          </w:tcPr>
          <w:p w14:paraId="6AFBCE62" w14:textId="1AE4CE38"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592983A1" w14:textId="56C7F34A" w:rsidR="0031439E" w:rsidRPr="00A16694" w:rsidRDefault="0031439E" w:rsidP="0031439E">
            <w:pPr>
              <w:rPr>
                <w:rFonts w:ascii="Palatino Linotype" w:hAnsi="Palatino Linotype" w:cstheme="minorHAnsi"/>
                <w:sz w:val="18"/>
                <w:szCs w:val="18"/>
              </w:rPr>
            </w:pPr>
            <w:r w:rsidRPr="00924ABD">
              <w:rPr>
                <w:rFonts w:ascii="Palatino Linotype" w:hAnsi="Palatino Linotype" w:cstheme="minorHAnsi"/>
                <w:sz w:val="18"/>
                <w:szCs w:val="18"/>
              </w:rPr>
              <w:t>rs6280</w:t>
            </w:r>
          </w:p>
        </w:tc>
        <w:tc>
          <w:tcPr>
            <w:tcW w:w="1080" w:type="dxa"/>
          </w:tcPr>
          <w:p w14:paraId="28ABA569" w14:textId="4FCD3985"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FGAs</w:t>
            </w:r>
          </w:p>
        </w:tc>
        <w:tc>
          <w:tcPr>
            <w:tcW w:w="1170" w:type="dxa"/>
          </w:tcPr>
          <w:p w14:paraId="5BF57287" w14:textId="0F2482C7" w:rsidR="0031439E" w:rsidRPr="002A69F8" w:rsidRDefault="0031439E" w:rsidP="0031439E">
            <w:pPr>
              <w:rPr>
                <w:rFonts w:ascii="Palatino Linotype" w:hAnsi="Palatino Linotype" w:cstheme="minorHAnsi"/>
                <w:sz w:val="18"/>
                <w:szCs w:val="18"/>
              </w:rPr>
            </w:pPr>
            <w:r>
              <w:rPr>
                <w:rFonts w:ascii="Palatino Linotype" w:hAnsi="Palatino Linotype"/>
                <w:sz w:val="18"/>
                <w:szCs w:val="18"/>
              </w:rPr>
              <w:t>113 (55 with TD)</w:t>
            </w:r>
          </w:p>
        </w:tc>
        <w:tc>
          <w:tcPr>
            <w:tcW w:w="1350" w:type="dxa"/>
          </w:tcPr>
          <w:p w14:paraId="72378686" w14:textId="06B9CF82" w:rsidR="0031439E" w:rsidRPr="00610CAE" w:rsidRDefault="0031439E" w:rsidP="0031439E">
            <w:pPr>
              <w:rPr>
                <w:rFonts w:ascii="Palatino Linotype" w:hAnsi="Palatino Linotype" w:cstheme="minorHAnsi"/>
                <w:sz w:val="18"/>
                <w:szCs w:val="18"/>
              </w:rPr>
            </w:pPr>
            <w:r w:rsidRPr="00924ABD">
              <w:rPr>
                <w:rFonts w:ascii="Palatino Linotype" w:hAnsi="Palatino Linotype" w:cstheme="minorHAnsi"/>
                <w:sz w:val="18"/>
                <w:szCs w:val="18"/>
              </w:rPr>
              <w:t>Ashkenazi and non-Ashkenazi</w:t>
            </w:r>
          </w:p>
        </w:tc>
        <w:tc>
          <w:tcPr>
            <w:tcW w:w="1260" w:type="dxa"/>
          </w:tcPr>
          <w:p w14:paraId="5730A895" w14:textId="215A5F15" w:rsidR="0031439E" w:rsidRPr="00610CA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170" w:type="dxa"/>
          </w:tcPr>
          <w:p w14:paraId="00C0372C" w14:textId="22FE6C97" w:rsidR="0031439E" w:rsidRDefault="0031439E" w:rsidP="0031439E">
            <w:pPr>
              <w:rPr>
                <w:rFonts w:ascii="Palatino Linotype" w:hAnsi="Palatino Linotype" w:cstheme="minorHAnsi"/>
                <w:sz w:val="18"/>
                <w:szCs w:val="18"/>
              </w:rPr>
            </w:pPr>
            <w:r w:rsidRPr="003E2E63">
              <w:rPr>
                <w:rFonts w:ascii="Palatino Linotype" w:hAnsi="Palatino Linotype" w:cstheme="minorHAnsi"/>
                <w:sz w:val="18"/>
                <w:szCs w:val="18"/>
              </w:rPr>
              <w:t>DSM-IV</w:t>
            </w:r>
          </w:p>
        </w:tc>
        <w:tc>
          <w:tcPr>
            <w:tcW w:w="1170" w:type="dxa"/>
          </w:tcPr>
          <w:p w14:paraId="69113AB2" w14:textId="1598AD08"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350" w:type="dxa"/>
          </w:tcPr>
          <w:p w14:paraId="5505A2D8" w14:textId="1D32CD05" w:rsidR="0031439E" w:rsidRDefault="0031439E" w:rsidP="0031439E">
            <w:pPr>
              <w:rPr>
                <w:rStyle w:val="st"/>
                <w:rFonts w:ascii="Palatino Linotype" w:hAnsi="Palatino Linotype"/>
                <w:sz w:val="18"/>
                <w:szCs w:val="18"/>
              </w:rPr>
            </w:pPr>
            <w:r>
              <w:rPr>
                <w:rFonts w:ascii="Palatino Linotype" w:hAnsi="Palatino Linotype" w:cstheme="minorHAnsi"/>
                <w:sz w:val="18"/>
                <w:szCs w:val="18"/>
              </w:rPr>
              <w:t>PCR-RFLP (</w:t>
            </w:r>
            <w:proofErr w:type="spellStart"/>
            <w:r w:rsidRPr="00924ABD">
              <w:rPr>
                <w:rFonts w:ascii="Palatino Linotype" w:hAnsi="Palatino Linotype" w:cstheme="minorHAnsi"/>
                <w:sz w:val="18"/>
                <w:szCs w:val="18"/>
              </w:rPr>
              <w:t>MspAI</w:t>
            </w:r>
            <w:proofErr w:type="spellEnd"/>
            <w:r>
              <w:rPr>
                <w:rFonts w:ascii="Palatino Linotype" w:hAnsi="Palatino Linotype" w:cstheme="minorHAnsi"/>
                <w:sz w:val="18"/>
                <w:szCs w:val="18"/>
              </w:rPr>
              <w:t>)</w:t>
            </w:r>
          </w:p>
        </w:tc>
        <w:tc>
          <w:tcPr>
            <w:tcW w:w="2507" w:type="dxa"/>
          </w:tcPr>
          <w:p w14:paraId="54451827" w14:textId="40F00CBD"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the carriers of DRD3Gly allele and risk of </w:t>
            </w:r>
            <w:r w:rsidRPr="00924ABD">
              <w:rPr>
                <w:rFonts w:ascii="Palatino Linotype" w:hAnsi="Palatino Linotype" w:cstheme="minorHAnsi"/>
                <w:sz w:val="18"/>
                <w:szCs w:val="18"/>
              </w:rPr>
              <w:t>abnormal orofacial and distal</w:t>
            </w:r>
            <w:r>
              <w:rPr>
                <w:rFonts w:ascii="Palatino Linotype" w:hAnsi="Palatino Linotype" w:cstheme="minorHAnsi"/>
                <w:sz w:val="18"/>
                <w:szCs w:val="18"/>
              </w:rPr>
              <w:t xml:space="preserve"> </w:t>
            </w:r>
            <w:r w:rsidRPr="00924ABD">
              <w:rPr>
                <w:rFonts w:ascii="Palatino Linotype" w:hAnsi="Palatino Linotype" w:cstheme="minorHAnsi"/>
                <w:sz w:val="18"/>
                <w:szCs w:val="18"/>
              </w:rPr>
              <w:t>involuntary movements</w:t>
            </w:r>
          </w:p>
        </w:tc>
        <w:tc>
          <w:tcPr>
            <w:tcW w:w="2173" w:type="dxa"/>
          </w:tcPr>
          <w:p w14:paraId="19428F90" w14:textId="1D5F9419"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{"citationItems":[{"id":"ITEM-1","itemData":{"DOI":"10.1016/s0006-3223(01)01302-6","ISSN":"0006-3223","PMID":"11839369","abstract":"BACKGROUND Tardive dyskinesia is a chronic adverse effect of anti psychotic drugs, where association with a polymorphic site in the dopamine D3 receptor gene has been previously reported. Cytochrome P 450 17alpha-hydroxylase activity has been implicated with modulation of central dopamine release as well as neuroprotection. We investigated the association of a T --&gt;C variation in the cytochrome P 450 17alpha-hydroxylase gene with tardive dyskinesia in patients with chronic schizophrenia. METHODS Cytochrome P 450 17 allele and genotype frequencies were compared between matched schizophrenia patients with (n = 55) or without tardive dyskinesia (n = 58). Interactive effects of cytochrome P 450 17alpha-hydroxylase with the dopamine D3 Ser9Gly polymorphism on abnormal involuntary movements were examined. RESULTS There was no difference in cytochrome P 450 17alpha-hydroxylase genotype distribution between patients with and without tardive dyskinesia; however, patients carrying the cytochrome P 450 17alpha-hydroxylase A2-A2 genotype and the dopamine D3gly allele had the highest orofacial (p &lt;.04), distal (p &lt;.05), and incapacitation (p &lt;.04) scores on the Abnormal Involuntary Movements Scale. CONCLUSIONS Schizophrenia patients who carry the dopamine D3gly allele and the cytochrome P 450 17alpha-hydroxylase A2-A2 genotype may be more likely to develop abnormal orofoacial and distal involuntary movements and to be incapacitated by these movements when chronically exposed to classical antipsychotic drugs.","author":[{"dropping-particle":"","family":"Segman","given":"Ronnen H","non-dropping-particle":"","parse-names":false,"suffix":""},{"dropping-particle":"","family":"Heresco-Levy","given":"Uriel","non-dropping-particle":"","parse-names":false,"suffix":""},{"dropping-particle":"","family":"Yakir","given":"Avi","non-dropping-particle":"","parse-names":false,"suffix":""},{"dropping-particle":"","family":"Goltser","given":"Tanya","non-dropping-particle":"","parse-names":false,"suffix":""},{"dropping-particle":"","family":"Strous","given":"Rael","non-dropping-particle":"","parse-names":false,"suffix":""},{"dropping-particle":"","family":"Greenberg","given":"David A","non-dropping-particle":"","parse-names":false,"suffix":""},{"dropping-particle":"","family":"Lerer","given":"Bernard","non-dropping-particle":"","parse-names":false,"suffix":""}],"container-title":"Biological psychiatry","id":"ITEM-1","issue":"3","issued":{"date-parts":[["2002","2","1"]]},"page":"261-3","publisher":"Biol Psychiatry","title":"Interactive effect of cytochrome P450 17alpha-hydroxylase and dopamine D3 receptor gene polymorphisms on abnormal involuntary movements in chronic schizophrenia.","type":"article-journal","volume":"51"},"uris":["http://www.mendeley.com/documents/?uuid=67883f02-112c-31f5-adf3-64e112b09c47"]}],"mendeley":{"formattedCitation":"(Segman et al. 2002a)","plainTextFormattedCitation":"(Segman et al. 2002a)","previouslyFormattedCitation":"(Segman et al. 2002a)"},"properties":{"noteIndex":0},"schema":"https://github.com/citation-style-language/schema/raw/master/csl-citation.json"}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(Segman et al. 2002a)</w:t>
            </w:r>
            <w:r>
              <w:rPr>
                <w:rFonts w:ascii="Palatino Linotype" w:hAnsi="Palatino Linotype" w:cstheme="minorHAnsi"/>
                <w:sz w:val="18"/>
                <w:szCs w:val="18"/>
              </w:rPr>
              <w:fldChar w:fldCharType="end"/>
            </w:r>
          </w:p>
        </w:tc>
      </w:tr>
      <w:tr w:rsidR="0082167D" w:rsidRPr="00EA57B8" w14:paraId="55615CEB" w14:textId="77777777" w:rsidTr="0031439E">
        <w:tc>
          <w:tcPr>
            <w:tcW w:w="1094" w:type="dxa"/>
          </w:tcPr>
          <w:p w14:paraId="08DB8D3F" w14:textId="27B62C60" w:rsidR="0082167D" w:rsidRPr="000F3F98" w:rsidRDefault="001F4DFC" w:rsidP="001F4DFC">
            <w:pPr>
              <w:rPr>
                <w:rFonts w:ascii="Palatino Linotype" w:hAnsi="Palatino Linotype" w:cstheme="minorHAnsi"/>
                <w:i/>
                <w:iCs/>
                <w:sz w:val="18"/>
                <w:szCs w:val="18"/>
              </w:rPr>
            </w:pPr>
            <w:r w:rsidRPr="001F4DFC">
              <w:rPr>
                <w:rFonts w:ascii="Palatino Linotype" w:hAnsi="Palatino Linotype" w:cstheme="minorHAnsi"/>
                <w:i/>
                <w:iCs/>
                <w:sz w:val="18"/>
                <w:szCs w:val="18"/>
              </w:rPr>
              <w:t>DRD2</w:t>
            </w:r>
            <w:r>
              <w:rPr>
                <w:rFonts w:ascii="Palatino Linotype" w:hAnsi="Palatino Linotype" w:cstheme="minorHAnsi"/>
                <w:i/>
                <w:iCs/>
                <w:sz w:val="18"/>
                <w:szCs w:val="18"/>
              </w:rPr>
              <w:t xml:space="preserve">, </w:t>
            </w:r>
            <w:r w:rsidRPr="001F4DFC">
              <w:rPr>
                <w:rFonts w:ascii="Palatino Linotype" w:hAnsi="Palatino Linotype" w:cstheme="minorHAnsi"/>
                <w:i/>
                <w:iCs/>
                <w:sz w:val="18"/>
                <w:szCs w:val="18"/>
              </w:rPr>
              <w:t>DRD4</w:t>
            </w:r>
            <w:r w:rsidR="00602DA1">
              <w:rPr>
                <w:rFonts w:ascii="Palatino Linotype" w:hAnsi="Palatino Linotype" w:cstheme="minorHAnsi"/>
                <w:i/>
                <w:iCs/>
                <w:sz w:val="18"/>
                <w:szCs w:val="18"/>
              </w:rPr>
              <w:t xml:space="preserve">, HTR6, </w:t>
            </w:r>
            <w:r w:rsidR="0043517A">
              <w:rPr>
                <w:rFonts w:ascii="Palatino Linotype" w:hAnsi="Palatino Linotype" w:cstheme="minorHAnsi"/>
                <w:i/>
                <w:iCs/>
                <w:sz w:val="18"/>
                <w:szCs w:val="18"/>
              </w:rPr>
              <w:t xml:space="preserve">SLC6A3, </w:t>
            </w:r>
            <w:r w:rsidR="00602DA1" w:rsidRPr="00602DA1">
              <w:rPr>
                <w:rFonts w:ascii="Palatino Linotype" w:hAnsi="Palatino Linotype" w:cstheme="minorHAnsi"/>
                <w:i/>
                <w:iCs/>
                <w:sz w:val="18"/>
                <w:szCs w:val="18"/>
              </w:rPr>
              <w:lastRenderedPageBreak/>
              <w:t>SLC6A4</w:t>
            </w:r>
            <w:r w:rsidR="00602DA1">
              <w:rPr>
                <w:rFonts w:ascii="Palatino Linotype" w:hAnsi="Palatino Linotype" w:cstheme="minorHAnsi"/>
                <w:i/>
                <w:iCs/>
                <w:sz w:val="18"/>
                <w:szCs w:val="18"/>
              </w:rPr>
              <w:t xml:space="preserve">, </w:t>
            </w:r>
            <w:r w:rsidR="00602DA1" w:rsidRPr="00602DA1">
              <w:rPr>
                <w:rFonts w:ascii="Palatino Linotype" w:hAnsi="Palatino Linotype" w:cstheme="minorHAnsi"/>
                <w:i/>
                <w:iCs/>
                <w:sz w:val="18"/>
                <w:szCs w:val="18"/>
              </w:rPr>
              <w:t>TPH</w:t>
            </w:r>
          </w:p>
        </w:tc>
        <w:tc>
          <w:tcPr>
            <w:tcW w:w="1080" w:type="dxa"/>
          </w:tcPr>
          <w:p w14:paraId="2D5DD270" w14:textId="66EBC5BA" w:rsidR="00F91CDF" w:rsidRPr="00F91CDF" w:rsidRDefault="00F91CDF" w:rsidP="00F91CDF">
            <w:pPr>
              <w:rPr>
                <w:rFonts w:ascii="Palatino Linotype" w:hAnsi="Palatino Linotype" w:cstheme="minorHAnsi"/>
                <w:sz w:val="18"/>
                <w:szCs w:val="18"/>
              </w:rPr>
            </w:pPr>
            <w:r>
              <w:rPr>
                <w:rFonts w:ascii="Palatino Linotype" w:hAnsi="Palatino Linotype" w:cstheme="minorHAnsi"/>
                <w:sz w:val="18"/>
                <w:szCs w:val="18"/>
              </w:rPr>
              <w:lastRenderedPageBreak/>
              <w:t>r</w:t>
            </w:r>
            <w:r w:rsidR="002C727E">
              <w:rPr>
                <w:rFonts w:ascii="Palatino Linotype" w:hAnsi="Palatino Linotype" w:cstheme="minorHAnsi"/>
                <w:sz w:val="18"/>
                <w:szCs w:val="18"/>
              </w:rPr>
              <w:t>s</w:t>
            </w:r>
            <w:r>
              <w:rPr>
                <w:rFonts w:ascii="Palatino Linotype" w:hAnsi="Palatino Linotype" w:cstheme="minorHAnsi"/>
                <w:sz w:val="18"/>
                <w:szCs w:val="18"/>
              </w:rPr>
              <w:t xml:space="preserve">1800497, rs1799732, rs1801028 (DRD2), </w:t>
            </w:r>
            <w:r w:rsidRPr="00F91CDF">
              <w:rPr>
                <w:rFonts w:ascii="Palatino Linotype" w:hAnsi="Palatino Linotype" w:cstheme="minorHAnsi"/>
                <w:sz w:val="18"/>
                <w:szCs w:val="18"/>
              </w:rPr>
              <w:t xml:space="preserve">40 bp </w:t>
            </w:r>
            <w:r>
              <w:rPr>
                <w:rFonts w:ascii="Palatino Linotype" w:hAnsi="Palatino Linotype" w:cstheme="minorHAnsi"/>
                <w:sz w:val="18"/>
                <w:szCs w:val="18"/>
              </w:rPr>
              <w:lastRenderedPageBreak/>
              <w:t>VNTR,</w:t>
            </w:r>
            <w:r w:rsidRPr="00F91CDF">
              <w:rPr>
                <w:rFonts w:ascii="Palatino Linotype" w:hAnsi="Palatino Linotype" w:cstheme="minorHAnsi"/>
                <w:sz w:val="18"/>
                <w:szCs w:val="18"/>
              </w:rPr>
              <w:t xml:space="preserve"> a G2319A</w:t>
            </w:r>
          </w:p>
          <w:p w14:paraId="0398EBB1" w14:textId="4F97B966" w:rsidR="00F91CDF" w:rsidRPr="00F91CDF" w:rsidRDefault="00F91CDF" w:rsidP="00F91CDF">
            <w:pPr>
              <w:rPr>
                <w:rFonts w:ascii="Palatino Linotype" w:hAnsi="Palatino Linotype" w:cstheme="minorHAnsi"/>
                <w:sz w:val="18"/>
                <w:szCs w:val="18"/>
              </w:rPr>
            </w:pPr>
            <w:r w:rsidRPr="00F91CDF">
              <w:rPr>
                <w:rFonts w:ascii="Palatino Linotype" w:hAnsi="Palatino Linotype" w:cstheme="minorHAnsi"/>
                <w:sz w:val="18"/>
                <w:szCs w:val="18"/>
              </w:rPr>
              <w:t>transversion</w:t>
            </w:r>
            <w:r>
              <w:rPr>
                <w:rFonts w:ascii="Palatino Linotype" w:hAnsi="Palatino Linotype" w:cstheme="minorHAnsi"/>
                <w:sz w:val="18"/>
                <w:szCs w:val="18"/>
              </w:rPr>
              <w:t xml:space="preserve"> (</w:t>
            </w:r>
            <w:r w:rsidR="0043517A">
              <w:rPr>
                <w:rFonts w:ascii="Palatino Linotype" w:hAnsi="Palatino Linotype" w:cstheme="minorHAnsi"/>
                <w:sz w:val="18"/>
                <w:szCs w:val="18"/>
              </w:rPr>
              <w:t>SLC6A3</w:t>
            </w:r>
            <w:r>
              <w:rPr>
                <w:rFonts w:ascii="Palatino Linotype" w:hAnsi="Palatino Linotype" w:cstheme="minorHAnsi"/>
                <w:sz w:val="18"/>
                <w:szCs w:val="18"/>
              </w:rPr>
              <w:t xml:space="preserve">), </w:t>
            </w:r>
            <w:r w:rsidRPr="00F91CDF">
              <w:rPr>
                <w:rFonts w:ascii="Palatino Linotype" w:hAnsi="Palatino Linotype" w:cstheme="minorHAnsi"/>
                <w:sz w:val="18"/>
                <w:szCs w:val="18"/>
              </w:rPr>
              <w:t>120 bp repeat located 1.2 kb upstream</w:t>
            </w:r>
          </w:p>
          <w:p w14:paraId="69C65C3C" w14:textId="7A6BC07C" w:rsidR="0082167D" w:rsidRPr="006A1E5F" w:rsidRDefault="00F91CDF" w:rsidP="00602DA1">
            <w:pPr>
              <w:rPr>
                <w:rFonts w:ascii="Palatino Linotype" w:hAnsi="Palatino Linotype" w:cstheme="minorHAnsi"/>
                <w:sz w:val="18"/>
                <w:szCs w:val="18"/>
              </w:rPr>
            </w:pPr>
            <w:r w:rsidRPr="00F91CDF">
              <w:rPr>
                <w:rFonts w:ascii="Palatino Linotype" w:hAnsi="Palatino Linotype" w:cstheme="minorHAnsi"/>
                <w:sz w:val="18"/>
                <w:szCs w:val="18"/>
              </w:rPr>
              <w:t>of the initiation codon,</w:t>
            </w:r>
            <w:r>
              <w:rPr>
                <w:rFonts w:ascii="Palatino Linotype" w:hAnsi="Palatino Linotype" w:cstheme="minorHAnsi"/>
                <w:sz w:val="18"/>
                <w:szCs w:val="18"/>
              </w:rPr>
              <w:t xml:space="preserve"> </w:t>
            </w:r>
            <w:r w:rsidRPr="00F91CDF">
              <w:rPr>
                <w:rFonts w:ascii="Palatino Linotype" w:hAnsi="Palatino Linotype" w:cstheme="minorHAnsi"/>
                <w:sz w:val="18"/>
                <w:szCs w:val="18"/>
              </w:rPr>
              <w:t>48 bp</w:t>
            </w:r>
            <w:r>
              <w:rPr>
                <w:rFonts w:ascii="Palatino Linotype" w:hAnsi="Palatino Linotype" w:cstheme="minorHAnsi"/>
                <w:sz w:val="18"/>
                <w:szCs w:val="18"/>
              </w:rPr>
              <w:t xml:space="preserve"> VNTR in </w:t>
            </w:r>
            <w:r w:rsidRPr="00F91CDF">
              <w:rPr>
                <w:rFonts w:ascii="Palatino Linotype" w:hAnsi="Palatino Linotype" w:cstheme="minorHAnsi"/>
                <w:sz w:val="18"/>
                <w:szCs w:val="18"/>
              </w:rPr>
              <w:t xml:space="preserve">exon 3 </w:t>
            </w:r>
            <w:r>
              <w:rPr>
                <w:rFonts w:ascii="Palatino Linotype" w:hAnsi="Palatino Linotype" w:cstheme="minorHAnsi"/>
                <w:sz w:val="18"/>
                <w:szCs w:val="18"/>
              </w:rPr>
              <w:t>(DRD4)</w:t>
            </w:r>
            <w:r w:rsidR="00602DA1">
              <w:rPr>
                <w:rFonts w:ascii="Palatino Linotype" w:hAnsi="Palatino Linotype" w:cstheme="minorHAnsi"/>
                <w:sz w:val="18"/>
                <w:szCs w:val="18"/>
              </w:rPr>
              <w:t xml:space="preserve">, </w:t>
            </w:r>
            <w:r w:rsidR="00602DA1" w:rsidRPr="00602DA1">
              <w:rPr>
                <w:rFonts w:ascii="Palatino Linotype" w:hAnsi="Palatino Linotype" w:cstheme="minorHAnsi"/>
                <w:sz w:val="18"/>
                <w:szCs w:val="18"/>
              </w:rPr>
              <w:t>-</w:t>
            </w:r>
            <w:r w:rsidR="00602DA1">
              <w:t xml:space="preserve"> </w:t>
            </w:r>
            <w:r w:rsidR="00602DA1" w:rsidRPr="00602DA1">
              <w:rPr>
                <w:rFonts w:ascii="Palatino Linotype" w:hAnsi="Palatino Linotype" w:cstheme="minorHAnsi"/>
                <w:sz w:val="18"/>
                <w:szCs w:val="18"/>
              </w:rPr>
              <w:t>rs1805054</w:t>
            </w:r>
            <w:r w:rsidR="00602DA1">
              <w:rPr>
                <w:rFonts w:ascii="Palatino Linotype" w:hAnsi="Palatino Linotype" w:cstheme="minorHAnsi"/>
                <w:sz w:val="18"/>
                <w:szCs w:val="18"/>
              </w:rPr>
              <w:t>, (</w:t>
            </w:r>
            <w:r w:rsidR="00602DA1" w:rsidRPr="00602DA1">
              <w:rPr>
                <w:rFonts w:ascii="Palatino Linotype" w:hAnsi="Palatino Linotype" w:cstheme="minorHAnsi"/>
                <w:sz w:val="18"/>
                <w:szCs w:val="18"/>
              </w:rPr>
              <w:t>HT</w:t>
            </w:r>
            <w:r w:rsidR="00602DA1">
              <w:rPr>
                <w:rFonts w:ascii="Palatino Linotype" w:hAnsi="Palatino Linotype" w:cstheme="minorHAnsi"/>
                <w:sz w:val="18"/>
                <w:szCs w:val="18"/>
              </w:rPr>
              <w:t>R</w:t>
            </w:r>
            <w:r w:rsidR="00602DA1" w:rsidRPr="00602DA1">
              <w:rPr>
                <w:rFonts w:ascii="Palatino Linotype" w:hAnsi="Palatino Linotype" w:cstheme="minorHAnsi"/>
                <w:sz w:val="18"/>
                <w:szCs w:val="18"/>
              </w:rPr>
              <w:t>6</w:t>
            </w:r>
            <w:r w:rsidR="00602DA1">
              <w:rPr>
                <w:rFonts w:ascii="Palatino Linotype" w:hAnsi="Palatino Linotype" w:cstheme="minorHAnsi"/>
                <w:sz w:val="18"/>
                <w:szCs w:val="18"/>
              </w:rPr>
              <w:t>)</w:t>
            </w:r>
            <w:r w:rsidR="00602DA1" w:rsidRPr="00602DA1">
              <w:rPr>
                <w:rFonts w:ascii="Palatino Linotype" w:hAnsi="Palatino Linotype" w:cstheme="minorHAnsi"/>
                <w:sz w:val="18"/>
                <w:szCs w:val="18"/>
              </w:rPr>
              <w:t>,</w:t>
            </w:r>
            <w:r w:rsidR="00602DA1">
              <w:rPr>
                <w:rFonts w:ascii="Palatino Linotype" w:hAnsi="Palatino Linotype" w:cstheme="minorHAnsi"/>
                <w:sz w:val="18"/>
                <w:szCs w:val="18"/>
              </w:rPr>
              <w:t xml:space="preserve"> </w:t>
            </w:r>
            <w:r w:rsidR="00602DA1" w:rsidRPr="00602DA1">
              <w:rPr>
                <w:rFonts w:ascii="Palatino Linotype" w:hAnsi="Palatino Linotype" w:cstheme="minorHAnsi"/>
                <w:sz w:val="18"/>
                <w:szCs w:val="18"/>
              </w:rPr>
              <w:t xml:space="preserve">5-HTTLPR and rs1800532 </w:t>
            </w:r>
            <w:r w:rsidR="00602DA1">
              <w:rPr>
                <w:rFonts w:ascii="Palatino Linotype" w:hAnsi="Palatino Linotype" w:cstheme="minorHAnsi"/>
                <w:sz w:val="18"/>
                <w:szCs w:val="18"/>
              </w:rPr>
              <w:t>(</w:t>
            </w:r>
            <w:r w:rsidR="00602DA1" w:rsidRPr="00602DA1">
              <w:rPr>
                <w:rFonts w:ascii="Palatino Linotype" w:hAnsi="Palatino Linotype" w:cstheme="minorHAnsi"/>
                <w:sz w:val="18"/>
                <w:szCs w:val="18"/>
              </w:rPr>
              <w:t>TPH</w:t>
            </w:r>
            <w:r w:rsidR="00602DA1">
              <w:rPr>
                <w:rFonts w:ascii="Palatino Linotype" w:hAnsi="Palatino Linotype" w:cstheme="minorHAnsi"/>
                <w:sz w:val="18"/>
                <w:szCs w:val="18"/>
              </w:rPr>
              <w:t>)</w:t>
            </w:r>
          </w:p>
        </w:tc>
        <w:tc>
          <w:tcPr>
            <w:tcW w:w="1080" w:type="dxa"/>
          </w:tcPr>
          <w:p w14:paraId="79CD6C65" w14:textId="1239AC5F" w:rsidR="0082167D" w:rsidRPr="006A1E5F" w:rsidRDefault="00B40B19" w:rsidP="0031439E">
            <w:pPr>
              <w:rPr>
                <w:rFonts w:ascii="Palatino Linotype" w:hAnsi="Palatino Linotype" w:cstheme="minorHAnsi"/>
                <w:sz w:val="18"/>
                <w:szCs w:val="18"/>
              </w:rPr>
            </w:pPr>
            <w:r>
              <w:rPr>
                <w:rFonts w:ascii="Palatino Linotype" w:hAnsi="Palatino Linotype" w:cstheme="minorHAnsi"/>
                <w:sz w:val="18"/>
                <w:szCs w:val="18"/>
              </w:rPr>
              <w:lastRenderedPageBreak/>
              <w:t>FGA</w:t>
            </w:r>
            <w:r w:rsidR="00F23E17">
              <w:rPr>
                <w:rFonts w:ascii="Palatino Linotype" w:hAnsi="Palatino Linotype" w:cstheme="minorHAnsi"/>
                <w:sz w:val="18"/>
                <w:szCs w:val="18"/>
              </w:rPr>
              <w:t>s</w:t>
            </w:r>
          </w:p>
        </w:tc>
        <w:tc>
          <w:tcPr>
            <w:tcW w:w="1170" w:type="dxa"/>
          </w:tcPr>
          <w:p w14:paraId="58C44F88" w14:textId="5ABA4BEC" w:rsidR="0082167D" w:rsidRPr="006A1E5F" w:rsidRDefault="00993EEF" w:rsidP="0031439E">
            <w:pPr>
              <w:rPr>
                <w:rFonts w:ascii="Palatino Linotype" w:hAnsi="Palatino Linotype" w:cstheme="minorHAnsi"/>
                <w:sz w:val="18"/>
                <w:szCs w:val="18"/>
              </w:rPr>
            </w:pPr>
            <w:r>
              <w:rPr>
                <w:rFonts w:ascii="Palatino Linotype" w:hAnsi="Palatino Linotype" w:cstheme="minorHAnsi"/>
                <w:sz w:val="18"/>
                <w:szCs w:val="18"/>
              </w:rPr>
              <w:t>122 (59 with TD)</w:t>
            </w:r>
          </w:p>
        </w:tc>
        <w:tc>
          <w:tcPr>
            <w:tcW w:w="1350" w:type="dxa"/>
          </w:tcPr>
          <w:p w14:paraId="7E2C0385" w14:textId="34E71B16" w:rsidR="0082167D" w:rsidRPr="006A1E5F" w:rsidRDefault="00993EEF" w:rsidP="0031439E">
            <w:pPr>
              <w:rPr>
                <w:rFonts w:ascii="Palatino Linotype" w:hAnsi="Palatino Linotype" w:cstheme="minorHAnsi"/>
                <w:sz w:val="18"/>
                <w:szCs w:val="18"/>
              </w:rPr>
            </w:pPr>
            <w:r w:rsidRPr="00924ABD">
              <w:rPr>
                <w:rFonts w:ascii="Palatino Linotype" w:hAnsi="Palatino Linotype" w:cstheme="minorHAnsi"/>
                <w:sz w:val="18"/>
                <w:szCs w:val="18"/>
              </w:rPr>
              <w:t>Ashkenazi and non-Ashkenazi</w:t>
            </w:r>
          </w:p>
        </w:tc>
        <w:tc>
          <w:tcPr>
            <w:tcW w:w="1260" w:type="dxa"/>
          </w:tcPr>
          <w:p w14:paraId="799013D4" w14:textId="71381A77" w:rsidR="0082167D" w:rsidRPr="006A1E5F" w:rsidRDefault="00993EEF" w:rsidP="00993EEF">
            <w:pPr>
              <w:rPr>
                <w:rFonts w:ascii="Palatino Linotype" w:hAnsi="Palatino Linotype" w:cstheme="minorHAnsi"/>
                <w:sz w:val="18"/>
                <w:szCs w:val="18"/>
              </w:rPr>
            </w:pPr>
            <w:r w:rsidRPr="00993EEF">
              <w:rPr>
                <w:rFonts w:ascii="Palatino Linotype" w:hAnsi="Palatino Linotype" w:cstheme="minorHAnsi"/>
                <w:sz w:val="18"/>
                <w:szCs w:val="18"/>
              </w:rPr>
              <w:t>schizophrenia</w:t>
            </w:r>
          </w:p>
        </w:tc>
        <w:tc>
          <w:tcPr>
            <w:tcW w:w="1170" w:type="dxa"/>
          </w:tcPr>
          <w:p w14:paraId="27559870" w14:textId="113E4783" w:rsidR="0082167D" w:rsidRPr="006A1E5F" w:rsidRDefault="00993EEF" w:rsidP="0031439E">
            <w:pPr>
              <w:rPr>
                <w:rFonts w:ascii="Palatino Linotype" w:hAnsi="Palatino Linotype" w:cstheme="minorHAnsi"/>
                <w:sz w:val="18"/>
                <w:szCs w:val="18"/>
              </w:rPr>
            </w:pPr>
            <w:r w:rsidRPr="00993EEF">
              <w:rPr>
                <w:rFonts w:ascii="Palatino Linotype" w:hAnsi="Palatino Linotype" w:cstheme="minorHAnsi"/>
                <w:sz w:val="18"/>
                <w:szCs w:val="18"/>
              </w:rPr>
              <w:t>DSM-IV</w:t>
            </w:r>
          </w:p>
        </w:tc>
        <w:tc>
          <w:tcPr>
            <w:tcW w:w="1170" w:type="dxa"/>
          </w:tcPr>
          <w:p w14:paraId="19C5D43C" w14:textId="4D30D3F4" w:rsidR="0082167D" w:rsidRPr="006A1E5F" w:rsidRDefault="00993EEF"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350" w:type="dxa"/>
          </w:tcPr>
          <w:p w14:paraId="556BC994" w14:textId="52ECF43D" w:rsidR="0082167D" w:rsidRPr="006A1E5F" w:rsidRDefault="00CF7BA7" w:rsidP="0031439E">
            <w:pPr>
              <w:rPr>
                <w:rFonts w:ascii="Palatino Linotype" w:hAnsi="Palatino Linotype" w:cstheme="minorHAnsi"/>
                <w:sz w:val="18"/>
                <w:szCs w:val="18"/>
              </w:rPr>
            </w:pPr>
            <w:r>
              <w:rPr>
                <w:rFonts w:ascii="Palatino Linotype" w:hAnsi="Palatino Linotype" w:cstheme="minorHAnsi"/>
                <w:sz w:val="18"/>
                <w:szCs w:val="18"/>
              </w:rPr>
              <w:t>PCR-RFLP</w:t>
            </w:r>
          </w:p>
        </w:tc>
        <w:tc>
          <w:tcPr>
            <w:tcW w:w="2507" w:type="dxa"/>
          </w:tcPr>
          <w:p w14:paraId="23210D0E" w14:textId="724BB641" w:rsidR="0082167D" w:rsidRPr="006A1E5F" w:rsidRDefault="004A3005"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45FEA734" w14:textId="26DB324A" w:rsidR="0082167D" w:rsidRPr="006A1E5F" w:rsidRDefault="0082167D"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{"citationItems":[{"id":"ITEM-1","itemData":{"DOI":"10.1038/sj.tpj.6500194","ISSN":"1470-269X","PMID":"14583797","abstract":"Tardive dyskinesia (TD) is a long-term adverse effect of antipsychotic drugs that are dopamine D2 receptor blockers. Serotonin receptor antagonism has been proposed as a common mechanism contributing to the low extrapyramidal side effect profile of atypical antipsychotic drugs. We evaluated candidate dopamine and serotonin genes for association with drug-induced TD. We examined three polymorphisms in the dopamine D2 receptor gene (DRD2), two sites in the 3' region of the dopamine transporter (DAT) gene, two sites in the promoter and coding region of the dopamine D4 (DRD4) receptor gene, as well as polymorphic sites in the serotonin 6 receptor gene, the serotonin transporter gene and the tryptophan hydroxylase gene, for association with TD susceptibility. Schizophrenic patients with (n=59) and without TD (n=63), matched for antipsychotic drug exposure and other relevant variables, were studied. No significant associations were found. Within the limitations imposed by the size of the clinical sample, these findings suggest that the above polymorphic loci do not contribute significantly to risk for TD. Further examination of loci that yielded positive results at a trend level and investigation of other candidate genetic loci coding for antipsychotic drug targets is warranted.","author":[{"dropping-particle":"","family":"Segman","given":"R H","non-dropping-particle":"","parse-names":false,"suffix":""},{"dropping-particle":"","family":"Goltser","given":"T","non-dropping-particle":"","parse-names":false,"suffix":""},{"dropping-particle":"","family":"Heresco-Levy","given":"U","non-dropping-particle":"","parse-names":false,"suffix":""},{"dropping-particle":"","family":"Finkel","given":"B","non-dropping-particle":"","parse-names":false,"suffix":""},{"dropping-particle":"","family":"Shalem","given":"R","non-dropping-particle":"","parse-names":false,"suffix":""},{"dropping-particle":"","family":"Schlafman","given":"M","non-dropping-particle":"","parse-names":false,"suffix":""},{"dropping-particle":"","family":"Yakir","given":"A","non-dropping-particle":"","parse-names":false,"suffix":""},{"dropping-particle":"","family":"Greenberg","given":"D","non-dropping-particle":"","parse-names":false,"suffix":""},{"dropping-particle":"","family":"Strous","given":"R","non-dropping-particle":"","parse-names":false,"suffix":""},{"dropping-particle":"","family":"Lerner","given":"A","non-dropping-particle":"","parse-names":false,"suffix":""},{"dropping-particle":"","family":"Shelevoy","given":"A","non-dropping-particle":"","parse-names":false,"suffix":""},{"dropping-particle":"","family":"Lerer","given":"B","non-dropping-particle":"","parse-names":false,"suffix":""}],"container-title":"The pharmacogenomics journal","id":"ITEM-1","issue":"5","issued":{"date-parts":[["2003"]]},"page":"277-83","publisher":"Pharmacogenomics J","title":"Association of dopaminergic and serotonergic genes with tardive dyskinesia in patients with chronic schizophrenia.","type":"article-journal","volume":"3"},"uris":["http://www.mendeley.com/documents/?uuid=99d33034-f98b-3167-af78-9482af4329d6"]}],"mendeley":{"formattedCitation":"(Segman et al. 2003)","plainTextFormattedCitation":"(Segman et al. 2003)"},"properties":{"noteIndex":0},"schema":"https://github.com/citation-style-language/schema/raw/master/csl-citation.json"}</w:instrText>
            </w:r>
            <w:r>
              <w:rPr>
                <w:rFonts w:ascii="Palatino Linotype" w:hAnsi="Palatino Linotype" w:cstheme="minorHAnsi"/>
                <w:sz w:val="18"/>
                <w:szCs w:val="18"/>
              </w:rPr>
              <w:fldChar w:fldCharType="separate"/>
            </w:r>
            <w:r w:rsidRPr="0082167D">
              <w:rPr>
                <w:rFonts w:ascii="Palatino Linotype" w:hAnsi="Palatino Linotype" w:cstheme="minorHAnsi"/>
                <w:noProof/>
                <w:sz w:val="18"/>
                <w:szCs w:val="18"/>
              </w:rPr>
              <w:t>(Segman et al. 2003)</w:t>
            </w:r>
            <w:r>
              <w:rPr>
                <w:rFonts w:ascii="Palatino Linotype" w:hAnsi="Palatino Linotype" w:cstheme="minorHAnsi"/>
                <w:sz w:val="18"/>
                <w:szCs w:val="18"/>
              </w:rPr>
              <w:fldChar w:fldCharType="end"/>
            </w:r>
          </w:p>
        </w:tc>
      </w:tr>
      <w:tr w:rsidR="0031439E" w:rsidRPr="00EA57B8" w14:paraId="69FE8D5E" w14:textId="298A4D72" w:rsidTr="0031439E">
        <w:tc>
          <w:tcPr>
            <w:tcW w:w="1094" w:type="dxa"/>
          </w:tcPr>
          <w:p w14:paraId="33B2447D" w14:textId="6B8B511F"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NOS1</w:t>
            </w:r>
          </w:p>
        </w:tc>
        <w:tc>
          <w:tcPr>
            <w:tcW w:w="1080" w:type="dxa"/>
          </w:tcPr>
          <w:p w14:paraId="58FA3A30" w14:textId="5AB40739"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C/T polymorphism in exon 29</w:t>
            </w:r>
          </w:p>
        </w:tc>
        <w:tc>
          <w:tcPr>
            <w:tcW w:w="1080" w:type="dxa"/>
          </w:tcPr>
          <w:p w14:paraId="129727EB" w14:textId="4786046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41</w:t>
            </w:r>
          </w:p>
        </w:tc>
        <w:tc>
          <w:tcPr>
            <w:tcW w:w="1170" w:type="dxa"/>
          </w:tcPr>
          <w:p w14:paraId="4BE32C1A" w14:textId="7B62BB93"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Japanese</w:t>
            </w:r>
          </w:p>
        </w:tc>
        <w:tc>
          <w:tcPr>
            <w:tcW w:w="1350" w:type="dxa"/>
          </w:tcPr>
          <w:p w14:paraId="651FB118" w14:textId="15C2FB67"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0BD9C2C8" w14:textId="743361C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3C123D10" w14:textId="723AF472"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22BD5074" w14:textId="5AC09BA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53C42A1C" w14:textId="2A1FE7E1"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r w:rsidRPr="006A1E5F">
              <w:rPr>
                <w:rFonts w:ascii="Palatino Linotype" w:hAnsi="Palatino Linotype" w:cstheme="minorHAnsi"/>
                <w:i/>
                <w:iCs/>
                <w:sz w:val="18"/>
                <w:szCs w:val="18"/>
              </w:rPr>
              <w:t>Eco</w:t>
            </w:r>
            <w:r w:rsidRPr="006A1E5F">
              <w:rPr>
                <w:rFonts w:ascii="Palatino Linotype" w:hAnsi="Palatino Linotype" w:cstheme="minorHAnsi"/>
                <w:sz w:val="18"/>
                <w:szCs w:val="18"/>
              </w:rPr>
              <w:t>72I)</w:t>
            </w:r>
          </w:p>
        </w:tc>
        <w:tc>
          <w:tcPr>
            <w:tcW w:w="2507" w:type="dxa"/>
          </w:tcPr>
          <w:p w14:paraId="27906850" w14:textId="250F5B89"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No statistically significant genotypic or allele frequencies </w:t>
            </w:r>
          </w:p>
        </w:tc>
        <w:tc>
          <w:tcPr>
            <w:tcW w:w="2173" w:type="dxa"/>
          </w:tcPr>
          <w:p w14:paraId="39C9E8DA" w14:textId="114B1583"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{"citationItems":[{"id":"ITEM-1","itemData":{"DOI":"10.1385/NMM:5:2:163","ISSN":"1535-1084","PMID":"15075442","abstract":"Possible involvement of oxidative stress in the pathophysiology of tardive dyskinesia (TD) has been proposed. Long-term administration of neuroleptics alters dopaminergic turnover, yielding the increase of the formation of reactive oxygen species (ROS), which may lead to TD through neuronal toxicity as a consequence of oxidative stress. In the present study, the relationship between TD and a polymorphism of the neuronal nitric oxide synthase (NOS1) gene whose reaction product, nitric oxide (NO), is involved in oxidative stress was studied in 171 Japanese patients with schizophrenia, including 41 patients meeting TD criteria. The C/T polymorphism in exon 29 of the NOS1 gene was genotyped using polymerase chain reaction (PCR) amplification followed by restriction enzyme digestion. No significant difference in genotype frequencies was detected between subjects with and without TD (chi2 = 1.54, df = 2, p = 0.46). In addition, there was no difference in allele frequencies (chi2 = 0.42, df = 1, p = 0.51). These results suggest that the NOS1 gene polymorphism may not confer increased susceptibility to TD, although more investigations on other populations are warranted.","author":[{"dropping-particle":"","family":"Shinkai","given":"Takahiro","non-dropping-particle":"","parse-names":false,"suffix":""},{"dropping-particle":"","family":"Ohmori","given":"Osamu","non-dropping-particle":"","parse-names":false,"suffix":""},{"dropping-particle":"","family":"Matsumoto","given":"Chima","non-dropping-particle":"","parse-names":false,"suffix":""},{"dropping-particle":"","family":"Hori","given":"Hiroko","non-dropping-particle":"","parse-names":false,"suffix":""},{"dropping-particle":"","family":"Kennedy","given":"James L","non-dropping-particle":"","parse-names":false,"suffix":""},{"dropping-particle":"","family":"Nakamura","given":"Jun","non-dropping-particle":"","parse-names":false,"suffix":""}],"container-title":"Neuromolecular medicine","id":"ITEM-1","issue":"2","issued":{"date-parts":[["2004"]]},"page":"163-70","title":"Genetic association analysis of neuronal nitric oxide synthase gene polymorphism with tardive dyskinesia.","type":"article-journal","volume":"5"},"uris":["http://www.mendeley.com/documents/?uuid=e3dd94ec-4d31-318d-930f-9b48f35848a7"]}],"mendeley":{"formattedCitation":"(Shinkai et al. 2004)","plainTextFormattedCitation":"(Shinkai et al. 2004)","previouslyFormattedCitation":"(Shinkai et al. 2004)"},"properties":{"noteIndex":0},"schema":"https://github.com/citation-style-language/schema/raw/master/csl-citation.json"}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(Shinkai et al. 2004)</w:t>
            </w:r>
            <w:r w:rsidRPr="006A1E5F">
              <w:rPr>
                <w:rFonts w:ascii="Palatino Linotype" w:hAnsi="Palatino Linotype" w:cstheme="minorHAnsi"/>
                <w:sz w:val="18"/>
                <w:szCs w:val="18"/>
              </w:rPr>
              <w:fldChar w:fldCharType="end"/>
            </w:r>
          </w:p>
        </w:tc>
      </w:tr>
      <w:tr w:rsidR="0031439E" w:rsidRPr="00EA57B8" w14:paraId="24E71B17" w14:textId="11F6D641" w:rsidTr="0031439E">
        <w:tc>
          <w:tcPr>
            <w:tcW w:w="1094" w:type="dxa"/>
          </w:tcPr>
          <w:p w14:paraId="4C385D79" w14:textId="0EEC379C"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GSTP1</w:t>
            </w:r>
          </w:p>
        </w:tc>
        <w:tc>
          <w:tcPr>
            <w:tcW w:w="1080" w:type="dxa"/>
          </w:tcPr>
          <w:p w14:paraId="2966D31C" w14:textId="171E0962"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rs1695</w:t>
            </w:r>
          </w:p>
        </w:tc>
        <w:tc>
          <w:tcPr>
            <w:tcW w:w="1080" w:type="dxa"/>
          </w:tcPr>
          <w:p w14:paraId="765AA06E"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225 </w:t>
            </w:r>
          </w:p>
          <w:p w14:paraId="68BD9F14" w14:textId="77777777" w:rsidR="0031439E" w:rsidRDefault="0031439E" w:rsidP="0031439E">
            <w:pPr>
              <w:rPr>
                <w:rFonts w:ascii="Palatino Linotype" w:hAnsi="Palatino Linotype" w:cstheme="minorHAnsi"/>
                <w:sz w:val="18"/>
                <w:szCs w:val="18"/>
              </w:rPr>
            </w:pPr>
          </w:p>
        </w:tc>
        <w:tc>
          <w:tcPr>
            <w:tcW w:w="1170" w:type="dxa"/>
          </w:tcPr>
          <w:p w14:paraId="4D8CAE29" w14:textId="0DC9A622"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 and African American</w:t>
            </w:r>
          </w:p>
        </w:tc>
        <w:tc>
          <w:tcPr>
            <w:tcW w:w="1350" w:type="dxa"/>
          </w:tcPr>
          <w:p w14:paraId="29024A51" w14:textId="0BF717BC"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21562F50"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DSM-III-R </w:t>
            </w:r>
          </w:p>
          <w:p w14:paraId="57E9BCB9" w14:textId="77777777" w:rsidR="0031439E" w:rsidRPr="006A1E5F" w:rsidRDefault="0031439E" w:rsidP="0031439E">
            <w:pPr>
              <w:rPr>
                <w:rFonts w:ascii="Palatino Linotype" w:hAnsi="Palatino Linotype" w:cstheme="minorHAnsi"/>
                <w:sz w:val="18"/>
                <w:szCs w:val="18"/>
              </w:rPr>
            </w:pPr>
          </w:p>
        </w:tc>
        <w:tc>
          <w:tcPr>
            <w:tcW w:w="1170" w:type="dxa"/>
          </w:tcPr>
          <w:p w14:paraId="3CF9E0FF" w14:textId="0261C364"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59395DAB" w14:textId="7B91970F"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08CB4A75" w14:textId="1B5D2273"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allele specific assay</w:t>
            </w:r>
          </w:p>
        </w:tc>
        <w:tc>
          <w:tcPr>
            <w:tcW w:w="2507" w:type="dxa"/>
          </w:tcPr>
          <w:p w14:paraId="79F41C1A" w14:textId="5EFF53E4"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45863409" w14:textId="4E263B93"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{"citationItems":[{"id":"ITEM-1","itemData":{"DOI":"10.1016/j.neulet.2005.06.038","ISSN":"0304-3940","PMID":"16039055","abstract":"A possible role for oxidative stress in the pathophysiology of tardive dyskinesia (TD) has previously been proposed (reviewed in Andreassen and Jorgensen [O.A. Andreassen, H.A. Jorgensen, Neurotoxicity associated with neuroleptic-induced oral dyskinesias in rats Implications for tardive dyskinesia? Prog. Neurobiol. 61 (2000) 525-541]). Long-term administration of antipsychotics alters dopaminergic turnover, which results in increased formation of reactive oxygen species (ROS). This is hypothesized to lead to TD through neuronal toxicity as a consequence of oxidative stress. In the present study, the relationship between TD and a functional polymorphism of the gene coding for human glutathione S-transferase P1 (GSTP1), an important antioxidant enzyme involved in the detoxification of ROS, was studied in 225 chronic treatment-refractory patients with schizophrenia. An isoleucine (Ile) to valine (Val) substitution at codon 105 (Ile105Val) in the GSTP1 gene was genotyped. No significant difference in total AIMS scores was found among patients in the three genotype groups (chi(2)=1.47, d.f.=2, p=0.48). Moreover, no significant differences in genotype (chi(2)=0.05, d.f.=2, p=0.98) or allele frequencies (chi(2)=0.00, d.f.=1, p=1.00) were observed between subjects with and without TD. Our results suggest that the GSTP1 gene polymorphism does not confer increased susceptibility to TD, although further studies are warranted before a conclusion can be drawn.","author":[{"dropping-particle":"","family":"Shinkai","given":"Takahiro","non-dropping-particle":"","parse-names":false,"suffix":""},{"dropping-particle":"","family":"Luca","given":"Vincenzo","non-dropping-particle":"De","parse-names":false,"suffix":""},{"dropping-particle":"","family":"Hwang","given":"Rudi","non-dropping-particle":"","parse-names":false,"suffix":""},{"dropping-particle":"","family":"Matsumoto","given":"Chima","non-dropping-particle":"","parse-names":false,"suffix":""},{"dropping-particle":"","family":"Hori","given":"Hiroko","non-dropping-particle":"","parse-names":false,"suffix":""},{"dropping-particle":"","family":"Ohmori","given":"Osamu","non-dropping-particle":"","parse-names":false,"suffix":""},{"dropping-particle":"","family":"Remington","given":"Gary","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G","non-dropping-particle":"","parse-names":false,"suffix":""},{"dropping-particle":"","family":"Nakamura","given":"Jun","non-dropping-particle":"","parse-names":false,"suffix":""},{"dropping-particle":"","family":"Kennedy","given":"James L","non-dropping-particle":"","parse-names":false,"suffix":""}],"container-title":"Neuroscience letters","id":"ITEM-1","issue":"2","issued":{"date-parts":[["2005","11","11"]]},"page":"116-20","title":"Association study between a functional glutathione S-transferase (GSTP1) gene polymorphism (Ile105Val) and tardive dyskinesia.","type":"article-journal","volume":"388"},"uris":["http://www.mendeley.com/documents/?uuid=221bd847-b015-33b2-825f-607c6c3c178d"]}],"mendeley":{"formattedCitation":"(Shinkai et al. 2005)","plainTextFormattedCitation":"(Shinkai et al. 2005)","previouslyFormattedCitation":"(Shinkai et al. 2005)"},"properties":{"noteIndex":0},"schema":"https://github.com/citation-style-language/schema/raw/master/csl-citation.json"}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(Shinkai et al. 2005)</w:t>
            </w:r>
            <w:r w:rsidRPr="006A1E5F">
              <w:rPr>
                <w:rFonts w:ascii="Palatino Linotype" w:hAnsi="Palatino Linotype" w:cstheme="minorHAnsi"/>
                <w:sz w:val="18"/>
                <w:szCs w:val="18"/>
              </w:rPr>
              <w:fldChar w:fldCharType="end"/>
            </w:r>
          </w:p>
        </w:tc>
      </w:tr>
      <w:tr w:rsidR="0031439E" w:rsidRPr="00EA57B8" w14:paraId="7E0A76D4" w14:textId="48870E7E" w:rsidTr="0031439E">
        <w:tc>
          <w:tcPr>
            <w:tcW w:w="1094" w:type="dxa"/>
          </w:tcPr>
          <w:p w14:paraId="16CDF44F" w14:textId="0F787A8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GPX1</w:t>
            </w:r>
          </w:p>
        </w:tc>
        <w:tc>
          <w:tcPr>
            <w:tcW w:w="1080" w:type="dxa"/>
          </w:tcPr>
          <w:p w14:paraId="76222747" w14:textId="1C009862"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rs1050450</w:t>
            </w:r>
          </w:p>
        </w:tc>
        <w:tc>
          <w:tcPr>
            <w:tcW w:w="1080" w:type="dxa"/>
          </w:tcPr>
          <w:p w14:paraId="1749D1EC" w14:textId="5DE2A232"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68</w:t>
            </w:r>
          </w:p>
        </w:tc>
        <w:tc>
          <w:tcPr>
            <w:tcW w:w="1170" w:type="dxa"/>
          </w:tcPr>
          <w:p w14:paraId="0606F96B" w14:textId="5A7533A6" w:rsidR="0031439E" w:rsidRDefault="0031439E" w:rsidP="0031439E">
            <w:pPr>
              <w:rPr>
                <w:rFonts w:ascii="Palatino Linotype" w:hAnsi="Palatino Linotype"/>
                <w:sz w:val="18"/>
                <w:szCs w:val="18"/>
              </w:rPr>
            </w:pPr>
            <w:r w:rsidRPr="006A1E5F">
              <w:rPr>
                <w:rFonts w:ascii="Palatino Linotype" w:hAnsi="Palatino Linotype" w:cstheme="minorHAnsi"/>
                <w:sz w:val="18"/>
                <w:szCs w:val="18"/>
              </w:rPr>
              <w:t>Caucasian</w:t>
            </w:r>
            <w:r>
              <w:rPr>
                <w:rFonts w:ascii="Palatino Linotype" w:hAnsi="Palatino Linotype" w:cstheme="minorHAnsi"/>
                <w:sz w:val="18"/>
                <w:szCs w:val="18"/>
              </w:rPr>
              <w:t xml:space="preserve">, </w:t>
            </w:r>
            <w:r w:rsidRPr="006A1E5F">
              <w:rPr>
                <w:rFonts w:ascii="Palatino Linotype" w:hAnsi="Palatino Linotype" w:cstheme="minorHAnsi"/>
                <w:sz w:val="18"/>
                <w:szCs w:val="18"/>
              </w:rPr>
              <w:t>African American</w:t>
            </w:r>
          </w:p>
        </w:tc>
        <w:tc>
          <w:tcPr>
            <w:tcW w:w="1350" w:type="dxa"/>
          </w:tcPr>
          <w:p w14:paraId="549B3791" w14:textId="5D4B5F30" w:rsidR="0031439E" w:rsidRPr="00924ABD"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61AF8A45" w14:textId="2F8FA641"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DSM-III-R</w:t>
            </w:r>
          </w:p>
        </w:tc>
        <w:tc>
          <w:tcPr>
            <w:tcW w:w="1170" w:type="dxa"/>
          </w:tcPr>
          <w:p w14:paraId="265855AE" w14:textId="34E9E215" w:rsidR="0031439E" w:rsidRPr="003E2E6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w:t>
            </w:r>
            <w:r w:rsidRPr="006A1E5F">
              <w:rPr>
                <w:rFonts w:ascii="Palatino Linotype" w:hAnsi="Palatino Linotype" w:cstheme="minorHAnsi"/>
                <w:sz w:val="18"/>
                <w:szCs w:val="18"/>
              </w:rPr>
              <w:lastRenderedPageBreak/>
              <w:t>Kane criteria</w:t>
            </w:r>
          </w:p>
        </w:tc>
        <w:tc>
          <w:tcPr>
            <w:tcW w:w="1170" w:type="dxa"/>
          </w:tcPr>
          <w:p w14:paraId="25DBBB2C" w14:textId="0B930AA3"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lastRenderedPageBreak/>
              <w:t>FGAs</w:t>
            </w:r>
          </w:p>
        </w:tc>
        <w:tc>
          <w:tcPr>
            <w:tcW w:w="1350" w:type="dxa"/>
          </w:tcPr>
          <w:p w14:paraId="79A83AFB" w14:textId="230BBBE0"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TaqMan allele specific assay </w:t>
            </w:r>
          </w:p>
        </w:tc>
        <w:tc>
          <w:tcPr>
            <w:tcW w:w="2507" w:type="dxa"/>
          </w:tcPr>
          <w:p w14:paraId="45EBB1A2" w14:textId="14333DBF"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0043CDB8" w14:textId="0D0AD5FC"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{"citationItems":[{"id":"ITEM-1","itemData":{"DOI":"10.1016/j.psychres.2004.06.023","ISSN":"0165-1781","PMID":"16413612","abstract":"A possible involvement of oxidative stress in the pathophysiology of tardive dyskinesia (TD) has previously been proposed (reviewed in [Andreassen, O.A., Jorgensen, H.A., 2000. Neurotoxicity associated with neuroleptic-induced oral dyskinesias in rats. Implications for tardive dyskinesia? Progress in Neurobiology 61, 525-541.]). Long-term administration of neuroleptics alters dopaminergic turnover, which results in increased formation of reactive oxygen species (ROS). This is hypothesized to lead to TD through neuronal toxicity as a consequence of oxidative stress. In the present study, the relationship between TD and a possible functional polymorphism of the human glutathione peroxidase (GPX1) gene (an important antioxidant enzyme) was studied in 68 chronic treatment-refractory patients with schizophrenia. A proline (Pro) to leucine (Leu) substitution at codon 197 (Pro197Leu) in the GPX1 gene was genotyped. No significant difference in total Abnormal Involuntary Movements Scale (AIMS) scores was observed among patients in the three genotype groups. Moreover, no significant differences in genotype or allele frequencies were observed between subjects with and without TD. Our results suggest that the GPX1 gene polymorphism does not confer increased susceptibility to TD, although further studies are warranted before a conclusion can be drawn.","author":[{"dropping-particle":"","family":"Shinkai","given":"Takahiro","non-dropping-particle":"","parse-names":false,"suffix":""},{"dropping-particle":"","family":"Müller","given":"Daniel J","non-dropping-particle":"","parse-names":false,"suffix":""},{"dropping-particle":"","family":"Luca","given":"Vincenzo","non-dropping-particle":"De","parse-names":false,"suffix":""},{"dropping-particle":"","family":"Shaikh","given":"Sajid","non-dropping-particle":"","parse-names":false,"suffix":""},{"dropping-particle":"","family":"Matsumoto","given":"Chima","non-dropping-particle":"","parse-names":false,"suffix":""},{"dropping-particle":"","family":"Hwang","given":"Rudi","non-dropping-particle":"","parse-names":false,"suffix":""},{"dropping-particle":"","family":"King","given":"Nicole","non-dropping-particle":"","parse-names":false,"suffix":""},{"dropping-particle":"","family":"Trakalo","given":"Joseph","non-dropping-particle":"","parse-names":false,"suffix":""},{"dropping-particle":"","family":"Potapova","given":"Natalia","non-dropping-particle":"","parse-names":false,"suffix":""},{"dropping-particle":"","family":"Zai","given":"Gwyneth","non-dropping-particle":"","parse-names":false,"suffix":""},{"dropping-particle":"","family":"Hori","given":"Hiroko","non-dropping-particle":"","parse-names":false,"suffix":""},{"dropping-particle":"","family":"Ohmori","given":"Osamu","non-dropping-particle":"","parse-names":false,"suffix":""},{"dropping-particle":"","family":"Meltzer","given":"Herbert Y","non-dropping-particle":"","parse-names":false,"suffix":""},{"dropping-particle":"","family":"Nakamura","given":"Jun","non-dropping-particle":"","parse-names":false,"suffix":""},{"dropping-particle":"","family":"Kennedy","given":"James L","non-dropping-particle":"","parse-names":false,"suffix":""}],"container-title":"Psychiatry research","id":"ITEM-1","issue":"2","issued":{"date-parts":[["2006","2","28"]]},"page":"123-8","title":"Genetic association analysis of the glutathione peroxidase (GPX1) gene polymorphism (Pro197Leu) with tardive dyskinesia.","type":"article-journal","volume":"141"},"uris":["http://www.mendeley.com/documents/?uuid=b5f78592-4936-3966-9e5d-4244b6431baa"]}],"mendeley":{"formattedCitation":"(Shinkai et al. 2006)","plainTextFormattedCitation":"(Shinkai et al. 2006)","previouslyFormattedCitation":"(Shinkai et al. 2006)"},"properties":{"noteIndex":0},"schema":"https://github.com/citation-style-language/schema/raw/master/csl-citation.json"}</w:instrText>
            </w:r>
            <w:r w:rsidRPr="006A1E5F">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(Shinkai et al. 2006)</w:t>
            </w:r>
            <w:r w:rsidRPr="006A1E5F">
              <w:rPr>
                <w:rFonts w:ascii="Palatino Linotype" w:hAnsi="Palatino Linotype" w:cstheme="minorHAnsi"/>
                <w:b/>
                <w:sz w:val="18"/>
                <w:szCs w:val="18"/>
              </w:rPr>
              <w:fldChar w:fldCharType="end"/>
            </w:r>
          </w:p>
        </w:tc>
      </w:tr>
      <w:tr w:rsidR="0031439E" w:rsidRPr="00EA57B8" w14:paraId="736135A7" w14:textId="4437CC6F" w:rsidTr="0031439E">
        <w:tc>
          <w:tcPr>
            <w:tcW w:w="1094" w:type="dxa"/>
          </w:tcPr>
          <w:p w14:paraId="4CABA5C3" w14:textId="5B1DEC97"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 xml:space="preserve">SLC6A11, GABRG3 and    GABRB2   </w:t>
            </w:r>
          </w:p>
        </w:tc>
        <w:tc>
          <w:tcPr>
            <w:tcW w:w="1080" w:type="dxa"/>
          </w:tcPr>
          <w:p w14:paraId="7002F6A4" w14:textId="260A3D97" w:rsidR="0031439E" w:rsidRPr="00875BDC" w:rsidRDefault="0031439E" w:rsidP="0031439E">
            <w:pPr>
              <w:rPr>
                <w:rFonts w:ascii="Palatino Linotype" w:hAnsi="Palatino Linotype"/>
                <w:sz w:val="18"/>
                <w:szCs w:val="18"/>
              </w:rPr>
            </w:pPr>
            <w:r w:rsidRPr="00AF77C5">
              <w:rPr>
                <w:rFonts w:ascii="Palatino Linotype" w:hAnsi="Palatino Linotype" w:cstheme="minorHAnsi"/>
                <w:sz w:val="18"/>
                <w:szCs w:val="18"/>
              </w:rPr>
              <w:t>rs4684742</w:t>
            </w:r>
            <w:r>
              <w:rPr>
                <w:rFonts w:ascii="Palatino Linotype" w:hAnsi="Palatino Linotype" w:cstheme="minorHAnsi"/>
                <w:sz w:val="18"/>
                <w:szCs w:val="18"/>
              </w:rPr>
              <w:t xml:space="preserve"> (</w:t>
            </w:r>
            <w:r w:rsidRPr="00DD0B28">
              <w:rPr>
                <w:rFonts w:ascii="Palatino Linotype" w:hAnsi="Palatino Linotype" w:cstheme="minorHAnsi"/>
                <w:i/>
                <w:iCs/>
                <w:sz w:val="18"/>
                <w:szCs w:val="18"/>
              </w:rPr>
              <w:t>SLC6A11</w:t>
            </w:r>
            <w:r w:rsidRPr="00AF77C5">
              <w:rPr>
                <w:rFonts w:ascii="Palatino Linotype" w:hAnsi="Palatino Linotype" w:cstheme="minorHAnsi"/>
                <w:sz w:val="18"/>
                <w:szCs w:val="18"/>
              </w:rPr>
              <w:t>),</w:t>
            </w:r>
            <w:r>
              <w:rPr>
                <w:rFonts w:ascii="Palatino Linotype" w:hAnsi="Palatino Linotype" w:cstheme="minorHAnsi"/>
                <w:sz w:val="18"/>
                <w:szCs w:val="18"/>
              </w:rPr>
              <w:t xml:space="preserve"> </w:t>
            </w:r>
            <w:r w:rsidRPr="00AF77C5">
              <w:rPr>
                <w:rFonts w:ascii="Palatino Linotype" w:hAnsi="Palatino Linotype" w:cstheme="minorHAnsi"/>
                <w:sz w:val="18"/>
                <w:szCs w:val="18"/>
              </w:rPr>
              <w:t>rs2061051 (</w:t>
            </w:r>
            <w:r w:rsidRPr="00DD0B28">
              <w:rPr>
                <w:rFonts w:ascii="Palatino Linotype" w:hAnsi="Palatino Linotype" w:cstheme="minorHAnsi"/>
                <w:i/>
                <w:iCs/>
                <w:sz w:val="18"/>
                <w:szCs w:val="18"/>
              </w:rPr>
              <w:t>GABRG3</w:t>
            </w:r>
            <w:r>
              <w:rPr>
                <w:rFonts w:ascii="Palatino Linotype" w:hAnsi="Palatino Linotype" w:cstheme="minorHAnsi"/>
                <w:sz w:val="18"/>
                <w:szCs w:val="18"/>
              </w:rPr>
              <w:t xml:space="preserve">), </w:t>
            </w:r>
            <w:r w:rsidRPr="00AF77C5">
              <w:rPr>
                <w:rFonts w:ascii="Palatino Linotype" w:hAnsi="Palatino Linotype" w:cstheme="minorHAnsi"/>
                <w:sz w:val="18"/>
                <w:szCs w:val="18"/>
              </w:rPr>
              <w:t>rs918528 (</w:t>
            </w:r>
            <w:r w:rsidRPr="00DD0B28">
              <w:rPr>
                <w:rFonts w:ascii="Palatino Linotype" w:hAnsi="Palatino Linotype" w:cstheme="minorHAnsi"/>
                <w:i/>
                <w:iCs/>
                <w:sz w:val="18"/>
                <w:szCs w:val="18"/>
              </w:rPr>
              <w:t>GABRB2</w:t>
            </w:r>
            <w:r w:rsidRPr="00AF77C5">
              <w:rPr>
                <w:rFonts w:ascii="Palatino Linotype" w:hAnsi="Palatino Linotype" w:cstheme="minorHAnsi"/>
                <w:sz w:val="18"/>
                <w:szCs w:val="18"/>
              </w:rPr>
              <w:t>)</w:t>
            </w:r>
          </w:p>
        </w:tc>
        <w:tc>
          <w:tcPr>
            <w:tcW w:w="1080" w:type="dxa"/>
          </w:tcPr>
          <w:p w14:paraId="3CBCD263" w14:textId="71E9906F" w:rsidR="0031439E" w:rsidRDefault="0031439E" w:rsidP="0031439E">
            <w:pPr>
              <w:rPr>
                <w:rFonts w:ascii="Palatino Linotype" w:hAnsi="Palatino Linotype"/>
                <w:sz w:val="18"/>
                <w:szCs w:val="18"/>
              </w:rPr>
            </w:pPr>
            <w:r>
              <w:rPr>
                <w:rFonts w:ascii="Palatino Linotype" w:hAnsi="Palatino Linotype" w:cstheme="minorHAnsi"/>
                <w:sz w:val="18"/>
                <w:szCs w:val="18"/>
              </w:rPr>
              <w:t>280 (105 with TD)</w:t>
            </w:r>
          </w:p>
        </w:tc>
        <w:tc>
          <w:tcPr>
            <w:tcW w:w="1170" w:type="dxa"/>
          </w:tcPr>
          <w:p w14:paraId="32DFED84" w14:textId="2856F693" w:rsidR="0031439E" w:rsidRPr="00B04EEF" w:rsidRDefault="0031439E" w:rsidP="0031439E">
            <w:pPr>
              <w:rPr>
                <w:rFonts w:ascii="Palatino Linotype" w:hAnsi="Palatino Linotype"/>
                <w:sz w:val="18"/>
                <w:szCs w:val="18"/>
              </w:rPr>
            </w:pPr>
            <w:r>
              <w:rPr>
                <w:rFonts w:ascii="Palatino Linotype" w:hAnsi="Palatino Linotype" w:cstheme="minorHAnsi"/>
                <w:sz w:val="18"/>
                <w:szCs w:val="18"/>
              </w:rPr>
              <w:t xml:space="preserve">Korean </w:t>
            </w:r>
          </w:p>
        </w:tc>
        <w:tc>
          <w:tcPr>
            <w:tcW w:w="1350" w:type="dxa"/>
          </w:tcPr>
          <w:p w14:paraId="53A7BAB7" w14:textId="2B3E2FCF" w:rsidR="0031439E" w:rsidRDefault="0031439E" w:rsidP="0031439E">
            <w:pPr>
              <w:rPr>
                <w:rFonts w:ascii="Palatino Linotype" w:hAnsi="Palatino Linotype"/>
                <w:sz w:val="18"/>
                <w:szCs w:val="18"/>
              </w:rPr>
            </w:pPr>
            <w:r>
              <w:rPr>
                <w:rFonts w:ascii="Palatino Linotype" w:hAnsi="Palatino Linotype" w:cstheme="minorHAnsi"/>
                <w:sz w:val="18"/>
                <w:szCs w:val="18"/>
              </w:rPr>
              <w:t>Schizophrenia</w:t>
            </w:r>
          </w:p>
        </w:tc>
        <w:tc>
          <w:tcPr>
            <w:tcW w:w="1260" w:type="dxa"/>
          </w:tcPr>
          <w:p w14:paraId="64B2EF8C" w14:textId="0BBCD9D7" w:rsidR="0031439E" w:rsidRPr="00CB51F0" w:rsidRDefault="0031439E" w:rsidP="0031439E">
            <w:pPr>
              <w:rPr>
                <w:rFonts w:ascii="Palatino Linotype" w:hAnsi="Palatino Linotype"/>
                <w:sz w:val="18"/>
                <w:szCs w:val="18"/>
              </w:rPr>
            </w:pPr>
            <w:r w:rsidRPr="00256DDA">
              <w:rPr>
                <w:rFonts w:ascii="Palatino Linotype" w:hAnsi="Palatino Linotype" w:cstheme="minorHAnsi"/>
                <w:sz w:val="18"/>
                <w:szCs w:val="18"/>
              </w:rPr>
              <w:t>DSM-IV</w:t>
            </w:r>
          </w:p>
        </w:tc>
        <w:tc>
          <w:tcPr>
            <w:tcW w:w="1170" w:type="dxa"/>
          </w:tcPr>
          <w:p w14:paraId="3F9CAB5F" w14:textId="66FDC513" w:rsidR="0031439E" w:rsidRDefault="0031439E" w:rsidP="0031439E">
            <w:pPr>
              <w:rPr>
                <w:rFonts w:ascii="Palatino Linotype" w:hAnsi="Palatino Linotype"/>
                <w:sz w:val="18"/>
                <w:szCs w:val="18"/>
              </w:rPr>
            </w:pPr>
            <w:r>
              <w:rPr>
                <w:rFonts w:ascii="Palatino Linotype" w:hAnsi="Palatino Linotype" w:cstheme="minorHAnsi"/>
                <w:sz w:val="18"/>
                <w:szCs w:val="18"/>
              </w:rPr>
              <w:t xml:space="preserve">AIMS </w:t>
            </w:r>
          </w:p>
        </w:tc>
        <w:tc>
          <w:tcPr>
            <w:tcW w:w="1170" w:type="dxa"/>
          </w:tcPr>
          <w:p w14:paraId="7867295C" w14:textId="307E5E0B" w:rsidR="0031439E" w:rsidRDefault="0031439E" w:rsidP="0031439E">
            <w:pPr>
              <w:rPr>
                <w:rFonts w:ascii="Palatino Linotype" w:hAnsi="Palatino Linotype"/>
                <w:sz w:val="18"/>
                <w:szCs w:val="18"/>
              </w:rPr>
            </w:pPr>
            <w:r>
              <w:rPr>
                <w:rFonts w:ascii="Palatino Linotype" w:hAnsi="Palatino Linotype" w:cstheme="minorHAnsi"/>
                <w:sz w:val="18"/>
                <w:szCs w:val="18"/>
              </w:rPr>
              <w:t>FGAs and SGAs</w:t>
            </w:r>
          </w:p>
        </w:tc>
        <w:tc>
          <w:tcPr>
            <w:tcW w:w="1350" w:type="dxa"/>
          </w:tcPr>
          <w:p w14:paraId="28AAA410" w14:textId="7AEA944C" w:rsidR="0031439E" w:rsidRDefault="0031439E" w:rsidP="0031439E">
            <w:pPr>
              <w:rPr>
                <w:rFonts w:ascii="Palatino Linotype" w:hAnsi="Palatino Linotype" w:cstheme="minorHAnsi"/>
                <w:sz w:val="18"/>
                <w:szCs w:val="18"/>
              </w:rPr>
            </w:pPr>
            <w:r w:rsidRPr="00067C5E">
              <w:rPr>
                <w:rFonts w:ascii="Palatino Linotype" w:hAnsi="Palatino Linotype" w:cstheme="minorHAnsi"/>
                <w:sz w:val="18"/>
                <w:szCs w:val="18"/>
              </w:rPr>
              <w:t>HRM</w:t>
            </w:r>
          </w:p>
        </w:tc>
        <w:tc>
          <w:tcPr>
            <w:tcW w:w="2507" w:type="dxa"/>
          </w:tcPr>
          <w:p w14:paraId="3564B42F" w14:textId="144832AE"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Association between</w:t>
            </w:r>
            <w:r w:rsidRPr="005D6D9D">
              <w:rPr>
                <w:rFonts w:ascii="Palatino Linotype" w:hAnsi="Palatino Linotype" w:cstheme="minorHAnsi"/>
                <w:sz w:val="18"/>
                <w:szCs w:val="18"/>
              </w:rPr>
              <w:t xml:space="preserve"> </w:t>
            </w:r>
            <w:r w:rsidRPr="00A41BDD">
              <w:rPr>
                <w:rFonts w:ascii="Palatino Linotype" w:hAnsi="Palatino Linotype" w:cstheme="minorHAnsi"/>
                <w:sz w:val="18"/>
                <w:szCs w:val="18"/>
              </w:rPr>
              <w:t>rs4684742</w:t>
            </w:r>
            <w:r>
              <w:rPr>
                <w:rFonts w:ascii="Palatino Linotype" w:hAnsi="Palatino Linotype" w:cstheme="minorHAnsi"/>
                <w:sz w:val="18"/>
                <w:szCs w:val="18"/>
              </w:rPr>
              <w:t xml:space="preserve"> and TD, as well as gene-gene interactions (</w:t>
            </w:r>
            <w:r w:rsidRPr="00DD0B28">
              <w:rPr>
                <w:rFonts w:ascii="Palatino Linotype" w:hAnsi="Palatino Linotype" w:cstheme="minorHAnsi"/>
                <w:i/>
                <w:iCs/>
                <w:sz w:val="18"/>
                <w:szCs w:val="18"/>
              </w:rPr>
              <w:t>SCL6A11, GABRG3</w:t>
            </w:r>
            <w:r w:rsidRPr="005D6D9D">
              <w:rPr>
                <w:rFonts w:ascii="Palatino Linotype" w:hAnsi="Palatino Linotype" w:cstheme="minorHAnsi"/>
                <w:sz w:val="18"/>
                <w:szCs w:val="18"/>
              </w:rPr>
              <w:t xml:space="preserve"> and </w:t>
            </w:r>
            <w:r w:rsidRPr="00DD0B28">
              <w:rPr>
                <w:rFonts w:ascii="Palatino Linotype" w:hAnsi="Palatino Linotype" w:cstheme="minorHAnsi"/>
                <w:i/>
                <w:iCs/>
                <w:sz w:val="18"/>
                <w:szCs w:val="18"/>
              </w:rPr>
              <w:t>GABRB2</w:t>
            </w:r>
            <w:r>
              <w:rPr>
                <w:rFonts w:ascii="Palatino Linotype" w:hAnsi="Palatino Linotype" w:cstheme="minorHAnsi"/>
                <w:sz w:val="18"/>
                <w:szCs w:val="18"/>
              </w:rPr>
              <w:t>) and TD</w:t>
            </w:r>
          </w:p>
        </w:tc>
        <w:tc>
          <w:tcPr>
            <w:tcW w:w="2173" w:type="dxa"/>
          </w:tcPr>
          <w:p w14:paraId="2BAA87D5" w14:textId="5AFE8F2E" w:rsidR="0031439E"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{"citationItems":[{"id":"ITEM-1","itemData":{"DOI":"10.3109/08039488.2013.780260","ISSN":"1502-4725","PMID":"23795861","abstract":"BACKGROUND Gamma-aminobutyric acid (GABA) insufficiency has been reported to be related to the tardive dyskinesia (TD) susceptibility. Inada et al. (Pharmacogenet Genomics 2008;18:317-23) identified eight genes belonging to GABA receptor signaling pathway that may be involved in TD susceptibility by genome-wide screening and they replicated associations in an independent sample for polymorphisms in SLC6A11 (GABA transporter 3), GABRG3 (c-3 subunit of GABA-A receptor) and GABRB2 (β-2 subunit of GABA-A receptor). In this study, we tried to replicate their finding in a larger Korean sample and find if any of the genes was associated with the susceptibility to TD. METHODS We selected three polymorphisms in SLC6A11 (rs4684742), GABRG3 (rs2061051) and GABRB2 (rs918528) from the previous study. We carried out a case-control study (105 TD and 175 non-TD schizophrenic patients) to identify the association between the three candidate polymorphisms and susceptibility to TD and their epistatic interactions by using the multifactor dimensionality reduction (MDR) algorithm. RESULTS Among the three variants, SCL6A11 genotypes distribution showed a significant difference between the TD and non-TD patients (P = 0.049). However, GABRG3 and GABRB2 genotype distributions were not associated with TD (P = 0.268 and P = 0.976, respectively). Further, our analyses provided significant evidence for gene-gene interactions (SCL6A11, GABRG3 and GABRB2) in the development of TD. The odds ratio increased to 2.53 (CI = 1.515-4.217, P = 0.0003) when the genetic susceptibility to TD was analyzed with the three genes considered altogether through MDR approach. CONCLUSION These results suggest that GABA receptor signaling pathway was associated with the increased susceptibility to TD in Korean schizophrenic patients.","author":[{"dropping-particle":"","family":"Son","given":"Woo-Young","non-dropping-particle":"","parse-names":false,"suffix":""},{"dropping-particle":"","family":"Lee","given":"Heon-Jeong","non-dropping-particle":"","parse-names":false,"suffix":""},{"dropping-particle":"","family":"Yoon","given":"Ho-Kyoung","non-dropping-particle":"","parse-names":false,"suffix":""},{"dropping-particle":"","family":"Kang","given":"Seung-Gul","non-dropping-particle":"","parse-names":false,"suffix":""},{"dropping-particle":"","family":"Park","given":"Young-Min","non-dropping-particle":"","parse-names":false,"suffix":""},{"dropping-particle":"","family":"Yang","given":"Hee Jung","non-dropping-particle":"","parse-names":false,"suffix":""},{"dropping-particle":"","family":"Choi","given":"Jung-Eun","non-dropping-particle":"","parse-names":false,"suffix":""},{"dropping-particle":"","family":"An","given":"Hyonggin","non-dropping-particle":"","parse-names":false,"suffix":""},{"dropping-particle":"","family":"Seo","given":"Han-Kyu","non-dropping-particle":"","parse-names":false,"suffix":""},{"dropping-particle":"","family":"Kim","given":"Leen","non-dropping-particle":"","parse-names":false,"suffix":""}],"container-title":"Nordic journal of psychiatry","id":"ITEM-1","issue":"2","issued":{"date-parts":[["2014","2"]]},"page":"123-8","publisher":"Nord J Psychiatry","title":"Gaba transporter SLC6A11 gene polymorphism associated with tardive dyskinesia.","type":"article-journal","volume":"68"},"uris":["http://www.mendeley.com/documents/?uuid=730aee7f-adb6-34b7-ae6a-07c12b5568bb"]}],"mendeley":{"formattedCitation":"(Son et al. 2014)","plainTextFormattedCitation":"(Son et al. 2014)","previouslyFormattedCitation":"(Son et al. 2014)"},"properties":{"noteIndex":0},"schema":"https://github.com/citation-style-language/schema/raw/master/csl-citation.json"}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(Son et al. 2014)</w:t>
            </w:r>
            <w:r>
              <w:rPr>
                <w:rFonts w:ascii="Palatino Linotype" w:hAnsi="Palatino Linotype" w:cstheme="minorHAnsi"/>
                <w:b/>
                <w:sz w:val="18"/>
                <w:szCs w:val="18"/>
              </w:rPr>
              <w:fldChar w:fldCharType="end"/>
            </w:r>
          </w:p>
        </w:tc>
      </w:tr>
      <w:tr w:rsidR="00AF56B2" w:rsidRPr="00EA57B8" w14:paraId="59358996" w14:textId="77777777" w:rsidTr="0031439E">
        <w:tc>
          <w:tcPr>
            <w:tcW w:w="1094" w:type="dxa"/>
          </w:tcPr>
          <w:p w14:paraId="38557DD2" w14:textId="14B9ECAF" w:rsidR="00AF56B2" w:rsidRPr="000F3F98" w:rsidRDefault="00AF56B2" w:rsidP="0031439E">
            <w:pPr>
              <w:rPr>
                <w:rFonts w:ascii="Palatino Linotype" w:hAnsi="Palatino Linotype" w:cstheme="minorHAnsi"/>
                <w:i/>
                <w:iCs/>
                <w:sz w:val="18"/>
                <w:szCs w:val="18"/>
              </w:rPr>
            </w:pPr>
            <w:r>
              <w:rPr>
                <w:rFonts w:ascii="Palatino Linotype" w:hAnsi="Palatino Linotype" w:cstheme="minorHAnsi"/>
                <w:i/>
                <w:iCs/>
                <w:sz w:val="18"/>
                <w:szCs w:val="18"/>
              </w:rPr>
              <w:t>DRD1, DRD2, DRD3, DRD4, DAT, COMT</w:t>
            </w:r>
          </w:p>
        </w:tc>
        <w:tc>
          <w:tcPr>
            <w:tcW w:w="1080" w:type="dxa"/>
          </w:tcPr>
          <w:p w14:paraId="5F19C0DE" w14:textId="2F7BE0BB" w:rsidR="00AF56B2" w:rsidRPr="00AF56B2" w:rsidRDefault="00AF56B2" w:rsidP="00AF56B2">
            <w:pPr>
              <w:rPr>
                <w:rFonts w:ascii="Palatino Linotype" w:hAnsi="Palatino Linotype" w:cstheme="minorHAnsi"/>
                <w:sz w:val="18"/>
                <w:szCs w:val="18"/>
              </w:rPr>
            </w:pPr>
            <w:r w:rsidRPr="00C63AB5">
              <w:rPr>
                <w:rFonts w:ascii="Palatino Linotype" w:hAnsi="Palatino Linotype" w:cstheme="minorHAnsi"/>
                <w:sz w:val="18"/>
                <w:szCs w:val="18"/>
              </w:rPr>
              <w:t>rs5330, rs5331, rs13306309, rs686</w:t>
            </w:r>
            <w:r w:rsidR="00950792">
              <w:rPr>
                <w:rFonts w:ascii="Palatino Linotype" w:hAnsi="Palatino Linotype" w:cstheme="minorHAnsi"/>
                <w:sz w:val="18"/>
                <w:szCs w:val="18"/>
              </w:rPr>
              <w:t xml:space="preserve">, </w:t>
            </w:r>
            <w:r w:rsidR="00950792" w:rsidRPr="00950792">
              <w:rPr>
                <w:rFonts w:ascii="Palatino Linotype" w:hAnsi="Palatino Linotype" w:cstheme="minorHAnsi"/>
                <w:sz w:val="18"/>
                <w:szCs w:val="18"/>
              </w:rPr>
              <w:t>rs4532</w:t>
            </w:r>
            <w:r w:rsidR="00950792">
              <w:rPr>
                <w:rFonts w:ascii="Palatino Linotype" w:hAnsi="Palatino Linotype" w:cstheme="minorHAnsi"/>
                <w:sz w:val="18"/>
                <w:szCs w:val="18"/>
              </w:rPr>
              <w:t xml:space="preserve"> </w:t>
            </w:r>
            <w:r w:rsidRPr="004C3696">
              <w:rPr>
                <w:rFonts w:ascii="Palatino Linotype" w:hAnsi="Palatino Linotype" w:cstheme="minorHAnsi"/>
                <w:sz w:val="18"/>
                <w:szCs w:val="18"/>
              </w:rPr>
              <w:t>(DRD1)</w:t>
            </w:r>
            <w:r>
              <w:rPr>
                <w:rFonts w:ascii="Palatino Linotype" w:hAnsi="Palatino Linotype" w:cstheme="minorHAnsi"/>
                <w:sz w:val="18"/>
                <w:szCs w:val="18"/>
              </w:rPr>
              <w:t xml:space="preserve">, </w:t>
            </w:r>
            <w:r w:rsidRPr="00AF56B2">
              <w:rPr>
                <w:rFonts w:ascii="Palatino Linotype" w:hAnsi="Palatino Linotype" w:cstheme="minorHAnsi"/>
                <w:sz w:val="18"/>
                <w:szCs w:val="18"/>
              </w:rPr>
              <w:t>rs1799732</w:t>
            </w:r>
            <w:r w:rsidR="00327DFF">
              <w:rPr>
                <w:rFonts w:ascii="Palatino Linotype" w:hAnsi="Palatino Linotype" w:cstheme="minorHAnsi"/>
                <w:sz w:val="18"/>
                <w:szCs w:val="18"/>
              </w:rPr>
              <w:t>, rs17294542, rs1800497</w:t>
            </w:r>
            <w:r w:rsidR="000F6F56">
              <w:rPr>
                <w:rFonts w:ascii="Palatino Linotype" w:hAnsi="Palatino Linotype" w:cstheme="minorHAnsi"/>
                <w:sz w:val="18"/>
                <w:szCs w:val="18"/>
              </w:rPr>
              <w:t xml:space="preserve">, </w:t>
            </w:r>
            <w:r w:rsidR="000F6F56" w:rsidRPr="000F6F56">
              <w:rPr>
                <w:rFonts w:ascii="Palatino Linotype" w:hAnsi="Palatino Linotype" w:cstheme="minorHAnsi"/>
                <w:sz w:val="18"/>
                <w:szCs w:val="18"/>
              </w:rPr>
              <w:t>rs1801028</w:t>
            </w:r>
            <w:r w:rsidR="0063327A">
              <w:rPr>
                <w:rFonts w:ascii="Palatino Linotype" w:hAnsi="Palatino Linotype" w:cstheme="minorHAnsi"/>
                <w:sz w:val="18"/>
                <w:szCs w:val="18"/>
              </w:rPr>
              <w:t xml:space="preserve">, </w:t>
            </w:r>
            <w:r w:rsidR="0063327A" w:rsidRPr="0063327A">
              <w:rPr>
                <w:rFonts w:ascii="Palatino Linotype" w:hAnsi="Palatino Linotype" w:cstheme="minorHAnsi"/>
                <w:sz w:val="18"/>
                <w:szCs w:val="18"/>
              </w:rPr>
              <w:t>rs2234689</w:t>
            </w:r>
            <w:r w:rsidRPr="00AF56B2">
              <w:rPr>
                <w:rFonts w:ascii="Palatino Linotype" w:hAnsi="Palatino Linotype" w:cstheme="minorHAnsi"/>
                <w:sz w:val="18"/>
                <w:szCs w:val="18"/>
              </w:rPr>
              <w:t xml:space="preserve"> </w:t>
            </w:r>
            <w:r>
              <w:rPr>
                <w:rFonts w:ascii="Palatino Linotype" w:hAnsi="Palatino Linotype" w:cstheme="minorHAnsi"/>
                <w:sz w:val="18"/>
                <w:szCs w:val="18"/>
              </w:rPr>
              <w:t xml:space="preserve">(DRD2), </w:t>
            </w:r>
            <w:r w:rsidRPr="00AF56B2">
              <w:rPr>
                <w:rFonts w:ascii="Palatino Linotype" w:hAnsi="Palatino Linotype" w:cstheme="minorHAnsi"/>
                <w:sz w:val="18"/>
                <w:szCs w:val="18"/>
              </w:rPr>
              <w:t>rs324026</w:t>
            </w:r>
            <w:r>
              <w:rPr>
                <w:rFonts w:ascii="Palatino Linotype" w:hAnsi="Palatino Linotype" w:cstheme="minorHAnsi"/>
                <w:sz w:val="18"/>
                <w:szCs w:val="18"/>
              </w:rPr>
              <w:t xml:space="preserve">, </w:t>
            </w:r>
          </w:p>
          <w:p w14:paraId="7A08E5E7" w14:textId="22191A6D" w:rsidR="00AF56B2" w:rsidRPr="00AF56B2" w:rsidRDefault="00AF56B2" w:rsidP="00AF56B2">
            <w:pPr>
              <w:rPr>
                <w:rFonts w:ascii="Palatino Linotype" w:hAnsi="Palatino Linotype" w:cstheme="minorHAnsi"/>
                <w:sz w:val="18"/>
                <w:szCs w:val="18"/>
              </w:rPr>
            </w:pPr>
            <w:r w:rsidRPr="00AF56B2">
              <w:rPr>
                <w:rFonts w:ascii="Palatino Linotype" w:hAnsi="Palatino Linotype" w:cstheme="minorHAnsi"/>
                <w:sz w:val="18"/>
                <w:szCs w:val="18"/>
              </w:rPr>
              <w:t>rs1503670</w:t>
            </w:r>
            <w:r>
              <w:rPr>
                <w:rFonts w:ascii="Palatino Linotype" w:hAnsi="Palatino Linotype" w:cstheme="minorHAnsi"/>
                <w:sz w:val="18"/>
                <w:szCs w:val="18"/>
              </w:rPr>
              <w:t xml:space="preserve">, </w:t>
            </w:r>
          </w:p>
          <w:p w14:paraId="4268C647" w14:textId="055B76C2" w:rsidR="00AF56B2" w:rsidRPr="00AF56B2" w:rsidRDefault="00AF56B2" w:rsidP="00AF56B2">
            <w:pPr>
              <w:rPr>
                <w:rFonts w:ascii="Palatino Linotype" w:hAnsi="Palatino Linotype" w:cstheme="minorHAnsi"/>
                <w:sz w:val="18"/>
                <w:szCs w:val="18"/>
              </w:rPr>
            </w:pPr>
            <w:r w:rsidRPr="00AF56B2">
              <w:rPr>
                <w:rFonts w:ascii="Palatino Linotype" w:hAnsi="Palatino Linotype" w:cstheme="minorHAnsi"/>
                <w:sz w:val="18"/>
                <w:szCs w:val="18"/>
              </w:rPr>
              <w:t>rs905568</w:t>
            </w:r>
            <w:r>
              <w:rPr>
                <w:rFonts w:ascii="Palatino Linotype" w:hAnsi="Palatino Linotype" w:cstheme="minorHAnsi"/>
                <w:sz w:val="18"/>
                <w:szCs w:val="18"/>
              </w:rPr>
              <w:t>,</w:t>
            </w:r>
            <w:r w:rsidR="000F6F56" w:rsidRPr="000F6F56">
              <w:rPr>
                <w:rFonts w:ascii="Palatino Linotype" w:hAnsi="Palatino Linotype" w:cstheme="minorHAnsi"/>
                <w:sz w:val="18"/>
                <w:szCs w:val="18"/>
              </w:rPr>
              <w:t xml:space="preserve"> rs6280</w:t>
            </w:r>
          </w:p>
          <w:p w14:paraId="5FC19603" w14:textId="2498263D" w:rsidR="000F6F56" w:rsidRDefault="00AF56B2" w:rsidP="00AF56B2">
            <w:pPr>
              <w:rPr>
                <w:rFonts w:ascii="Palatino Linotype" w:hAnsi="Palatino Linotype" w:cstheme="minorHAnsi"/>
                <w:sz w:val="18"/>
                <w:szCs w:val="18"/>
              </w:rPr>
            </w:pPr>
            <w:r w:rsidRPr="00AF56B2">
              <w:rPr>
                <w:rFonts w:ascii="Palatino Linotype" w:hAnsi="Palatino Linotype" w:cstheme="minorHAnsi"/>
                <w:sz w:val="18"/>
                <w:szCs w:val="18"/>
              </w:rPr>
              <w:t>biallelic STR</w:t>
            </w:r>
            <w:r>
              <w:rPr>
                <w:rFonts w:ascii="Palatino Linotype" w:hAnsi="Palatino Linotype" w:cstheme="minorHAnsi"/>
                <w:sz w:val="18"/>
                <w:szCs w:val="18"/>
              </w:rPr>
              <w:t xml:space="preserve"> (DRD3), </w:t>
            </w:r>
          </w:p>
          <w:p w14:paraId="37D2C46F" w14:textId="5A19355B" w:rsidR="009073C0" w:rsidRDefault="00A6225A" w:rsidP="009073C0">
            <w:pPr>
              <w:rPr>
                <w:rFonts w:ascii="Palatino Linotype" w:hAnsi="Palatino Linotype" w:cstheme="minorHAnsi"/>
                <w:sz w:val="18"/>
                <w:szCs w:val="18"/>
              </w:rPr>
            </w:pPr>
            <w:r w:rsidRPr="00A6225A">
              <w:rPr>
                <w:rFonts w:ascii="Palatino Linotype" w:hAnsi="Palatino Linotype" w:cstheme="minorHAnsi"/>
                <w:sz w:val="18"/>
                <w:szCs w:val="18"/>
              </w:rPr>
              <w:t>rs1800955</w:t>
            </w:r>
            <w:r>
              <w:rPr>
                <w:rFonts w:ascii="Palatino Linotype" w:hAnsi="Palatino Linotype" w:cstheme="minorHAnsi"/>
                <w:sz w:val="18"/>
                <w:szCs w:val="18"/>
              </w:rPr>
              <w:t xml:space="preserve">, </w:t>
            </w:r>
            <w:r w:rsidR="00AF56B2" w:rsidRPr="00AF56B2">
              <w:rPr>
                <w:rFonts w:ascii="Palatino Linotype" w:hAnsi="Palatino Linotype" w:cstheme="minorHAnsi"/>
                <w:sz w:val="18"/>
                <w:szCs w:val="18"/>
              </w:rPr>
              <w:t>120 bp duplication</w:t>
            </w:r>
            <w:r>
              <w:rPr>
                <w:rFonts w:ascii="Palatino Linotype" w:hAnsi="Palatino Linotype" w:cstheme="minorHAnsi"/>
                <w:sz w:val="18"/>
                <w:szCs w:val="18"/>
              </w:rPr>
              <w:t>,</w:t>
            </w:r>
            <w:r w:rsidR="00AF56B2">
              <w:rPr>
                <w:rFonts w:ascii="Palatino Linotype" w:hAnsi="Palatino Linotype" w:cstheme="minorHAnsi"/>
                <w:sz w:val="18"/>
                <w:szCs w:val="18"/>
              </w:rPr>
              <w:t xml:space="preserve"> </w:t>
            </w:r>
            <w:r w:rsidRPr="00A6225A">
              <w:rPr>
                <w:rFonts w:ascii="Palatino Linotype" w:hAnsi="Palatino Linotype" w:cstheme="minorHAnsi"/>
                <w:sz w:val="18"/>
                <w:szCs w:val="18"/>
              </w:rPr>
              <w:t xml:space="preserve">48 bp VNTR in </w:t>
            </w:r>
            <w:r w:rsidRPr="00A6225A">
              <w:rPr>
                <w:rFonts w:ascii="Palatino Linotype" w:hAnsi="Palatino Linotype" w:cstheme="minorHAnsi"/>
                <w:sz w:val="18"/>
                <w:szCs w:val="18"/>
              </w:rPr>
              <w:lastRenderedPageBreak/>
              <w:t>exon 3</w:t>
            </w:r>
            <w:r w:rsidR="009073C0">
              <w:rPr>
                <w:rFonts w:ascii="Palatino Linotype" w:hAnsi="Palatino Linotype" w:cstheme="minorHAnsi"/>
                <w:sz w:val="18"/>
                <w:szCs w:val="18"/>
              </w:rPr>
              <w:t xml:space="preserve">, </w:t>
            </w:r>
            <w:r w:rsidR="009073C0" w:rsidRPr="00A6225A">
              <w:rPr>
                <w:rFonts w:ascii="Palatino Linotype" w:hAnsi="Palatino Linotype" w:cstheme="minorHAnsi"/>
                <w:sz w:val="18"/>
                <w:szCs w:val="18"/>
              </w:rPr>
              <w:t>120-bp tandem duplication</w:t>
            </w:r>
            <w:r w:rsidR="009073C0">
              <w:rPr>
                <w:rFonts w:ascii="Palatino Linotype" w:hAnsi="Palatino Linotype" w:cstheme="minorHAnsi"/>
                <w:sz w:val="18"/>
                <w:szCs w:val="18"/>
              </w:rPr>
              <w:t xml:space="preserve"> </w:t>
            </w:r>
            <w:r w:rsidR="009073C0" w:rsidRPr="00A6225A">
              <w:rPr>
                <w:rFonts w:ascii="Palatino Linotype" w:hAnsi="Palatino Linotype" w:cstheme="minorHAnsi"/>
                <w:sz w:val="18"/>
                <w:szCs w:val="18"/>
              </w:rPr>
              <w:t>1.2</w:t>
            </w:r>
            <w:r w:rsidR="009073C0">
              <w:rPr>
                <w:rFonts w:ascii="Palatino Linotype" w:hAnsi="Palatino Linotype" w:cstheme="minorHAnsi"/>
                <w:sz w:val="18"/>
                <w:szCs w:val="18"/>
              </w:rPr>
              <w:t xml:space="preserve"> </w:t>
            </w:r>
            <w:r w:rsidR="009073C0" w:rsidRPr="00A6225A">
              <w:rPr>
                <w:rFonts w:ascii="Palatino Linotype" w:hAnsi="Palatino Linotype" w:cstheme="minorHAnsi"/>
                <w:sz w:val="18"/>
                <w:szCs w:val="18"/>
              </w:rPr>
              <w:t xml:space="preserve">kb upstream from initiation codon </w:t>
            </w:r>
          </w:p>
          <w:p w14:paraId="42C8BDC0" w14:textId="675AD9B2" w:rsidR="00AF56B2" w:rsidRPr="00C63AB5" w:rsidRDefault="00AF56B2" w:rsidP="0031439E">
            <w:pPr>
              <w:rPr>
                <w:rFonts w:ascii="Palatino Linotype" w:hAnsi="Palatino Linotype" w:cstheme="minorHAnsi"/>
                <w:sz w:val="18"/>
                <w:szCs w:val="18"/>
              </w:rPr>
            </w:pPr>
            <w:r>
              <w:rPr>
                <w:rFonts w:ascii="Palatino Linotype" w:hAnsi="Palatino Linotype" w:cstheme="minorHAnsi"/>
                <w:sz w:val="18"/>
                <w:szCs w:val="18"/>
              </w:rPr>
              <w:t>(DRD4),</w:t>
            </w:r>
            <w:r w:rsidR="004C3696">
              <w:rPr>
                <w:rFonts w:ascii="Palatino Linotype" w:hAnsi="Palatino Linotype" w:cstheme="minorHAnsi"/>
                <w:sz w:val="18"/>
                <w:szCs w:val="18"/>
              </w:rPr>
              <w:t xml:space="preserve"> </w:t>
            </w:r>
            <w:r w:rsidR="00B631A7" w:rsidRPr="00B631A7">
              <w:rPr>
                <w:rFonts w:ascii="Palatino Linotype" w:hAnsi="Palatino Linotype" w:cstheme="minorHAnsi"/>
                <w:sz w:val="18"/>
                <w:szCs w:val="18"/>
              </w:rPr>
              <w:t xml:space="preserve">40 bp VNTR </w:t>
            </w:r>
            <w:r w:rsidR="00B631A7">
              <w:rPr>
                <w:rFonts w:ascii="Palatino Linotype" w:hAnsi="Palatino Linotype" w:cstheme="minorHAnsi"/>
                <w:sz w:val="18"/>
                <w:szCs w:val="18"/>
              </w:rPr>
              <w:t xml:space="preserve">(DAT), </w:t>
            </w:r>
            <w:r w:rsidRPr="00AF56B2">
              <w:rPr>
                <w:rFonts w:ascii="Palatino Linotype" w:hAnsi="Palatino Linotype" w:cstheme="minorHAnsi"/>
                <w:sz w:val="18"/>
                <w:szCs w:val="18"/>
              </w:rPr>
              <w:t>rs4818</w:t>
            </w:r>
            <w:r>
              <w:rPr>
                <w:rFonts w:ascii="Palatino Linotype" w:hAnsi="Palatino Linotype" w:cstheme="minorHAnsi"/>
                <w:sz w:val="18"/>
                <w:szCs w:val="18"/>
              </w:rPr>
              <w:t xml:space="preserve">, </w:t>
            </w:r>
            <w:r w:rsidRPr="00AF56B2">
              <w:rPr>
                <w:rFonts w:ascii="Palatino Linotype" w:hAnsi="Palatino Linotype" w:cstheme="minorHAnsi"/>
                <w:sz w:val="18"/>
                <w:szCs w:val="18"/>
              </w:rPr>
              <w:t>rs4680</w:t>
            </w:r>
            <w:r w:rsidR="0063327A">
              <w:rPr>
                <w:rFonts w:ascii="Palatino Linotype" w:hAnsi="Palatino Linotype" w:cstheme="minorHAnsi"/>
                <w:sz w:val="18"/>
                <w:szCs w:val="18"/>
              </w:rPr>
              <w:t xml:space="preserve">, rs4633, rs2075507, 900 ins C 3 UTR </w:t>
            </w:r>
            <w:r>
              <w:rPr>
                <w:rFonts w:ascii="Palatino Linotype" w:hAnsi="Palatino Linotype" w:cstheme="minorHAnsi"/>
                <w:sz w:val="18"/>
                <w:szCs w:val="18"/>
              </w:rPr>
              <w:t>(COMT)</w:t>
            </w:r>
          </w:p>
        </w:tc>
        <w:tc>
          <w:tcPr>
            <w:tcW w:w="1080" w:type="dxa"/>
          </w:tcPr>
          <w:p w14:paraId="2A244E23" w14:textId="054AF0B9" w:rsidR="00AF56B2" w:rsidRDefault="00EE37F4" w:rsidP="0031439E">
            <w:pPr>
              <w:rPr>
                <w:rFonts w:ascii="Palatino Linotype" w:hAnsi="Palatino Linotype" w:cstheme="minorHAnsi"/>
                <w:sz w:val="18"/>
                <w:szCs w:val="18"/>
              </w:rPr>
            </w:pPr>
            <w:r w:rsidRPr="00EE37F4">
              <w:rPr>
                <w:rFonts w:ascii="Palatino Linotype" w:hAnsi="Palatino Linotype" w:cstheme="minorHAnsi"/>
                <w:sz w:val="18"/>
                <w:szCs w:val="18"/>
              </w:rPr>
              <w:lastRenderedPageBreak/>
              <w:t>335</w:t>
            </w:r>
            <w:r w:rsidR="0063327A">
              <w:rPr>
                <w:rFonts w:ascii="Palatino Linotype" w:hAnsi="Palatino Linotype" w:cstheme="minorHAnsi"/>
                <w:sz w:val="18"/>
                <w:szCs w:val="18"/>
              </w:rPr>
              <w:t xml:space="preserve"> (96 with TD)</w:t>
            </w:r>
          </w:p>
        </w:tc>
        <w:tc>
          <w:tcPr>
            <w:tcW w:w="1170" w:type="dxa"/>
          </w:tcPr>
          <w:p w14:paraId="4DD650F5" w14:textId="57BB7448" w:rsidR="00AF56B2" w:rsidRPr="00036F28" w:rsidRDefault="00B46E2E" w:rsidP="0031439E">
            <w:pPr>
              <w:rPr>
                <w:rFonts w:ascii="Palatino Linotype" w:hAnsi="Palatino Linotype" w:cstheme="minorHAnsi"/>
                <w:sz w:val="18"/>
                <w:szCs w:val="18"/>
              </w:rPr>
            </w:pPr>
            <w:r>
              <w:rPr>
                <w:rFonts w:ascii="Palatino Linotype" w:hAnsi="Palatino Linotype" w:cstheme="minorHAnsi"/>
                <w:sz w:val="18"/>
                <w:szCs w:val="18"/>
              </w:rPr>
              <w:t xml:space="preserve">Indian </w:t>
            </w:r>
          </w:p>
        </w:tc>
        <w:tc>
          <w:tcPr>
            <w:tcW w:w="1350" w:type="dxa"/>
          </w:tcPr>
          <w:p w14:paraId="31ECA258" w14:textId="6CD38534" w:rsidR="00AF56B2" w:rsidRDefault="00EE37F4" w:rsidP="00EE37F4">
            <w:pPr>
              <w:rPr>
                <w:rFonts w:ascii="Palatino Linotype" w:hAnsi="Palatino Linotype" w:cstheme="minorHAnsi"/>
                <w:sz w:val="18"/>
                <w:szCs w:val="18"/>
              </w:rPr>
            </w:pPr>
            <w:r w:rsidRPr="00EE37F4">
              <w:rPr>
                <w:rFonts w:ascii="Palatino Linotype" w:hAnsi="Palatino Linotype" w:cstheme="minorHAnsi"/>
                <w:sz w:val="18"/>
                <w:szCs w:val="18"/>
              </w:rPr>
              <w:t>schizophrenia</w:t>
            </w:r>
          </w:p>
        </w:tc>
        <w:tc>
          <w:tcPr>
            <w:tcW w:w="1260" w:type="dxa"/>
          </w:tcPr>
          <w:p w14:paraId="5E1CCD8D" w14:textId="1FB3C703" w:rsidR="00AF56B2" w:rsidRPr="00972E73" w:rsidRDefault="00EE37F4" w:rsidP="0031439E">
            <w:pPr>
              <w:rPr>
                <w:rFonts w:ascii="Palatino Linotype" w:hAnsi="Palatino Linotype" w:cstheme="minorHAnsi"/>
                <w:sz w:val="18"/>
                <w:szCs w:val="18"/>
              </w:rPr>
            </w:pPr>
            <w:r w:rsidRPr="00EE37F4">
              <w:rPr>
                <w:rFonts w:ascii="Palatino Linotype" w:hAnsi="Palatino Linotype" w:cstheme="minorHAnsi"/>
                <w:sz w:val="18"/>
                <w:szCs w:val="18"/>
              </w:rPr>
              <w:t>DSM-IV</w:t>
            </w:r>
          </w:p>
        </w:tc>
        <w:tc>
          <w:tcPr>
            <w:tcW w:w="1170" w:type="dxa"/>
          </w:tcPr>
          <w:p w14:paraId="12069449" w14:textId="3F3DECDD" w:rsidR="00AF56B2" w:rsidRDefault="00EE37F4"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217363E0" w14:textId="7C69FC0E" w:rsidR="00AF56B2" w:rsidRPr="00036F28" w:rsidRDefault="0063327A" w:rsidP="0031439E">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62CB5A6B" w14:textId="41CE0648" w:rsidR="00AF56B2" w:rsidRPr="006A1E5F" w:rsidRDefault="0063327A" w:rsidP="0031439E">
            <w:pPr>
              <w:rPr>
                <w:rFonts w:ascii="Palatino Linotype" w:hAnsi="Palatino Linotype" w:cstheme="minorHAnsi"/>
                <w:sz w:val="18"/>
                <w:szCs w:val="18"/>
              </w:rPr>
            </w:pPr>
            <w:r>
              <w:rPr>
                <w:rFonts w:ascii="Palatino Linotype" w:hAnsi="Palatino Linotype" w:cstheme="minorHAnsi"/>
                <w:sz w:val="18"/>
                <w:szCs w:val="18"/>
              </w:rPr>
              <w:t>PCR-RFLP</w:t>
            </w:r>
          </w:p>
        </w:tc>
        <w:tc>
          <w:tcPr>
            <w:tcW w:w="2507" w:type="dxa"/>
          </w:tcPr>
          <w:p w14:paraId="2E58B71B" w14:textId="7EDE79DE" w:rsidR="00AF56B2" w:rsidRPr="006A1E5F" w:rsidRDefault="00C63AB5" w:rsidP="00C63AB5">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sidRPr="00C63AB5">
              <w:rPr>
                <w:rFonts w:ascii="Palatino Linotype" w:hAnsi="Palatino Linotype" w:cstheme="minorHAnsi"/>
                <w:sz w:val="18"/>
                <w:szCs w:val="18"/>
              </w:rPr>
              <w:t xml:space="preserve">120 bp duplication marker </w:t>
            </w:r>
            <w:r>
              <w:rPr>
                <w:rFonts w:ascii="Palatino Linotype" w:hAnsi="Palatino Linotype" w:cstheme="minorHAnsi"/>
                <w:sz w:val="18"/>
                <w:szCs w:val="18"/>
              </w:rPr>
              <w:t xml:space="preserve">in DRD4 and TD in genotypic level. Allelic and genotypic association for rs4818 in </w:t>
            </w:r>
            <w:r w:rsidRPr="00C63AB5">
              <w:rPr>
                <w:rFonts w:ascii="Palatino Linotype" w:hAnsi="Palatino Linotype" w:cstheme="minorHAnsi"/>
                <w:sz w:val="18"/>
                <w:szCs w:val="18"/>
              </w:rPr>
              <w:t>COMT and significant genotypic association for</w:t>
            </w:r>
            <w:r>
              <w:rPr>
                <w:rFonts w:ascii="Palatino Linotype" w:hAnsi="Palatino Linotype" w:cstheme="minorHAnsi"/>
                <w:sz w:val="18"/>
                <w:szCs w:val="18"/>
              </w:rPr>
              <w:t xml:space="preserve"> rs4680</w:t>
            </w:r>
          </w:p>
        </w:tc>
        <w:tc>
          <w:tcPr>
            <w:tcW w:w="2173" w:type="dxa"/>
          </w:tcPr>
          <w:p w14:paraId="1C75406E" w14:textId="7DC3A7E2" w:rsidR="00AF56B2" w:rsidRDefault="00AF56B2" w:rsidP="0031439E">
            <w:pPr>
              <w:rPr>
                <w:rFonts w:ascii="Palatino Linotype" w:hAnsi="Palatino Linotype" w:cstheme="minorHAnsi"/>
                <w:b/>
                <w:sz w:val="18"/>
                <w:szCs w:val="18"/>
              </w:rPr>
            </w:pPr>
            <w:r>
              <w:rPr>
                <w:rFonts w:ascii="Palatino Linotype" w:hAnsi="Palatino Linotype" w:cstheme="minorHAnsi"/>
                <w:b/>
                <w:sz w:val="18"/>
                <w:szCs w:val="18"/>
              </w:rPr>
              <w:fldChar w:fldCharType="begin" w:fldLock="1"/>
            </w:r>
            <w:r w:rsidR="00F07982">
              <w:rPr>
                <w:rFonts w:ascii="Palatino Linotype" w:hAnsi="Palatino Linotype" w:cstheme="minorHAnsi"/>
                <w:b/>
                <w:sz w:val="18"/>
                <w:szCs w:val="18"/>
              </w:rPr>
              <w:instrText>ADDIN CSL_CITATION {"citationItems":[{"id":"ITEM-1","itemData":{"DOI":"10.1097/01.fpc.0000184957.98150.0f","ISSN":"1744-6872","PMID":"16424823","abstract":"OBJECTIVE Tardive dyskinesia (TD) is an antipsychotic induced side effect observed in 20-30% of schizophrenia subjects on long-term typical antipsychotic treatment. We tested the possible association of 24 polymorphisms from six dopaminergic genes: namely, dopamine receptors D1, D2, D3, D4; the dopamine transporter (DAT); and the catalyzing enzyme catechol-O-methyltransferase (COMT), with TD. METHODS Multiple SNP/VNTR markers from candidate genes were analyzed using suitable approaches and allelic, genotypic and haplotypic associations were tested. RESULTS 120 bp duplication marker, 1.2 kb upstream from initiation codon of DRD4 gene showed a significant genotypic association [chi2 = 9.29, P = 0.009; OR (95% CI) = 0.52 (0.31-0.86) for genotype 120 dup/120 dup]. In the COMT gene, a significant allelic [chi2 = 13.87, P = 0.0002] as well as genotypic association [chi2 = 16.08, P = 0.0003; OR (95% CI) = 0.24 (0.11-0.55) for genotype GG] was observed with the 408 C&gt;G (exon 4) single nucleotide polymorphism and a significant genotypic association [chi2 = 6.32, P = 0.04; OR (95% CI) = 0.50 (0.33-0.92) for genotype GG] was observed with 472 G &gt; A (exon 4, Val 158 Met) SNP. 120 bp dup-T-repeat 3 in DRD4 and G-C-A-insC in COMT genes were observed to be TD associated haplotypes. CONCLUSIONS Our study presents a detailed analysis of the possible role of dopaminergic genes in the genesis of TD. DRD4 and COMT genes were observed to be the most important candidates in North Indian schizophrenia subjects. These suggestive associations need to be investigated in replicate studies.","author":[{"dropping-particle":"","family":"Srivastava","given":"Vibhuti","non-dropping-particle":"","parse-names":false,"suffix":""},{"dropping-particle":"","family":"Varma","given":"Panchami G","non-dropping-particle":"","parse-names":false,"suffix":""},{"dropping-particle":"","family":"Prasad","given":"Suman","non-dropping-particle":"","parse-names":false,"suffix":""},{"dropping-particle":"","family":"Semwal","given":"Prachi","non-dropping-particle":"","parse-names":false,"suffix":""},{"dropping-particle":"","family":"Nimgaonkar","given":"Vishwajit L","non-dropping-particle":"","parse-names":false,"suffix":""},{"dropping-particle":"","family":"Lerer","given":"Bernard","non-dropping-particle":"","parse-names":false,"suffix":""},{"dropping-particle":"","family":"Deshpande","given":"Smita N","non-dropping-particle":"","parse-names":false,"suffix":""},{"dropping-particle":"","family":"BK","given":"Thelma","non-dropping-particle":"","parse-names":false,"suffix":""}],"container-title":"Pharmacogenetics and genomics","id":"ITEM-1","issue":"2","issued":{"date-parts":[["2006","2"]]},"page":"111-7","publisher":"Pharmacogenet Genomics","title":"Genetic susceptibility to tardive dyskinesia among schizophrenia subjects: IV. Role of dopaminergic pathway gene polymorphisms.","type":"article-journal","volume":"16"},"uris":["http://www.mendeley.com/documents/?uuid=a733e0a6-dd59-312d-a0d3-5d719c09934b"]}],"mendeley":{"formattedCitation":"(Srivastava et al. 2006)","plainTextFormattedCitation":"(Srivastava et al. 2006)","previouslyFormattedCitation":"(Srivastava et al. 2006)"},"properties":{"noteIndex":0},"schema":"https://github.com/citation-style-language/schema/raw/master/csl-citation.json"}</w:instrText>
            </w:r>
            <w:r>
              <w:rPr>
                <w:rFonts w:ascii="Palatino Linotype" w:hAnsi="Palatino Linotype" w:cstheme="minorHAnsi"/>
                <w:b/>
                <w:sz w:val="18"/>
                <w:szCs w:val="18"/>
              </w:rPr>
              <w:fldChar w:fldCharType="separate"/>
            </w:r>
            <w:r w:rsidRPr="00AF56B2">
              <w:rPr>
                <w:rFonts w:ascii="Palatino Linotype" w:hAnsi="Palatino Linotype" w:cstheme="minorHAnsi"/>
                <w:noProof/>
                <w:sz w:val="18"/>
                <w:szCs w:val="18"/>
              </w:rPr>
              <w:t>(Srivastava et al. 2006)</w:t>
            </w:r>
            <w:r>
              <w:rPr>
                <w:rFonts w:ascii="Palatino Linotype" w:hAnsi="Palatino Linotype" w:cstheme="minorHAnsi"/>
                <w:b/>
                <w:sz w:val="18"/>
                <w:szCs w:val="18"/>
              </w:rPr>
              <w:fldChar w:fldCharType="end"/>
            </w:r>
          </w:p>
        </w:tc>
      </w:tr>
      <w:tr w:rsidR="0031439E" w:rsidRPr="00EA57B8" w14:paraId="6AAD767B" w14:textId="4829BF82" w:rsidTr="0031439E">
        <w:tc>
          <w:tcPr>
            <w:tcW w:w="1094" w:type="dxa"/>
          </w:tcPr>
          <w:p w14:paraId="05F63234" w14:textId="41F25955" w:rsidR="0031439E" w:rsidRPr="000F3F98" w:rsidRDefault="0031439E" w:rsidP="0031439E">
            <w:pPr>
              <w:rPr>
                <w:rFonts w:ascii="Palatino Linotype" w:hAnsi="Palatino Linotype"/>
                <w:i/>
                <w:iCs/>
                <w:sz w:val="18"/>
                <w:szCs w:val="18"/>
              </w:rPr>
            </w:pPr>
            <w:r w:rsidRPr="000F3F98">
              <w:rPr>
                <w:rFonts w:ascii="Palatino Linotype" w:hAnsi="Palatino Linotype" w:cstheme="minorHAnsi"/>
                <w:i/>
                <w:iCs/>
                <w:sz w:val="18"/>
                <w:szCs w:val="18"/>
              </w:rPr>
              <w:t>IL10, DBH</w:t>
            </w:r>
          </w:p>
        </w:tc>
        <w:tc>
          <w:tcPr>
            <w:tcW w:w="1080" w:type="dxa"/>
          </w:tcPr>
          <w:p w14:paraId="50F0B5B4" w14:textId="0959F011" w:rsidR="0031439E" w:rsidRPr="00875BDC" w:rsidRDefault="0031439E" w:rsidP="0031439E">
            <w:pPr>
              <w:rPr>
                <w:rFonts w:ascii="Palatino Linotype" w:hAnsi="Palatino Linotype"/>
                <w:sz w:val="18"/>
                <w:szCs w:val="18"/>
              </w:rPr>
            </w:pPr>
            <w:r>
              <w:rPr>
                <w:rFonts w:ascii="Palatino Linotype" w:hAnsi="Palatino Linotype" w:cstheme="minorHAnsi"/>
                <w:sz w:val="18"/>
                <w:szCs w:val="18"/>
              </w:rPr>
              <w:t>r</w:t>
            </w:r>
            <w:r w:rsidRPr="00495FDD">
              <w:rPr>
                <w:rFonts w:ascii="Palatino Linotype" w:hAnsi="Palatino Linotype" w:cstheme="minorHAnsi"/>
                <w:sz w:val="18"/>
                <w:szCs w:val="18"/>
              </w:rPr>
              <w:t>s1800872</w:t>
            </w:r>
            <w:r>
              <w:rPr>
                <w:rFonts w:ascii="Palatino Linotype" w:hAnsi="Palatino Linotype" w:cstheme="minorHAnsi"/>
                <w:sz w:val="18"/>
                <w:szCs w:val="18"/>
              </w:rPr>
              <w:t xml:space="preserve"> </w:t>
            </w:r>
            <w:r w:rsidRPr="00495FDD">
              <w:rPr>
                <w:rFonts w:ascii="Palatino Linotype" w:hAnsi="Palatino Linotype" w:cstheme="minorHAnsi"/>
                <w:sz w:val="18"/>
                <w:szCs w:val="18"/>
              </w:rPr>
              <w:t>(</w:t>
            </w:r>
            <w:r w:rsidRPr="00DD0B28">
              <w:rPr>
                <w:rFonts w:ascii="Palatino Linotype" w:hAnsi="Palatino Linotype" w:cstheme="minorHAnsi"/>
                <w:i/>
                <w:iCs/>
                <w:sz w:val="18"/>
                <w:szCs w:val="18"/>
              </w:rPr>
              <w:t>IL10</w:t>
            </w:r>
            <w:r w:rsidRPr="00495FDD">
              <w:rPr>
                <w:rFonts w:ascii="Palatino Linotype" w:hAnsi="Palatino Linotype" w:cstheme="minorHAnsi"/>
                <w:sz w:val="18"/>
                <w:szCs w:val="18"/>
              </w:rPr>
              <w:t>)</w:t>
            </w:r>
            <w:r>
              <w:rPr>
                <w:rFonts w:ascii="Palatino Linotype" w:hAnsi="Palatino Linotype" w:cstheme="minorHAnsi"/>
                <w:sz w:val="18"/>
                <w:szCs w:val="18"/>
              </w:rPr>
              <w:t xml:space="preserve">, </w:t>
            </w:r>
            <w:r w:rsidRPr="00495FDD">
              <w:rPr>
                <w:rFonts w:ascii="Palatino Linotype" w:hAnsi="Palatino Linotype" w:cstheme="minorHAnsi"/>
                <w:sz w:val="18"/>
                <w:szCs w:val="18"/>
              </w:rPr>
              <w:t>rs72393728</w:t>
            </w:r>
            <w:r>
              <w:rPr>
                <w:rFonts w:ascii="Palatino Linotype" w:hAnsi="Palatino Linotype" w:cstheme="minorHAnsi"/>
                <w:sz w:val="18"/>
                <w:szCs w:val="18"/>
              </w:rPr>
              <w:t xml:space="preserve"> (</w:t>
            </w:r>
            <w:r w:rsidRPr="00CC06D3">
              <w:rPr>
                <w:rFonts w:ascii="Palatino Linotype" w:hAnsi="Palatino Linotype" w:cstheme="minorHAnsi"/>
                <w:sz w:val="18"/>
                <w:szCs w:val="18"/>
              </w:rPr>
              <w:t xml:space="preserve">5’-Ins/Del </w:t>
            </w:r>
            <w:r>
              <w:rPr>
                <w:rFonts w:ascii="Palatino Linotype" w:hAnsi="Palatino Linotype" w:cstheme="minorHAnsi"/>
                <w:sz w:val="18"/>
                <w:szCs w:val="18"/>
              </w:rPr>
              <w:t xml:space="preserve">in </w:t>
            </w:r>
            <w:r w:rsidRPr="00495FDD">
              <w:rPr>
                <w:rFonts w:ascii="Palatino Linotype" w:hAnsi="Palatino Linotype" w:cstheme="minorHAnsi"/>
                <w:sz w:val="18"/>
                <w:szCs w:val="18"/>
              </w:rPr>
              <w:t>DBH</w:t>
            </w:r>
            <w:r>
              <w:rPr>
                <w:rFonts w:ascii="Palatino Linotype" w:hAnsi="Palatino Linotype" w:cstheme="minorHAnsi"/>
                <w:sz w:val="18"/>
                <w:szCs w:val="18"/>
              </w:rPr>
              <w:t>)</w:t>
            </w:r>
          </w:p>
        </w:tc>
        <w:tc>
          <w:tcPr>
            <w:tcW w:w="1080" w:type="dxa"/>
          </w:tcPr>
          <w:p w14:paraId="3D7798CD" w14:textId="5A5B7C03" w:rsidR="0031439E" w:rsidRDefault="0031439E" w:rsidP="0031439E">
            <w:pPr>
              <w:rPr>
                <w:rFonts w:ascii="Palatino Linotype" w:hAnsi="Palatino Linotype"/>
                <w:sz w:val="18"/>
                <w:szCs w:val="18"/>
              </w:rPr>
            </w:pPr>
            <w:r>
              <w:rPr>
                <w:rFonts w:ascii="Palatino Linotype" w:hAnsi="Palatino Linotype" w:cstheme="minorHAnsi"/>
                <w:sz w:val="18"/>
                <w:szCs w:val="18"/>
              </w:rPr>
              <w:t>784</w:t>
            </w:r>
            <w:r w:rsidRPr="00126705">
              <w:rPr>
                <w:rFonts w:ascii="Palatino Linotype" w:hAnsi="Palatino Linotype" w:cstheme="minorHAnsi"/>
                <w:sz w:val="18"/>
                <w:szCs w:val="18"/>
              </w:rPr>
              <w:t xml:space="preserve"> (372 </w:t>
            </w:r>
            <w:r>
              <w:rPr>
                <w:rFonts w:ascii="Palatino Linotype" w:hAnsi="Palatino Linotype" w:cstheme="minorHAnsi"/>
                <w:sz w:val="18"/>
                <w:szCs w:val="18"/>
              </w:rPr>
              <w:t xml:space="preserve">with </w:t>
            </w:r>
            <w:r w:rsidRPr="00126705">
              <w:rPr>
                <w:rFonts w:ascii="Palatino Linotype" w:hAnsi="Palatino Linotype" w:cstheme="minorHAnsi"/>
                <w:sz w:val="18"/>
                <w:szCs w:val="18"/>
              </w:rPr>
              <w:t>TD</w:t>
            </w:r>
            <w:r>
              <w:rPr>
                <w:rFonts w:ascii="Palatino Linotype" w:hAnsi="Palatino Linotype" w:cstheme="minorHAnsi"/>
                <w:sz w:val="18"/>
                <w:szCs w:val="18"/>
              </w:rPr>
              <w:t>)</w:t>
            </w:r>
          </w:p>
        </w:tc>
        <w:tc>
          <w:tcPr>
            <w:tcW w:w="1170" w:type="dxa"/>
          </w:tcPr>
          <w:p w14:paraId="302DC538" w14:textId="02B17601" w:rsidR="0031439E" w:rsidRPr="00B04EEF" w:rsidRDefault="0031439E" w:rsidP="0031439E">
            <w:pPr>
              <w:rPr>
                <w:rFonts w:ascii="Palatino Linotype" w:hAnsi="Palatino Linotype"/>
                <w:sz w:val="18"/>
                <w:szCs w:val="18"/>
              </w:rPr>
            </w:pPr>
            <w:r w:rsidRPr="00036F28">
              <w:rPr>
                <w:rFonts w:ascii="Palatino Linotype" w:hAnsi="Palatino Linotype" w:cstheme="minorHAnsi"/>
                <w:sz w:val="18"/>
                <w:szCs w:val="18"/>
              </w:rPr>
              <w:t>Han Chinese</w:t>
            </w:r>
          </w:p>
        </w:tc>
        <w:tc>
          <w:tcPr>
            <w:tcW w:w="1350" w:type="dxa"/>
          </w:tcPr>
          <w:p w14:paraId="66F3B987" w14:textId="6D08C1F4" w:rsidR="0031439E" w:rsidRDefault="0031439E" w:rsidP="0031439E">
            <w:pPr>
              <w:rPr>
                <w:rFonts w:ascii="Palatino Linotype" w:hAnsi="Palatino Linotype"/>
                <w:sz w:val="18"/>
                <w:szCs w:val="18"/>
              </w:rPr>
            </w:pPr>
            <w:r>
              <w:rPr>
                <w:rFonts w:ascii="Palatino Linotype" w:hAnsi="Palatino Linotype" w:cstheme="minorHAnsi"/>
                <w:sz w:val="18"/>
                <w:szCs w:val="18"/>
              </w:rPr>
              <w:t>Schizophrenia</w:t>
            </w:r>
          </w:p>
        </w:tc>
        <w:tc>
          <w:tcPr>
            <w:tcW w:w="1260" w:type="dxa"/>
          </w:tcPr>
          <w:p w14:paraId="2F21551F" w14:textId="04059353" w:rsidR="0031439E" w:rsidRPr="00CB51F0" w:rsidRDefault="0031439E" w:rsidP="0031439E">
            <w:pPr>
              <w:rPr>
                <w:rFonts w:ascii="Palatino Linotype" w:hAnsi="Palatino Linotype"/>
                <w:sz w:val="18"/>
                <w:szCs w:val="18"/>
              </w:rPr>
            </w:pPr>
            <w:r w:rsidRPr="00972E73">
              <w:rPr>
                <w:rFonts w:ascii="Palatino Linotype" w:hAnsi="Palatino Linotype" w:cstheme="minorHAnsi"/>
                <w:sz w:val="18"/>
                <w:szCs w:val="18"/>
              </w:rPr>
              <w:t>DSM-IV</w:t>
            </w:r>
            <w:r>
              <w:rPr>
                <w:rFonts w:ascii="Palatino Linotype" w:hAnsi="Palatino Linotype" w:cstheme="minorHAnsi"/>
                <w:sz w:val="18"/>
                <w:szCs w:val="18"/>
              </w:rPr>
              <w:t>, PANSS</w:t>
            </w:r>
          </w:p>
        </w:tc>
        <w:tc>
          <w:tcPr>
            <w:tcW w:w="1170" w:type="dxa"/>
          </w:tcPr>
          <w:p w14:paraId="2CCB6160" w14:textId="64F18DEC" w:rsidR="0031439E" w:rsidRDefault="0031439E" w:rsidP="0031439E">
            <w:pPr>
              <w:rPr>
                <w:rFonts w:ascii="Palatino Linotype" w:hAnsi="Palatino Linotype"/>
                <w:sz w:val="18"/>
                <w:szCs w:val="18"/>
              </w:rPr>
            </w:pPr>
            <w:r>
              <w:rPr>
                <w:rFonts w:ascii="Palatino Linotype" w:hAnsi="Palatino Linotype" w:cstheme="minorHAnsi"/>
                <w:sz w:val="18"/>
                <w:szCs w:val="18"/>
              </w:rPr>
              <w:t>AIMS</w:t>
            </w:r>
          </w:p>
        </w:tc>
        <w:tc>
          <w:tcPr>
            <w:tcW w:w="1170" w:type="dxa"/>
          </w:tcPr>
          <w:p w14:paraId="116374EC" w14:textId="21DE8E79" w:rsidR="0031439E" w:rsidRDefault="0031439E" w:rsidP="0031439E">
            <w:pPr>
              <w:rPr>
                <w:rFonts w:ascii="Palatino Linotype" w:hAnsi="Palatino Linotype"/>
                <w:sz w:val="18"/>
                <w:szCs w:val="18"/>
              </w:rPr>
            </w:pPr>
            <w:proofErr w:type="spellStart"/>
            <w:r w:rsidRPr="00036F28">
              <w:rPr>
                <w:rFonts w:ascii="Palatino Linotype" w:hAnsi="Palatino Linotype" w:cstheme="minorHAnsi"/>
                <w:sz w:val="18"/>
                <w:szCs w:val="18"/>
              </w:rPr>
              <w:t>lozapine</w:t>
            </w:r>
            <w:proofErr w:type="spellEnd"/>
            <w:r w:rsidRPr="00036F28">
              <w:rPr>
                <w:rFonts w:ascii="Palatino Linotype" w:hAnsi="Palatino Linotype" w:cstheme="minorHAnsi"/>
                <w:sz w:val="18"/>
                <w:szCs w:val="18"/>
              </w:rPr>
              <w:t>,</w:t>
            </w:r>
            <w:r>
              <w:rPr>
                <w:rFonts w:ascii="Palatino Linotype" w:hAnsi="Palatino Linotype" w:cstheme="minorHAnsi"/>
                <w:sz w:val="18"/>
                <w:szCs w:val="18"/>
              </w:rPr>
              <w:t xml:space="preserve"> </w:t>
            </w:r>
            <w:r w:rsidRPr="00036F28">
              <w:rPr>
                <w:rFonts w:ascii="Palatino Linotype" w:hAnsi="Palatino Linotype" w:cstheme="minorHAnsi"/>
                <w:sz w:val="18"/>
                <w:szCs w:val="18"/>
              </w:rPr>
              <w:t xml:space="preserve">risperidone, perphenazine, </w:t>
            </w:r>
            <w:proofErr w:type="spellStart"/>
            <w:r w:rsidRPr="00036F28">
              <w:rPr>
                <w:rFonts w:ascii="Palatino Linotype" w:hAnsi="Palatino Linotype" w:cstheme="minorHAnsi"/>
                <w:sz w:val="18"/>
                <w:szCs w:val="18"/>
              </w:rPr>
              <w:t>sulpiride</w:t>
            </w:r>
            <w:proofErr w:type="spellEnd"/>
            <w:r w:rsidRPr="00036F28">
              <w:rPr>
                <w:rFonts w:ascii="Palatino Linotype" w:hAnsi="Palatino Linotype" w:cstheme="minorHAnsi"/>
                <w:sz w:val="18"/>
                <w:szCs w:val="18"/>
              </w:rPr>
              <w:t>,</w:t>
            </w:r>
            <w:r>
              <w:rPr>
                <w:rFonts w:ascii="Palatino Linotype" w:hAnsi="Palatino Linotype" w:cstheme="minorHAnsi"/>
                <w:sz w:val="18"/>
                <w:szCs w:val="18"/>
              </w:rPr>
              <w:t xml:space="preserve"> </w:t>
            </w:r>
            <w:r w:rsidRPr="00036F28">
              <w:rPr>
                <w:rFonts w:ascii="Palatino Linotype" w:hAnsi="Palatino Linotype" w:cstheme="minorHAnsi"/>
                <w:sz w:val="18"/>
                <w:szCs w:val="18"/>
              </w:rPr>
              <w:t xml:space="preserve">chlorpromazine, haloperidol, </w:t>
            </w:r>
            <w:proofErr w:type="spellStart"/>
            <w:r w:rsidRPr="00036F28">
              <w:rPr>
                <w:rFonts w:ascii="Palatino Linotype" w:hAnsi="Palatino Linotype" w:cstheme="minorHAnsi"/>
                <w:sz w:val="18"/>
                <w:szCs w:val="18"/>
              </w:rPr>
              <w:t>aripiprizol</w:t>
            </w:r>
            <w:proofErr w:type="spellEnd"/>
            <w:r w:rsidRPr="00036F28">
              <w:rPr>
                <w:rFonts w:ascii="Palatino Linotype" w:hAnsi="Palatino Linotype" w:cstheme="minorHAnsi"/>
                <w:sz w:val="18"/>
                <w:szCs w:val="18"/>
              </w:rPr>
              <w:t>,</w:t>
            </w:r>
            <w:r>
              <w:rPr>
                <w:rFonts w:ascii="Palatino Linotype" w:hAnsi="Palatino Linotype" w:cstheme="minorHAnsi"/>
                <w:sz w:val="18"/>
                <w:szCs w:val="18"/>
              </w:rPr>
              <w:t xml:space="preserve"> </w:t>
            </w:r>
            <w:r w:rsidRPr="00036F28">
              <w:rPr>
                <w:rFonts w:ascii="Palatino Linotype" w:hAnsi="Palatino Linotype" w:cstheme="minorHAnsi"/>
                <w:sz w:val="18"/>
                <w:szCs w:val="18"/>
              </w:rPr>
              <w:t>quetiapine</w:t>
            </w:r>
            <w:r>
              <w:rPr>
                <w:rFonts w:ascii="Palatino Linotype" w:hAnsi="Palatino Linotype" w:cstheme="minorHAnsi"/>
                <w:sz w:val="18"/>
                <w:szCs w:val="18"/>
              </w:rPr>
              <w:t>,</w:t>
            </w:r>
            <w:r w:rsidRPr="00036F28">
              <w:rPr>
                <w:rFonts w:ascii="Palatino Linotype" w:hAnsi="Palatino Linotype" w:cstheme="minorHAnsi"/>
                <w:sz w:val="18"/>
                <w:szCs w:val="18"/>
              </w:rPr>
              <w:t xml:space="preserve"> and other typical and </w:t>
            </w:r>
            <w:r w:rsidRPr="00036F28">
              <w:rPr>
                <w:rFonts w:ascii="Palatino Linotype" w:hAnsi="Palatino Linotype" w:cstheme="minorHAnsi"/>
                <w:sz w:val="18"/>
                <w:szCs w:val="18"/>
              </w:rPr>
              <w:lastRenderedPageBreak/>
              <w:t>atypical</w:t>
            </w:r>
            <w:r>
              <w:rPr>
                <w:rFonts w:ascii="Palatino Linotype" w:hAnsi="Palatino Linotype" w:cstheme="minorHAnsi"/>
                <w:sz w:val="18"/>
                <w:szCs w:val="18"/>
              </w:rPr>
              <w:t xml:space="preserve"> antipsychotics</w:t>
            </w:r>
          </w:p>
        </w:tc>
        <w:tc>
          <w:tcPr>
            <w:tcW w:w="1350" w:type="dxa"/>
          </w:tcPr>
          <w:p w14:paraId="2F893B6E" w14:textId="720C7578"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lastRenderedPageBreak/>
              <w:t xml:space="preserve">PCR-RFLP </w:t>
            </w:r>
            <w:r>
              <w:rPr>
                <w:rFonts w:ascii="Palatino Linotype" w:hAnsi="Palatino Linotype" w:cstheme="minorHAnsi"/>
                <w:sz w:val="18"/>
                <w:szCs w:val="18"/>
              </w:rPr>
              <w:t>(</w:t>
            </w:r>
            <w:proofErr w:type="spellStart"/>
            <w:r w:rsidRPr="00C112BA">
              <w:rPr>
                <w:rFonts w:ascii="Palatino Linotype" w:hAnsi="Palatino Linotype" w:cstheme="minorHAnsi"/>
                <w:sz w:val="18"/>
                <w:szCs w:val="18"/>
              </w:rPr>
              <w:t>RsaI</w:t>
            </w:r>
            <w:proofErr w:type="spellEnd"/>
            <w:r>
              <w:rPr>
                <w:rFonts w:ascii="Palatino Linotype" w:hAnsi="Palatino Linotype" w:cstheme="minorHAnsi"/>
                <w:sz w:val="18"/>
                <w:szCs w:val="18"/>
              </w:rPr>
              <w:t>) (r</w:t>
            </w:r>
            <w:r w:rsidRPr="00495FDD">
              <w:rPr>
                <w:rFonts w:ascii="Palatino Linotype" w:hAnsi="Palatino Linotype" w:cstheme="minorHAnsi"/>
                <w:sz w:val="18"/>
                <w:szCs w:val="18"/>
              </w:rPr>
              <w:t>s1800872</w:t>
            </w:r>
            <w:r>
              <w:rPr>
                <w:rFonts w:ascii="Palatino Linotype" w:hAnsi="Palatino Linotype" w:cstheme="minorHAnsi"/>
                <w:sz w:val="18"/>
                <w:szCs w:val="18"/>
              </w:rPr>
              <w:t xml:space="preserve">) and </w:t>
            </w:r>
            <w:r w:rsidRPr="00C112BA">
              <w:rPr>
                <w:rFonts w:ascii="Palatino Linotype" w:hAnsi="Palatino Linotype" w:cstheme="minorHAnsi"/>
                <w:sz w:val="18"/>
                <w:szCs w:val="18"/>
              </w:rPr>
              <w:t>agarose gel</w:t>
            </w:r>
            <w:r>
              <w:rPr>
                <w:rFonts w:ascii="Palatino Linotype" w:hAnsi="Palatino Linotype" w:cstheme="minorHAnsi"/>
                <w:sz w:val="18"/>
                <w:szCs w:val="18"/>
              </w:rPr>
              <w:t xml:space="preserve"> electrophoresis (</w:t>
            </w:r>
            <w:r w:rsidRPr="00495FDD">
              <w:rPr>
                <w:rFonts w:ascii="Palatino Linotype" w:hAnsi="Palatino Linotype" w:cstheme="minorHAnsi"/>
                <w:sz w:val="18"/>
                <w:szCs w:val="18"/>
              </w:rPr>
              <w:t>rs72393728</w:t>
            </w:r>
            <w:r>
              <w:rPr>
                <w:rFonts w:ascii="Palatino Linotype" w:hAnsi="Palatino Linotype" w:cstheme="minorHAnsi"/>
                <w:sz w:val="18"/>
                <w:szCs w:val="18"/>
              </w:rPr>
              <w:t>)</w:t>
            </w:r>
          </w:p>
        </w:tc>
        <w:tc>
          <w:tcPr>
            <w:tcW w:w="2507" w:type="dxa"/>
          </w:tcPr>
          <w:p w14:paraId="3EB9BF8E" w14:textId="630381AA"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frequencies</w:t>
            </w:r>
          </w:p>
        </w:tc>
        <w:tc>
          <w:tcPr>
            <w:tcW w:w="2173" w:type="dxa"/>
          </w:tcPr>
          <w:p w14:paraId="04A4C2DC" w14:textId="7D1D2A9D"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{"citationItems":[{"id":"ITEM-1","itemData":{"DOI":"10.1371/journal.pone.0070963","ISSN":"1932-6203","PMID":"23951054","abstract":"OBJECTIVE Tardive dyskinesia (TD) is a human hyperkinetic movement disorder as a result of potentially irreversible long-term chronic first-generation antipsychotic medications. Unfortunately, mechanisms involved in the development of TD have been poorly understood. Previous studies have indicated that some genetic polymorphisms of immune system and dopamine beta-hydroxylase (DBH) genes may be involved in the pathogenesis of TD. Rs1800872 and rs72393728 are located on the promoter of interleukin-10 (IL10) and DBH gene, respectively. The genetic association between the rs1800872 and TD is unclear. Previous studies have indicated that genetic variations of IL 10 and DBH are implicated in the positive and negative symptoms in schizophrenia. However, the interaction of two variations with severity of TD and symptoms of schizophrenic patients with TD has not been reported. The present study investigated whether these variations and their interaction were associated with clinical phenotypes of TD with schizophrenia in a genetically homogeneous northern Chinese Han population. METHODS Rs1800872 and rs72393728 were genotyped in schizophrenic patients with TD (n = 372) and without TD (NTD; n = 412). The Abnormal Involuntary Movement Scale (AIMS) and Positive and Negative Syndrome Scale (PANSS) were applied to assess the severity of TD and psychopathology of schizophrenia, respectively. RESULTS The allele and genotype frequencies of rs1800872 and rs72393728 did not significantly differ between TD and NTD patients (p&gt;0.05). No significant difference was found in the AIMS total score among the genotypes of two loci (p&gt;0.05). Interestingly, the interaction of rs1800872 and rs72393728 showed a significant association with the PANSS general score (p = 0.011), and a trend toward to the PANSS total score (p = 0.055). CONCLUSION These findings suggest that the interaction of rs1800872 and rs72393728 variants may play a role in psychopathology of the general symptoms on PANSS in schizophrenic patients with TD in a northern Chinese Han population.","author":[{"dropping-particle":"","family":"Sun","given":"Hongqiang","non-dropping-particle":"","parse-names":false,"suffix":""},{"dropping-particle":"","family":"Wang","given":"Fan","non-dropping-particle":"","parse-names":false,"suffix":""},{"dropping-particle":"","family":"Fan","given":"Hongzhen","non-dropping-particle":"","parse-names":false,"suffix":""},{"dropping-particle":"","family":"Yan","given":"Quanzhi","non-dropping-particle":"","parse-names":false,"suffix":""},{"dropping-particle":"","family":"Cui","given":"Kaiyan","non-dropping-particle":"","parse-names":false,"suffix":""},{"dropping-particle":"","family":"Yuan","given":"Wei","non-dropping-particle":"","parse-names":false,"suffix":""},{"dropping-particle":"","family":"Zhao","given":"Fushuai","non-dropping-particle":"","parse-names":false,"suffix":""},{"dropping-particle":"","family":"Zhao","given":"Lili","non-dropping-particle":"","parse-names":false,"suffix":""},{"dropping-particle":"","family":"Yuan","given":"Jie","non-dropping-particle":"","parse-names":false,"suffix":""},{"dropping-particle":"","family":"Yang","given":"Fude","non-dropping-particle":"","parse-names":false,"suffix":""},{"dropping-particle":"","family":"Kosten","given":"Thomas R","non-dropping-particle":"","parse-names":false,"suffix":""},{"dropping-particle":"","family":"Zhang","given":"Xiang Yang","non-dropping-particle":"","parse-names":false,"suffix":""}],"container-title":"PloS one","id":"ITEM-1","issue":"8","issued":{"date-parts":[["2013"]]},"page":"e70963","publisher":"PLoS One","title":"The interaction of polymorphisms of IL10 and DBH was associated with general symptoms of PANSS with TD in Chinese Han schizophrenic patients.","type":"article-journal","volume":"8"},"uris":["http://www.mendeley.com/documents/?uuid=db73b749-cb8c-31db-a0d5-ec5c89d8302b"]}],"mendeley":{"formattedCitation":"(Sun et al. 2013)","plainTextFormattedCitation":"(Sun et al. 2013)","previouslyFormattedCitation":"(Sun et al. 2013)"},"properties":{"noteIndex":0},"schema":"https://github.com/citation-style-language/schema/raw/master/csl-citation.json"}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(Sun et al. 2013)</w:t>
            </w:r>
            <w:r>
              <w:rPr>
                <w:rFonts w:ascii="Palatino Linotype" w:hAnsi="Palatino Linotype" w:cstheme="minorHAnsi"/>
                <w:b/>
                <w:sz w:val="18"/>
                <w:szCs w:val="18"/>
              </w:rPr>
              <w:fldChar w:fldCharType="end"/>
            </w:r>
          </w:p>
        </w:tc>
      </w:tr>
      <w:tr w:rsidR="0031439E" w:rsidRPr="00EA57B8" w14:paraId="11F1B72F" w14:textId="3FD4233A" w:rsidTr="0031439E">
        <w:tc>
          <w:tcPr>
            <w:tcW w:w="1094" w:type="dxa"/>
          </w:tcPr>
          <w:p w14:paraId="11B8AF9B" w14:textId="3EC907F0"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DBH</w:t>
            </w:r>
          </w:p>
        </w:tc>
        <w:tc>
          <w:tcPr>
            <w:tcW w:w="1080" w:type="dxa"/>
          </w:tcPr>
          <w:p w14:paraId="7535820E" w14:textId="414268C4" w:rsidR="0031439E" w:rsidRDefault="0031439E" w:rsidP="0031439E">
            <w:pPr>
              <w:rPr>
                <w:rFonts w:ascii="Palatino Linotype" w:hAnsi="Palatino Linotype" w:cstheme="minorHAnsi"/>
                <w:sz w:val="18"/>
                <w:szCs w:val="18"/>
              </w:rPr>
            </w:pPr>
            <w:r w:rsidRPr="00495FDD">
              <w:rPr>
                <w:rFonts w:ascii="Palatino Linotype" w:hAnsi="Palatino Linotype" w:cstheme="minorHAnsi"/>
                <w:sz w:val="18"/>
                <w:szCs w:val="18"/>
              </w:rPr>
              <w:t>rs72393728</w:t>
            </w:r>
            <w:r>
              <w:rPr>
                <w:rFonts w:ascii="Palatino Linotype" w:hAnsi="Palatino Linotype" w:cstheme="minorHAnsi"/>
                <w:sz w:val="18"/>
                <w:szCs w:val="18"/>
              </w:rPr>
              <w:t xml:space="preserve"> (</w:t>
            </w:r>
            <w:r w:rsidRPr="00CC06D3">
              <w:rPr>
                <w:rFonts w:ascii="Palatino Linotype" w:hAnsi="Palatino Linotype" w:cstheme="minorHAnsi"/>
                <w:sz w:val="18"/>
                <w:szCs w:val="18"/>
              </w:rPr>
              <w:t xml:space="preserve">5’-Ins/Del </w:t>
            </w:r>
            <w:r>
              <w:rPr>
                <w:rFonts w:ascii="Palatino Linotype" w:hAnsi="Palatino Linotype" w:cstheme="minorHAnsi"/>
                <w:sz w:val="18"/>
                <w:szCs w:val="18"/>
              </w:rPr>
              <w:t xml:space="preserve">in </w:t>
            </w:r>
            <w:r w:rsidRPr="00DD0B28">
              <w:rPr>
                <w:rFonts w:ascii="Palatino Linotype" w:hAnsi="Palatino Linotype" w:cstheme="minorHAnsi"/>
                <w:i/>
                <w:iCs/>
                <w:sz w:val="18"/>
                <w:szCs w:val="18"/>
              </w:rPr>
              <w:t>DBH</w:t>
            </w:r>
            <w:r>
              <w:rPr>
                <w:rFonts w:ascii="Palatino Linotype" w:hAnsi="Palatino Linotype" w:cstheme="minorHAnsi"/>
                <w:sz w:val="18"/>
                <w:szCs w:val="18"/>
              </w:rPr>
              <w:t>)</w:t>
            </w:r>
          </w:p>
        </w:tc>
        <w:tc>
          <w:tcPr>
            <w:tcW w:w="1080" w:type="dxa"/>
          </w:tcPr>
          <w:p w14:paraId="20CB4E7F" w14:textId="2BB9F43B"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747 </w:t>
            </w:r>
            <w:r w:rsidRPr="00E02079">
              <w:rPr>
                <w:rFonts w:ascii="Palatino Linotype" w:hAnsi="Palatino Linotype" w:cstheme="minorHAnsi"/>
                <w:sz w:val="18"/>
                <w:szCs w:val="18"/>
              </w:rPr>
              <w:t>(312</w:t>
            </w:r>
            <w:r>
              <w:rPr>
                <w:rFonts w:ascii="Palatino Linotype" w:hAnsi="Palatino Linotype" w:cstheme="minorHAnsi"/>
                <w:sz w:val="18"/>
                <w:szCs w:val="18"/>
              </w:rPr>
              <w:t xml:space="preserve"> with</w:t>
            </w:r>
            <w:r w:rsidRPr="00E02079">
              <w:rPr>
                <w:rFonts w:ascii="Palatino Linotype" w:hAnsi="Palatino Linotype" w:cstheme="minorHAnsi"/>
                <w:sz w:val="18"/>
                <w:szCs w:val="18"/>
              </w:rPr>
              <w:t xml:space="preserve"> TD</w:t>
            </w:r>
            <w:r>
              <w:rPr>
                <w:rFonts w:ascii="Palatino Linotype" w:hAnsi="Palatino Linotype" w:cstheme="minorHAnsi"/>
                <w:sz w:val="18"/>
                <w:szCs w:val="18"/>
              </w:rPr>
              <w:t xml:space="preserve">) </w:t>
            </w:r>
            <w:r w:rsidRPr="00E02079">
              <w:rPr>
                <w:rFonts w:ascii="Palatino Linotype" w:hAnsi="Palatino Linotype" w:cstheme="minorHAnsi"/>
                <w:sz w:val="18"/>
                <w:szCs w:val="18"/>
              </w:rPr>
              <w:t xml:space="preserve">and </w:t>
            </w:r>
            <w:r>
              <w:rPr>
                <w:rFonts w:ascii="Palatino Linotype" w:hAnsi="Palatino Linotype" w:cstheme="minorHAnsi"/>
                <w:sz w:val="18"/>
                <w:szCs w:val="18"/>
              </w:rPr>
              <w:t xml:space="preserve">625 </w:t>
            </w:r>
            <w:r w:rsidRPr="00E02079">
              <w:rPr>
                <w:rFonts w:ascii="Palatino Linotype" w:hAnsi="Palatino Linotype" w:cstheme="minorHAnsi"/>
                <w:sz w:val="18"/>
                <w:szCs w:val="18"/>
              </w:rPr>
              <w:t>controls</w:t>
            </w:r>
          </w:p>
        </w:tc>
        <w:tc>
          <w:tcPr>
            <w:tcW w:w="1170" w:type="dxa"/>
          </w:tcPr>
          <w:p w14:paraId="328F17E8" w14:textId="17DB4AC9" w:rsidR="0031439E" w:rsidRDefault="0031439E" w:rsidP="0031439E">
            <w:pPr>
              <w:rPr>
                <w:rFonts w:ascii="Palatino Linotype" w:hAnsi="Palatino Linotype" w:cstheme="minorHAnsi"/>
                <w:sz w:val="18"/>
                <w:szCs w:val="18"/>
              </w:rPr>
            </w:pPr>
            <w:r w:rsidRPr="00CC06D3">
              <w:rPr>
                <w:rFonts w:ascii="Palatino Linotype" w:hAnsi="Palatino Linotype" w:cstheme="minorHAnsi"/>
                <w:sz w:val="18"/>
                <w:szCs w:val="18"/>
              </w:rPr>
              <w:t>Han Chinese</w:t>
            </w:r>
          </w:p>
        </w:tc>
        <w:tc>
          <w:tcPr>
            <w:tcW w:w="1350" w:type="dxa"/>
          </w:tcPr>
          <w:p w14:paraId="3694FAD8" w14:textId="52D0C235" w:rsidR="0031439E" w:rsidRDefault="0031439E" w:rsidP="0031439E">
            <w:pPr>
              <w:rPr>
                <w:rFonts w:ascii="Palatino Linotype" w:hAnsi="Palatino Linotype" w:cstheme="minorHAnsi"/>
                <w:sz w:val="18"/>
                <w:szCs w:val="18"/>
              </w:rPr>
            </w:pPr>
            <w:r w:rsidRPr="00CC06D3">
              <w:rPr>
                <w:rFonts w:ascii="Palatino Linotype" w:hAnsi="Palatino Linotype" w:cstheme="minorHAnsi"/>
                <w:sz w:val="18"/>
                <w:szCs w:val="18"/>
              </w:rPr>
              <w:t>Schizophrenia</w:t>
            </w:r>
            <w:r>
              <w:rPr>
                <w:rFonts w:ascii="Palatino Linotype" w:hAnsi="Palatino Linotype" w:cstheme="minorHAnsi"/>
                <w:sz w:val="18"/>
                <w:szCs w:val="18"/>
              </w:rPr>
              <w:t xml:space="preserve"> </w:t>
            </w:r>
          </w:p>
        </w:tc>
        <w:tc>
          <w:tcPr>
            <w:tcW w:w="1260" w:type="dxa"/>
          </w:tcPr>
          <w:p w14:paraId="0C6808F6" w14:textId="2DB74625" w:rsidR="0031439E" w:rsidRDefault="0031439E" w:rsidP="0031439E">
            <w:pPr>
              <w:rPr>
                <w:rFonts w:ascii="Palatino Linotype" w:hAnsi="Palatino Linotype" w:cstheme="minorHAnsi"/>
                <w:sz w:val="18"/>
                <w:szCs w:val="18"/>
              </w:rPr>
            </w:pPr>
            <w:r w:rsidRPr="00CC06D3">
              <w:rPr>
                <w:rFonts w:ascii="Palatino Linotype" w:hAnsi="Palatino Linotype" w:cstheme="minorHAnsi"/>
                <w:sz w:val="18"/>
                <w:szCs w:val="18"/>
              </w:rPr>
              <w:t>DSM-IV</w:t>
            </w:r>
          </w:p>
        </w:tc>
        <w:tc>
          <w:tcPr>
            <w:tcW w:w="1170" w:type="dxa"/>
          </w:tcPr>
          <w:p w14:paraId="0E2C8CB4" w14:textId="6B0AB994"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5E1E85DE" w14:textId="157E4F31" w:rsidR="0031439E" w:rsidRDefault="0031439E" w:rsidP="0031439E">
            <w:pPr>
              <w:rPr>
                <w:rFonts w:ascii="Palatino Linotype" w:hAnsi="Palatino Linotype" w:cstheme="minorHAnsi"/>
                <w:sz w:val="18"/>
                <w:szCs w:val="18"/>
              </w:rPr>
            </w:pPr>
            <w:r w:rsidRPr="00560587">
              <w:rPr>
                <w:rFonts w:ascii="Palatino Linotype" w:hAnsi="Palatino Linotype" w:cstheme="minorHAnsi"/>
                <w:sz w:val="18"/>
                <w:szCs w:val="18"/>
              </w:rPr>
              <w:t>clozapine, risperidone, quetiapine,</w:t>
            </w:r>
            <w:r>
              <w:rPr>
                <w:rFonts w:ascii="Palatino Linotype" w:hAnsi="Palatino Linotype" w:cstheme="minorHAnsi"/>
                <w:sz w:val="18"/>
                <w:szCs w:val="18"/>
              </w:rPr>
              <w:t xml:space="preserve"> </w:t>
            </w:r>
            <w:proofErr w:type="spellStart"/>
            <w:r w:rsidRPr="00560587">
              <w:rPr>
                <w:rFonts w:ascii="Palatino Linotype" w:hAnsi="Palatino Linotype" w:cstheme="minorHAnsi"/>
                <w:sz w:val="18"/>
                <w:szCs w:val="18"/>
              </w:rPr>
              <w:t>aripirazole</w:t>
            </w:r>
            <w:proofErr w:type="spellEnd"/>
            <w:r w:rsidRPr="00560587">
              <w:rPr>
                <w:rFonts w:ascii="Palatino Linotype" w:hAnsi="Palatino Linotype" w:cstheme="minorHAnsi"/>
                <w:sz w:val="18"/>
                <w:szCs w:val="18"/>
              </w:rPr>
              <w:t>,</w:t>
            </w:r>
            <w:r>
              <w:rPr>
                <w:rFonts w:ascii="Palatino Linotype" w:hAnsi="Palatino Linotype" w:cstheme="minorHAnsi"/>
                <w:sz w:val="18"/>
                <w:szCs w:val="18"/>
              </w:rPr>
              <w:t xml:space="preserve"> </w:t>
            </w:r>
            <w:r w:rsidRPr="00560587">
              <w:rPr>
                <w:rFonts w:ascii="Palatino Linotype" w:hAnsi="Palatino Linotype" w:cstheme="minorHAnsi"/>
                <w:sz w:val="18"/>
                <w:szCs w:val="18"/>
              </w:rPr>
              <w:t>olanzapine,</w:t>
            </w:r>
            <w:r>
              <w:rPr>
                <w:rFonts w:ascii="Palatino Linotype" w:hAnsi="Palatino Linotype" w:cstheme="minorHAnsi"/>
                <w:sz w:val="18"/>
                <w:szCs w:val="18"/>
              </w:rPr>
              <w:t xml:space="preserve"> </w:t>
            </w:r>
            <w:proofErr w:type="spellStart"/>
            <w:r w:rsidRPr="00560587">
              <w:rPr>
                <w:rFonts w:ascii="Palatino Linotype" w:hAnsi="Palatino Linotype" w:cstheme="minorHAnsi"/>
                <w:sz w:val="18"/>
                <w:szCs w:val="18"/>
              </w:rPr>
              <w:t>loxapine</w:t>
            </w:r>
            <w:proofErr w:type="spellEnd"/>
            <w:r>
              <w:rPr>
                <w:rFonts w:ascii="Palatino Linotype" w:hAnsi="Palatino Linotype" w:cstheme="minorHAnsi"/>
                <w:sz w:val="18"/>
                <w:szCs w:val="18"/>
              </w:rPr>
              <w:t xml:space="preserve">, </w:t>
            </w:r>
            <w:r w:rsidRPr="00560587">
              <w:rPr>
                <w:rFonts w:ascii="Palatino Linotype" w:hAnsi="Palatino Linotype" w:cstheme="minorHAnsi"/>
                <w:sz w:val="18"/>
                <w:szCs w:val="18"/>
              </w:rPr>
              <w:t>chlorpromazine,</w:t>
            </w:r>
            <w:r>
              <w:rPr>
                <w:rFonts w:ascii="Palatino Linotype" w:hAnsi="Palatino Linotype" w:cstheme="minorHAnsi"/>
                <w:sz w:val="18"/>
                <w:szCs w:val="18"/>
              </w:rPr>
              <w:t xml:space="preserve"> </w:t>
            </w:r>
            <w:r w:rsidRPr="00560587">
              <w:rPr>
                <w:rFonts w:ascii="Palatino Linotype" w:hAnsi="Palatino Linotype" w:cstheme="minorHAnsi"/>
                <w:sz w:val="18"/>
                <w:szCs w:val="18"/>
              </w:rPr>
              <w:t>sulpiride, perphenazine, haloperidol, pipotiazine palmitate, and</w:t>
            </w:r>
            <w:r>
              <w:rPr>
                <w:rFonts w:ascii="Palatino Linotype" w:hAnsi="Palatino Linotype" w:cstheme="minorHAnsi"/>
                <w:sz w:val="18"/>
                <w:szCs w:val="18"/>
              </w:rPr>
              <w:t xml:space="preserve"> </w:t>
            </w:r>
            <w:r w:rsidRPr="00560587">
              <w:rPr>
                <w:rFonts w:ascii="Palatino Linotype" w:hAnsi="Palatino Linotype" w:cstheme="minorHAnsi"/>
                <w:sz w:val="18"/>
                <w:szCs w:val="18"/>
              </w:rPr>
              <w:t>others</w:t>
            </w:r>
          </w:p>
        </w:tc>
        <w:tc>
          <w:tcPr>
            <w:tcW w:w="1350" w:type="dxa"/>
          </w:tcPr>
          <w:p w14:paraId="5402837E" w14:textId="29B0B7FC" w:rsidR="0031439E" w:rsidRDefault="0031439E" w:rsidP="0031439E">
            <w:pPr>
              <w:rPr>
                <w:rFonts w:ascii="Palatino Linotype" w:hAnsi="Palatino Linotype" w:cstheme="minorHAnsi"/>
                <w:sz w:val="18"/>
                <w:szCs w:val="18"/>
              </w:rPr>
            </w:pPr>
            <w:r w:rsidRPr="00C112BA">
              <w:rPr>
                <w:rFonts w:ascii="Palatino Linotype" w:hAnsi="Palatino Linotype" w:cstheme="minorHAnsi"/>
                <w:sz w:val="18"/>
                <w:szCs w:val="18"/>
              </w:rPr>
              <w:t>agarose gel</w:t>
            </w:r>
            <w:r>
              <w:rPr>
                <w:rFonts w:ascii="Palatino Linotype" w:hAnsi="Palatino Linotype" w:cstheme="minorHAnsi"/>
                <w:sz w:val="18"/>
                <w:szCs w:val="18"/>
              </w:rPr>
              <w:t xml:space="preserve"> electrophoresis</w:t>
            </w:r>
          </w:p>
        </w:tc>
        <w:tc>
          <w:tcPr>
            <w:tcW w:w="2507" w:type="dxa"/>
          </w:tcPr>
          <w:p w14:paraId="7F7B5D8C" w14:textId="7B8F0653"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48582F7A" w14:textId="7C6039A9" w:rsidR="0031439E" w:rsidRPr="006A1E5F"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{"citationItems":[{"id":"ITEM-1","itemData":{"DOI":"10.1371/journal.pone.0070963","ISSN":"1932-6203","PMID":"23951054","abstract":"OBJECTIVE Tardive dyskinesia (TD) is a human hyperkinetic movement disorder as a result of potentially irreversible long-term chronic first-generation antipsychotic medications. Unfortunately, mechanisms involved in the development of TD have been poorly understood. Previous studies have indicated that some genetic polymorphisms of immune system and dopamine beta-hydroxylase (DBH) genes may be involved in the pathogenesis of TD. Rs1800872 and rs72393728 are located on the promoter of interleukin-10 (IL10) and DBH gene, respectively. The genetic association between the rs1800872 and TD is unclear. Previous studies have indicated that genetic variations of IL 10 and DBH are implicated in the positive and negative symptoms in schizophrenia. However, the interaction of two variations with severity of TD and symptoms of schizophrenic patients with TD has not been reported. The present study investigated whether these variations and their interaction were associated with clinical phenotypes of TD with schizophrenia in a genetically homogeneous northern Chinese Han population. METHODS Rs1800872 and rs72393728 were genotyped in schizophrenic patients with TD (n = 372) and without TD (NTD; n = 412). The Abnormal Involuntary Movement Scale (AIMS) and Positive and Negative Syndrome Scale (PANSS) were applied to assess the severity of TD and psychopathology of schizophrenia, respectively. RESULTS The allele and genotype frequencies of rs1800872 and rs72393728 did not significantly differ between TD and NTD patients (p&gt;0.05). No significant difference was found in the AIMS total score among the genotypes of two loci (p&gt;0.05). Interestingly, the interaction of rs1800872 and rs72393728 showed a significant association with the PANSS general score (p = 0.011), and a trend toward to the PANSS total score (p = 0.055). CONCLUSION These findings suggest that the interaction of rs1800872 and rs72393728 variants may play a role in psychopathology of the general symptoms on PANSS in schizophrenic patients with TD in a northern Chinese Han population.","author":[{"dropping-particle":"","family":"Sun","given":"Hongqiang","non-dropping-particle":"","parse-names":false,"suffix":""},{"dropping-particle":"","family":"Wang","given":"Fan","non-dropping-particle":"","parse-names":false,"suffix":""},{"dropping-particle":"","family":"Fan","given":"Hongzhen","non-dropping-particle":"","parse-names":false,"suffix":""},{"dropping-particle":"","family":"Yan","given":"Quanzhi","non-dropping-particle":"","parse-names":false,"suffix":""},{"dropping-particle":"","family":"Cui","given":"Kaiyan","non-dropping-particle":"","parse-names":false,"suffix":""},{"dropping-particle":"","family":"Yuan","given":"Wei","non-dropping-particle":"","parse-names":false,"suffix":""},{"dropping-particle":"","family":"Zhao","given":"Fushuai","non-dropping-particle":"","parse-names":false,"suffix":""},{"dropping-particle":"","family":"Zhao","given":"Lili","non-dropping-particle":"","parse-names":false,"suffix":""},{"dropping-particle":"","family":"Yuan","given":"Jie","non-dropping-particle":"","parse-names":false,"suffix":""},{"dropping-particle":"","family":"Yang","given":"Fude","non-dropping-particle":"","parse-names":false,"suffix":""},{"dropping-particle":"","family":"Kosten","given":"Thomas R","non-dropping-particle":"","parse-names":false,"suffix":""},{"dropping-particle":"","family":"Zhang","given":"Xiang Yang","non-dropping-particle":"","parse-names":false,"suffix":""}],"container-title":"PloS one","id":"ITEM-1","issue":"8","issued":{"date-parts":[["2013"]]},"page":"e70963","publisher":"PLoS One","title":"The interaction of polymorphisms of IL10 and DBH was associated with general symptoms of PANSS with TD in Chinese Han schizophrenic patients.","type":"article-journal","volume":"8"},"uris":["http://www.mendeley.com/documents/?uuid=db73b749-cb8c-31db-a0d5-ec5c89d8302b"]}],"mendeley":{"formattedCitation":"(Sun et al. 2013)","plainTextFormattedCitation":"(Sun et al. 2013)","previouslyFormattedCitation":"(Sun et al. 2013)"},"properties":{"noteIndex":0},"schema":"https://github.com/citation-style-language/schema/raw/master/csl-citation.json"}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(Sun et al. 2013)</w:t>
            </w:r>
            <w:r>
              <w:rPr>
                <w:rFonts w:ascii="Palatino Linotype" w:hAnsi="Palatino Linotype" w:cstheme="minorHAnsi"/>
                <w:b/>
                <w:sz w:val="18"/>
                <w:szCs w:val="18"/>
              </w:rPr>
              <w:fldChar w:fldCharType="end"/>
            </w:r>
          </w:p>
        </w:tc>
      </w:tr>
      <w:tr w:rsidR="0031439E" w:rsidRPr="00EA57B8" w14:paraId="32D42878" w14:textId="7A223921" w:rsidTr="0031439E">
        <w:tc>
          <w:tcPr>
            <w:tcW w:w="1094" w:type="dxa"/>
          </w:tcPr>
          <w:p w14:paraId="3E27C7ED" w14:textId="157FC35A"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HTR2A</w:t>
            </w:r>
          </w:p>
        </w:tc>
        <w:tc>
          <w:tcPr>
            <w:tcW w:w="1080" w:type="dxa"/>
          </w:tcPr>
          <w:p w14:paraId="0B4B9413" w14:textId="61761661" w:rsidR="0031439E"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rs6313</w:t>
            </w:r>
          </w:p>
        </w:tc>
        <w:tc>
          <w:tcPr>
            <w:tcW w:w="1080" w:type="dxa"/>
          </w:tcPr>
          <w:p w14:paraId="6F5B515C" w14:textId="0A457A68"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87</w:t>
            </w:r>
          </w:p>
        </w:tc>
        <w:tc>
          <w:tcPr>
            <w:tcW w:w="1170" w:type="dxa"/>
          </w:tcPr>
          <w:p w14:paraId="1D4D192E" w14:textId="2675A23A"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Chinese </w:t>
            </w:r>
            <w:r>
              <w:rPr>
                <w:rFonts w:ascii="Palatino Linotype" w:hAnsi="Palatino Linotype" w:cstheme="minorHAnsi"/>
                <w:sz w:val="18"/>
                <w:szCs w:val="18"/>
              </w:rPr>
              <w:t>(</w:t>
            </w:r>
            <w:r w:rsidRPr="006A1E5F">
              <w:rPr>
                <w:rFonts w:ascii="Palatino Linotype" w:hAnsi="Palatino Linotype"/>
                <w:sz w:val="18"/>
                <w:szCs w:val="18"/>
              </w:rPr>
              <w:t>Singaporean</w:t>
            </w:r>
            <w:r>
              <w:rPr>
                <w:rFonts w:ascii="Palatino Linotype" w:hAnsi="Palatino Linotype"/>
                <w:sz w:val="18"/>
                <w:szCs w:val="18"/>
              </w:rPr>
              <w:t>)</w:t>
            </w:r>
          </w:p>
        </w:tc>
        <w:tc>
          <w:tcPr>
            <w:tcW w:w="1350" w:type="dxa"/>
          </w:tcPr>
          <w:p w14:paraId="31CBBCC6" w14:textId="09DD58A0"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7015C135" w14:textId="0B9DA588" w:rsidR="0031439E" w:rsidRPr="00690A37" w:rsidRDefault="0031439E" w:rsidP="0031439E">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0DA200D3" w14:textId="39E3F6BF"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1B0647CA" w14:textId="797DDAE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Neuroleptics </w:t>
            </w:r>
          </w:p>
        </w:tc>
        <w:tc>
          <w:tcPr>
            <w:tcW w:w="1350" w:type="dxa"/>
          </w:tcPr>
          <w:p w14:paraId="43866243" w14:textId="6C437767"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sz w:val="18"/>
                <w:szCs w:val="18"/>
              </w:rPr>
              <w:t>Msp</w:t>
            </w:r>
            <w:proofErr w:type="spellEnd"/>
            <w:r w:rsidRPr="006A1E5F">
              <w:rPr>
                <w:rFonts w:ascii="Palatino Linotype" w:hAnsi="Palatino Linotype"/>
                <w:sz w:val="18"/>
                <w:szCs w:val="18"/>
              </w:rPr>
              <w:t>)</w:t>
            </w:r>
          </w:p>
        </w:tc>
        <w:tc>
          <w:tcPr>
            <w:tcW w:w="2507" w:type="dxa"/>
          </w:tcPr>
          <w:p w14:paraId="157489B9" w14:textId="7348A021"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sidRPr="006A1E5F">
              <w:rPr>
                <w:rFonts w:ascii="Palatino Linotype" w:hAnsi="Palatino Linotype" w:cstheme="minorHAnsi"/>
                <w:sz w:val="18"/>
                <w:szCs w:val="18"/>
              </w:rPr>
              <w:t xml:space="preserve">TT genotype </w:t>
            </w:r>
            <w:r>
              <w:rPr>
                <w:rFonts w:ascii="Palatino Linotype" w:hAnsi="Palatino Linotype" w:cstheme="minorHAnsi"/>
                <w:sz w:val="18"/>
                <w:szCs w:val="18"/>
              </w:rPr>
              <w:t>and lower risk of TD, and significant</w:t>
            </w:r>
            <w:r w:rsidRPr="006A1E5F">
              <w:rPr>
                <w:rFonts w:ascii="Palatino Linotype" w:hAnsi="Palatino Linotype" w:cstheme="minorHAnsi"/>
                <w:sz w:val="18"/>
                <w:szCs w:val="18"/>
              </w:rPr>
              <w:t xml:space="preserve"> difference in allelic levels between patients with and without TD</w:t>
            </w:r>
          </w:p>
        </w:tc>
        <w:tc>
          <w:tcPr>
            <w:tcW w:w="2173" w:type="dxa"/>
          </w:tcPr>
          <w:p w14:paraId="0DF690B7" w14:textId="5A6A3C5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{"citationItems":[{"id":"ITEM-1","itemData":{"ISSN":"0006-3223","PMID":"11526996","abstract":"BACKGROUND Genetic factors have been implicated in the pathophysiology of the movement disorder tardive dyskinesia, which may involve dopamine-serotonin interaction. Case-control association studies have identified the T102C polymorphism of the 5-HT2A receptor gene as being associated with schizophrenia and responsiveness to clozapine. In this study, we examine the association of this polymorphism in the 5-HT2A receptor gene as a risk factor for developing schizophrenia and tardive dyskinesia from prolonged treatment with neuroleptics. METHODS Ninety-seven healthy control subjects with no history of mental illness and 221 schizophrenic patients (87 with tardive dyskinesia, 134 without) were genotyped by PCR-RFLP. RESULTS Comparison between cases and control subjects revealed no significant association between the C allele and schizophrenia. There was significant difference in allele frequency (p = .044, OR = 1.54 95% CI = 1.02-2.33) between patients who developed tardive dyskinesia and those who did not. Significant difference remains even after adjusting for age and neuroleptic dosage (p = .041) with the odds ratio at 1.64 (95% CI = 1.02-2.62). CONCLUSIONS A genetic variant of the 5-HT2A receptor may be associated with neuroleptic-induced tardive dyskinesia in schizophrenia. Further studies are needed to replicate the finding. The role of 5-HT2A receptor in the etiology of tardive dyskinesia or treatment-resistant schizophrenia should be further investigated.","author":[{"dropping-particle":"","family":"Tan","given":"E C","non-dropping-particle":"","parse-names":false,"suffix":""},{"dropping-particle":"","family":"Chong","given":"S A","non-dropping-particle":"","parse-names":false,"suffix":""},{"dropping-particle":"","family":"Mahendran","given":"R","non-dropping-particle":"","parse-names":false,"suffix":""},{"dropping-particle":"","family":"Dong","given":"F","non-dropping-particle":"","parse-names":false,"suffix":""},{"dropping-particle":"","family":"Tan","given":"C H","non-dropping-particle":"","parse-names":false,"suffix":""}],"container-title":"Biological psychiatry","id":"ITEM-1","issue":"2","issued":{"date-parts":[["2001","7","15"]]},"page":"144-7","title":"Susceptibility to neuroleptic-induced tardive dyskinesia and the T102C polymorphism in the serotonin type 2A receptor.","type":"article-journal","volume":"50"},"uris":["http://www.mendeley.com/documents/?uuid=d1177adf-f812-3dba-8262-815a399e16b0"]}],"mendeley":{"formattedCitation":"(Tan et al. 2001)","plainTextFormattedCitation":"(Tan et al. 2001)","previouslyFormattedCitation":"(Tan et al. 2001)"},"properties":{"noteIndex":0},"schema":"https://github.com/citation-style-language/schema/raw/master/csl-citation.json"}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(Tan et al. 2001)</w:t>
            </w:r>
            <w:r w:rsidRPr="006A1E5F">
              <w:rPr>
                <w:rFonts w:ascii="Palatino Linotype" w:hAnsi="Palatino Linotype" w:cstheme="minorHAnsi"/>
                <w:sz w:val="18"/>
                <w:szCs w:val="18"/>
              </w:rPr>
              <w:fldChar w:fldCharType="end"/>
            </w:r>
          </w:p>
        </w:tc>
      </w:tr>
      <w:tr w:rsidR="0031439E" w:rsidRPr="00EA57B8" w14:paraId="5F9FE3CA" w14:textId="471A7B58" w:rsidTr="0031439E">
        <w:tc>
          <w:tcPr>
            <w:tcW w:w="1094" w:type="dxa"/>
          </w:tcPr>
          <w:p w14:paraId="4F0CE178" w14:textId="70DB4C2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CNR1</w:t>
            </w:r>
          </w:p>
        </w:tc>
        <w:tc>
          <w:tcPr>
            <w:tcW w:w="1080" w:type="dxa"/>
          </w:tcPr>
          <w:p w14:paraId="280496BC" w14:textId="77777777" w:rsidR="0031439E" w:rsidRPr="00AE2DED" w:rsidRDefault="0031439E" w:rsidP="0031439E">
            <w:pPr>
              <w:rPr>
                <w:rFonts w:ascii="Palatino Linotype" w:hAnsi="Palatino Linotype" w:cstheme="minorHAnsi"/>
                <w:sz w:val="18"/>
                <w:szCs w:val="18"/>
                <w:lang w:val="fr-FR"/>
                <w:rPrChange w:id="76"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fr-FR"/>
                <w:rPrChange w:id="77" w:author="Samson Oyebanjo" w:date="2021-12-31T16:52:00Z">
                  <w:rPr>
                    <w:rFonts w:ascii="Palatino Linotype" w:hAnsi="Palatino Linotype" w:cstheme="minorHAnsi"/>
                    <w:sz w:val="18"/>
                    <w:szCs w:val="18"/>
                  </w:rPr>
                </w:rPrChange>
              </w:rPr>
              <w:t xml:space="preserve">rs806368, rs12720071, rs1049353, rs80639, rs806370, </w:t>
            </w:r>
            <w:r w:rsidRPr="00AE2DED">
              <w:rPr>
                <w:rFonts w:ascii="Palatino Linotype" w:hAnsi="Palatino Linotype" w:cstheme="minorHAnsi"/>
                <w:sz w:val="18"/>
                <w:szCs w:val="18"/>
                <w:lang w:val="fr-FR"/>
                <w:rPrChange w:id="78" w:author="Samson Oyebanjo" w:date="2021-12-31T16:52:00Z">
                  <w:rPr>
                    <w:rFonts w:ascii="Palatino Linotype" w:hAnsi="Palatino Linotype" w:cstheme="minorHAnsi"/>
                    <w:sz w:val="18"/>
                    <w:szCs w:val="18"/>
                  </w:rPr>
                </w:rPrChange>
              </w:rPr>
              <w:lastRenderedPageBreak/>
              <w:t>rs806374, rs806375</w:t>
            </w:r>
          </w:p>
          <w:p w14:paraId="531770CE" w14:textId="77777777" w:rsidR="0031439E" w:rsidRPr="00AE2DED" w:rsidRDefault="0031439E" w:rsidP="0031439E">
            <w:pPr>
              <w:rPr>
                <w:rFonts w:ascii="Palatino Linotype" w:hAnsi="Palatino Linotype" w:cstheme="minorHAnsi"/>
                <w:sz w:val="18"/>
                <w:szCs w:val="18"/>
                <w:lang w:val="fr-FR"/>
                <w:rPrChange w:id="79"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fr-FR"/>
                <w:rPrChange w:id="80" w:author="Samson Oyebanjo" w:date="2021-12-31T16:52:00Z">
                  <w:rPr>
                    <w:rFonts w:ascii="Palatino Linotype" w:hAnsi="Palatino Linotype" w:cstheme="minorHAnsi"/>
                    <w:sz w:val="18"/>
                    <w:szCs w:val="18"/>
                  </w:rPr>
                </w:rPrChange>
              </w:rPr>
              <w:t>rs806377, rs806378</w:t>
            </w:r>
          </w:p>
          <w:p w14:paraId="56A87973" w14:textId="454F65C1" w:rsidR="0031439E" w:rsidRPr="00AE2DED" w:rsidRDefault="0031439E" w:rsidP="0031439E">
            <w:pPr>
              <w:rPr>
                <w:rFonts w:ascii="Palatino Linotype" w:hAnsi="Palatino Linotype" w:cstheme="minorHAnsi"/>
                <w:sz w:val="18"/>
                <w:szCs w:val="18"/>
                <w:lang w:val="fr-FR"/>
                <w:rPrChange w:id="81" w:author="Samson Oyebanjo" w:date="2021-12-31T16:52:00Z">
                  <w:rPr>
                    <w:rFonts w:ascii="Palatino Linotype" w:hAnsi="Palatino Linotype" w:cstheme="minorHAnsi"/>
                    <w:sz w:val="18"/>
                    <w:szCs w:val="18"/>
                  </w:rPr>
                </w:rPrChange>
              </w:rPr>
            </w:pPr>
            <w:r w:rsidRPr="00AE2DED">
              <w:rPr>
                <w:rFonts w:ascii="Palatino Linotype" w:hAnsi="Palatino Linotype" w:cstheme="minorHAnsi"/>
                <w:sz w:val="18"/>
                <w:szCs w:val="18"/>
                <w:lang w:val="fr-FR"/>
                <w:rPrChange w:id="82" w:author="Samson Oyebanjo" w:date="2021-12-31T16:52:00Z">
                  <w:rPr>
                    <w:rFonts w:ascii="Palatino Linotype" w:hAnsi="Palatino Linotype" w:cstheme="minorHAnsi"/>
                    <w:sz w:val="18"/>
                    <w:szCs w:val="18"/>
                  </w:rPr>
                </w:rPrChange>
              </w:rPr>
              <w:t>rs2023239, rs806380, rs806381, rs7752758, rs12528858, rs12205430, rs6914429, rs2180619, rs754387, rs9450902, rs10485170</w:t>
            </w:r>
          </w:p>
        </w:tc>
        <w:tc>
          <w:tcPr>
            <w:tcW w:w="1080" w:type="dxa"/>
          </w:tcPr>
          <w:p w14:paraId="13FC2EC2" w14:textId="11FF6B91" w:rsidR="0031439E" w:rsidRPr="00690A37" w:rsidRDefault="0031439E" w:rsidP="0031439E">
            <w:pPr>
              <w:rPr>
                <w:rFonts w:ascii="Palatino Linotype" w:hAnsi="Palatino Linotype" w:cstheme="minorHAnsi"/>
                <w:sz w:val="18"/>
                <w:szCs w:val="18"/>
              </w:rPr>
            </w:pPr>
            <w:r w:rsidRPr="003F7148">
              <w:rPr>
                <w:rFonts w:ascii="Palatino Linotype" w:hAnsi="Palatino Linotype" w:cstheme="minorHAnsi"/>
                <w:sz w:val="18"/>
                <w:szCs w:val="18"/>
              </w:rPr>
              <w:lastRenderedPageBreak/>
              <w:t>191</w:t>
            </w:r>
            <w:r>
              <w:rPr>
                <w:rFonts w:ascii="Palatino Linotype" w:hAnsi="Palatino Linotype" w:cstheme="minorHAnsi"/>
                <w:sz w:val="18"/>
                <w:szCs w:val="18"/>
              </w:rPr>
              <w:t xml:space="preserve"> (</w:t>
            </w:r>
            <w:r w:rsidRPr="003F7148">
              <w:rPr>
                <w:rFonts w:ascii="Palatino Linotype" w:hAnsi="Palatino Linotype" w:cstheme="minorHAnsi"/>
                <w:sz w:val="18"/>
                <w:szCs w:val="18"/>
              </w:rPr>
              <w:t>74 with TD)</w:t>
            </w:r>
          </w:p>
        </w:tc>
        <w:tc>
          <w:tcPr>
            <w:tcW w:w="1170" w:type="dxa"/>
          </w:tcPr>
          <w:p w14:paraId="4C9A8AF0" w14:textId="0ECE53F9"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r w:rsidRPr="003F7148">
              <w:rPr>
                <w:rFonts w:ascii="Palatino Linotype" w:hAnsi="Palatino Linotype" w:cstheme="minorHAnsi"/>
                <w:sz w:val="18"/>
                <w:szCs w:val="18"/>
              </w:rPr>
              <w:t xml:space="preserve"> </w:t>
            </w:r>
          </w:p>
        </w:tc>
        <w:tc>
          <w:tcPr>
            <w:tcW w:w="1350" w:type="dxa"/>
          </w:tcPr>
          <w:p w14:paraId="1C783713" w14:textId="77777777" w:rsidR="0031439E" w:rsidRPr="00A237AB" w:rsidRDefault="0031439E" w:rsidP="0031439E">
            <w:pPr>
              <w:rPr>
                <w:rFonts w:ascii="Palatino Linotype" w:eastAsiaTheme="minorHAnsi" w:hAnsi="Palatino Linotype" w:cstheme="minorHAnsi"/>
                <w:sz w:val="18"/>
                <w:szCs w:val="18"/>
                <w:lang w:eastAsia="en-US"/>
              </w:rPr>
            </w:pPr>
            <w:r w:rsidRPr="00A237AB">
              <w:rPr>
                <w:rFonts w:ascii="Palatino Linotype" w:eastAsiaTheme="minorHAnsi" w:hAnsi="Palatino Linotype" w:cstheme="minorHAnsi"/>
                <w:sz w:val="18"/>
                <w:szCs w:val="18"/>
                <w:lang w:eastAsia="en-US"/>
              </w:rPr>
              <w:t>Schizophrenia or schizoaffective disorder</w:t>
            </w:r>
          </w:p>
          <w:p w14:paraId="5FD0F772" w14:textId="6090D833" w:rsidR="0031439E" w:rsidRPr="00690A37" w:rsidRDefault="0031439E" w:rsidP="0031439E">
            <w:pPr>
              <w:rPr>
                <w:rFonts w:ascii="Palatino Linotype" w:hAnsi="Palatino Linotype" w:cstheme="minorHAnsi"/>
                <w:sz w:val="18"/>
                <w:szCs w:val="18"/>
              </w:rPr>
            </w:pPr>
          </w:p>
        </w:tc>
        <w:tc>
          <w:tcPr>
            <w:tcW w:w="1260" w:type="dxa"/>
          </w:tcPr>
          <w:p w14:paraId="6EB1BD95" w14:textId="4AE58F8C" w:rsidR="0031439E" w:rsidRPr="00690A37" w:rsidRDefault="0031439E" w:rsidP="0031439E">
            <w:pPr>
              <w:rPr>
                <w:rFonts w:ascii="Palatino Linotype" w:hAnsi="Palatino Linotype" w:cstheme="minorHAnsi"/>
                <w:sz w:val="18"/>
                <w:szCs w:val="18"/>
              </w:rPr>
            </w:pPr>
            <w:r w:rsidRPr="00A237AB">
              <w:rPr>
                <w:rFonts w:ascii="Palatino Linotype" w:eastAsiaTheme="minorHAnsi" w:hAnsi="Palatino Linotype" w:cstheme="minorHAnsi"/>
                <w:sz w:val="18"/>
                <w:szCs w:val="18"/>
                <w:lang w:eastAsia="en-US"/>
              </w:rPr>
              <w:t>DSM-III-R or IV</w:t>
            </w:r>
          </w:p>
        </w:tc>
        <w:tc>
          <w:tcPr>
            <w:tcW w:w="1170" w:type="dxa"/>
          </w:tcPr>
          <w:p w14:paraId="33C2EFEC" w14:textId="63C0B7D0" w:rsidR="0031439E" w:rsidRPr="00862CD3" w:rsidRDefault="0031439E" w:rsidP="0031439E">
            <w:pPr>
              <w:rPr>
                <w:rFonts w:ascii="Palatino Linotype" w:hAnsi="Palatino Linotype" w:cstheme="minorHAnsi"/>
                <w:sz w:val="18"/>
                <w:szCs w:val="18"/>
              </w:rPr>
            </w:pPr>
            <w:r w:rsidRPr="005725A7">
              <w:rPr>
                <w:rFonts w:ascii="Palatino Linotype" w:hAnsi="Palatino Linotype" w:cstheme="minorHAnsi"/>
                <w:sz w:val="18"/>
                <w:szCs w:val="18"/>
              </w:rPr>
              <w:t>AIMS or modified H</w:t>
            </w:r>
            <w:r>
              <w:rPr>
                <w:rFonts w:ascii="Palatino Linotype" w:hAnsi="Palatino Linotype" w:cstheme="minorHAnsi"/>
                <w:sz w:val="18"/>
                <w:szCs w:val="18"/>
              </w:rPr>
              <w:t>SDS</w:t>
            </w:r>
          </w:p>
        </w:tc>
        <w:tc>
          <w:tcPr>
            <w:tcW w:w="1170" w:type="dxa"/>
          </w:tcPr>
          <w:p w14:paraId="587AEEB3" w14:textId="73588B1D" w:rsidR="0031439E" w:rsidRDefault="0031439E" w:rsidP="0031439E">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011BBD1F" w14:textId="26DDCE99"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assay</w:t>
            </w:r>
          </w:p>
        </w:tc>
        <w:tc>
          <w:tcPr>
            <w:tcW w:w="2507" w:type="dxa"/>
          </w:tcPr>
          <w:p w14:paraId="20330051" w14:textId="264B8F30"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Association between r</w:t>
            </w:r>
            <w:r w:rsidRPr="00373BDC">
              <w:rPr>
                <w:rFonts w:ascii="Palatino Linotype" w:hAnsi="Palatino Linotype" w:cstheme="minorHAnsi"/>
                <w:sz w:val="18"/>
                <w:szCs w:val="18"/>
              </w:rPr>
              <w:t>s806374</w:t>
            </w:r>
            <w:r>
              <w:rPr>
                <w:rFonts w:ascii="Palatino Linotype" w:hAnsi="Palatino Linotype" w:cstheme="minorHAnsi"/>
                <w:sz w:val="18"/>
                <w:szCs w:val="18"/>
              </w:rPr>
              <w:t xml:space="preserve"> </w:t>
            </w:r>
            <w:r w:rsidRPr="00373BDC">
              <w:rPr>
                <w:rFonts w:ascii="Palatino Linotype" w:hAnsi="Palatino Linotype" w:cstheme="minorHAnsi"/>
                <w:sz w:val="18"/>
                <w:szCs w:val="18"/>
              </w:rPr>
              <w:t>C</w:t>
            </w:r>
            <w:r>
              <w:rPr>
                <w:rFonts w:ascii="Palatino Linotype" w:hAnsi="Palatino Linotype" w:cstheme="minorHAnsi"/>
                <w:sz w:val="18"/>
                <w:szCs w:val="18"/>
              </w:rPr>
              <w:t xml:space="preserve"> allele and CC</w:t>
            </w:r>
            <w:r w:rsidRPr="00373BDC">
              <w:rPr>
                <w:rFonts w:ascii="Palatino Linotype" w:hAnsi="Palatino Linotype" w:cstheme="minorHAnsi"/>
                <w:sz w:val="18"/>
                <w:szCs w:val="18"/>
              </w:rPr>
              <w:t xml:space="preserve"> genotype </w:t>
            </w:r>
            <w:r>
              <w:rPr>
                <w:rFonts w:ascii="Palatino Linotype" w:hAnsi="Palatino Linotype" w:cstheme="minorHAnsi"/>
                <w:sz w:val="18"/>
                <w:szCs w:val="18"/>
              </w:rPr>
              <w:t xml:space="preserve">and </w:t>
            </w:r>
            <w:r w:rsidRPr="00373BDC">
              <w:rPr>
                <w:rFonts w:ascii="Palatino Linotype" w:hAnsi="Palatino Linotype" w:cstheme="minorHAnsi"/>
                <w:sz w:val="18"/>
                <w:szCs w:val="18"/>
              </w:rPr>
              <w:t xml:space="preserve">TD </w:t>
            </w:r>
            <w:r>
              <w:rPr>
                <w:rFonts w:ascii="Palatino Linotype" w:hAnsi="Palatino Linotype" w:cstheme="minorHAnsi"/>
                <w:sz w:val="18"/>
                <w:szCs w:val="18"/>
              </w:rPr>
              <w:t xml:space="preserve">development and severity  </w:t>
            </w:r>
          </w:p>
        </w:tc>
        <w:tc>
          <w:tcPr>
            <w:tcW w:w="2173" w:type="dxa"/>
          </w:tcPr>
          <w:p w14:paraId="5DFAC804" w14:textId="2B0C6A7F" w:rsidR="0031439E"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{"citationItems":[{"id":"ITEM-1","itemData":{"DOI":"10.1038/tpj.2010.93","ISSN":"1473-1150","PMID":"21266946","abstract":"Tardive dyskinesia (TD) is a severe, debilitating movement disorder observed in 25-30% of the patients treated with typical antipsychotics. Cannabinoid receptor 1 (CNR1) activators tend to inhibit movement, an effect prevented by rimonabant and other selective CNR1 antagonists. Furthermore, CNR1 receptor is downregulated in Huntington's disease and upregulated in Parkinson's disease. Twenty tagSNPs spanning the CNR1 gene were analyzed in schizophrenia patients of European ancestry (n=191; 74 with TD). Significant genotypic (P=0.012) and allelic (P=0.012) association was observed with rs806374 (T&gt;C). Carriers of the CC genotype were more likely to be TD positive (CC vs TT+TC, odds ratio=3.4 (1.5-7.8), P=0.003) and had more severe TD (CC vs TT+TC; 9.52±9.2 vs 5.62±6.9, P=0.046). These results indicate a possible role of CNR1 in the development of TD in our patient population. However, these observations are marginal after correcting for multiple testing and need to be replicated in a larger patient population.","author":[{"dropping-particle":"","family":"Tiwari","given":"A K","non-dropping-particle":"","parse-names":false,"suffix":""},{"dropping-particle":"","family":"Zai","given":"C C","non-dropping-particle":"","parse-names":false,"suffix":""},{"dropping-particle":"","family":"Likhodi","given":"O","non-dropping-particle":"","parse-names":false,"suffix":""},{"dropping-particle":"","family":"Voineskos","given":"A N","non-dropping-particle":"","parse-names":false,"suffix":""},{"dropping-particle":"","family":"Meltzer","given":"H Y","non-dropping-particle":"","parse-names":false,"suffix":""},{"dropping-particle":"","family":"Lieberman","given":"J A","non-dropping-particle":"","parse-names":false,"suffix":""},{"dropping-particle":"","family":"Potkin","given":"S G","non-dropping-particle":"","parse-names":false,"suffix":""},{"dropping-particle":"","family":"Remington","given":"G","non-dropping-particle":"","parse-names":false,"suffix":""},{"dropping-particle":"","family":"Müller","given":"D J","non-dropping-particle":"","parse-names":false,"suffix":""},{"dropping-particle":"","family":"Kennedy","given":"J L","non-dropping-particle":"","parse-names":false,"suffix":""}],"container-title":"The pharmacogenomics journal","id":"ITEM-1","issue":"3","issued":{"date-parts":[["2012","6"]]},"page":"260-6","publisher":"Pharmacogenomics J","title":"Association study of cannabinoid receptor 1 (CNR1) gene in tardive dyskinesia.","type":"article-journal","volume":"12"},"uris":["http://www.mendeley.com/documents/?uuid=976f67d5-829f-3e01-b150-fca743e231ef"]}],"mendeley":{"formattedCitation":"(Tiwari et al. 2012)","plainTextFormattedCitation":"(Tiwari et al. 2012)","previouslyFormattedCitation":"(Tiwari et al. 2012)"},"properties":{"noteIndex":0},"schema":"https://github.com/citation-style-language/schema/raw/master/csl-citation.json"}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(Tiwari et al. 2012)</w:t>
            </w:r>
            <w:r>
              <w:rPr>
                <w:rFonts w:ascii="Palatino Linotype" w:hAnsi="Palatino Linotype" w:cstheme="minorHAnsi"/>
                <w:b/>
                <w:sz w:val="18"/>
                <w:szCs w:val="18"/>
              </w:rPr>
              <w:fldChar w:fldCharType="end"/>
            </w:r>
          </w:p>
        </w:tc>
      </w:tr>
      <w:tr w:rsidR="0031439E" w:rsidRPr="00EA57B8" w14:paraId="44031EF1" w14:textId="78D8349D" w:rsidTr="0031439E">
        <w:tc>
          <w:tcPr>
            <w:tcW w:w="1094" w:type="dxa"/>
          </w:tcPr>
          <w:p w14:paraId="573507D7" w14:textId="6FB58FB6"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ADORA1, ADORA2A, ADORA3</w:t>
            </w:r>
          </w:p>
        </w:tc>
        <w:tc>
          <w:tcPr>
            <w:tcW w:w="1080" w:type="dxa"/>
          </w:tcPr>
          <w:p w14:paraId="235721B8" w14:textId="77777777" w:rsidR="0031439E" w:rsidRPr="00385EF8" w:rsidRDefault="0031439E" w:rsidP="0031439E">
            <w:pPr>
              <w:rPr>
                <w:rFonts w:ascii="Palatino Linotype" w:hAnsi="Palatino Linotype" w:cstheme="minorHAnsi"/>
                <w:sz w:val="18"/>
                <w:szCs w:val="18"/>
              </w:rPr>
            </w:pPr>
            <w:r w:rsidRPr="00385EF8">
              <w:rPr>
                <w:rFonts w:ascii="Palatino Linotype" w:hAnsi="Palatino Linotype" w:cstheme="minorHAnsi"/>
                <w:sz w:val="18"/>
                <w:szCs w:val="18"/>
              </w:rPr>
              <w:t xml:space="preserve">rs1874142, rs10920568, rs3766566, rs3766560, rs3753472, rs3766553, rs12744240 </w:t>
            </w:r>
            <w:r>
              <w:rPr>
                <w:rFonts w:ascii="Palatino Linotype" w:hAnsi="Palatino Linotype" w:cstheme="minorHAnsi"/>
                <w:sz w:val="18"/>
                <w:szCs w:val="18"/>
              </w:rPr>
              <w:t>(</w:t>
            </w:r>
            <w:r w:rsidRPr="009E4BD6">
              <w:rPr>
                <w:rFonts w:ascii="Palatino Linotype" w:hAnsi="Palatino Linotype" w:cstheme="minorHAnsi"/>
                <w:i/>
                <w:iCs/>
                <w:sz w:val="18"/>
                <w:szCs w:val="18"/>
              </w:rPr>
              <w:t>ADORA1</w:t>
            </w:r>
            <w:r w:rsidRPr="00385EF8">
              <w:rPr>
                <w:rFonts w:ascii="Palatino Linotype" w:hAnsi="Palatino Linotype" w:cstheme="minorHAnsi"/>
                <w:sz w:val="18"/>
                <w:szCs w:val="18"/>
              </w:rPr>
              <w:t>)</w:t>
            </w:r>
            <w:r>
              <w:rPr>
                <w:rFonts w:ascii="Palatino Linotype" w:hAnsi="Palatino Linotype" w:cstheme="minorHAnsi"/>
                <w:sz w:val="18"/>
                <w:szCs w:val="18"/>
              </w:rPr>
              <w:t xml:space="preserve">, </w:t>
            </w:r>
            <w:r w:rsidRPr="00385EF8">
              <w:rPr>
                <w:rFonts w:ascii="Palatino Linotype" w:hAnsi="Palatino Linotype" w:cstheme="minorHAnsi"/>
                <w:sz w:val="18"/>
                <w:szCs w:val="18"/>
              </w:rPr>
              <w:t>rs2298383, rs2236624, rs57</w:t>
            </w:r>
          </w:p>
          <w:p w14:paraId="287A9BE6" w14:textId="60B55932" w:rsidR="0031439E" w:rsidRPr="00690A37" w:rsidRDefault="0031439E" w:rsidP="0031439E">
            <w:pPr>
              <w:rPr>
                <w:rFonts w:ascii="Palatino Linotype" w:hAnsi="Palatino Linotype" w:cstheme="minorHAnsi"/>
                <w:sz w:val="18"/>
                <w:szCs w:val="18"/>
              </w:rPr>
            </w:pPr>
            <w:r w:rsidRPr="00385EF8">
              <w:rPr>
                <w:rFonts w:ascii="Palatino Linotype" w:hAnsi="Palatino Linotype" w:cstheme="minorHAnsi"/>
                <w:sz w:val="18"/>
                <w:szCs w:val="18"/>
              </w:rPr>
              <w:t>51876, rs3532047</w:t>
            </w:r>
            <w:r w:rsidRPr="00385EF8">
              <w:rPr>
                <w:rFonts w:ascii="Palatino Linotype" w:hAnsi="Palatino Linotype" w:cstheme="minorHAnsi"/>
                <w:sz w:val="18"/>
                <w:szCs w:val="18"/>
              </w:rPr>
              <w:lastRenderedPageBreak/>
              <w:t>4, rs17004921</w:t>
            </w:r>
            <w:r>
              <w:rPr>
                <w:rFonts w:ascii="Palatino Linotype" w:hAnsi="Palatino Linotype" w:cstheme="minorHAnsi"/>
                <w:sz w:val="18"/>
                <w:szCs w:val="18"/>
              </w:rPr>
              <w:t xml:space="preserve"> (</w:t>
            </w:r>
            <w:r w:rsidRPr="009E4BD6">
              <w:rPr>
                <w:rFonts w:ascii="Palatino Linotype" w:hAnsi="Palatino Linotype" w:cstheme="minorHAnsi"/>
                <w:i/>
                <w:iCs/>
                <w:sz w:val="18"/>
                <w:szCs w:val="18"/>
              </w:rPr>
              <w:t>ADORA2A</w:t>
            </w:r>
            <w:r w:rsidRPr="00385EF8">
              <w:rPr>
                <w:rFonts w:ascii="Palatino Linotype" w:hAnsi="Palatino Linotype" w:cstheme="minorHAnsi"/>
                <w:sz w:val="18"/>
                <w:szCs w:val="18"/>
              </w:rPr>
              <w:t>),</w:t>
            </w:r>
            <w:r w:rsidRPr="00A237AB">
              <w:t xml:space="preserve"> </w:t>
            </w:r>
            <w:r w:rsidRPr="0042630C">
              <w:rPr>
                <w:rFonts w:ascii="Palatino Linotype" w:hAnsi="Palatino Linotype" w:cstheme="minorHAnsi"/>
                <w:sz w:val="18"/>
                <w:szCs w:val="18"/>
              </w:rPr>
              <w:t>rs3394, rs3393, rs2229155, rs35511654, rs1544223, rs2298191</w:t>
            </w:r>
            <w:r>
              <w:rPr>
                <w:rFonts w:ascii="Palatino Linotype" w:hAnsi="Palatino Linotype" w:cstheme="minorHAnsi"/>
                <w:sz w:val="18"/>
                <w:szCs w:val="18"/>
              </w:rPr>
              <w:t xml:space="preserve"> (</w:t>
            </w:r>
            <w:r w:rsidRPr="009E4BD6">
              <w:rPr>
                <w:rFonts w:ascii="Palatino Linotype" w:hAnsi="Palatino Linotype" w:cstheme="minorHAnsi"/>
                <w:i/>
                <w:iCs/>
                <w:sz w:val="18"/>
                <w:szCs w:val="18"/>
              </w:rPr>
              <w:t>ADORA3</w:t>
            </w:r>
            <w:r w:rsidRPr="0042630C">
              <w:rPr>
                <w:rFonts w:ascii="Palatino Linotype" w:hAnsi="Palatino Linotype" w:cstheme="minorHAnsi"/>
                <w:sz w:val="18"/>
                <w:szCs w:val="18"/>
              </w:rPr>
              <w:t>)</w:t>
            </w:r>
          </w:p>
        </w:tc>
        <w:tc>
          <w:tcPr>
            <w:tcW w:w="1080" w:type="dxa"/>
          </w:tcPr>
          <w:p w14:paraId="02BB8367" w14:textId="282BCCB3" w:rsidR="0031439E" w:rsidRPr="00690A37" w:rsidRDefault="0031439E" w:rsidP="0031439E">
            <w:pPr>
              <w:rPr>
                <w:rFonts w:ascii="Palatino Linotype" w:hAnsi="Palatino Linotype" w:cstheme="minorHAnsi"/>
                <w:sz w:val="18"/>
                <w:szCs w:val="18"/>
              </w:rPr>
            </w:pPr>
            <w:r w:rsidRPr="00960488">
              <w:rPr>
                <w:rFonts w:ascii="Palatino Linotype" w:hAnsi="Palatino Linotype" w:cstheme="minorHAnsi"/>
                <w:sz w:val="18"/>
                <w:szCs w:val="18"/>
              </w:rPr>
              <w:lastRenderedPageBreak/>
              <w:t>127</w:t>
            </w:r>
          </w:p>
        </w:tc>
        <w:tc>
          <w:tcPr>
            <w:tcW w:w="1170" w:type="dxa"/>
          </w:tcPr>
          <w:p w14:paraId="6EACA669" w14:textId="3358BA55" w:rsidR="0031439E" w:rsidRPr="00690A37" w:rsidRDefault="0031439E" w:rsidP="0031439E">
            <w:pPr>
              <w:rPr>
                <w:rFonts w:ascii="Palatino Linotype" w:hAnsi="Palatino Linotype" w:cstheme="minorHAnsi"/>
                <w:sz w:val="18"/>
                <w:szCs w:val="18"/>
              </w:rPr>
            </w:pPr>
            <w:r w:rsidRPr="00A31BB0">
              <w:rPr>
                <w:rFonts w:ascii="Palatino Linotype" w:hAnsi="Palatino Linotype" w:cstheme="minorHAnsi"/>
                <w:sz w:val="18"/>
                <w:szCs w:val="18"/>
              </w:rPr>
              <w:t>Caucasian (Slovenian)</w:t>
            </w:r>
          </w:p>
        </w:tc>
        <w:tc>
          <w:tcPr>
            <w:tcW w:w="1350" w:type="dxa"/>
          </w:tcPr>
          <w:p w14:paraId="7078F97D" w14:textId="6DF11768" w:rsidR="0031439E" w:rsidRPr="00690A37" w:rsidRDefault="0031439E" w:rsidP="0031439E">
            <w:pPr>
              <w:rPr>
                <w:rFonts w:ascii="Palatino Linotype" w:hAnsi="Palatino Linotype" w:cstheme="minorHAnsi"/>
                <w:sz w:val="18"/>
                <w:szCs w:val="18"/>
              </w:rPr>
            </w:pPr>
            <w:r w:rsidRPr="008B246C">
              <w:rPr>
                <w:rFonts w:ascii="Palatino Linotype" w:hAnsi="Palatino Linotype" w:cstheme="minorHAnsi"/>
                <w:sz w:val="18"/>
                <w:szCs w:val="18"/>
              </w:rPr>
              <w:t>schizophrenia,</w:t>
            </w:r>
            <w:r>
              <w:rPr>
                <w:rFonts w:ascii="Palatino Linotype" w:hAnsi="Palatino Linotype" w:cstheme="minorHAnsi"/>
                <w:sz w:val="18"/>
                <w:szCs w:val="18"/>
              </w:rPr>
              <w:t xml:space="preserve"> </w:t>
            </w:r>
            <w:r w:rsidRPr="008B246C">
              <w:rPr>
                <w:rFonts w:ascii="Palatino Linotype" w:hAnsi="Palatino Linotype" w:cstheme="minorHAnsi"/>
                <w:sz w:val="18"/>
                <w:szCs w:val="18"/>
              </w:rPr>
              <w:t>schizoaffective</w:t>
            </w:r>
            <w:r>
              <w:rPr>
                <w:rFonts w:ascii="Palatino Linotype" w:hAnsi="Palatino Linotype" w:cstheme="minorHAnsi"/>
                <w:sz w:val="18"/>
                <w:szCs w:val="18"/>
              </w:rPr>
              <w:t xml:space="preserve"> </w:t>
            </w:r>
            <w:r w:rsidRPr="008B246C">
              <w:rPr>
                <w:rFonts w:ascii="Palatino Linotype" w:hAnsi="Palatino Linotype" w:cstheme="minorHAnsi"/>
                <w:sz w:val="18"/>
                <w:szCs w:val="18"/>
              </w:rPr>
              <w:t>disorder</w:t>
            </w:r>
            <w:r>
              <w:rPr>
                <w:rFonts w:ascii="Palatino Linotype" w:hAnsi="Palatino Linotype" w:cstheme="minorHAnsi"/>
                <w:sz w:val="18"/>
                <w:szCs w:val="18"/>
              </w:rPr>
              <w:t xml:space="preserve"> and other psychotic disorders</w:t>
            </w:r>
          </w:p>
        </w:tc>
        <w:tc>
          <w:tcPr>
            <w:tcW w:w="1260" w:type="dxa"/>
          </w:tcPr>
          <w:p w14:paraId="6C081E2E" w14:textId="551BEA64"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0E7AA899" w14:textId="2AFBD0AD" w:rsidR="0031439E" w:rsidRPr="00862CD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12A2BFFD" w14:textId="1981483A" w:rsidR="0031439E" w:rsidRDefault="0031439E" w:rsidP="0031439E">
            <w:pPr>
              <w:rPr>
                <w:rFonts w:ascii="Palatino Linotype" w:hAnsi="Palatino Linotype" w:cstheme="minorHAnsi"/>
                <w:sz w:val="18"/>
                <w:szCs w:val="18"/>
              </w:rPr>
            </w:pPr>
            <w:r w:rsidRPr="006C044B">
              <w:rPr>
                <w:rFonts w:ascii="Palatino Linotype" w:hAnsi="Palatino Linotype" w:cstheme="minorHAnsi"/>
                <w:sz w:val="18"/>
                <w:szCs w:val="18"/>
              </w:rPr>
              <w:t>Risperidone</w:t>
            </w:r>
            <w:r>
              <w:rPr>
                <w:rFonts w:ascii="Palatino Linotype" w:hAnsi="Palatino Linotype" w:cstheme="minorHAnsi"/>
                <w:sz w:val="18"/>
                <w:szCs w:val="18"/>
              </w:rPr>
              <w:t xml:space="preserve">, </w:t>
            </w:r>
            <w:r w:rsidRPr="006C044B">
              <w:rPr>
                <w:rFonts w:ascii="Palatino Linotype" w:hAnsi="Palatino Linotype" w:cstheme="minorHAnsi"/>
                <w:sz w:val="18"/>
                <w:szCs w:val="18"/>
              </w:rPr>
              <w:t>haloperidol</w:t>
            </w:r>
            <w:r>
              <w:rPr>
                <w:rFonts w:ascii="Palatino Linotype" w:hAnsi="Palatino Linotype" w:cstheme="minorHAnsi"/>
                <w:sz w:val="18"/>
                <w:szCs w:val="18"/>
              </w:rPr>
              <w:t xml:space="preserve">, </w:t>
            </w:r>
            <w:r w:rsidRPr="006C044B">
              <w:rPr>
                <w:rFonts w:ascii="Palatino Linotype" w:hAnsi="Palatino Linotype" w:cstheme="minorHAnsi"/>
                <w:sz w:val="18"/>
                <w:szCs w:val="18"/>
              </w:rPr>
              <w:t>fluphenazine</w:t>
            </w:r>
            <w:r>
              <w:rPr>
                <w:rFonts w:ascii="Palatino Linotype" w:hAnsi="Palatino Linotype" w:cstheme="minorHAnsi"/>
                <w:sz w:val="18"/>
                <w:szCs w:val="18"/>
              </w:rPr>
              <w:t xml:space="preserve">, </w:t>
            </w:r>
            <w:r w:rsidRPr="006C044B">
              <w:rPr>
                <w:rFonts w:ascii="Palatino Linotype" w:hAnsi="Palatino Linotype" w:cstheme="minorHAnsi"/>
                <w:sz w:val="18"/>
                <w:szCs w:val="18"/>
              </w:rPr>
              <w:t>zuclopenthixol</w:t>
            </w:r>
            <w:r>
              <w:rPr>
                <w:rFonts w:ascii="Palatino Linotype" w:hAnsi="Palatino Linotype" w:cstheme="minorHAnsi"/>
                <w:sz w:val="18"/>
                <w:szCs w:val="18"/>
              </w:rPr>
              <w:t>,</w:t>
            </w:r>
            <w:r w:rsidRPr="006C044B">
              <w:rPr>
                <w:rFonts w:ascii="Palatino Linotype" w:hAnsi="Palatino Linotype" w:cstheme="minorHAnsi"/>
                <w:sz w:val="18"/>
                <w:szCs w:val="18"/>
              </w:rPr>
              <w:t xml:space="preserve"> thioridazine</w:t>
            </w:r>
          </w:p>
        </w:tc>
        <w:tc>
          <w:tcPr>
            <w:tcW w:w="1350" w:type="dxa"/>
          </w:tcPr>
          <w:p w14:paraId="08AC0E8D" w14:textId="0FBCA893" w:rsidR="0031439E" w:rsidRPr="00862CD3" w:rsidRDefault="0031439E" w:rsidP="0031439E">
            <w:pPr>
              <w:rPr>
                <w:rFonts w:ascii="Palatino Linotype" w:hAnsi="Palatino Linotype" w:cstheme="minorHAnsi"/>
                <w:sz w:val="18"/>
                <w:szCs w:val="18"/>
              </w:rPr>
            </w:pPr>
            <w:proofErr w:type="spellStart"/>
            <w:r w:rsidRPr="006E77CB">
              <w:rPr>
                <w:rFonts w:ascii="Palatino Linotype" w:hAnsi="Palatino Linotype" w:cstheme="minorHAnsi"/>
                <w:sz w:val="18"/>
                <w:szCs w:val="18"/>
              </w:rPr>
              <w:t>KASPar</w:t>
            </w:r>
            <w:proofErr w:type="spellEnd"/>
            <w:r w:rsidRPr="006E77CB">
              <w:rPr>
                <w:rFonts w:ascii="Palatino Linotype" w:hAnsi="Palatino Linotype" w:cstheme="minorHAnsi"/>
                <w:sz w:val="18"/>
                <w:szCs w:val="18"/>
              </w:rPr>
              <w:t xml:space="preserve"> allele-specific PCR assay</w:t>
            </w:r>
          </w:p>
        </w:tc>
        <w:tc>
          <w:tcPr>
            <w:tcW w:w="2507" w:type="dxa"/>
          </w:tcPr>
          <w:p w14:paraId="4BB6EF32" w14:textId="539BB82A"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 xml:space="preserve">The </w:t>
            </w:r>
            <w:r w:rsidRPr="00F22ECB">
              <w:rPr>
                <w:rFonts w:ascii="Palatino Linotype" w:hAnsi="Palatino Linotype" w:cstheme="minorHAnsi"/>
                <w:sz w:val="18"/>
                <w:szCs w:val="18"/>
              </w:rPr>
              <w:t xml:space="preserve">CACTAT </w:t>
            </w:r>
            <w:r>
              <w:rPr>
                <w:rFonts w:ascii="Palatino Linotype" w:hAnsi="Palatino Linotype" w:cstheme="minorHAnsi"/>
                <w:sz w:val="18"/>
                <w:szCs w:val="18"/>
              </w:rPr>
              <w:t xml:space="preserve">haplotype of </w:t>
            </w:r>
            <w:r w:rsidRPr="00DD0B28">
              <w:rPr>
                <w:rFonts w:ascii="Palatino Linotype" w:hAnsi="Palatino Linotype" w:cstheme="minorHAnsi"/>
                <w:i/>
                <w:iCs/>
                <w:sz w:val="18"/>
                <w:szCs w:val="18"/>
              </w:rPr>
              <w:t>ADORA3</w:t>
            </w:r>
            <w:r w:rsidRPr="00B50BC3">
              <w:rPr>
                <w:rFonts w:ascii="Palatino Linotype" w:hAnsi="Palatino Linotype" w:cstheme="minorHAnsi"/>
                <w:sz w:val="18"/>
                <w:szCs w:val="18"/>
              </w:rPr>
              <w:t xml:space="preserve"> </w:t>
            </w:r>
            <w:r w:rsidRPr="00F22ECB">
              <w:rPr>
                <w:rFonts w:ascii="Palatino Linotype" w:hAnsi="Palatino Linotype" w:cstheme="minorHAnsi"/>
                <w:sz w:val="18"/>
                <w:szCs w:val="18"/>
              </w:rPr>
              <w:t>was associated with</w:t>
            </w:r>
            <w:r>
              <w:rPr>
                <w:rFonts w:ascii="Palatino Linotype" w:hAnsi="Palatino Linotype" w:cstheme="minorHAnsi"/>
                <w:sz w:val="18"/>
                <w:szCs w:val="18"/>
              </w:rPr>
              <w:t xml:space="preserve"> TD </w:t>
            </w:r>
          </w:p>
        </w:tc>
        <w:tc>
          <w:tcPr>
            <w:tcW w:w="2173" w:type="dxa"/>
          </w:tcPr>
          <w:p w14:paraId="19677235" w14:textId="3DBE80DC" w:rsidR="0031439E" w:rsidRDefault="0031439E" w:rsidP="0031439E">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sidR="005E78F7">
              <w:rPr>
                <w:rFonts w:ascii="Palatino Linotype" w:hAnsi="Palatino Linotype" w:cstheme="minorHAnsi"/>
                <w:b/>
                <w:sz w:val="18"/>
                <w:szCs w:val="18"/>
              </w:rPr>
              <w:instrText>ADDIN CSL_CITATION {"citationItems":[{"id":"ITEM-1","itemData":{"DOI":"10.1089/omi.2016.0003","ISSN":"1557-8100","PMID":"27195966","abstract":"The existing antipsychotic therapy is based on dopamine hyperfunction and glutamate hypofunction hypotheses of schizophrenia. Adenosine receptors (ADORA) have a neuromodulatory role and can control dopaminergic and glutamatergic systems. To elucidate the effect of ADORA polymorphisms on psychopathological symptoms and adverse effects in patients with schizophrenia on long-term antipsychotic treatment, we examined 127 nonacute schizophrenia outpatients in a cross-sectional study using the Positive and Negative Symptoms Scale, Simpson-Angus Scale, Barnes Akathisia Rating Scale, and Abnormal Involuntary Movement Scale. All patients were genotyped for 18 polymorphisms in ADORA1, ADORA2A, and ADORA3. We found an association between ADORA1 rs3766566 and psychopathological symptoms (p = 0.006), in particular, with positive psychopathological symptoms (p = 0.010) and general psychopathological symptoms (p = 0.023), between ADORA2A rs2298383 and general psychopathological symptoms (p = 0.046), and between ADORA2A rs5751876 and akathisia (p = 0.015). Haplotype analysis showed an association between ADORA1 CTCAACG haplotype and overall psychopathological symptoms (p = 0.019), positive psychopathological symptoms (p = 0.021), and akathisia (p = 0.028). ADORA2A TCCTC haplotype was associated with parkinsonism (p = 0.014). ADORA3 CACTAC was associated with akathisia (p = 0.042), whereas CACTAT was associated with akathisia (p = 0.045) and tardive dyskinesia (p = 0.023). The results of this first comprehensive study on ADORA polymorphisms in patients with nonacute schizophrenia receiving long-term antipsychotic therapy suggest an important neuromodulatory role of ADORA receptors in both psychopathological symptoms and adverse effects of antipsychotics.","author":[{"dropping-particle":"","family":"Turčin","given":"Arijana","non-dropping-particle":"","parse-names":false,"suffix":""},{"dropping-particle":"","family":"Dolžan","given":"Vita","non-dropping-particle":"","parse-names":false,"suffix":""},{"dropping-particle":"","family":"Porcelli","given":"Stefano","non-dropping-particle":"","parse-names":false,"suffix":""},{"dropping-particle":"","family":"Serretti","given":"Alessandro","non-dropping-particle":"","parse-names":false,"suffix":""},{"dropping-particle":"","family":"Plesničar","given":"Blanka Kores","non-dropping-particle":"","parse-names":false,"suffix":""}],"container-title":"Omics : a journal of integrative biology","id":"ITEM-1","issue":"5","issued":{"date-parts":[["2016"]]},"page":"283-9","publisher":"OMICS","title":"Adenosine Hypothesis of Antipsychotic Drugs Revisited: Pharmacogenomics Variation in Nonacute Schizophrenia.","type":"article-journal","volume":"20"},"uris":["http://www.mendeley.com/documents/?uuid=5120ea43-2cf3-38ef-84ec-c910e5d0424c"]}],"mendeley":{"formattedCitation":"(Turčin et al. 2016)","plainTextFormattedCitation":"(Turčin et al. 2016)","previouslyFormattedCitation":"(Turčin et al. 2016)"},"properties":{"noteIndex":0},"schema":"https://github.com/citation-style-language/schema/raw/master/csl-citation.json"}</w:instrText>
            </w:r>
            <w:r>
              <w:rPr>
                <w:rFonts w:ascii="Palatino Linotype" w:hAnsi="Palatino Linotype" w:cstheme="minorHAnsi"/>
                <w:b/>
                <w:sz w:val="18"/>
                <w:szCs w:val="18"/>
              </w:rPr>
              <w:fldChar w:fldCharType="separate"/>
            </w:r>
            <w:r w:rsidR="001060C2" w:rsidRPr="001060C2">
              <w:rPr>
                <w:rFonts w:ascii="Palatino Linotype" w:hAnsi="Palatino Linotype" w:cstheme="minorHAnsi"/>
                <w:noProof/>
                <w:sz w:val="18"/>
                <w:szCs w:val="18"/>
              </w:rPr>
              <w:t>(Turčin et al. 2016)</w:t>
            </w:r>
            <w:r>
              <w:rPr>
                <w:rFonts w:ascii="Palatino Linotype" w:hAnsi="Palatino Linotype" w:cstheme="minorHAnsi"/>
                <w:b/>
                <w:sz w:val="18"/>
                <w:szCs w:val="18"/>
              </w:rPr>
              <w:fldChar w:fldCharType="end"/>
            </w:r>
          </w:p>
        </w:tc>
      </w:tr>
      <w:tr w:rsidR="0031439E" w:rsidRPr="00EA57B8" w14:paraId="1042B661" w14:textId="309528CE" w:rsidTr="0031439E">
        <w:tc>
          <w:tcPr>
            <w:tcW w:w="1094" w:type="dxa"/>
          </w:tcPr>
          <w:p w14:paraId="1631B2F6" w14:textId="63963D67"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0BAB5286" w14:textId="15BE854B" w:rsidR="0031439E" w:rsidRPr="006A1E5F"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46899946" w14:textId="490C3ECD"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200</w:t>
            </w:r>
          </w:p>
        </w:tc>
        <w:tc>
          <w:tcPr>
            <w:tcW w:w="1170" w:type="dxa"/>
          </w:tcPr>
          <w:p w14:paraId="75D20CEB"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Caucasian </w:t>
            </w:r>
            <w:r>
              <w:rPr>
                <w:rFonts w:ascii="Palatino Linotype" w:hAnsi="Palatino Linotype" w:cstheme="minorHAnsi"/>
                <w:sz w:val="18"/>
                <w:szCs w:val="18"/>
              </w:rPr>
              <w:t>(</w:t>
            </w:r>
            <w:r w:rsidRPr="006A1E5F">
              <w:rPr>
                <w:rFonts w:ascii="Palatino Linotype" w:hAnsi="Palatino Linotype" w:cstheme="minorHAnsi"/>
                <w:sz w:val="18"/>
                <w:szCs w:val="18"/>
              </w:rPr>
              <w:t>Scotland, European, German</w:t>
            </w:r>
            <w:r>
              <w:rPr>
                <w:rFonts w:ascii="Palatino Linotype" w:hAnsi="Palatino Linotype" w:cstheme="minorHAnsi"/>
                <w:sz w:val="18"/>
                <w:szCs w:val="18"/>
              </w:rPr>
              <w:t>)</w:t>
            </w:r>
          </w:p>
          <w:p w14:paraId="27C9EDEB" w14:textId="16469A6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Chinese, Korean and Japanese</w:t>
            </w:r>
          </w:p>
        </w:tc>
        <w:tc>
          <w:tcPr>
            <w:tcW w:w="1350" w:type="dxa"/>
          </w:tcPr>
          <w:p w14:paraId="08B921E6" w14:textId="2D9DD475"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260" w:type="dxa"/>
          </w:tcPr>
          <w:p w14:paraId="415619A5" w14:textId="1AEC5616"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1F22A569" w14:textId="77AF4BB4"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0F307827" w14:textId="1AF81DB2"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FGAs</w:t>
            </w:r>
          </w:p>
        </w:tc>
        <w:tc>
          <w:tcPr>
            <w:tcW w:w="1350" w:type="dxa"/>
          </w:tcPr>
          <w:p w14:paraId="3B97FF52" w14:textId="77777777"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TaqMan allele specific</w:t>
            </w:r>
          </w:p>
          <w:p w14:paraId="517E1CD3" w14:textId="512AB578"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assay</w:t>
            </w:r>
          </w:p>
        </w:tc>
        <w:tc>
          <w:tcPr>
            <w:tcW w:w="2507" w:type="dxa"/>
          </w:tcPr>
          <w:p w14:paraId="6E24AE61" w14:textId="6E809DC6"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654B4099" w14:textId="10FBCB44"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{"citationItems":[{"id":"ITEM-1","itemData":{"DOI":"10.1016/j.neulet.2011.11.050","ISSN":"1872-7972","PMID":"22172931","abstract":"The dopamine D3 receptor gene (DRD3) is considered being one of the candidate genes contributing to the development of tardive dyskinesia (TD). In a recent meta-analysis with mixed ethnicities, only a barely positive association was found between the functional DRD3 Ser9Gly polymorphism and TD in patients with schizophrenia (OR=1.17; 95% CI: 1.01-1.37; p=0.041). To further evaluate the controversial association between the polymorphism and TD using only Japanese subjects, we tested the association in a case-control design. We also conducted a meta-analysis including 8 studies with 3 East Asian populations (Japanese, Chinese, and Korean). In our Japanese case-control sample (43 with TD/157 without TD), we found no association between the DRD3 Ser9Gly polymorphism in schizophrenia and TD (genotype: p=0.92; allele: p=1.00). Furthermore, no significant difference in the mean AIMS score among the three genotypic groups was observed in our sample. The meta-analysis comprising 1291 East Asian subjects also showed no association between the polymorphism and TD; the Mantel-Haenszel pooled OR for TD among carriers of the DRD3 Ser9Gly of the eight Asian studies was 0.94 (95% CI: 0.78-1.12). Overall, our results suggest that the DRD3 Ser9Gly polymorphism may not confer susceptibility to TD in East Asian populations. Given that the Ser9Gly variant may play a putative role in the DRD3 function, further studies on the DRD3 are warranted.","author":[{"dropping-particle":"","family":"Utsunomiya","given":"Kensuke","non-dropping-particle":"","parse-names":false,"suffix":""},{"dropping-particle":"","family":"Shinkai","given":"Takahiro","non-dropping-particle":"","parse-names":false,"suffix":""},{"dropping-particle":"","family":"Sakata","given":"Shinichi","non-dropping-particle":"","parse-names":false,"suffix":""},{"dropping-particle":"","family":"Yamada","given":"Kenji","non-dropping-particle":"","parse-names":false,"suffix":""},{"dropping-particle":"","family":"Chen","given":"Hsin-I","non-dropping-particle":"","parse-names":false,"suffix":""},{"dropping-particle":"","family":"Luca","given":"Vincenzo","non-dropping-particle":"De","parse-names":false,"suffix":""},{"dropping-particle":"","family":"Hwang","given":"Rudi","non-dropping-particle":"","parse-names":false,"suffix":""},{"dropping-particle":"","family":"Ohmori","given":"Osamu","non-dropping-particle":"","parse-names":false,"suffix":""},{"dropping-particle":"","family":"Nakamura","given":"Jun","non-dropping-particle":"","parse-names":false,"suffix":""}],"container-title":"Neuroscience letters","id":"ITEM-1","issue":"1","issued":{"date-parts":[["2012","1","17"]]},"page":"52-6","title":"Genetic association between the dopamine D3 receptor gene polymorphism (Ser9Gly) and tardive dyskinesia in patients with schizophrenia: a reevaluation in East Asian populations.","type":"article-journal","volume":"507"},"uris":["http://www.mendeley.com/documents/?uuid=80f4214b-8dab-3b69-8704-2384eae8fe13"]}],"mendeley":{"formattedCitation":"(Utsunomiya et al. 2012)","plainTextFormattedCitation":"(Utsunomiya et al. 2012)","previouslyFormattedCitation":"(Utsunomiya et al. 2012)"},"properties":{"noteIndex":0},"schema":"https://github.com/citation-style-language/schema/raw/master/csl-citation.json"}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(Utsunomiya et al. 2012)</w:t>
            </w:r>
            <w:r w:rsidRPr="006A1E5F">
              <w:rPr>
                <w:rFonts w:ascii="Palatino Linotype" w:hAnsi="Palatino Linotype" w:cstheme="minorHAnsi"/>
                <w:sz w:val="18"/>
                <w:szCs w:val="18"/>
              </w:rPr>
              <w:fldChar w:fldCharType="end"/>
            </w:r>
          </w:p>
        </w:tc>
      </w:tr>
      <w:tr w:rsidR="0031439E" w:rsidRPr="00EA57B8" w14:paraId="73D22A8F" w14:textId="12FA1EA7" w:rsidTr="0031439E">
        <w:tc>
          <w:tcPr>
            <w:tcW w:w="1094" w:type="dxa"/>
          </w:tcPr>
          <w:p w14:paraId="53877543" w14:textId="2DA7EE90"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BDNF</w:t>
            </w:r>
          </w:p>
        </w:tc>
        <w:tc>
          <w:tcPr>
            <w:tcW w:w="1080" w:type="dxa"/>
          </w:tcPr>
          <w:p w14:paraId="0EAA69FA" w14:textId="1E77D5FE"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rs6265</w:t>
            </w:r>
          </w:p>
        </w:tc>
        <w:tc>
          <w:tcPr>
            <w:tcW w:w="1080" w:type="dxa"/>
          </w:tcPr>
          <w:p w14:paraId="3AB05F1B" w14:textId="76593648"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815</w:t>
            </w:r>
          </w:p>
        </w:tc>
        <w:tc>
          <w:tcPr>
            <w:tcW w:w="1170" w:type="dxa"/>
          </w:tcPr>
          <w:p w14:paraId="1B3D6CFF" w14:textId="57844D29"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1E8B327A" w14:textId="0990F20B"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5D1C42DE" w14:textId="18A242CD"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203E229B" w14:textId="23E96BCB"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AIMS &amp; Schooler-Kane criteria</w:t>
            </w:r>
          </w:p>
        </w:tc>
        <w:tc>
          <w:tcPr>
            <w:tcW w:w="1170" w:type="dxa"/>
          </w:tcPr>
          <w:p w14:paraId="0AC253A0" w14:textId="4CD922DC"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NA</w:t>
            </w:r>
          </w:p>
        </w:tc>
        <w:tc>
          <w:tcPr>
            <w:tcW w:w="1350" w:type="dxa"/>
          </w:tcPr>
          <w:p w14:paraId="5C0EE742" w14:textId="411B4324"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PCR-RFLP (</w:t>
            </w:r>
            <w:r w:rsidRPr="006A1E5F">
              <w:rPr>
                <w:rFonts w:ascii="Palatino Linotype" w:hAnsi="Palatino Linotype"/>
                <w:i/>
                <w:iCs/>
                <w:sz w:val="18"/>
                <w:szCs w:val="18"/>
              </w:rPr>
              <w:t>Eco</w:t>
            </w:r>
            <w:r w:rsidRPr="006A1E5F">
              <w:rPr>
                <w:rFonts w:ascii="Palatino Linotype" w:hAnsi="Palatino Linotype"/>
                <w:sz w:val="18"/>
                <w:szCs w:val="18"/>
              </w:rPr>
              <w:t>721)</w:t>
            </w:r>
          </w:p>
        </w:tc>
        <w:tc>
          <w:tcPr>
            <w:tcW w:w="2507" w:type="dxa"/>
          </w:tcPr>
          <w:p w14:paraId="42CAA96A" w14:textId="4DEB8129"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2076A3D1" w14:textId="432DF4D3" w:rsidR="0031439E" w:rsidRPr="006A1E5F"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{"citationItems":[{"id":"ITEM-1","itemData":{"DOI":"10.1016/j.schres.2010.03.020","author":[{"dropping-particle":"","family":"Wang","given":"Yu","non-dropping-particle":"","parse-names":false,"suffix":""},{"dropping-particle":"","family":"Dong Wang","given":"Jiang","non-dropping-particle":"","parse-names":false,"suffix":""},{"dropping-particle":"","family":"Ran Wu","given":"Hao","non-dropping-particle":"","parse-names":false,"suffix":""},{"dropping-particle":"","family":"Shu Zhang","given":"Ben","non-dropping-particle":"","parse-names":false,"suffix":""},{"dropping-particle":"","family":"Fang","given":"Hui","non-dropping-particle":"","parse-names":false,"suffix":""},{"dropping-particle":"","family":"Min Ma","given":"Qi","non-dropping-particle":"","parse-names":false,"suffix":""},{"dropping-particle":"","family":"Liu","given":"Hong","non-dropping-particle":"","parse-names":false,"suffix":""},{"dropping-particle":"","family":"Chun Chen","given":"Da","non-dropping-particle":"","parse-names":false,"suffix":""},{"dropping-particle":"","family":"Hong Xiu","given":"Mei","non-dropping-particle":"","parse-names":false,"suffix":""},{"dropping-particle":"","family":"Hail","given":"Colin N","non-dropping-particle":"","parse-names":false,"suffix":""},{"dropping-particle":"","family":"Kosten","given":"Thomas R","non-dropping-particle":"","parse-names":false,"suffix":""},{"dropping-particle":"","family":"Yang Zhang","given":"Xiang","non-dropping-particle":"","parse-names":false,"suffix":""}],"container-title":"Schizophrenia Research","id":"ITEM-1","issued":{"date-parts":[["2010"]]},"page":"240-242","title":"The Val66Met polymorphism of the brain-derived neurotrophic factor gene is not associated with risk for schizophrenia and tardive dyskinesia in Han Chinese population","type":"article-journal","volume":"120"},"uris":["http://www.mendeley.com/documents/?uuid=bcdb27c1-3878-3902-a42c-20db35194cb4"]}],"mendeley":{"formattedCitation":"(Wang et al. 2010)","plainTextFormattedCitation":"(Wang et al. 2010)","previouslyFormattedCitation":"(Wang et al. 2010)"},"properties":{"noteIndex":0},"schema":"https://github.com/citation-style-language/schema/raw/master/csl-citation.json"}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(Wang et al. 2010)</w:t>
            </w:r>
            <w:r w:rsidRPr="006A1E5F">
              <w:rPr>
                <w:rFonts w:ascii="Palatino Linotype" w:hAnsi="Palatino Linotype" w:cstheme="minorHAnsi"/>
                <w:sz w:val="18"/>
                <w:szCs w:val="18"/>
              </w:rPr>
              <w:fldChar w:fldCharType="end"/>
            </w:r>
          </w:p>
        </w:tc>
      </w:tr>
      <w:tr w:rsidR="0031439E" w:rsidRPr="00EA57B8" w14:paraId="327D978D" w14:textId="027756C8" w:rsidTr="0031439E">
        <w:tc>
          <w:tcPr>
            <w:tcW w:w="1094" w:type="dxa"/>
          </w:tcPr>
          <w:p w14:paraId="02AB5162" w14:textId="2EAD8A22"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TNFA</w:t>
            </w:r>
          </w:p>
        </w:tc>
        <w:tc>
          <w:tcPr>
            <w:tcW w:w="1080" w:type="dxa"/>
          </w:tcPr>
          <w:p w14:paraId="015DD327" w14:textId="529900DC" w:rsidR="0031439E" w:rsidRPr="00690A37" w:rsidRDefault="0031439E" w:rsidP="0031439E">
            <w:pPr>
              <w:rPr>
                <w:rFonts w:ascii="Palatino Linotype" w:hAnsi="Palatino Linotype" w:cstheme="minorHAnsi"/>
                <w:sz w:val="18"/>
                <w:szCs w:val="18"/>
              </w:rPr>
            </w:pPr>
            <w:r>
              <w:rPr>
                <w:rStyle w:val="st"/>
                <w:rFonts w:ascii="Palatino Linotype" w:hAnsi="Palatino Linotype"/>
                <w:sz w:val="18"/>
                <w:szCs w:val="18"/>
              </w:rPr>
              <w:t>rs1800629</w:t>
            </w:r>
          </w:p>
        </w:tc>
        <w:tc>
          <w:tcPr>
            <w:tcW w:w="1080" w:type="dxa"/>
          </w:tcPr>
          <w:p w14:paraId="077A3BA4" w14:textId="52C2CED6"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760 (</w:t>
            </w:r>
            <w:r w:rsidRPr="001806DE">
              <w:rPr>
                <w:rFonts w:ascii="Palatino Linotype" w:hAnsi="Palatino Linotype" w:cstheme="minorHAnsi"/>
                <w:sz w:val="18"/>
                <w:szCs w:val="18"/>
              </w:rPr>
              <w:t>350</w:t>
            </w:r>
            <w:r>
              <w:rPr>
                <w:rFonts w:ascii="Palatino Linotype" w:hAnsi="Palatino Linotype" w:cstheme="minorHAnsi"/>
                <w:sz w:val="18"/>
                <w:szCs w:val="18"/>
              </w:rPr>
              <w:t xml:space="preserve"> with </w:t>
            </w:r>
            <w:r w:rsidRPr="001806DE">
              <w:rPr>
                <w:rFonts w:ascii="Palatino Linotype" w:hAnsi="Palatino Linotype" w:cstheme="minorHAnsi"/>
                <w:sz w:val="18"/>
                <w:szCs w:val="18"/>
              </w:rPr>
              <w:t>TD</w:t>
            </w:r>
            <w:r>
              <w:rPr>
                <w:rFonts w:ascii="Palatino Linotype" w:hAnsi="Palatino Linotype" w:cstheme="minorHAnsi"/>
                <w:sz w:val="18"/>
                <w:szCs w:val="18"/>
              </w:rPr>
              <w:t>)</w:t>
            </w:r>
          </w:p>
        </w:tc>
        <w:tc>
          <w:tcPr>
            <w:tcW w:w="1170" w:type="dxa"/>
          </w:tcPr>
          <w:p w14:paraId="774EBD17" w14:textId="1685DC8F"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Northern Han Chinese</w:t>
            </w:r>
          </w:p>
        </w:tc>
        <w:tc>
          <w:tcPr>
            <w:tcW w:w="1350" w:type="dxa"/>
          </w:tcPr>
          <w:p w14:paraId="22B9031D" w14:textId="286B143F" w:rsidR="0031439E" w:rsidRPr="00690A37" w:rsidRDefault="0031439E" w:rsidP="0031439E">
            <w:pPr>
              <w:rPr>
                <w:rFonts w:ascii="Palatino Linotype" w:hAnsi="Palatino Linotype" w:cstheme="minorHAnsi"/>
                <w:sz w:val="18"/>
                <w:szCs w:val="18"/>
              </w:rPr>
            </w:pPr>
            <w:r w:rsidRPr="00B678EB">
              <w:rPr>
                <w:rFonts w:ascii="Palatino Linotype" w:hAnsi="Palatino Linotype" w:cstheme="minorHAnsi"/>
                <w:sz w:val="18"/>
                <w:szCs w:val="18"/>
              </w:rPr>
              <w:t>Schizophrenia</w:t>
            </w:r>
          </w:p>
        </w:tc>
        <w:tc>
          <w:tcPr>
            <w:tcW w:w="1260" w:type="dxa"/>
          </w:tcPr>
          <w:p w14:paraId="2EB940D5" w14:textId="2EF47481" w:rsidR="0031439E" w:rsidRPr="00690A37" w:rsidRDefault="0031439E" w:rsidP="0031439E">
            <w:pPr>
              <w:rPr>
                <w:rFonts w:ascii="Palatino Linotype" w:hAnsi="Palatino Linotype" w:cstheme="minorHAnsi"/>
                <w:sz w:val="18"/>
                <w:szCs w:val="18"/>
              </w:rPr>
            </w:pPr>
            <w:r w:rsidRPr="006D7D14">
              <w:rPr>
                <w:rFonts w:ascii="Palatino Linotype" w:hAnsi="Palatino Linotype" w:cstheme="minorHAnsi"/>
                <w:sz w:val="18"/>
                <w:szCs w:val="18"/>
              </w:rPr>
              <w:t>DSM-IV</w:t>
            </w:r>
            <w:r>
              <w:rPr>
                <w:rFonts w:ascii="Palatino Linotype" w:hAnsi="Palatino Linotype" w:cstheme="minorHAnsi"/>
                <w:sz w:val="18"/>
                <w:szCs w:val="18"/>
              </w:rPr>
              <w:t>, PANSS</w:t>
            </w:r>
          </w:p>
        </w:tc>
        <w:tc>
          <w:tcPr>
            <w:tcW w:w="1170" w:type="dxa"/>
          </w:tcPr>
          <w:p w14:paraId="13F9084B" w14:textId="73263481" w:rsidR="0031439E" w:rsidRPr="00862CD3" w:rsidRDefault="0031439E" w:rsidP="0031439E">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53BFE1B6" w14:textId="1BB9292F" w:rsidR="0031439E" w:rsidRDefault="0031439E" w:rsidP="0031439E">
            <w:pPr>
              <w:rPr>
                <w:rFonts w:ascii="Palatino Linotype" w:hAnsi="Palatino Linotype" w:cstheme="minorHAnsi"/>
                <w:sz w:val="18"/>
                <w:szCs w:val="18"/>
              </w:rPr>
            </w:pPr>
            <w:r w:rsidRPr="00BB6365">
              <w:rPr>
                <w:rFonts w:ascii="Palatino Linotype" w:hAnsi="Palatino Linotype" w:cstheme="minorHAnsi"/>
                <w:sz w:val="18"/>
                <w:szCs w:val="18"/>
              </w:rPr>
              <w:t>clozapine,</w:t>
            </w:r>
            <w:r>
              <w:rPr>
                <w:rFonts w:ascii="Palatino Linotype" w:hAnsi="Palatino Linotype" w:cstheme="minorHAnsi"/>
                <w:sz w:val="18"/>
                <w:szCs w:val="18"/>
              </w:rPr>
              <w:t xml:space="preserve"> </w:t>
            </w:r>
            <w:r w:rsidRPr="00BB6365">
              <w:rPr>
                <w:rFonts w:ascii="Palatino Linotype" w:hAnsi="Palatino Linotype" w:cstheme="minorHAnsi"/>
                <w:sz w:val="18"/>
                <w:szCs w:val="18"/>
              </w:rPr>
              <w:t>risperidone</w:t>
            </w:r>
            <w:r>
              <w:rPr>
                <w:rFonts w:ascii="Palatino Linotype" w:hAnsi="Palatino Linotype" w:cstheme="minorHAnsi"/>
                <w:sz w:val="18"/>
                <w:szCs w:val="18"/>
              </w:rPr>
              <w:t xml:space="preserve"> </w:t>
            </w:r>
            <w:r w:rsidRPr="00BB6365">
              <w:rPr>
                <w:rFonts w:ascii="Palatino Linotype" w:hAnsi="Palatino Linotype" w:cstheme="minorHAnsi"/>
                <w:sz w:val="18"/>
                <w:szCs w:val="18"/>
              </w:rPr>
              <w:t>perphenazine, sulpirid</w:t>
            </w:r>
            <w:r>
              <w:rPr>
                <w:rFonts w:ascii="Palatino Linotype" w:hAnsi="Palatino Linotype" w:cstheme="minorHAnsi"/>
                <w:sz w:val="18"/>
                <w:szCs w:val="18"/>
              </w:rPr>
              <w:t>e</w:t>
            </w:r>
            <w:r w:rsidRPr="00BB6365">
              <w:rPr>
                <w:rFonts w:ascii="Palatino Linotype" w:hAnsi="Palatino Linotype" w:cstheme="minorHAnsi"/>
                <w:sz w:val="18"/>
                <w:szCs w:val="18"/>
              </w:rPr>
              <w:t>, chlorpromazine,</w:t>
            </w:r>
            <w:r>
              <w:rPr>
                <w:rFonts w:ascii="Palatino Linotype" w:hAnsi="Palatino Linotype" w:cstheme="minorHAnsi"/>
                <w:sz w:val="18"/>
                <w:szCs w:val="18"/>
              </w:rPr>
              <w:t xml:space="preserve"> </w:t>
            </w:r>
            <w:r w:rsidRPr="00BB6365">
              <w:rPr>
                <w:rFonts w:ascii="Palatino Linotype" w:hAnsi="Palatino Linotype" w:cstheme="minorHAnsi"/>
                <w:sz w:val="18"/>
                <w:szCs w:val="18"/>
              </w:rPr>
              <w:t xml:space="preserve">haloperidol, and other </w:t>
            </w:r>
            <w:r>
              <w:rPr>
                <w:rFonts w:ascii="Palatino Linotype" w:hAnsi="Palatino Linotype" w:cstheme="minorHAnsi"/>
                <w:sz w:val="18"/>
                <w:szCs w:val="18"/>
              </w:rPr>
              <w:lastRenderedPageBreak/>
              <w:t>FGAs and SGAs</w:t>
            </w:r>
          </w:p>
        </w:tc>
        <w:tc>
          <w:tcPr>
            <w:tcW w:w="1350" w:type="dxa"/>
          </w:tcPr>
          <w:p w14:paraId="0342F35D" w14:textId="296DAE57" w:rsidR="0031439E" w:rsidRPr="00862CD3" w:rsidRDefault="0031439E" w:rsidP="0031439E">
            <w:pPr>
              <w:rPr>
                <w:rFonts w:ascii="Palatino Linotype" w:hAnsi="Palatino Linotype" w:cstheme="minorHAnsi"/>
                <w:sz w:val="18"/>
                <w:szCs w:val="18"/>
              </w:rPr>
            </w:pPr>
            <w:r w:rsidRPr="00D52C06">
              <w:rPr>
                <w:rFonts w:ascii="Palatino Linotype" w:hAnsi="Palatino Linotype" w:cstheme="minorHAnsi"/>
                <w:sz w:val="18"/>
                <w:szCs w:val="18"/>
              </w:rPr>
              <w:lastRenderedPageBreak/>
              <w:t>PCR-RFL</w:t>
            </w:r>
            <w:r>
              <w:rPr>
                <w:rFonts w:ascii="Palatino Linotype" w:hAnsi="Palatino Linotype" w:cstheme="minorHAnsi"/>
                <w:sz w:val="18"/>
                <w:szCs w:val="18"/>
              </w:rPr>
              <w:t>P (</w:t>
            </w:r>
            <w:proofErr w:type="spellStart"/>
            <w:r w:rsidRPr="00D52C06">
              <w:rPr>
                <w:rFonts w:ascii="Palatino Linotype" w:hAnsi="Palatino Linotype" w:cstheme="minorHAnsi"/>
                <w:sz w:val="18"/>
                <w:szCs w:val="18"/>
              </w:rPr>
              <w:t>NcoI</w:t>
            </w:r>
            <w:proofErr w:type="spellEnd"/>
            <w:r>
              <w:rPr>
                <w:rFonts w:ascii="Palatino Linotype" w:hAnsi="Palatino Linotype" w:cstheme="minorHAnsi"/>
                <w:sz w:val="18"/>
                <w:szCs w:val="18"/>
              </w:rPr>
              <w:t>)</w:t>
            </w:r>
          </w:p>
        </w:tc>
        <w:tc>
          <w:tcPr>
            <w:tcW w:w="2507" w:type="dxa"/>
          </w:tcPr>
          <w:p w14:paraId="3A7EEE02" w14:textId="6FC61745"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3748DF91" w14:textId="3A2B2967" w:rsidR="0031439E" w:rsidRPr="006A1E5F" w:rsidRDefault="0031439E" w:rsidP="0031439E">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{"citationItems":[{"id":"ITEM-1","itemData":{"DOI":"10.1016/j.pnpbp.2011.12.007","ISSN":"1878-4216","PMID":"22227290","abstract":"OBJECTIVE Previous studies have indicated that the immune may be involved in the pathogenesis of tardive dyskinesia (TD). Some genetic polymorphisms in the human leukocyte antigen (HLA) I and II regions have been associated with TD, and the tumor necrosis factor-α (TNF-α) gene is located in the HLA III region. TNF-α levels in the striatum significantly increased in haloperidol-induced TD in rats. The TNF-α gene -308A/G single nucleotide polymorphism (SNP) has been shown to directly influence TNF-α expression. The genetic association between the TNF-α gene -308A/G SNP and TD is unclear. The present study investigated whether this variation is associated with clinical phenotypes and TD in schizophrenia in a genetically homogeneous northern Chinese Han population. METHODS We genotyped the TNF-α gene -308A/G SNP in patients with schizophrenia with TD (n=350) and without TD (n=410). The Abnormal Involuntary Movement Scale (AIMS) and Positive and Negative Syndrome Scale (PANSS) were used to assess the severity of TD and psychopathology of schizophrenia, respectively. RESULTS The allele and genotype frequencies did not significantly differ between patients with schizophrenia with and without TD (p&gt;0.05). No significant difference was found in the total AIMS score between the genotypes (p&gt;0.05). However, the PANSS negative symptom subscore was associated with risk for TD (p=0.004), and a significant difference was found in total AIMS score between the genotypes in TD patients (p=0.013). CONCLUSION The TNF-α gene -308A/G polymorphism does not appear to play a major role in the susceptibility to TD in patients with schizophrenia in a northern Chinese Han population. However this polymorphism may play a role in the TD severity.","author":[{"dropping-particle":"","family":"Wang","given":"Fan","non-dropping-particle":"","parse-names":false,"suffix":""},{"dropping-particle":"","family":"Fan","given":"Hongzhen","non-dropping-particle":"","parse-names":false,"suffix":""},{"dropping-particle":"","family":"Sun","given":"Hongqiang","non-dropping-particle":"","parse-names":false,"suffix":""},{"dropping-particle":"","family":"Yang","given":"Fude","non-dropping-particle":"","parse-names":false,"suffix":""},{"dropping-particle":"","family":"Luo","given":"Yixiao","non-dropping-particle":"","parse-names":false,"suffix":""},{"dropping-particle":"","family":"Liu","given":"Haibo","non-dropping-particle":"","parse-names":false,"suffix":""},{"dropping-particle":"","family":"Kosten","given":"Thomas R","non-dropping-particle":"","parse-names":false,"suffix":""},{"dropping-particle":"","family":"Lu","given":"Lin","non-dropping-particle":"","parse-names":false,"suffix":""},{"dropping-particle":"","family":"Zhang","given":"Xiang Yang","non-dropping-particle":"","parse-names":false,"suffix":""}],"container-title":"Progress in neuro-psychopharmacology &amp; biological psychiatry","id":"ITEM-1","issue":"1","issued":{"date-parts":[["2012","4","27"]]},"page":"106-10","publisher":"Prog Neuropsychopharmacol Biol Psychiatry","title":"Association between TNF-α promoter -308A/G polymorphism and tardive dyskinesian Chinese Han patients with schizophrenia.","type":"article-journal","volume":"37"},"uris":["http://www.mendeley.com/documents/?uuid=6ebbc27f-0a0d-3aee-8e3a-f49d6417078b"]}],"mendeley":{"formattedCitation":"(Wang et al. 2012)","plainTextFormattedCitation":"(Wang et al. 2012)","previouslyFormattedCitation":"(Wang et al. 2012)"},"properties":{"noteIndex":0},"schema":"https://github.com/citation-style-language/schema/raw/master/csl-citation.json"}</w:instrText>
            </w:r>
            <w:r>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(Wang et al. 2012)</w:t>
            </w:r>
            <w:r>
              <w:rPr>
                <w:rFonts w:ascii="Palatino Linotype" w:hAnsi="Palatino Linotype" w:cstheme="minorHAnsi"/>
                <w:sz w:val="18"/>
                <w:szCs w:val="18"/>
              </w:rPr>
              <w:fldChar w:fldCharType="end"/>
            </w:r>
          </w:p>
        </w:tc>
      </w:tr>
      <w:tr w:rsidR="0031439E" w:rsidRPr="00EA57B8" w14:paraId="26C75350" w14:textId="01B59E44" w:rsidTr="0031439E">
        <w:tc>
          <w:tcPr>
            <w:tcW w:w="1094" w:type="dxa"/>
          </w:tcPr>
          <w:p w14:paraId="033F4959" w14:textId="51115376" w:rsidR="0031439E" w:rsidRPr="000F3F98" w:rsidRDefault="0031439E" w:rsidP="0031439E">
            <w:pPr>
              <w:rPr>
                <w:rFonts w:ascii="Palatino Linotype" w:hAnsi="Palatino Linotype" w:cstheme="minorHAnsi"/>
                <w:i/>
                <w:iCs/>
                <w:sz w:val="18"/>
                <w:szCs w:val="18"/>
              </w:rPr>
            </w:pPr>
            <w:r w:rsidRPr="000F3F98">
              <w:rPr>
                <w:rFonts w:ascii="Palatino Linotype" w:hAnsi="Palatino Linotype" w:cstheme="minorHAnsi"/>
                <w:i/>
                <w:iCs/>
                <w:sz w:val="18"/>
                <w:szCs w:val="18"/>
              </w:rPr>
              <w:t>DRD3</w:t>
            </w:r>
          </w:p>
        </w:tc>
        <w:tc>
          <w:tcPr>
            <w:tcW w:w="1080" w:type="dxa"/>
          </w:tcPr>
          <w:p w14:paraId="2DED9148" w14:textId="20BBAAD7" w:rsidR="0031439E" w:rsidRPr="00690A37" w:rsidRDefault="0031439E" w:rsidP="0031439E">
            <w:pPr>
              <w:rPr>
                <w:rFonts w:ascii="Palatino Linotype" w:hAnsi="Palatino Linotype" w:cstheme="minorHAnsi"/>
                <w:sz w:val="18"/>
                <w:szCs w:val="18"/>
              </w:rPr>
            </w:pPr>
            <w:r w:rsidRPr="006A1E5F">
              <w:rPr>
                <w:rStyle w:val="st"/>
                <w:rFonts w:ascii="Palatino Linotype" w:hAnsi="Palatino Linotype"/>
                <w:sz w:val="18"/>
                <w:szCs w:val="18"/>
              </w:rPr>
              <w:t>rs6280</w:t>
            </w:r>
          </w:p>
        </w:tc>
        <w:tc>
          <w:tcPr>
            <w:tcW w:w="1080" w:type="dxa"/>
          </w:tcPr>
          <w:p w14:paraId="0DEB489C" w14:textId="5A95ACD5"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59</w:t>
            </w:r>
          </w:p>
        </w:tc>
        <w:tc>
          <w:tcPr>
            <w:tcW w:w="1170" w:type="dxa"/>
          </w:tcPr>
          <w:p w14:paraId="164D3DCD" w14:textId="3B144018"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Korean </w:t>
            </w:r>
          </w:p>
        </w:tc>
        <w:tc>
          <w:tcPr>
            <w:tcW w:w="1350" w:type="dxa"/>
          </w:tcPr>
          <w:p w14:paraId="2C488CA2" w14:textId="12EBB4F5"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7647EE4D" w14:textId="7789E57B" w:rsidR="0031439E" w:rsidRPr="00690A37"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DSM-IV</w:t>
            </w:r>
          </w:p>
        </w:tc>
        <w:tc>
          <w:tcPr>
            <w:tcW w:w="1170" w:type="dxa"/>
          </w:tcPr>
          <w:p w14:paraId="408DFCCE" w14:textId="00358EA8"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AIMS </w:t>
            </w:r>
          </w:p>
        </w:tc>
        <w:tc>
          <w:tcPr>
            <w:tcW w:w="1170" w:type="dxa"/>
          </w:tcPr>
          <w:p w14:paraId="222835FE" w14:textId="21AE76F5"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 xml:space="preserve">Neuroleptic medications </w:t>
            </w:r>
          </w:p>
        </w:tc>
        <w:tc>
          <w:tcPr>
            <w:tcW w:w="1350" w:type="dxa"/>
          </w:tcPr>
          <w:p w14:paraId="7BAC0BDD" w14:textId="3D166A20" w:rsidR="0031439E" w:rsidRPr="00862CD3"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t>PCR-RFPL (</w:t>
            </w:r>
            <w:proofErr w:type="spellStart"/>
            <w:r w:rsidRPr="006A1E5F">
              <w:rPr>
                <w:rFonts w:ascii="Palatino Linotype" w:hAnsi="Palatino Linotype" w:cstheme="minorHAnsi"/>
                <w:sz w:val="18"/>
                <w:szCs w:val="18"/>
              </w:rPr>
              <w:t>MscI</w:t>
            </w:r>
            <w:proofErr w:type="spellEnd"/>
            <w:r w:rsidRPr="006A1E5F">
              <w:rPr>
                <w:rFonts w:ascii="Palatino Linotype" w:hAnsi="Palatino Linotype" w:cstheme="minorHAnsi"/>
                <w:sz w:val="18"/>
                <w:szCs w:val="18"/>
              </w:rPr>
              <w:t>)</w:t>
            </w:r>
          </w:p>
        </w:tc>
        <w:tc>
          <w:tcPr>
            <w:tcW w:w="2507" w:type="dxa"/>
          </w:tcPr>
          <w:p w14:paraId="12501F24" w14:textId="1FF21CAD" w:rsidR="0031439E" w:rsidRPr="00690A37" w:rsidRDefault="0031439E" w:rsidP="0031439E">
            <w:pPr>
              <w:rPr>
                <w:rFonts w:ascii="Palatino Linotype" w:hAnsi="Palatino Linotype" w:cstheme="minorHAnsi"/>
                <w:sz w:val="18"/>
                <w:szCs w:val="18"/>
              </w:rPr>
            </w:pPr>
            <w:r>
              <w:rPr>
                <w:rFonts w:ascii="Palatino Linotype" w:hAnsi="Palatino Linotype" w:cstheme="minorHAnsi"/>
                <w:sz w:val="18"/>
                <w:szCs w:val="18"/>
              </w:rPr>
              <w:t>S</w:t>
            </w:r>
            <w:r w:rsidRPr="006A1E5F">
              <w:rPr>
                <w:rFonts w:ascii="Palatino Linotype" w:hAnsi="Palatino Linotype" w:cstheme="minorHAnsi"/>
                <w:sz w:val="18"/>
                <w:szCs w:val="18"/>
              </w:rPr>
              <w:t xml:space="preserve">ignificant association </w:t>
            </w:r>
            <w:r>
              <w:rPr>
                <w:rFonts w:ascii="Palatino Linotype" w:hAnsi="Palatino Linotype" w:cstheme="minorHAnsi"/>
                <w:sz w:val="18"/>
                <w:szCs w:val="18"/>
              </w:rPr>
              <w:t xml:space="preserve">between rs6280 </w:t>
            </w:r>
            <w:proofErr w:type="spellStart"/>
            <w:r w:rsidRPr="006A1E5F">
              <w:rPr>
                <w:rFonts w:ascii="Palatino Linotype" w:hAnsi="Palatino Linotype" w:cstheme="minorHAnsi"/>
                <w:sz w:val="18"/>
                <w:szCs w:val="18"/>
              </w:rPr>
              <w:t>Gly</w:t>
            </w:r>
            <w:proofErr w:type="spellEnd"/>
            <w:r w:rsidRPr="006A1E5F">
              <w:rPr>
                <w:rFonts w:ascii="Palatino Linotype" w:hAnsi="Palatino Linotype" w:cstheme="minorHAnsi"/>
                <w:sz w:val="18"/>
                <w:szCs w:val="18"/>
              </w:rPr>
              <w:t xml:space="preserve"> homozygotes </w:t>
            </w:r>
            <w:r>
              <w:rPr>
                <w:rFonts w:ascii="Palatino Linotype" w:hAnsi="Palatino Linotype" w:cstheme="minorHAnsi"/>
                <w:sz w:val="18"/>
                <w:szCs w:val="18"/>
              </w:rPr>
              <w:t>and</w:t>
            </w:r>
            <w:r w:rsidRPr="006A1E5F">
              <w:rPr>
                <w:rFonts w:ascii="Palatino Linotype" w:hAnsi="Palatino Linotype" w:cstheme="minorHAnsi"/>
                <w:sz w:val="18"/>
                <w:szCs w:val="18"/>
              </w:rPr>
              <w:t xml:space="preserve"> TD</w:t>
            </w:r>
          </w:p>
        </w:tc>
        <w:tc>
          <w:tcPr>
            <w:tcW w:w="2173" w:type="dxa"/>
          </w:tcPr>
          <w:p w14:paraId="2F853FFD" w14:textId="6383345E" w:rsidR="0031439E" w:rsidRDefault="0031439E" w:rsidP="0031439E">
            <w:pPr>
              <w:rPr>
                <w:rFonts w:ascii="Palatino Linotype" w:hAnsi="Palatino Linotype" w:cstheme="minorHAnsi"/>
                <w:sz w:val="18"/>
                <w:szCs w:val="18"/>
              </w:rPr>
            </w:pPr>
            <w:r w:rsidRPr="006A1E5F">
              <w:rPr>
                <w:rFonts w:ascii="Palatino Linotype" w:hAnsi="Palatino Linotype" w:cstheme="minorHAnsi"/>
                <w:sz w:val="18"/>
                <w:szCs w:val="18"/>
              </w:rPr>
              <w:fldChar w:fldCharType="begin" w:fldLock="1"/>
            </w:r>
            <w:r w:rsidR="005E78F7">
              <w:rPr>
                <w:rFonts w:ascii="Palatino Linotype" w:hAnsi="Palatino Linotype" w:cstheme="minorHAnsi"/>
                <w:sz w:val="18"/>
                <w:szCs w:val="18"/>
              </w:rPr>
              <w:instrText>ADDIN CSL_CITATION {"citationItems":[{"id":"ITEM-1","itemData":{"DOI":"10.1046/j.1440-1819.2002.01038.x","ISSN":"1323-1316","PMID":"12109967","abstract":"Tardive dyskinesia (TD) is usually regarded as one of the most serious side-effects of the long-term usage of neuroleptics due to its high prevalence and potentially irreversible nature. Previously, several genetic polymorphisms were investigated for an association with TD in various ethnic populations. Among them, the Ser9Gly variant in the MscI restriction site of the dopamine D3 receptor gene was reported to be associated with TD. We have investigated the association of Ser9Gly polymorphism of the dopamine D3 receptor gene with TD in Korean schizophrenics. The frequencies of the genotypes of Ser/Ser, Ser/Gly and Gly/Gly in 54 schizophrenic patients without TD were 21 (38.9%), 33 (61.1%) and 0 (0%), while the corresponding frequencies in 59 schizophrenic patients with TD were 25 (42.4%), 28 (47.5%) and 6 (10.1%). We have found a significant genotypic association of the Gly/Gly genotype with TD in Korean schizophrenics (P = 0.028, two-tailed Fisher's exact test). However, there was no significant allelic association of the Ser9Gly allele with TD (chi2 = 0.288, d.f. = 1, P = 0.591) and there was no significant difference in the Abnormal Involuntary Movement Scale score between the three genotypic groups (P = 0.071, anova). In conclusion, we suggest that Gly/Gly homozygotes in the MscI polymorphic site of the dopamine D3 receptor gene may cause some change in the function of the dopamine D3 receptor and may be involved the pathogenesis of TD.","author":[{"dropping-particle":"","family":"Woo","given":"Sung-il","non-dropping-particle":"","parse-names":false,"suffix":""},{"dropping-particle":"","family":"Kim","given":"Jae Won","non-dropping-particle":"","parse-names":false,"suffix":""},{"dropping-particle":"","family":"Rha","given":"Eugene","non-dropping-particle":"","parse-names":false,"suffix":""},{"dropping-particle":"","family":"Han","given":"Sun-ho","non-dropping-particle":"","parse-names":false,"suffix":""},{"dropping-particle":"","family":"Hahn","given":"Kyu-hee","non-dropping-particle":"","parse-names":false,"suffix":""},{"dropping-particle":"","family":"Park","given":"Chul-soo","non-dropping-particle":"","parse-names":false,"suffix":""},{"dropping-particle":"","family":"Sohn","given":"Jin-wook","non-dropping-particle":"","parse-names":false,"suffix":""}],"container-title":"Psychiatry and clinical neurosciences","id":"ITEM-1","issue":"4","issued":{"date-parts":[["2002","8"]]},"page":"469-74","title":"Association of the Ser9Gly polymorphism in the dopamine D3 receptor gene with tardive dyskinesia in Korean schizophrenics.","type":"article-journal","volume":"56"},"uris":["http://www.mendeley.com/documents/?uuid=139a3823-ae07-3bae-bcd5-583b3dc88900"]}],"mendeley":{"formattedCitation":"(Woo et al. 2002)","plainTextFormattedCitation":"(Woo et al. 2002)","previouslyFormattedCitation":"(Woo et al. 2002)"},"properties":{"noteIndex":0},"schema":"https://github.com/citation-style-language/schema/raw/master/csl-citation.json"}</w:instrText>
            </w:r>
            <w:r w:rsidRPr="006A1E5F">
              <w:rPr>
                <w:rFonts w:ascii="Palatino Linotype" w:hAnsi="Palatino Linotype" w:cstheme="minorHAnsi"/>
                <w:sz w:val="18"/>
                <w:szCs w:val="18"/>
              </w:rPr>
              <w:fldChar w:fldCharType="separate"/>
            </w:r>
            <w:r w:rsidR="001060C2" w:rsidRPr="001060C2">
              <w:rPr>
                <w:rFonts w:ascii="Palatino Linotype" w:hAnsi="Palatino Linotype" w:cstheme="minorHAnsi"/>
                <w:noProof/>
                <w:sz w:val="18"/>
                <w:szCs w:val="18"/>
              </w:rPr>
              <w:t>(Woo et al. 2002)</w:t>
            </w:r>
            <w:r w:rsidRPr="006A1E5F">
              <w:rPr>
                <w:rFonts w:ascii="Palatino Linotype" w:hAnsi="Palatino Linotype" w:cstheme="minorHAnsi"/>
                <w:sz w:val="18"/>
                <w:szCs w:val="18"/>
              </w:rPr>
              <w:fldChar w:fldCharType="end"/>
            </w:r>
          </w:p>
        </w:tc>
      </w:tr>
      <w:tr w:rsidR="007F46D6" w:rsidRPr="00EA57B8" w14:paraId="606BB6BA" w14:textId="77777777" w:rsidTr="0031439E">
        <w:tc>
          <w:tcPr>
            <w:tcW w:w="1094" w:type="dxa"/>
          </w:tcPr>
          <w:p w14:paraId="26D31774" w14:textId="2432CFED" w:rsidR="007F46D6" w:rsidRPr="000F3F98" w:rsidRDefault="007F46D6" w:rsidP="007F46D6">
            <w:pPr>
              <w:rPr>
                <w:rFonts w:ascii="Palatino Linotype" w:hAnsi="Palatino Linotype" w:cstheme="minorHAnsi"/>
                <w:i/>
                <w:iCs/>
                <w:sz w:val="18"/>
                <w:szCs w:val="18"/>
              </w:rPr>
            </w:pPr>
            <w:r>
              <w:rPr>
                <w:rFonts w:ascii="Palatino Linotype" w:hAnsi="Palatino Linotype" w:cstheme="minorHAnsi"/>
                <w:i/>
                <w:iCs/>
                <w:sz w:val="18"/>
                <w:szCs w:val="18"/>
              </w:rPr>
              <w:t>DRD2</w:t>
            </w:r>
          </w:p>
        </w:tc>
        <w:tc>
          <w:tcPr>
            <w:tcW w:w="1080" w:type="dxa"/>
          </w:tcPr>
          <w:p w14:paraId="56FED81E" w14:textId="7EE21954" w:rsidR="007F46D6" w:rsidRDefault="007F46D6" w:rsidP="007F46D6">
            <w:pPr>
              <w:rPr>
                <w:rFonts w:ascii="Palatino Linotype" w:hAnsi="Palatino Linotype" w:cstheme="minorHAnsi"/>
                <w:sz w:val="18"/>
                <w:szCs w:val="18"/>
              </w:rPr>
            </w:pPr>
            <w:r>
              <w:rPr>
                <w:rFonts w:ascii="Palatino Linotype" w:hAnsi="Palatino Linotype" w:cstheme="minorHAnsi"/>
                <w:sz w:val="18"/>
                <w:szCs w:val="18"/>
              </w:rPr>
              <w:t>rs</w:t>
            </w:r>
            <w:r w:rsidRPr="005F31BB">
              <w:rPr>
                <w:rFonts w:ascii="Palatino Linotype" w:hAnsi="Palatino Linotype" w:cstheme="minorHAnsi"/>
                <w:sz w:val="18"/>
                <w:szCs w:val="18"/>
              </w:rPr>
              <w:t>4648317,</w:t>
            </w:r>
            <w:r w:rsidRPr="005F31BB">
              <w:rPr>
                <w:rFonts w:cstheme="minorHAnsi"/>
              </w:rPr>
              <w:t xml:space="preserve"> </w:t>
            </w:r>
            <w:r>
              <w:rPr>
                <w:rFonts w:ascii="Palatino Linotype" w:hAnsi="Palatino Linotype" w:cstheme="minorHAnsi"/>
                <w:sz w:val="18"/>
                <w:szCs w:val="18"/>
              </w:rPr>
              <w:t>rs</w:t>
            </w:r>
            <w:r w:rsidRPr="005F31BB">
              <w:rPr>
                <w:rFonts w:ascii="Palatino Linotype" w:hAnsi="Palatino Linotype" w:cstheme="minorHAnsi"/>
                <w:sz w:val="18"/>
                <w:szCs w:val="18"/>
              </w:rPr>
              <w:t xml:space="preserve">1079598, </w:t>
            </w:r>
            <w:r>
              <w:rPr>
                <w:rFonts w:ascii="Palatino Linotype" w:hAnsi="Palatino Linotype" w:cstheme="minorHAnsi"/>
                <w:sz w:val="18"/>
                <w:szCs w:val="18"/>
              </w:rPr>
              <w:t>rs</w:t>
            </w:r>
            <w:r w:rsidRPr="005F31BB">
              <w:rPr>
                <w:rFonts w:ascii="Palatino Linotype" w:hAnsi="Palatino Linotype" w:cstheme="minorHAnsi"/>
                <w:sz w:val="18"/>
                <w:szCs w:val="18"/>
              </w:rPr>
              <w:t xml:space="preserve">2242591, </w:t>
            </w:r>
            <w:r>
              <w:rPr>
                <w:rFonts w:ascii="Palatino Linotype" w:hAnsi="Palatino Linotype" w:cstheme="minorHAnsi"/>
                <w:sz w:val="18"/>
                <w:szCs w:val="18"/>
              </w:rPr>
              <w:t>rs</w:t>
            </w:r>
            <w:r w:rsidRPr="005F31BB">
              <w:rPr>
                <w:rFonts w:ascii="Palatino Linotype" w:hAnsi="Palatino Linotype" w:cstheme="minorHAnsi"/>
                <w:sz w:val="18"/>
                <w:szCs w:val="18"/>
              </w:rPr>
              <w:t xml:space="preserve">2242593, </w:t>
            </w:r>
            <w:r>
              <w:rPr>
                <w:rFonts w:ascii="Palatino Linotype" w:hAnsi="Palatino Linotype" w:cstheme="minorHAnsi"/>
                <w:sz w:val="18"/>
                <w:szCs w:val="18"/>
              </w:rPr>
              <w:t>rs</w:t>
            </w:r>
            <w:r w:rsidRPr="005F31BB">
              <w:rPr>
                <w:rFonts w:ascii="Palatino Linotype" w:hAnsi="Palatino Linotype" w:cstheme="minorHAnsi"/>
                <w:sz w:val="18"/>
                <w:szCs w:val="18"/>
              </w:rPr>
              <w:t xml:space="preserve">1125394, </w:t>
            </w:r>
            <w:r>
              <w:rPr>
                <w:rFonts w:ascii="Palatino Linotype" w:hAnsi="Palatino Linotype" w:cstheme="minorHAnsi"/>
                <w:sz w:val="18"/>
                <w:szCs w:val="18"/>
              </w:rPr>
              <w:t>rs</w:t>
            </w:r>
            <w:r w:rsidRPr="005F31BB">
              <w:rPr>
                <w:rFonts w:ascii="Palatino Linotype" w:hAnsi="Palatino Linotype" w:cstheme="minorHAnsi"/>
                <w:sz w:val="18"/>
                <w:szCs w:val="18"/>
              </w:rPr>
              <w:t>2242592,</w:t>
            </w:r>
            <w:r>
              <w:rPr>
                <w:rFonts w:ascii="Palatino Linotype" w:hAnsi="Palatino Linotype" w:cstheme="minorHAnsi"/>
                <w:sz w:val="18"/>
                <w:szCs w:val="18"/>
              </w:rPr>
              <w:t xml:space="preserve"> </w:t>
            </w:r>
          </w:p>
          <w:p w14:paraId="0B378BF8" w14:textId="5CB8C309" w:rsidR="007F46D6" w:rsidRPr="00511C08" w:rsidRDefault="007F46D6" w:rsidP="007F46D6">
            <w:pPr>
              <w:rPr>
                <w:rStyle w:val="st"/>
                <w:rFonts w:ascii="Palatino Linotype" w:hAnsi="Palatino Linotype" w:cstheme="minorHAnsi"/>
                <w:sz w:val="18"/>
                <w:szCs w:val="18"/>
              </w:rPr>
            </w:pPr>
            <w:r w:rsidRPr="00503042">
              <w:rPr>
                <w:rFonts w:ascii="Palatino Linotype" w:hAnsi="Palatino Linotype" w:cstheme="minorHAnsi"/>
                <w:sz w:val="18"/>
                <w:szCs w:val="18"/>
              </w:rPr>
              <w:t>rs1799732</w:t>
            </w:r>
            <w:r>
              <w:rPr>
                <w:rFonts w:ascii="Palatino Linotype" w:hAnsi="Palatino Linotype" w:cstheme="minorHAnsi"/>
                <w:sz w:val="18"/>
                <w:szCs w:val="18"/>
              </w:rPr>
              <w:t xml:space="preserve">, </w:t>
            </w:r>
            <w:r w:rsidRPr="00503042">
              <w:rPr>
                <w:rFonts w:ascii="Palatino Linotype" w:hAnsi="Palatino Linotype" w:cstheme="minorHAnsi"/>
                <w:sz w:val="18"/>
                <w:szCs w:val="18"/>
              </w:rPr>
              <w:t>rs1800497</w:t>
            </w:r>
            <w:r>
              <w:rPr>
                <w:rFonts w:ascii="Palatino Linotype" w:hAnsi="Palatino Linotype" w:cstheme="minorHAnsi"/>
                <w:sz w:val="18"/>
                <w:szCs w:val="18"/>
              </w:rPr>
              <w:t>, rs</w:t>
            </w:r>
            <w:r w:rsidRPr="00503042">
              <w:rPr>
                <w:rFonts w:ascii="Palatino Linotype" w:hAnsi="Palatino Linotype" w:cstheme="minorHAnsi"/>
                <w:sz w:val="18"/>
                <w:szCs w:val="18"/>
              </w:rPr>
              <w:t>1800498</w:t>
            </w:r>
            <w:r>
              <w:rPr>
                <w:rFonts w:ascii="Palatino Linotype" w:hAnsi="Palatino Linotype" w:cstheme="minorHAnsi"/>
                <w:sz w:val="18"/>
                <w:szCs w:val="18"/>
              </w:rPr>
              <w:t>, rs6275, rs1799978, rs6277</w:t>
            </w:r>
          </w:p>
        </w:tc>
        <w:tc>
          <w:tcPr>
            <w:tcW w:w="1080" w:type="dxa"/>
          </w:tcPr>
          <w:p w14:paraId="6D015FDD" w14:textId="561A9042" w:rsidR="007F46D6" w:rsidRDefault="007F46D6" w:rsidP="007F46D6">
            <w:pPr>
              <w:rPr>
                <w:rFonts w:ascii="Palatino Linotype" w:hAnsi="Palatino Linotype" w:cstheme="minorHAnsi"/>
                <w:sz w:val="18"/>
                <w:szCs w:val="18"/>
              </w:rPr>
            </w:pPr>
            <w:r w:rsidRPr="00503042">
              <w:rPr>
                <w:rFonts w:ascii="Palatino Linotype" w:hAnsi="Palatino Linotype" w:cstheme="minorHAnsi"/>
                <w:sz w:val="18"/>
                <w:szCs w:val="18"/>
              </w:rPr>
              <w:t>2</w:t>
            </w:r>
            <w:r>
              <w:rPr>
                <w:rFonts w:ascii="Palatino Linotype" w:hAnsi="Palatino Linotype" w:cstheme="minorHAnsi"/>
                <w:sz w:val="18"/>
                <w:szCs w:val="18"/>
              </w:rPr>
              <w:t>3</w:t>
            </w:r>
            <w:r w:rsidRPr="00503042">
              <w:rPr>
                <w:rFonts w:ascii="Palatino Linotype" w:hAnsi="Palatino Linotype" w:cstheme="minorHAnsi"/>
                <w:sz w:val="18"/>
                <w:szCs w:val="18"/>
              </w:rPr>
              <w:t>2</w:t>
            </w:r>
            <w:r>
              <w:rPr>
                <w:rFonts w:ascii="Palatino Linotype" w:hAnsi="Palatino Linotype" w:cstheme="minorHAnsi"/>
                <w:sz w:val="18"/>
                <w:szCs w:val="18"/>
              </w:rPr>
              <w:t xml:space="preserve"> (91 with TD)</w:t>
            </w:r>
          </w:p>
        </w:tc>
        <w:tc>
          <w:tcPr>
            <w:tcW w:w="1170" w:type="dxa"/>
          </w:tcPr>
          <w:p w14:paraId="68C79905" w14:textId="21669B14" w:rsidR="007F46D6" w:rsidRPr="00B240CB" w:rsidRDefault="007F46D6" w:rsidP="007F46D6">
            <w:pPr>
              <w:rPr>
                <w:rFonts w:ascii="Palatino Linotype" w:hAnsi="Palatino Linotype" w:cstheme="minorHAnsi"/>
                <w:sz w:val="18"/>
                <w:szCs w:val="18"/>
              </w:rPr>
            </w:pPr>
            <w:r w:rsidRPr="00503042">
              <w:rPr>
                <w:rFonts w:ascii="Palatino Linotype" w:hAnsi="Palatino Linotype" w:cstheme="minorHAnsi"/>
                <w:sz w:val="18"/>
                <w:szCs w:val="18"/>
              </w:rPr>
              <w:t>Caucasian</w:t>
            </w:r>
            <w:r>
              <w:rPr>
                <w:rFonts w:ascii="Palatino Linotype" w:hAnsi="Palatino Linotype" w:cstheme="minorHAnsi"/>
                <w:sz w:val="18"/>
                <w:szCs w:val="18"/>
              </w:rPr>
              <w:t xml:space="preserve"> (</w:t>
            </w:r>
            <w:r w:rsidRPr="00503042">
              <w:rPr>
                <w:rFonts w:ascii="Palatino Linotype" w:hAnsi="Palatino Linotype" w:cstheme="minorHAnsi"/>
                <w:sz w:val="18"/>
                <w:szCs w:val="18"/>
              </w:rPr>
              <w:t>European</w:t>
            </w:r>
            <w:r>
              <w:rPr>
                <w:rFonts w:ascii="Palatino Linotype" w:hAnsi="Palatino Linotype" w:cstheme="minorHAnsi"/>
                <w:sz w:val="18"/>
                <w:szCs w:val="18"/>
              </w:rPr>
              <w:t xml:space="preserve">) </w:t>
            </w:r>
            <w:r w:rsidRPr="00503042">
              <w:rPr>
                <w:rFonts w:ascii="Palatino Linotype" w:hAnsi="Palatino Linotype" w:cstheme="minorHAnsi"/>
                <w:sz w:val="18"/>
                <w:szCs w:val="18"/>
              </w:rPr>
              <w:t xml:space="preserve">and African American </w:t>
            </w:r>
          </w:p>
        </w:tc>
        <w:tc>
          <w:tcPr>
            <w:tcW w:w="1350" w:type="dxa"/>
          </w:tcPr>
          <w:p w14:paraId="4C4638D8" w14:textId="04044C4E" w:rsidR="007F46D6" w:rsidRPr="0076171A" w:rsidRDefault="00870C92" w:rsidP="007F46D6">
            <w:pPr>
              <w:rPr>
                <w:rFonts w:ascii="Palatino Linotype" w:hAnsi="Palatino Linotype" w:cstheme="minorHAnsi"/>
                <w:sz w:val="18"/>
                <w:szCs w:val="18"/>
              </w:rPr>
            </w:pPr>
            <w:r w:rsidRPr="00870C92">
              <w:rPr>
                <w:rFonts w:ascii="Palatino Linotype" w:hAnsi="Palatino Linotype" w:cstheme="minorHAnsi"/>
                <w:sz w:val="18"/>
                <w:szCs w:val="18"/>
              </w:rPr>
              <w:t>schizophrenia or schizoaffective disorder</w:t>
            </w:r>
          </w:p>
        </w:tc>
        <w:tc>
          <w:tcPr>
            <w:tcW w:w="1260" w:type="dxa"/>
          </w:tcPr>
          <w:p w14:paraId="3CFFA31E" w14:textId="63FD83C0" w:rsidR="007F46D6" w:rsidRPr="0076171A" w:rsidRDefault="007F46D6" w:rsidP="007F46D6">
            <w:pPr>
              <w:rPr>
                <w:rFonts w:ascii="Palatino Linotype" w:hAnsi="Palatino Linotype" w:cstheme="minorHAnsi"/>
                <w:sz w:val="18"/>
                <w:szCs w:val="18"/>
              </w:rPr>
            </w:pPr>
            <w:r w:rsidRPr="007F46D6">
              <w:rPr>
                <w:rFonts w:ascii="Palatino Linotype" w:hAnsi="Palatino Linotype" w:cstheme="minorHAnsi"/>
                <w:sz w:val="18"/>
                <w:szCs w:val="18"/>
              </w:rPr>
              <w:t>DSM-III-R or DSM-IV</w:t>
            </w:r>
          </w:p>
        </w:tc>
        <w:tc>
          <w:tcPr>
            <w:tcW w:w="1170" w:type="dxa"/>
          </w:tcPr>
          <w:p w14:paraId="362177E9" w14:textId="2247BBB9" w:rsidR="007F46D6" w:rsidRDefault="007F46D6" w:rsidP="007F46D6">
            <w:pPr>
              <w:rPr>
                <w:rFonts w:ascii="Palatino Linotype" w:hAnsi="Palatino Linotype" w:cstheme="minorHAnsi"/>
                <w:sz w:val="18"/>
                <w:szCs w:val="18"/>
              </w:rPr>
            </w:pPr>
            <w:r>
              <w:rPr>
                <w:rFonts w:ascii="Palatino Linotype" w:hAnsi="Palatino Linotype" w:cstheme="minorHAnsi"/>
                <w:sz w:val="18"/>
                <w:szCs w:val="18"/>
              </w:rPr>
              <w:t xml:space="preserve">AIMS, </w:t>
            </w:r>
            <w:r w:rsidRPr="005272E2">
              <w:rPr>
                <w:rFonts w:ascii="Palatino Linotype" w:hAnsi="Palatino Linotype" w:cstheme="minorHAnsi"/>
                <w:sz w:val="18"/>
                <w:szCs w:val="18"/>
              </w:rPr>
              <w:t>HSDS</w:t>
            </w:r>
          </w:p>
        </w:tc>
        <w:tc>
          <w:tcPr>
            <w:tcW w:w="1170" w:type="dxa"/>
          </w:tcPr>
          <w:p w14:paraId="3D020075" w14:textId="34F97682" w:rsidR="007F46D6" w:rsidRDefault="007F46D6" w:rsidP="007F46D6">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10D8680A" w14:textId="49F55924" w:rsidR="007F46D6" w:rsidRPr="00D356C7" w:rsidRDefault="00765C9A" w:rsidP="007F46D6">
            <w:pPr>
              <w:rPr>
                <w:rFonts w:ascii="Palatino Linotype" w:hAnsi="Palatino Linotype" w:cstheme="minorHAnsi"/>
                <w:sz w:val="18"/>
                <w:szCs w:val="18"/>
              </w:rPr>
            </w:pPr>
            <w:r>
              <w:rPr>
                <w:rFonts w:ascii="Palatino Linotype" w:hAnsi="Palatino Linotype" w:cstheme="minorHAnsi"/>
                <w:sz w:val="18"/>
                <w:szCs w:val="18"/>
              </w:rPr>
              <w:t>T</w:t>
            </w:r>
            <w:r w:rsidRPr="00765C9A">
              <w:rPr>
                <w:rFonts w:ascii="Palatino Linotype" w:hAnsi="Palatino Linotype" w:cstheme="minorHAnsi"/>
                <w:sz w:val="18"/>
                <w:szCs w:val="18"/>
              </w:rPr>
              <w:t>aqMan allele-specific assays</w:t>
            </w:r>
          </w:p>
        </w:tc>
        <w:tc>
          <w:tcPr>
            <w:tcW w:w="2507" w:type="dxa"/>
          </w:tcPr>
          <w:p w14:paraId="591C11D0" w14:textId="5B5C45E1" w:rsidR="005F5732" w:rsidRDefault="005F5732" w:rsidP="005F5732">
            <w:pPr>
              <w:rPr>
                <w:rFonts w:ascii="Palatino Linotype" w:hAnsi="Palatino Linotype" w:cstheme="minorHAnsi"/>
                <w:sz w:val="18"/>
                <w:szCs w:val="18"/>
              </w:rPr>
            </w:pPr>
            <w:r>
              <w:rPr>
                <w:rFonts w:ascii="Palatino Linotype" w:hAnsi="Palatino Linotype" w:cstheme="minorHAnsi"/>
                <w:sz w:val="18"/>
                <w:szCs w:val="18"/>
              </w:rPr>
              <w:t>Association between rs6277 and rs6275 with TD occurrence. rs6277 T allel</w:t>
            </w:r>
            <w:r w:rsidR="00046CFB" w:rsidRPr="00046CFB">
              <w:rPr>
                <w:rFonts w:ascii="Palatino Linotype" w:hAnsi="Palatino Linotype" w:cstheme="minorHAnsi"/>
                <w:sz w:val="18"/>
                <w:szCs w:val="18"/>
              </w:rPr>
              <w:t>e</w:t>
            </w:r>
            <w:r>
              <w:rPr>
                <w:rFonts w:ascii="Palatino Linotype" w:hAnsi="Palatino Linotype" w:cstheme="minorHAnsi"/>
                <w:sz w:val="18"/>
                <w:szCs w:val="18"/>
              </w:rPr>
              <w:t xml:space="preserve"> and rs6275 </w:t>
            </w:r>
            <w:r w:rsidR="00765C9A">
              <w:rPr>
                <w:rFonts w:ascii="Palatino Linotype" w:hAnsi="Palatino Linotype" w:cstheme="minorHAnsi"/>
                <w:sz w:val="18"/>
                <w:szCs w:val="18"/>
              </w:rPr>
              <w:t xml:space="preserve">C allele </w:t>
            </w:r>
            <w:r>
              <w:rPr>
                <w:rFonts w:ascii="Palatino Linotype" w:hAnsi="Palatino Linotype" w:cstheme="minorHAnsi"/>
                <w:sz w:val="18"/>
                <w:szCs w:val="18"/>
              </w:rPr>
              <w:t>frequenc</w:t>
            </w:r>
            <w:r w:rsidR="00765C9A">
              <w:rPr>
                <w:rFonts w:ascii="Palatino Linotype" w:hAnsi="Palatino Linotype" w:cstheme="minorHAnsi"/>
                <w:sz w:val="18"/>
                <w:szCs w:val="18"/>
              </w:rPr>
              <w:t>ies</w:t>
            </w:r>
            <w:r>
              <w:rPr>
                <w:rFonts w:ascii="Palatino Linotype" w:hAnsi="Palatino Linotype" w:cstheme="minorHAnsi"/>
                <w:sz w:val="18"/>
                <w:szCs w:val="18"/>
              </w:rPr>
              <w:t xml:space="preserve"> w</w:t>
            </w:r>
            <w:r w:rsidR="00511C08">
              <w:rPr>
                <w:rFonts w:ascii="Palatino Linotype" w:hAnsi="Palatino Linotype" w:cstheme="minorHAnsi"/>
                <w:sz w:val="18"/>
                <w:szCs w:val="18"/>
              </w:rPr>
              <w:t>ere</w:t>
            </w:r>
            <w:r>
              <w:rPr>
                <w:rFonts w:ascii="Palatino Linotype" w:hAnsi="Palatino Linotype" w:cstheme="minorHAnsi"/>
                <w:sz w:val="18"/>
                <w:szCs w:val="18"/>
              </w:rPr>
              <w:t xml:space="preserve"> lower in TD patients </w:t>
            </w:r>
          </w:p>
        </w:tc>
        <w:tc>
          <w:tcPr>
            <w:tcW w:w="2173" w:type="dxa"/>
          </w:tcPr>
          <w:p w14:paraId="24E42BA9" w14:textId="3C37929D" w:rsidR="007F46D6" w:rsidRDefault="00046CFB" w:rsidP="007F46D6">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A81DD4">
              <w:rPr>
                <w:rFonts w:ascii="Palatino Linotype" w:hAnsi="Palatino Linotype" w:cstheme="minorHAnsi"/>
                <w:sz w:val="18"/>
                <w:szCs w:val="18"/>
              </w:rPr>
              <w:instrText>ADDIN CSL_CITATION {"citationItems":[{"id":"ITEM-1","itemData":{"DOI":"10.1017/S1461145706007152","ISSN":"1461-1457","PMID":"16959057","abstract":"Tardive dyskinesia (TD) is a side-effect of chronic antipsychotic medication. Abnormalities in dopaminergic activity in the nigrostriatal system have been most often suggested to be involved because the agents which cause TD share in common potent antagonism of dopamine D2 receptors (DRD2), that notably is not balanced by effects such as more potent serotonin (5-HT)2A antagonism. Thus, a number of studies have focused on the association of dopamine system gene polymorphisms and TD. The most consistent findings have been found with the Ser9Gly polymorphism of the DRD3 gene. Although DRD2 has long been hypothesized to be the main target for antipsychotics, only a few polymorphisms in DRD2 have been investigated for their potential involvement in the aetiology of TD. In the present study, we investigated 12 polymorphisms spanning the DRD2 gene and their association with TD in our European Caucasian (n=202) and African-American (n=30) samples. Genotype frequencies for a functional polymorphism, C957T (Duan et al., 2003; Hirvonen et al., 2004), and the adjacent C939T polymorphism were found to be significantly associated with TD (p=0.013 and p=0.022 respectively). DRD2 genotypes were not significantly associated with TD severity as measured by AIMS (Abnormal Involuntary Movement Scale) with the exception of a trend for C939T (p=0.071). Both TD and total AIMS scores were found to be significantly associated with two-marker haplotypes containing C939T and C957T (p=0.021 and p=0.0087 respectively). Preliminary results indicated that C957T was also associated with TD in our African-American sample (p=0.047). Taken together, the present study suggests that DRD2 may be involved in TD in the Caucasian population, although further studies are warranted.","author":[{"dropping-particle":"","family":"Zai","given":"Clement C","non-dropping-particle":"","parse-names":false,"suffix":""},{"dropping-particle":"","family":"Hwang","given":"Rudi W","non-dropping-particle":"","parse-names":false,"suffix":""},{"dropping-particle":"","family":"Luca","given":"Vincenzo","non-dropping-particle":"De","parse-names":false,"suffix":""},{"dropping-particle":"","family":"Müller","given":"Daniel J","non-dropping-particle":"","parse-names":false,"suffix":""},{"dropping-particle":"","family":"King","given":"Nicole","non-dropping-particle":"","parse-names":false,"suffix":""},{"dropping-particle":"","family":"Zai","given":"Gwyneth C","non-dropping-particle":"","parse-names":false,"suffix":""},{"dropping-particle":"","family":"Remington","given":"Gary","non-dropping-particle":"","parse-names":false,"suffix":""},{"dropping-particle":"","family":"Meltzer","given":"Herbert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G","non-dropping-particle":"","parse-names":false,"suffix":""},{"dropping-particle":"","family":"Kennedy","given":"James L","non-dropping-particle":"","parse-names":false,"suffix":""}],"container-title":"The international journal of neuropsychopharmacology","id":"ITEM-1","issue":"5","issued":{"date-parts":[["2007","10"]]},"page":"639-51","publisher":"Int J Neuropsychopharmacol","title":"Association study of tardive dyskinesia and twelve DRD2 polymorphisms in schizophrenia patients.","type":"article-journal","volume":"10"},"uris":["http://www.mendeley.com/documents/?uuid=ebba4541-cb92-3eb6-bd68-bbc581e99bbf"]}],"mendeley":{"formattedCitation":"(Zai et al. 2007)","plainTextFormattedCitation":"(Zai et al. 2007)","previouslyFormattedCitation":"(Zai et al. 2007)"},"properties":{"noteIndex":0},"schema":"https://github.com/citation-style-language/schema/raw/master/csl-citation.json"}</w:instrText>
            </w:r>
            <w:r>
              <w:rPr>
                <w:rFonts w:ascii="Palatino Linotype" w:hAnsi="Palatino Linotype" w:cstheme="minorHAnsi"/>
                <w:sz w:val="18"/>
                <w:szCs w:val="18"/>
              </w:rPr>
              <w:fldChar w:fldCharType="separate"/>
            </w:r>
            <w:r w:rsidRPr="00503042">
              <w:rPr>
                <w:rFonts w:ascii="Palatino Linotype" w:hAnsi="Palatino Linotype" w:cstheme="minorHAnsi"/>
                <w:noProof/>
                <w:sz w:val="18"/>
                <w:szCs w:val="18"/>
              </w:rPr>
              <w:t>(Zai et al. 2007)</w:t>
            </w:r>
            <w:r>
              <w:rPr>
                <w:rFonts w:ascii="Palatino Linotype" w:hAnsi="Palatino Linotype" w:cstheme="minorHAnsi"/>
                <w:sz w:val="18"/>
                <w:szCs w:val="18"/>
              </w:rPr>
              <w:fldChar w:fldCharType="end"/>
            </w:r>
          </w:p>
        </w:tc>
      </w:tr>
      <w:tr w:rsidR="00274C4A" w:rsidRPr="00EA57B8" w14:paraId="7D0367CF" w14:textId="77777777" w:rsidTr="0031439E">
        <w:tc>
          <w:tcPr>
            <w:tcW w:w="1094" w:type="dxa"/>
          </w:tcPr>
          <w:p w14:paraId="56369B0B" w14:textId="6C97A6BC" w:rsidR="00274C4A" w:rsidRPr="00274C4A" w:rsidRDefault="00274C4A" w:rsidP="00274C4A">
            <w:pPr>
              <w:rPr>
                <w:rFonts w:ascii="Palatino Linotype" w:hAnsi="Palatino Linotype" w:cstheme="minorHAnsi"/>
                <w:i/>
                <w:iCs/>
                <w:sz w:val="18"/>
                <w:szCs w:val="18"/>
              </w:rPr>
            </w:pPr>
            <w:r w:rsidRPr="00FA1716">
              <w:rPr>
                <w:rFonts w:ascii="Palatino Linotype" w:hAnsi="Palatino Linotype" w:cstheme="minorHAnsi"/>
                <w:i/>
                <w:iCs/>
                <w:sz w:val="18"/>
                <w:szCs w:val="18"/>
              </w:rPr>
              <w:t>AKT1</w:t>
            </w:r>
          </w:p>
        </w:tc>
        <w:tc>
          <w:tcPr>
            <w:tcW w:w="1080" w:type="dxa"/>
          </w:tcPr>
          <w:p w14:paraId="07E6DD86" w14:textId="1488B855" w:rsidR="00274C4A" w:rsidRPr="0076171A" w:rsidRDefault="00274C4A" w:rsidP="00274C4A">
            <w:pPr>
              <w:rPr>
                <w:rStyle w:val="st"/>
                <w:rFonts w:ascii="Palatino Linotype" w:hAnsi="Palatino Linotype"/>
                <w:sz w:val="18"/>
                <w:szCs w:val="18"/>
              </w:rPr>
            </w:pPr>
            <w:r w:rsidRPr="00274C4A">
              <w:rPr>
                <w:rStyle w:val="st"/>
                <w:rFonts w:ascii="Palatino Linotype" w:hAnsi="Palatino Linotype"/>
                <w:sz w:val="18"/>
                <w:szCs w:val="18"/>
              </w:rPr>
              <w:t>rs2498784</w:t>
            </w:r>
            <w:r>
              <w:rPr>
                <w:rStyle w:val="st"/>
                <w:rFonts w:ascii="Palatino Linotype" w:hAnsi="Palatino Linotype"/>
                <w:sz w:val="18"/>
                <w:szCs w:val="18"/>
              </w:rPr>
              <w:t xml:space="preserve">, </w:t>
            </w:r>
            <w:r w:rsidRPr="00274C4A">
              <w:rPr>
                <w:rStyle w:val="st"/>
                <w:rFonts w:ascii="Palatino Linotype" w:hAnsi="Palatino Linotype"/>
                <w:sz w:val="18"/>
                <w:szCs w:val="18"/>
              </w:rPr>
              <w:t>rs1130214</w:t>
            </w:r>
            <w:r>
              <w:rPr>
                <w:rStyle w:val="st"/>
                <w:rFonts w:ascii="Palatino Linotype" w:hAnsi="Palatino Linotype"/>
                <w:sz w:val="18"/>
                <w:szCs w:val="18"/>
              </w:rPr>
              <w:t xml:space="preserve">, </w:t>
            </w:r>
            <w:r w:rsidRPr="00274C4A">
              <w:rPr>
                <w:rStyle w:val="st"/>
                <w:rFonts w:ascii="Palatino Linotype" w:hAnsi="Palatino Linotype"/>
                <w:sz w:val="18"/>
                <w:szCs w:val="18"/>
              </w:rPr>
              <w:t>rs2494746</w:t>
            </w:r>
            <w:r>
              <w:rPr>
                <w:rStyle w:val="st"/>
                <w:rFonts w:ascii="Palatino Linotype" w:hAnsi="Palatino Linotype"/>
                <w:sz w:val="18"/>
                <w:szCs w:val="18"/>
              </w:rPr>
              <w:t xml:space="preserve">, </w:t>
            </w:r>
            <w:r w:rsidRPr="00274C4A">
              <w:rPr>
                <w:rStyle w:val="st"/>
                <w:rFonts w:ascii="Palatino Linotype" w:hAnsi="Palatino Linotype"/>
                <w:sz w:val="18"/>
                <w:szCs w:val="18"/>
              </w:rPr>
              <w:t>rs10149779</w:t>
            </w:r>
            <w:r>
              <w:rPr>
                <w:rStyle w:val="st"/>
                <w:rFonts w:ascii="Palatino Linotype" w:hAnsi="Palatino Linotype"/>
                <w:sz w:val="18"/>
                <w:szCs w:val="18"/>
              </w:rPr>
              <w:t xml:space="preserve">, </w:t>
            </w:r>
            <w:r w:rsidRPr="00274C4A">
              <w:rPr>
                <w:rStyle w:val="st"/>
                <w:rFonts w:ascii="Palatino Linotype" w:hAnsi="Palatino Linotype"/>
                <w:sz w:val="18"/>
                <w:szCs w:val="18"/>
              </w:rPr>
              <w:t>rs2494738</w:t>
            </w:r>
            <w:r>
              <w:rPr>
                <w:rStyle w:val="st"/>
                <w:rFonts w:ascii="Palatino Linotype" w:hAnsi="Palatino Linotype"/>
                <w:sz w:val="18"/>
                <w:szCs w:val="18"/>
              </w:rPr>
              <w:t xml:space="preserve">, </w:t>
            </w:r>
            <w:r w:rsidRPr="00274C4A">
              <w:rPr>
                <w:rStyle w:val="st"/>
                <w:rFonts w:ascii="Palatino Linotype" w:hAnsi="Palatino Linotype"/>
                <w:sz w:val="18"/>
                <w:szCs w:val="18"/>
              </w:rPr>
              <w:t>rs3730358</w:t>
            </w:r>
            <w:r>
              <w:rPr>
                <w:rStyle w:val="st"/>
                <w:rFonts w:ascii="Palatino Linotype" w:hAnsi="Palatino Linotype"/>
                <w:sz w:val="18"/>
                <w:szCs w:val="18"/>
              </w:rPr>
              <w:t xml:space="preserve">, </w:t>
            </w:r>
            <w:r w:rsidRPr="00274C4A">
              <w:rPr>
                <w:rStyle w:val="st"/>
                <w:rFonts w:ascii="Palatino Linotype" w:hAnsi="Palatino Linotype"/>
                <w:sz w:val="18"/>
                <w:szCs w:val="18"/>
              </w:rPr>
              <w:t>rs3803304</w:t>
            </w:r>
            <w:r>
              <w:rPr>
                <w:rStyle w:val="st"/>
                <w:rFonts w:ascii="Palatino Linotype" w:hAnsi="Palatino Linotype"/>
                <w:sz w:val="18"/>
                <w:szCs w:val="18"/>
              </w:rPr>
              <w:t xml:space="preserve">, </w:t>
            </w:r>
            <w:r w:rsidRPr="00274C4A">
              <w:rPr>
                <w:rStyle w:val="st"/>
                <w:rFonts w:ascii="Palatino Linotype" w:hAnsi="Palatino Linotype"/>
                <w:sz w:val="18"/>
                <w:szCs w:val="18"/>
              </w:rPr>
              <w:t>rs2494731</w:t>
            </w:r>
          </w:p>
        </w:tc>
        <w:tc>
          <w:tcPr>
            <w:tcW w:w="1080" w:type="dxa"/>
          </w:tcPr>
          <w:p w14:paraId="3ECD2011" w14:textId="65CF6A96" w:rsidR="00274C4A" w:rsidRDefault="00BA2B1B" w:rsidP="00274C4A">
            <w:pPr>
              <w:rPr>
                <w:rFonts w:ascii="Palatino Linotype" w:hAnsi="Palatino Linotype" w:cstheme="minorHAnsi"/>
                <w:sz w:val="18"/>
                <w:szCs w:val="18"/>
              </w:rPr>
            </w:pPr>
            <w:r>
              <w:rPr>
                <w:rFonts w:ascii="Palatino Linotype" w:hAnsi="Palatino Linotype" w:cstheme="minorHAnsi"/>
                <w:sz w:val="18"/>
                <w:szCs w:val="18"/>
              </w:rPr>
              <w:t>22</w:t>
            </w:r>
            <w:r w:rsidR="00274C4A" w:rsidRPr="00274C4A">
              <w:rPr>
                <w:rFonts w:ascii="Palatino Linotype" w:hAnsi="Palatino Linotype" w:cstheme="minorHAnsi"/>
                <w:sz w:val="18"/>
                <w:szCs w:val="18"/>
              </w:rPr>
              <w:t>3</w:t>
            </w:r>
            <w:r w:rsidR="00274C4A">
              <w:rPr>
                <w:rFonts w:ascii="Palatino Linotype" w:hAnsi="Palatino Linotype" w:cstheme="minorHAnsi"/>
                <w:sz w:val="18"/>
                <w:szCs w:val="18"/>
              </w:rPr>
              <w:t xml:space="preserve"> (</w:t>
            </w:r>
            <w:r>
              <w:rPr>
                <w:rFonts w:ascii="Palatino Linotype" w:hAnsi="Palatino Linotype" w:cstheme="minorHAnsi"/>
                <w:sz w:val="18"/>
                <w:szCs w:val="18"/>
              </w:rPr>
              <w:t xml:space="preserve">87 </w:t>
            </w:r>
            <w:r w:rsidR="00274C4A" w:rsidRPr="00274C4A">
              <w:rPr>
                <w:rFonts w:ascii="Palatino Linotype" w:hAnsi="Palatino Linotype" w:cstheme="minorHAnsi"/>
                <w:sz w:val="18"/>
                <w:szCs w:val="18"/>
              </w:rPr>
              <w:t>with TD</w:t>
            </w:r>
            <w:r w:rsidR="00274C4A">
              <w:rPr>
                <w:rFonts w:ascii="Palatino Linotype" w:hAnsi="Palatino Linotype" w:cstheme="minorHAnsi"/>
                <w:sz w:val="18"/>
                <w:szCs w:val="18"/>
              </w:rPr>
              <w:t>)</w:t>
            </w:r>
            <w:r w:rsidR="00274C4A" w:rsidRPr="00274C4A">
              <w:rPr>
                <w:rFonts w:ascii="Palatino Linotype" w:hAnsi="Palatino Linotype" w:cstheme="minorHAnsi"/>
                <w:sz w:val="18"/>
                <w:szCs w:val="18"/>
              </w:rPr>
              <w:t xml:space="preserve"> </w:t>
            </w:r>
          </w:p>
        </w:tc>
        <w:tc>
          <w:tcPr>
            <w:tcW w:w="1170" w:type="dxa"/>
          </w:tcPr>
          <w:p w14:paraId="5E540377" w14:textId="421F3A85" w:rsidR="00274C4A" w:rsidRPr="00B240CB" w:rsidRDefault="00274C4A" w:rsidP="00274C4A">
            <w:pPr>
              <w:rPr>
                <w:rFonts w:ascii="Palatino Linotype" w:hAnsi="Palatino Linotype" w:cstheme="minorHAnsi"/>
                <w:sz w:val="18"/>
                <w:szCs w:val="18"/>
              </w:rPr>
            </w:pPr>
            <w:r w:rsidRPr="00274C4A">
              <w:rPr>
                <w:rFonts w:ascii="Palatino Linotype" w:hAnsi="Palatino Linotype" w:cstheme="minorHAnsi"/>
                <w:sz w:val="18"/>
                <w:szCs w:val="18"/>
              </w:rPr>
              <w:t>Caucasian</w:t>
            </w:r>
            <w:r w:rsidR="00B90463">
              <w:rPr>
                <w:rFonts w:ascii="Palatino Linotype" w:hAnsi="Palatino Linotype" w:cstheme="minorHAnsi"/>
                <w:sz w:val="18"/>
                <w:szCs w:val="18"/>
              </w:rPr>
              <w:t xml:space="preserve"> a</w:t>
            </w:r>
            <w:r w:rsidR="00B90463" w:rsidRPr="00B90463">
              <w:rPr>
                <w:rFonts w:ascii="Palatino Linotype" w:hAnsi="Palatino Linotype" w:cstheme="minorHAnsi"/>
                <w:sz w:val="18"/>
                <w:szCs w:val="18"/>
              </w:rPr>
              <w:t>nd African</w:t>
            </w:r>
            <w:r w:rsidR="00B90463">
              <w:rPr>
                <w:rFonts w:ascii="Palatino Linotype" w:hAnsi="Palatino Linotype" w:cstheme="minorHAnsi"/>
                <w:sz w:val="18"/>
                <w:szCs w:val="18"/>
              </w:rPr>
              <w:t xml:space="preserve"> </w:t>
            </w:r>
            <w:r w:rsidR="00B90463" w:rsidRPr="00B90463">
              <w:rPr>
                <w:rFonts w:ascii="Palatino Linotype" w:hAnsi="Palatino Linotype" w:cstheme="minorHAnsi"/>
                <w:sz w:val="18"/>
                <w:szCs w:val="18"/>
              </w:rPr>
              <w:t xml:space="preserve">American </w:t>
            </w:r>
          </w:p>
        </w:tc>
        <w:tc>
          <w:tcPr>
            <w:tcW w:w="1350" w:type="dxa"/>
          </w:tcPr>
          <w:p w14:paraId="5815DD85" w14:textId="4314CE51" w:rsidR="00274C4A" w:rsidRPr="0076171A" w:rsidRDefault="00B90463" w:rsidP="00274C4A">
            <w:pPr>
              <w:rPr>
                <w:rFonts w:ascii="Palatino Linotype" w:hAnsi="Palatino Linotype" w:cstheme="minorHAnsi"/>
                <w:sz w:val="18"/>
                <w:szCs w:val="18"/>
              </w:rPr>
            </w:pPr>
            <w:r w:rsidRPr="00B90463">
              <w:rPr>
                <w:rFonts w:ascii="Palatino Linotype" w:hAnsi="Palatino Linotype" w:cstheme="minorHAnsi"/>
                <w:sz w:val="18"/>
                <w:szCs w:val="18"/>
              </w:rPr>
              <w:t>schizophrenia</w:t>
            </w:r>
          </w:p>
        </w:tc>
        <w:tc>
          <w:tcPr>
            <w:tcW w:w="1260" w:type="dxa"/>
          </w:tcPr>
          <w:p w14:paraId="59E029BB" w14:textId="08783C09" w:rsidR="00274C4A" w:rsidRPr="0076171A" w:rsidRDefault="00BA2B1B" w:rsidP="00274C4A">
            <w:pPr>
              <w:rPr>
                <w:rFonts w:ascii="Palatino Linotype" w:hAnsi="Palatino Linotype" w:cstheme="minorHAnsi"/>
                <w:sz w:val="18"/>
                <w:szCs w:val="18"/>
              </w:rPr>
            </w:pPr>
            <w:r>
              <w:rPr>
                <w:rFonts w:ascii="Palatino Linotype" w:hAnsi="Palatino Linotype" w:cstheme="minorHAnsi"/>
                <w:sz w:val="18"/>
                <w:szCs w:val="18"/>
              </w:rPr>
              <w:t>NA</w:t>
            </w:r>
          </w:p>
        </w:tc>
        <w:tc>
          <w:tcPr>
            <w:tcW w:w="1170" w:type="dxa"/>
          </w:tcPr>
          <w:p w14:paraId="07ADD2CA" w14:textId="18288F57"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AIMS, </w:t>
            </w:r>
            <w:r w:rsidRPr="005272E2">
              <w:rPr>
                <w:rFonts w:ascii="Palatino Linotype" w:hAnsi="Palatino Linotype" w:cstheme="minorHAnsi"/>
                <w:sz w:val="18"/>
                <w:szCs w:val="18"/>
              </w:rPr>
              <w:t>HSDS</w:t>
            </w:r>
          </w:p>
        </w:tc>
        <w:tc>
          <w:tcPr>
            <w:tcW w:w="1170" w:type="dxa"/>
          </w:tcPr>
          <w:p w14:paraId="327C396B" w14:textId="670FC1FD"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62B393E3" w14:textId="108C1F5C" w:rsidR="00274C4A" w:rsidRPr="00D356C7" w:rsidRDefault="00BA2B1B" w:rsidP="00274C4A">
            <w:pPr>
              <w:rPr>
                <w:rFonts w:ascii="Palatino Linotype" w:hAnsi="Palatino Linotype" w:cstheme="minorHAnsi"/>
                <w:sz w:val="18"/>
                <w:szCs w:val="18"/>
              </w:rPr>
            </w:pPr>
            <w:r>
              <w:rPr>
                <w:rFonts w:ascii="Palatino Linotype" w:hAnsi="Palatino Linotype" w:cstheme="minorHAnsi"/>
                <w:sz w:val="18"/>
                <w:szCs w:val="18"/>
              </w:rPr>
              <w:t>NA</w:t>
            </w:r>
          </w:p>
        </w:tc>
        <w:tc>
          <w:tcPr>
            <w:tcW w:w="2507" w:type="dxa"/>
          </w:tcPr>
          <w:p w14:paraId="1E3D5963" w14:textId="77767F07" w:rsidR="00274C4A" w:rsidRDefault="00BA2B1B" w:rsidP="00274C4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329AF059" w14:textId="79D5931D"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sidR="00B92D4C">
              <w:rPr>
                <w:rFonts w:ascii="Palatino Linotype" w:hAnsi="Palatino Linotype" w:cstheme="minorHAnsi"/>
                <w:sz w:val="18"/>
                <w:szCs w:val="18"/>
              </w:rPr>
              <w:instrText>ADDIN CSL_CITATION {"citationItems":[{"id":"ITEM-1","itemData":{"DOI":"10.1016/j.schres.2008.08.036","ISSN":"0920-9964","PMID":"18838251","abstract":"Tardive dyskinesia (TD) is a motor adverse effect of chronic antipsychotic medication. It has been suggested to involve dopamine neurotransmission system changes. AKT1 acts downstream of the D(2) receptor that is blocked by all antipsychotics to some degree. The AKT1 gene has not been investigated in TD. We examined eight polymorphisms spanning the AKT1 gene and their association with TD in our schizophrenia sample of 193 Caucasians, 76 of which with TD. AKT1 polymorphisms and haplotypes were not significantly associated with TD. However, we detected a significant interaction between rs6275 of DRD2 and rs3730358 of AKT1 (p&lt;1 x 10(-5)).","author":[{"dropping-particle":"","family":"Zai","given":"Clement C","non-dropping-particle":"","parse-names":false,"suffix":""},{"dropping-particle":"","family":"Romano-Silva","given":"Marco A","non-dropping-particle":"","parse-names":false,"suffix":""},{"dropping-particle":"","family":"Hwang","given":"Rudi","non-dropping-particle":"","parse-names":false,"suffix":""},{"dropping-particle":"","family":"Zai","given":"Gwyneth C","non-dropping-particle":"","parse-names":false,"suffix":""},{"dropping-particle":"","family":"Deluca","given":"Vincenzo","non-dropping-particle":"","parse-names":false,"suffix":""},{"dropping-particle":"","family":"Müller","given":"Daniel J","non-dropping-particle":"","parse-names":false,"suffix":""},{"dropping-particle":"","family":"King","given":"Nicole","non-dropping-particle":"","parse-names":false,"suffix":""},{"dropping-particle":"","family":"Voineskos","given":"Aristotle N","non-dropping-particle":"","parse-names":false,"suffix":""},{"dropping-particle":"","family":"Meltzer","given":"Herbert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G","non-dropping-particle":"","parse-names":false,"suffix":""},{"dropping-particle":"","family":"Remington","given":"Gary","non-dropping-particle":"","parse-names":false,"suffix":""},{"dropping-particle":"","family":"Kennedy","given":"James L","non-dropping-particle":"","parse-names":false,"suffix":""}],"container-title":"Schizophrenia research","id":"ITEM-1","issue":"2-3","issued":{"date-parts":[["2008","12"]]},"page":"248-52","publisher":"Schizophr Res","title":"Genetic study of eight AKT1 gene polymorphisms and their interaction with DRD2 gene polymorphisms in tardive dyskinesia.","type":"article-journal","volume":"106"},"uris":["http://www.mendeley.com/documents/?uuid=0b16324e-0acf-3e60-b1c7-9a38c1ded339"]}],"mendeley":{"formattedCitation":"(Zai et al. 2008)","plainTextFormattedCitation":"(Zai et al. 2008)","previouslyFormattedCitation":"(Zai et al. 2008)"},"properties":{"noteIndex":0},"schema":"https://github.com/citation-style-language/schema/raw/master/csl-citation.json"}</w:instrText>
            </w:r>
            <w:r>
              <w:rPr>
                <w:rFonts w:ascii="Palatino Linotype" w:hAnsi="Palatino Linotype" w:cstheme="minorHAnsi"/>
                <w:sz w:val="18"/>
                <w:szCs w:val="18"/>
              </w:rPr>
              <w:fldChar w:fldCharType="separate"/>
            </w:r>
            <w:r w:rsidRPr="00A81DD4">
              <w:rPr>
                <w:rFonts w:ascii="Palatino Linotype" w:hAnsi="Palatino Linotype" w:cstheme="minorHAnsi"/>
                <w:noProof/>
                <w:sz w:val="18"/>
                <w:szCs w:val="18"/>
              </w:rPr>
              <w:t>(Zai et al. 2008)</w:t>
            </w:r>
            <w:r>
              <w:rPr>
                <w:rFonts w:ascii="Palatino Linotype" w:hAnsi="Palatino Linotype" w:cstheme="minorHAnsi"/>
                <w:sz w:val="18"/>
                <w:szCs w:val="18"/>
              </w:rPr>
              <w:fldChar w:fldCharType="end"/>
            </w:r>
          </w:p>
        </w:tc>
      </w:tr>
      <w:tr w:rsidR="00274C4A" w:rsidRPr="00EA57B8" w14:paraId="22D46350" w14:textId="77777777" w:rsidTr="0031439E">
        <w:tc>
          <w:tcPr>
            <w:tcW w:w="1094" w:type="dxa"/>
          </w:tcPr>
          <w:p w14:paraId="05A21867" w14:textId="36A3A6D0"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DRD4</w:t>
            </w:r>
          </w:p>
        </w:tc>
        <w:tc>
          <w:tcPr>
            <w:tcW w:w="1080" w:type="dxa"/>
          </w:tcPr>
          <w:p w14:paraId="368EE190" w14:textId="3F433FEC" w:rsidR="00274C4A" w:rsidRPr="0076171A" w:rsidRDefault="00274C4A" w:rsidP="00274C4A">
            <w:pPr>
              <w:rPr>
                <w:rStyle w:val="st"/>
                <w:rFonts w:ascii="Palatino Linotype" w:hAnsi="Palatino Linotype"/>
                <w:sz w:val="18"/>
                <w:szCs w:val="18"/>
              </w:rPr>
            </w:pPr>
            <w:r w:rsidRPr="0076171A">
              <w:rPr>
                <w:rStyle w:val="st"/>
                <w:rFonts w:ascii="Palatino Linotype" w:hAnsi="Palatino Linotype"/>
                <w:sz w:val="18"/>
                <w:szCs w:val="18"/>
              </w:rPr>
              <w:t>rs3758653</w:t>
            </w:r>
            <w:r>
              <w:rPr>
                <w:rStyle w:val="st"/>
                <w:rFonts w:ascii="Palatino Linotype" w:hAnsi="Palatino Linotype"/>
                <w:sz w:val="18"/>
                <w:szCs w:val="18"/>
              </w:rPr>
              <w:t xml:space="preserve">, </w:t>
            </w:r>
            <w:r w:rsidRPr="0076171A">
              <w:rPr>
                <w:rStyle w:val="st"/>
                <w:rFonts w:ascii="Palatino Linotype" w:hAnsi="Palatino Linotype"/>
                <w:sz w:val="18"/>
                <w:szCs w:val="18"/>
              </w:rPr>
              <w:t>rs916457</w:t>
            </w:r>
            <w:r>
              <w:rPr>
                <w:rStyle w:val="st"/>
                <w:rFonts w:ascii="Palatino Linotype" w:hAnsi="Palatino Linotype"/>
                <w:sz w:val="18"/>
                <w:szCs w:val="18"/>
              </w:rPr>
              <w:t>, e</w:t>
            </w:r>
            <w:r w:rsidRPr="0076171A">
              <w:rPr>
                <w:rStyle w:val="st"/>
                <w:rFonts w:ascii="Palatino Linotype" w:hAnsi="Palatino Linotype"/>
                <w:sz w:val="18"/>
                <w:szCs w:val="18"/>
              </w:rPr>
              <w:t>xon 3 VNTR</w:t>
            </w:r>
            <w:r>
              <w:rPr>
                <w:rStyle w:val="st"/>
                <w:rFonts w:ascii="Palatino Linotype" w:hAnsi="Palatino Linotype"/>
                <w:sz w:val="18"/>
                <w:szCs w:val="18"/>
              </w:rPr>
              <w:t xml:space="preserve">, </w:t>
            </w:r>
            <w:r w:rsidRPr="0076171A">
              <w:rPr>
                <w:rStyle w:val="st"/>
                <w:rFonts w:ascii="Palatino Linotype" w:hAnsi="Palatino Linotype"/>
                <w:sz w:val="18"/>
                <w:szCs w:val="18"/>
              </w:rPr>
              <w:t>rs762502</w:t>
            </w:r>
            <w:r>
              <w:rPr>
                <w:rStyle w:val="st"/>
                <w:rFonts w:ascii="Palatino Linotype" w:hAnsi="Palatino Linotype"/>
                <w:sz w:val="18"/>
                <w:szCs w:val="18"/>
              </w:rPr>
              <w:t>, r</w:t>
            </w:r>
            <w:r w:rsidRPr="0076171A">
              <w:rPr>
                <w:rStyle w:val="st"/>
                <w:rFonts w:ascii="Palatino Linotype" w:hAnsi="Palatino Linotype"/>
                <w:sz w:val="18"/>
                <w:szCs w:val="18"/>
              </w:rPr>
              <w:t>s1124622</w:t>
            </w:r>
            <w:r w:rsidRPr="0076171A">
              <w:rPr>
                <w:rStyle w:val="st"/>
                <w:rFonts w:ascii="Palatino Linotype" w:hAnsi="Palatino Linotype"/>
                <w:sz w:val="18"/>
                <w:szCs w:val="18"/>
              </w:rPr>
              <w:lastRenderedPageBreak/>
              <w:t>6</w:t>
            </w:r>
            <w:r>
              <w:rPr>
                <w:rStyle w:val="st"/>
                <w:rFonts w:ascii="Palatino Linotype" w:hAnsi="Palatino Linotype"/>
                <w:sz w:val="18"/>
                <w:szCs w:val="18"/>
              </w:rPr>
              <w:t xml:space="preserve">, </w:t>
            </w:r>
            <w:r w:rsidRPr="005272E2">
              <w:rPr>
                <w:rStyle w:val="st"/>
                <w:rFonts w:ascii="Palatino Linotype" w:hAnsi="Palatino Linotype"/>
                <w:sz w:val="18"/>
                <w:szCs w:val="18"/>
              </w:rPr>
              <w:t>rs936465</w:t>
            </w:r>
          </w:p>
        </w:tc>
        <w:tc>
          <w:tcPr>
            <w:tcW w:w="1080" w:type="dxa"/>
          </w:tcPr>
          <w:p w14:paraId="2270295B" w14:textId="11F809B8"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lastRenderedPageBreak/>
              <w:t>171 (70 with TD)</w:t>
            </w:r>
          </w:p>
        </w:tc>
        <w:tc>
          <w:tcPr>
            <w:tcW w:w="1170" w:type="dxa"/>
          </w:tcPr>
          <w:p w14:paraId="43EF4BF2" w14:textId="7399882B" w:rsidR="00274C4A" w:rsidRPr="00B240CB" w:rsidRDefault="00274C4A" w:rsidP="00274C4A">
            <w:pPr>
              <w:rPr>
                <w:rFonts w:ascii="Palatino Linotype" w:hAnsi="Palatino Linotype" w:cstheme="minorHAnsi"/>
                <w:sz w:val="18"/>
                <w:szCs w:val="18"/>
              </w:rPr>
            </w:pPr>
            <w:r w:rsidRPr="00B240CB">
              <w:rPr>
                <w:rFonts w:ascii="Palatino Linotype" w:hAnsi="Palatino Linotype" w:cstheme="minorHAnsi"/>
                <w:sz w:val="18"/>
                <w:szCs w:val="18"/>
              </w:rPr>
              <w:t xml:space="preserve">Caucasian </w:t>
            </w:r>
            <w:r>
              <w:rPr>
                <w:rFonts w:ascii="Palatino Linotype" w:hAnsi="Palatino Linotype" w:cstheme="minorHAnsi"/>
                <w:sz w:val="18"/>
                <w:szCs w:val="18"/>
              </w:rPr>
              <w:t>(European)</w:t>
            </w:r>
          </w:p>
        </w:tc>
        <w:tc>
          <w:tcPr>
            <w:tcW w:w="1350" w:type="dxa"/>
          </w:tcPr>
          <w:p w14:paraId="4E414C1E" w14:textId="6409DFE4" w:rsidR="00274C4A" w:rsidRPr="0076171A" w:rsidRDefault="00274C4A" w:rsidP="00274C4A">
            <w:pPr>
              <w:rPr>
                <w:rFonts w:ascii="Palatino Linotype" w:hAnsi="Palatino Linotype" w:cstheme="minorHAnsi"/>
                <w:sz w:val="18"/>
                <w:szCs w:val="18"/>
              </w:rPr>
            </w:pPr>
            <w:r w:rsidRPr="0076171A">
              <w:rPr>
                <w:rFonts w:ascii="Palatino Linotype" w:hAnsi="Palatino Linotype" w:cstheme="minorHAnsi"/>
                <w:sz w:val="18"/>
                <w:szCs w:val="18"/>
              </w:rPr>
              <w:t>schizophrenia or schizoaffecti</w:t>
            </w:r>
            <w:r>
              <w:rPr>
                <w:rFonts w:ascii="Palatino Linotype" w:hAnsi="Palatino Linotype" w:cstheme="minorHAnsi"/>
                <w:sz w:val="18"/>
                <w:szCs w:val="18"/>
              </w:rPr>
              <w:t>v</w:t>
            </w:r>
            <w:r w:rsidRPr="0076171A">
              <w:rPr>
                <w:rFonts w:ascii="Palatino Linotype" w:hAnsi="Palatino Linotype" w:cstheme="minorHAnsi"/>
                <w:sz w:val="18"/>
                <w:szCs w:val="18"/>
              </w:rPr>
              <w:t>e</w:t>
            </w:r>
            <w:r>
              <w:rPr>
                <w:rFonts w:ascii="Palatino Linotype" w:hAnsi="Palatino Linotype" w:cstheme="minorHAnsi"/>
                <w:sz w:val="18"/>
                <w:szCs w:val="18"/>
              </w:rPr>
              <w:t xml:space="preserve"> </w:t>
            </w:r>
            <w:r w:rsidRPr="0076171A">
              <w:rPr>
                <w:rFonts w:ascii="Palatino Linotype" w:hAnsi="Palatino Linotype" w:cstheme="minorHAnsi"/>
                <w:sz w:val="18"/>
                <w:szCs w:val="18"/>
              </w:rPr>
              <w:t xml:space="preserve">disorder </w:t>
            </w:r>
          </w:p>
        </w:tc>
        <w:tc>
          <w:tcPr>
            <w:tcW w:w="1260" w:type="dxa"/>
          </w:tcPr>
          <w:p w14:paraId="3A12067F" w14:textId="69DF1AD9" w:rsidR="00274C4A" w:rsidRPr="0076171A" w:rsidRDefault="00274C4A" w:rsidP="00274C4A">
            <w:pPr>
              <w:rPr>
                <w:rFonts w:ascii="Palatino Linotype" w:hAnsi="Palatino Linotype" w:cstheme="minorHAnsi"/>
                <w:sz w:val="18"/>
                <w:szCs w:val="18"/>
              </w:rPr>
            </w:pPr>
            <w:r w:rsidRPr="0076171A">
              <w:rPr>
                <w:rFonts w:ascii="Palatino Linotype" w:hAnsi="Palatino Linotype" w:cstheme="minorHAnsi"/>
                <w:sz w:val="18"/>
                <w:szCs w:val="18"/>
              </w:rPr>
              <w:t>DSM-III-R or DSM-IV</w:t>
            </w:r>
          </w:p>
        </w:tc>
        <w:tc>
          <w:tcPr>
            <w:tcW w:w="1170" w:type="dxa"/>
          </w:tcPr>
          <w:p w14:paraId="609009AE" w14:textId="2F15DBB0"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AIMS, </w:t>
            </w:r>
            <w:r w:rsidRPr="005272E2">
              <w:rPr>
                <w:rFonts w:ascii="Palatino Linotype" w:hAnsi="Palatino Linotype" w:cstheme="minorHAnsi"/>
                <w:sz w:val="18"/>
                <w:szCs w:val="18"/>
              </w:rPr>
              <w:t>HSDS</w:t>
            </w:r>
          </w:p>
        </w:tc>
        <w:tc>
          <w:tcPr>
            <w:tcW w:w="1170" w:type="dxa"/>
          </w:tcPr>
          <w:p w14:paraId="10D0465C" w14:textId="7499B524"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2127EB59" w14:textId="47C72DD9" w:rsidR="00274C4A" w:rsidRPr="00D356C7" w:rsidRDefault="00274C4A" w:rsidP="00274C4A">
            <w:pPr>
              <w:rPr>
                <w:rFonts w:ascii="Palatino Linotype" w:hAnsi="Palatino Linotype" w:cstheme="minorHAnsi"/>
                <w:sz w:val="18"/>
                <w:szCs w:val="18"/>
              </w:rPr>
            </w:pPr>
            <w:r w:rsidRPr="00D356C7">
              <w:rPr>
                <w:rFonts w:ascii="Palatino Linotype" w:hAnsi="Palatino Linotype" w:cstheme="minorHAnsi"/>
                <w:sz w:val="18"/>
                <w:szCs w:val="18"/>
              </w:rPr>
              <w:t>Illumina SNP</w:t>
            </w:r>
            <w:r>
              <w:rPr>
                <w:rFonts w:ascii="Palatino Linotype" w:hAnsi="Palatino Linotype" w:cstheme="minorHAnsi"/>
                <w:sz w:val="18"/>
                <w:szCs w:val="18"/>
              </w:rPr>
              <w:t xml:space="preserve"> </w:t>
            </w:r>
            <w:r w:rsidRPr="00D356C7">
              <w:rPr>
                <w:rFonts w:ascii="Palatino Linotype" w:hAnsi="Palatino Linotype" w:cstheme="minorHAnsi"/>
                <w:sz w:val="18"/>
                <w:szCs w:val="18"/>
              </w:rPr>
              <w:t>platform</w:t>
            </w:r>
            <w:r>
              <w:rPr>
                <w:rFonts w:ascii="Palatino Linotype" w:hAnsi="Palatino Linotype" w:cstheme="minorHAnsi"/>
                <w:sz w:val="18"/>
                <w:szCs w:val="18"/>
              </w:rPr>
              <w:t xml:space="preserve">, </w:t>
            </w:r>
            <w:r w:rsidRPr="00D356C7">
              <w:rPr>
                <w:rFonts w:ascii="Palatino Linotype" w:hAnsi="Palatino Linotype" w:cstheme="minorHAnsi"/>
                <w:sz w:val="18"/>
                <w:szCs w:val="18"/>
              </w:rPr>
              <w:t>high</w:t>
            </w:r>
            <w:r>
              <w:rPr>
                <w:rFonts w:ascii="Palatino Linotype" w:hAnsi="Palatino Linotype" w:cstheme="minorHAnsi"/>
                <w:sz w:val="18"/>
                <w:szCs w:val="18"/>
              </w:rPr>
              <w:t xml:space="preserve"> </w:t>
            </w:r>
            <w:r w:rsidRPr="00D356C7">
              <w:rPr>
                <w:rFonts w:ascii="Palatino Linotype" w:hAnsi="Palatino Linotype" w:cstheme="minorHAnsi"/>
                <w:sz w:val="18"/>
                <w:szCs w:val="18"/>
              </w:rPr>
              <w:t>resolution agarose gel</w:t>
            </w:r>
            <w:r>
              <w:rPr>
                <w:rFonts w:ascii="Palatino Linotype" w:hAnsi="Palatino Linotype" w:cstheme="minorHAnsi"/>
                <w:sz w:val="18"/>
                <w:szCs w:val="18"/>
              </w:rPr>
              <w:t xml:space="preserve"> (</w:t>
            </w:r>
            <w:r w:rsidRPr="00D356C7">
              <w:rPr>
                <w:rFonts w:ascii="Palatino Linotype" w:hAnsi="Palatino Linotype" w:cstheme="minorHAnsi"/>
                <w:sz w:val="18"/>
                <w:szCs w:val="18"/>
              </w:rPr>
              <w:t>3 VNTR</w:t>
            </w:r>
            <w:r>
              <w:rPr>
                <w:rFonts w:ascii="Palatino Linotype" w:hAnsi="Palatino Linotype" w:cstheme="minorHAnsi"/>
                <w:sz w:val="18"/>
                <w:szCs w:val="18"/>
              </w:rPr>
              <w:t>)</w:t>
            </w:r>
          </w:p>
        </w:tc>
        <w:tc>
          <w:tcPr>
            <w:tcW w:w="2507" w:type="dxa"/>
          </w:tcPr>
          <w:p w14:paraId="137C8A74" w14:textId="3F36BCC4"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Association between the haplotype of </w:t>
            </w:r>
            <w:r w:rsidRPr="0076171A">
              <w:rPr>
                <w:rStyle w:val="st"/>
                <w:rFonts w:ascii="Palatino Linotype" w:hAnsi="Palatino Linotype"/>
                <w:sz w:val="18"/>
                <w:szCs w:val="18"/>
              </w:rPr>
              <w:t>rs3758653</w:t>
            </w:r>
            <w:r>
              <w:rPr>
                <w:rStyle w:val="st"/>
                <w:rFonts w:ascii="Palatino Linotype" w:hAnsi="Palatino Linotype"/>
                <w:sz w:val="18"/>
                <w:szCs w:val="18"/>
              </w:rPr>
              <w:t xml:space="preserve">, </w:t>
            </w:r>
            <w:r w:rsidRPr="0076171A">
              <w:rPr>
                <w:rStyle w:val="st"/>
                <w:rFonts w:ascii="Palatino Linotype" w:hAnsi="Palatino Linotype"/>
                <w:sz w:val="18"/>
                <w:szCs w:val="18"/>
              </w:rPr>
              <w:t>rs916457</w:t>
            </w:r>
            <w:r>
              <w:rPr>
                <w:rStyle w:val="st"/>
                <w:rFonts w:ascii="Palatino Linotype" w:hAnsi="Palatino Linotype"/>
                <w:sz w:val="18"/>
                <w:szCs w:val="18"/>
              </w:rPr>
              <w:t xml:space="preserve">, </w:t>
            </w:r>
            <w:r w:rsidRPr="0076171A">
              <w:rPr>
                <w:rStyle w:val="st"/>
                <w:rFonts w:ascii="Palatino Linotype" w:hAnsi="Palatino Linotype"/>
                <w:sz w:val="18"/>
                <w:szCs w:val="18"/>
              </w:rPr>
              <w:t>rs762502</w:t>
            </w:r>
            <w:r>
              <w:rPr>
                <w:rStyle w:val="st"/>
                <w:rFonts w:ascii="Palatino Linotype" w:hAnsi="Palatino Linotype"/>
                <w:sz w:val="18"/>
                <w:szCs w:val="18"/>
              </w:rPr>
              <w:t>, and r</w:t>
            </w:r>
            <w:r w:rsidRPr="0076171A">
              <w:rPr>
                <w:rStyle w:val="st"/>
                <w:rFonts w:ascii="Palatino Linotype" w:hAnsi="Palatino Linotype"/>
                <w:sz w:val="18"/>
                <w:szCs w:val="18"/>
              </w:rPr>
              <w:t>s11246226</w:t>
            </w:r>
            <w:r>
              <w:rPr>
                <w:rFonts w:ascii="Palatino Linotype" w:hAnsi="Palatino Linotype" w:cstheme="minorHAnsi"/>
                <w:sz w:val="18"/>
                <w:szCs w:val="18"/>
              </w:rPr>
              <w:t xml:space="preserve"> and</w:t>
            </w:r>
            <w:r w:rsidRPr="00875E20">
              <w:rPr>
                <w:rFonts w:ascii="Palatino Linotype" w:hAnsi="Palatino Linotype" w:cstheme="minorHAnsi"/>
                <w:sz w:val="18"/>
                <w:szCs w:val="18"/>
              </w:rPr>
              <w:t xml:space="preserve"> TD in males</w:t>
            </w:r>
          </w:p>
        </w:tc>
        <w:tc>
          <w:tcPr>
            <w:tcW w:w="2173" w:type="dxa"/>
          </w:tcPr>
          <w:p w14:paraId="2BD844CE" w14:textId="73DF3873"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{"citationItems":[{"id":"ITEM-1","itemData":{"DOI":"10.1038/tpj.2009.2","ISSN":"1473-1150","PMID":"19238168","abstract":"Tardive dyskinesia (TD) is a side effect of chronic antipsychotic medication exposure. Abnormalities in dopaminergic activity in the nigro-striatal system have been most often suggested to be involved because the agents that cause TD share in common potent antagonism of dopamine D(2) receptors (DRD2). Thus, a number of studies have focused on the association of dopamine system gene polymorphisms and TD, with the most consistent findings being an association between TD and the Ser9Gly polymorphism of the DRD3 gene and the TaqIA site 3' of the DRD2 gene. The DRD4 gene codes for the third member of the D(2)-like dopamine receptor family, and the variable number tandem-repeat polymorphism in exon 3 of DRD4 has been associated with TD. However, other polymorphisms have not been thoroughly examined. In this study, we investigated five polymorphisms spanning the DRD4 gene and their association with TD in our European Caucasian sample (N=171). Although the exon 3 variable number tandem repeat was not associated with TD, haplotypes consisting of four tag polymorphisms were associated with TD in males. This study suggests that DRD4 may be involved in TD in the Caucasian population, although further replication studies are needed.","author":[{"dropping-particle":"","family":"Zai","given":"C C","non-dropping-particle":"","parse-names":false,"suffix":""},{"dropping-particle":"","family":"Tiwari","given":"A K","non-dropping-particle":"","parse-names":false,"suffix":""},{"dropping-particle":"","family":"Basile","given":"V","non-dropping-particle":"","parse-names":false,"suffix":""},{"dropping-particle":"","family":"Luca","given":"V","non-dropping-particle":"De","parse-names":false,"suffix":""},{"dropping-particle":"","family":"Müller","given":"D J","non-dropping-particle":"","parse-names":false,"suffix":""},{"dropping-particle":"","family":"King","given":"N","non-dropping-particle":"","parse-names":false,"suffix":""},{"dropping-particle":"","family":"Voineskos","given":"A N","non-dropping-particle":"","parse-names":false,"suffix":""},{"dropping-particle":"","family":"Remington","given":"G","non-dropping-particle":"","parse-names":false,"suffix":""},{"dropping-particle":"","family":"Meltzer","given":"H Y","non-dropping-particle":"","parse-names":false,"suffix":""},{"dropping-particle":"","family":"Lieberman","given":"J A","non-dropping-particle":"","parse-names":false,"suffix":""},{"dropping-particle":"","family":"Potkin","given":"S G","non-dropping-particle":"","parse-names":false,"suffix":""},{"dropping-particle":"","family":"Kennedy","given":"J L","non-dropping-particle":"","parse-names":false,"suffix":""}],"container-title":"The pharmacogenomics journal","id":"ITEM-1","issue":"3","issued":{"date-parts":[["2009","6"]]},"page":"168-74","publisher":"Pharmacogenomics J","title":"Association study of tardive dyskinesia and five DRD4 polymorphisms in schizophrenia patients.","type":"article-journal","volume":"9"},"uris":["http://www.mendeley.com/documents/?uuid=2d4a6885-1179-3fcb-b6f3-d63a7b718bbe"]}],"mendeley":{"formattedCitation":"(Zai et al. 2009a)","plainTextFormattedCitation":"(Zai et al. 2009a)","previouslyFormattedCitation":"(Zai et al. 2009a)"},"properties":{"noteIndex":0},"schema":"https://github.com/citation-style-language/schema/raw/master/csl-citation.json"}</w:instrText>
            </w:r>
            <w:r>
              <w:rPr>
                <w:rFonts w:ascii="Palatino Linotype" w:hAnsi="Palatino Linotype" w:cstheme="minorHAnsi"/>
                <w:sz w:val="18"/>
                <w:szCs w:val="18"/>
              </w:rPr>
              <w:fldChar w:fldCharType="separate"/>
            </w:r>
            <w:r w:rsidRPr="00F95979">
              <w:rPr>
                <w:rFonts w:ascii="Palatino Linotype" w:hAnsi="Palatino Linotype" w:cstheme="minorHAnsi"/>
                <w:noProof/>
                <w:sz w:val="18"/>
                <w:szCs w:val="18"/>
              </w:rPr>
              <w:t>(Zai et al. 2009a)</w:t>
            </w:r>
            <w:r>
              <w:rPr>
                <w:rFonts w:ascii="Palatino Linotype" w:hAnsi="Palatino Linotype" w:cstheme="minorHAnsi"/>
                <w:sz w:val="18"/>
                <w:szCs w:val="18"/>
              </w:rPr>
              <w:fldChar w:fldCharType="end"/>
            </w:r>
          </w:p>
        </w:tc>
      </w:tr>
      <w:tr w:rsidR="00274C4A" w:rsidRPr="00EA57B8" w14:paraId="2028850B" w14:textId="77777777" w:rsidTr="0031439E">
        <w:tc>
          <w:tcPr>
            <w:tcW w:w="1094" w:type="dxa"/>
          </w:tcPr>
          <w:p w14:paraId="4C28ADFA" w14:textId="70DCBE3E" w:rsidR="00274C4A" w:rsidRPr="00234490" w:rsidRDefault="00274C4A" w:rsidP="00274C4A">
            <w:pPr>
              <w:rPr>
                <w:rFonts w:ascii="Palatino Linotype" w:hAnsi="Palatino Linotype" w:cstheme="minorHAnsi"/>
                <w:i/>
                <w:iCs/>
                <w:sz w:val="18"/>
                <w:szCs w:val="18"/>
              </w:rPr>
            </w:pPr>
            <w:r w:rsidRPr="00234490">
              <w:rPr>
                <w:rStyle w:val="st"/>
                <w:rFonts w:ascii="Palatino Linotype" w:hAnsi="Palatino Linotype"/>
                <w:i/>
                <w:iCs/>
                <w:sz w:val="18"/>
                <w:szCs w:val="18"/>
              </w:rPr>
              <w:t>DRD3, BDNF</w:t>
            </w:r>
          </w:p>
        </w:tc>
        <w:tc>
          <w:tcPr>
            <w:tcW w:w="1080" w:type="dxa"/>
          </w:tcPr>
          <w:p w14:paraId="4FA732A6" w14:textId="5F7B3DC4" w:rsidR="00274C4A" w:rsidRPr="0076171A" w:rsidRDefault="00274C4A" w:rsidP="00274C4A">
            <w:pPr>
              <w:rPr>
                <w:rStyle w:val="st"/>
                <w:rFonts w:ascii="Palatino Linotype" w:hAnsi="Palatino Linotype"/>
                <w:sz w:val="18"/>
                <w:szCs w:val="18"/>
              </w:rPr>
            </w:pPr>
            <w:r w:rsidRPr="00D83400">
              <w:rPr>
                <w:rFonts w:ascii="Palatino Linotype" w:hAnsi="Palatino Linotype" w:cstheme="minorHAnsi"/>
                <w:sz w:val="18"/>
                <w:szCs w:val="18"/>
              </w:rPr>
              <w:t>rs3732782</w:t>
            </w:r>
            <w:r>
              <w:rPr>
                <w:rFonts w:ascii="Palatino Linotype" w:hAnsi="Palatino Linotype" w:cstheme="minorHAnsi"/>
                <w:sz w:val="18"/>
                <w:szCs w:val="18"/>
              </w:rPr>
              <w:t xml:space="preserve">, </w:t>
            </w:r>
            <w:r w:rsidRPr="00D83400">
              <w:rPr>
                <w:rFonts w:ascii="Palatino Linotype" w:hAnsi="Palatino Linotype" w:cstheme="minorHAnsi"/>
                <w:sz w:val="18"/>
                <w:szCs w:val="18"/>
              </w:rPr>
              <w:t>rs905568</w:t>
            </w:r>
            <w:r>
              <w:rPr>
                <w:rFonts w:ascii="Palatino Linotype" w:hAnsi="Palatino Linotype" w:cstheme="minorHAnsi"/>
                <w:sz w:val="18"/>
                <w:szCs w:val="18"/>
              </w:rPr>
              <w:t xml:space="preserve">, </w:t>
            </w:r>
            <w:r w:rsidRPr="00D83400">
              <w:rPr>
                <w:rFonts w:ascii="Palatino Linotype" w:hAnsi="Palatino Linotype" w:cstheme="minorHAnsi"/>
                <w:sz w:val="18"/>
                <w:szCs w:val="18"/>
              </w:rPr>
              <w:t>rs7620754</w:t>
            </w:r>
            <w:r>
              <w:rPr>
                <w:rFonts w:ascii="Palatino Linotype" w:hAnsi="Palatino Linotype" w:cstheme="minorHAnsi"/>
                <w:sz w:val="18"/>
                <w:szCs w:val="18"/>
              </w:rPr>
              <w:t xml:space="preserve">, </w:t>
            </w:r>
            <w:r w:rsidRPr="00D83400">
              <w:rPr>
                <w:rFonts w:ascii="Palatino Linotype" w:hAnsi="Palatino Linotype" w:cstheme="minorHAnsi"/>
                <w:sz w:val="18"/>
                <w:szCs w:val="18"/>
              </w:rPr>
              <w:t>rs7616367</w:t>
            </w:r>
            <w:r>
              <w:rPr>
                <w:rFonts w:ascii="Palatino Linotype" w:hAnsi="Palatino Linotype" w:cstheme="minorHAnsi"/>
                <w:sz w:val="18"/>
                <w:szCs w:val="18"/>
              </w:rPr>
              <w:t xml:space="preserve">, </w:t>
            </w:r>
            <w:r w:rsidRPr="00D83400">
              <w:rPr>
                <w:rFonts w:ascii="Palatino Linotype" w:hAnsi="Palatino Linotype" w:cstheme="minorHAnsi"/>
                <w:sz w:val="18"/>
                <w:szCs w:val="18"/>
              </w:rPr>
              <w:t>rs7611535</w:t>
            </w:r>
            <w:r>
              <w:rPr>
                <w:rFonts w:ascii="Palatino Linotype" w:hAnsi="Palatino Linotype" w:cstheme="minorHAnsi"/>
                <w:sz w:val="18"/>
                <w:szCs w:val="18"/>
              </w:rPr>
              <w:t xml:space="preserve">, </w:t>
            </w:r>
            <w:r w:rsidRPr="00D83400">
              <w:rPr>
                <w:rFonts w:ascii="Palatino Linotype" w:hAnsi="Palatino Linotype" w:cstheme="minorHAnsi"/>
                <w:sz w:val="18"/>
                <w:szCs w:val="18"/>
              </w:rPr>
              <w:t>rs1394016</w:t>
            </w:r>
            <w:r>
              <w:rPr>
                <w:rFonts w:ascii="Palatino Linotype" w:hAnsi="Palatino Linotype" w:cstheme="minorHAnsi"/>
                <w:sz w:val="18"/>
                <w:szCs w:val="18"/>
              </w:rPr>
              <w:t xml:space="preserve">, </w:t>
            </w:r>
            <w:r w:rsidRPr="00D83400">
              <w:rPr>
                <w:rFonts w:ascii="Palatino Linotype" w:hAnsi="Palatino Linotype" w:cstheme="minorHAnsi"/>
                <w:sz w:val="18"/>
                <w:szCs w:val="18"/>
              </w:rPr>
              <w:t>rs9825563</w:t>
            </w:r>
            <w:r>
              <w:rPr>
                <w:rFonts w:ascii="Palatino Linotype" w:hAnsi="Palatino Linotype" w:cstheme="minorHAnsi"/>
                <w:sz w:val="18"/>
                <w:szCs w:val="18"/>
              </w:rPr>
              <w:t xml:space="preserve">, </w:t>
            </w:r>
            <w:r w:rsidRPr="00D83400">
              <w:rPr>
                <w:rFonts w:ascii="Palatino Linotype" w:hAnsi="Palatino Linotype" w:cstheme="minorHAnsi"/>
                <w:sz w:val="18"/>
                <w:szCs w:val="18"/>
              </w:rPr>
              <w:t>rs1800828</w:t>
            </w:r>
            <w:r>
              <w:rPr>
                <w:rFonts w:ascii="Palatino Linotype" w:hAnsi="Palatino Linotype" w:cstheme="minorHAnsi"/>
                <w:sz w:val="18"/>
                <w:szCs w:val="18"/>
              </w:rPr>
              <w:t xml:space="preserve">, </w:t>
            </w:r>
            <w:r w:rsidRPr="00D83400">
              <w:rPr>
                <w:rFonts w:ascii="Palatino Linotype" w:hAnsi="Palatino Linotype" w:cstheme="minorHAnsi"/>
                <w:sz w:val="18"/>
                <w:szCs w:val="18"/>
              </w:rPr>
              <w:t>rs6280</w:t>
            </w:r>
            <w:r>
              <w:rPr>
                <w:rFonts w:ascii="Palatino Linotype" w:hAnsi="Palatino Linotype" w:cstheme="minorHAnsi"/>
                <w:sz w:val="18"/>
                <w:szCs w:val="18"/>
              </w:rPr>
              <w:t xml:space="preserve">, </w:t>
            </w:r>
            <w:r w:rsidRPr="00D83400">
              <w:rPr>
                <w:rFonts w:ascii="Palatino Linotype" w:hAnsi="Palatino Linotype" w:cstheme="minorHAnsi"/>
                <w:sz w:val="18"/>
                <w:szCs w:val="18"/>
              </w:rPr>
              <w:t>rs7633291</w:t>
            </w:r>
            <w:r>
              <w:rPr>
                <w:rFonts w:ascii="Palatino Linotype" w:hAnsi="Palatino Linotype" w:cstheme="minorHAnsi"/>
                <w:sz w:val="18"/>
                <w:szCs w:val="18"/>
              </w:rPr>
              <w:t xml:space="preserve">, </w:t>
            </w:r>
            <w:r w:rsidRPr="00D83400">
              <w:rPr>
                <w:rFonts w:ascii="Palatino Linotype" w:hAnsi="Palatino Linotype" w:cstheme="minorHAnsi"/>
                <w:sz w:val="18"/>
                <w:szCs w:val="18"/>
              </w:rPr>
              <w:t>rs167770</w:t>
            </w:r>
            <w:r>
              <w:rPr>
                <w:rFonts w:ascii="Palatino Linotype" w:hAnsi="Palatino Linotype" w:cstheme="minorHAnsi"/>
                <w:sz w:val="18"/>
                <w:szCs w:val="18"/>
              </w:rPr>
              <w:t xml:space="preserve">, </w:t>
            </w:r>
            <w:r w:rsidRPr="00D83400">
              <w:rPr>
                <w:rFonts w:ascii="Palatino Linotype" w:hAnsi="Palatino Linotype" w:cstheme="minorHAnsi"/>
                <w:sz w:val="18"/>
                <w:szCs w:val="18"/>
              </w:rPr>
              <w:t>rs2134655</w:t>
            </w:r>
            <w:r>
              <w:rPr>
                <w:rFonts w:ascii="Palatino Linotype" w:hAnsi="Palatino Linotype" w:cstheme="minorHAnsi"/>
                <w:sz w:val="18"/>
                <w:szCs w:val="18"/>
              </w:rPr>
              <w:t xml:space="preserve">, </w:t>
            </w:r>
            <w:r w:rsidRPr="00D83400">
              <w:rPr>
                <w:rFonts w:ascii="Palatino Linotype" w:hAnsi="Palatino Linotype" w:cstheme="minorHAnsi"/>
                <w:sz w:val="18"/>
                <w:szCs w:val="18"/>
              </w:rPr>
              <w:t>rs2399496</w:t>
            </w:r>
            <w:r>
              <w:rPr>
                <w:rFonts w:ascii="Palatino Linotype" w:hAnsi="Palatino Linotype" w:cstheme="minorHAnsi"/>
                <w:sz w:val="18"/>
                <w:szCs w:val="18"/>
              </w:rPr>
              <w:t xml:space="preserve">, </w:t>
            </w:r>
            <w:r w:rsidRPr="0002670D">
              <w:rPr>
                <w:rFonts w:ascii="Palatino Linotype" w:hAnsi="Palatino Linotype" w:cstheme="minorHAnsi"/>
                <w:sz w:val="18"/>
                <w:szCs w:val="18"/>
              </w:rPr>
              <w:t>rs2087017</w:t>
            </w:r>
            <w:r>
              <w:rPr>
                <w:rFonts w:ascii="Palatino Linotype" w:hAnsi="Palatino Linotype" w:cstheme="minorHAnsi"/>
                <w:sz w:val="18"/>
                <w:szCs w:val="18"/>
              </w:rPr>
              <w:t xml:space="preserve">, </w:t>
            </w:r>
            <w:r w:rsidRPr="0002670D">
              <w:rPr>
                <w:rFonts w:ascii="Palatino Linotype" w:hAnsi="Palatino Linotype" w:cstheme="minorHAnsi"/>
                <w:sz w:val="18"/>
                <w:szCs w:val="18"/>
              </w:rPr>
              <w:t>rs1025398</w:t>
            </w:r>
            <w:r>
              <w:rPr>
                <w:rStyle w:val="st"/>
                <w:rFonts w:ascii="Palatino Linotype" w:hAnsi="Palatino Linotype"/>
                <w:sz w:val="18"/>
                <w:szCs w:val="18"/>
              </w:rPr>
              <w:t xml:space="preserve"> (</w:t>
            </w:r>
            <w:r w:rsidRPr="00234490">
              <w:rPr>
                <w:rStyle w:val="st"/>
                <w:rFonts w:ascii="Palatino Linotype" w:hAnsi="Palatino Linotype"/>
                <w:sz w:val="18"/>
                <w:szCs w:val="18"/>
              </w:rPr>
              <w:t>DRD3</w:t>
            </w:r>
            <w:r>
              <w:rPr>
                <w:rStyle w:val="st"/>
                <w:rFonts w:ascii="Palatino Linotype" w:hAnsi="Palatino Linotype"/>
                <w:sz w:val="18"/>
                <w:szCs w:val="18"/>
              </w:rPr>
              <w:t xml:space="preserve">) and </w:t>
            </w:r>
            <w:r w:rsidRPr="0002670D">
              <w:rPr>
                <w:rFonts w:ascii="Palatino Linotype" w:hAnsi="Palatino Linotype" w:cstheme="minorHAnsi"/>
                <w:sz w:val="18"/>
                <w:szCs w:val="18"/>
              </w:rPr>
              <w:t>rs7934165</w:t>
            </w:r>
            <w:r>
              <w:rPr>
                <w:rFonts w:ascii="Palatino Linotype" w:hAnsi="Palatino Linotype" w:cstheme="minorHAnsi"/>
                <w:sz w:val="18"/>
                <w:szCs w:val="18"/>
              </w:rPr>
              <w:t xml:space="preserve">, </w:t>
            </w:r>
            <w:r w:rsidRPr="0002670D">
              <w:rPr>
                <w:rFonts w:ascii="Palatino Linotype" w:hAnsi="Palatino Linotype" w:cstheme="minorHAnsi"/>
                <w:sz w:val="18"/>
                <w:szCs w:val="18"/>
              </w:rPr>
              <w:t>rs11030104</w:t>
            </w:r>
            <w:r>
              <w:rPr>
                <w:rFonts w:ascii="Palatino Linotype" w:hAnsi="Palatino Linotype" w:cstheme="minorHAnsi"/>
                <w:sz w:val="18"/>
                <w:szCs w:val="18"/>
              </w:rPr>
              <w:t xml:space="preserve">, </w:t>
            </w:r>
            <w:r w:rsidRPr="0002670D">
              <w:rPr>
                <w:rFonts w:ascii="Palatino Linotype" w:hAnsi="Palatino Linotype" w:cstheme="minorHAnsi"/>
                <w:sz w:val="18"/>
                <w:szCs w:val="18"/>
              </w:rPr>
              <w:t>rs6265</w:t>
            </w:r>
            <w:r>
              <w:rPr>
                <w:rFonts w:ascii="Palatino Linotype" w:hAnsi="Palatino Linotype" w:cstheme="minorHAnsi"/>
                <w:sz w:val="18"/>
                <w:szCs w:val="18"/>
              </w:rPr>
              <w:t xml:space="preserve">, </w:t>
            </w:r>
            <w:r w:rsidRPr="0002670D">
              <w:rPr>
                <w:rFonts w:ascii="Palatino Linotype" w:hAnsi="Palatino Linotype" w:cstheme="minorHAnsi"/>
                <w:sz w:val="18"/>
                <w:szCs w:val="18"/>
              </w:rPr>
              <w:t>rs1519480</w:t>
            </w:r>
            <w:r>
              <w:rPr>
                <w:rStyle w:val="st"/>
                <w:rFonts w:ascii="Palatino Linotype" w:hAnsi="Palatino Linotype"/>
                <w:sz w:val="18"/>
                <w:szCs w:val="18"/>
              </w:rPr>
              <w:t xml:space="preserve"> (</w:t>
            </w:r>
            <w:r w:rsidRPr="00234490">
              <w:rPr>
                <w:rStyle w:val="st"/>
                <w:rFonts w:ascii="Palatino Linotype" w:hAnsi="Palatino Linotype"/>
                <w:sz w:val="18"/>
                <w:szCs w:val="18"/>
              </w:rPr>
              <w:t>BDNF</w:t>
            </w:r>
            <w:r>
              <w:rPr>
                <w:rStyle w:val="st"/>
                <w:rFonts w:ascii="Palatino Linotype" w:hAnsi="Palatino Linotype"/>
                <w:sz w:val="18"/>
                <w:szCs w:val="18"/>
              </w:rPr>
              <w:t>)</w:t>
            </w:r>
            <w:r w:rsidRPr="00234490">
              <w:rPr>
                <w:rStyle w:val="st"/>
                <w:rFonts w:ascii="Palatino Linotype" w:hAnsi="Palatino Linotype"/>
                <w:sz w:val="18"/>
                <w:szCs w:val="18"/>
              </w:rPr>
              <w:t xml:space="preserve"> </w:t>
            </w:r>
          </w:p>
        </w:tc>
        <w:tc>
          <w:tcPr>
            <w:tcW w:w="1080" w:type="dxa"/>
          </w:tcPr>
          <w:p w14:paraId="5C4EFA8C" w14:textId="15FD821D"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171 (70 with TD)</w:t>
            </w:r>
          </w:p>
        </w:tc>
        <w:tc>
          <w:tcPr>
            <w:tcW w:w="1170" w:type="dxa"/>
          </w:tcPr>
          <w:p w14:paraId="5CEEAA72" w14:textId="39755A51" w:rsidR="00274C4A" w:rsidRPr="00B240CB" w:rsidRDefault="00274C4A" w:rsidP="00274C4A">
            <w:pPr>
              <w:rPr>
                <w:rFonts w:ascii="Palatino Linotype" w:hAnsi="Palatino Linotype" w:cstheme="minorHAnsi"/>
                <w:sz w:val="18"/>
                <w:szCs w:val="18"/>
              </w:rPr>
            </w:pPr>
            <w:r w:rsidRPr="00234490">
              <w:rPr>
                <w:rStyle w:val="st"/>
                <w:rFonts w:ascii="Palatino Linotype" w:hAnsi="Palatino Linotype"/>
                <w:sz w:val="18"/>
                <w:szCs w:val="18"/>
              </w:rPr>
              <w:t>Caucasian</w:t>
            </w:r>
          </w:p>
        </w:tc>
        <w:tc>
          <w:tcPr>
            <w:tcW w:w="1350" w:type="dxa"/>
          </w:tcPr>
          <w:p w14:paraId="4B0DAC3C" w14:textId="6616AFB6" w:rsidR="00274C4A" w:rsidRPr="0076171A" w:rsidRDefault="00274C4A" w:rsidP="00274C4A">
            <w:pPr>
              <w:rPr>
                <w:rFonts w:ascii="Palatino Linotype" w:hAnsi="Palatino Linotype" w:cstheme="minorHAnsi"/>
                <w:sz w:val="18"/>
                <w:szCs w:val="18"/>
              </w:rPr>
            </w:pPr>
            <w:r w:rsidRPr="00234490">
              <w:rPr>
                <w:rStyle w:val="st"/>
                <w:rFonts w:ascii="Palatino Linotype" w:hAnsi="Palatino Linotype"/>
                <w:sz w:val="18"/>
                <w:szCs w:val="18"/>
              </w:rPr>
              <w:t>schizophrenia</w:t>
            </w:r>
            <w:r w:rsidRPr="00A75FDE">
              <w:rPr>
                <w:rFonts w:ascii="Palatino Linotype" w:hAnsi="Palatino Linotype" w:cstheme="minorHAnsi"/>
                <w:sz w:val="18"/>
                <w:szCs w:val="18"/>
              </w:rPr>
              <w:t xml:space="preserve"> or schizoaffective disorder</w:t>
            </w:r>
          </w:p>
        </w:tc>
        <w:tc>
          <w:tcPr>
            <w:tcW w:w="1260" w:type="dxa"/>
          </w:tcPr>
          <w:p w14:paraId="669544F3" w14:textId="0F5FD49A" w:rsidR="00274C4A" w:rsidRPr="0076171A" w:rsidRDefault="00274C4A" w:rsidP="00274C4A">
            <w:pPr>
              <w:rPr>
                <w:rFonts w:ascii="Palatino Linotype" w:hAnsi="Palatino Linotype" w:cstheme="minorHAnsi"/>
                <w:sz w:val="18"/>
                <w:szCs w:val="18"/>
              </w:rPr>
            </w:pPr>
            <w:r w:rsidRPr="00A75FDE">
              <w:rPr>
                <w:rFonts w:ascii="Palatino Linotype" w:hAnsi="Palatino Linotype" w:cstheme="minorHAnsi"/>
                <w:sz w:val="18"/>
                <w:szCs w:val="18"/>
              </w:rPr>
              <w:t>DSM-III-R or</w:t>
            </w:r>
            <w:r>
              <w:rPr>
                <w:rFonts w:ascii="Palatino Linotype" w:hAnsi="Palatino Linotype" w:cstheme="minorHAnsi"/>
                <w:sz w:val="18"/>
                <w:szCs w:val="18"/>
              </w:rPr>
              <w:t xml:space="preserve"> </w:t>
            </w:r>
            <w:r w:rsidRPr="0076171A">
              <w:rPr>
                <w:rFonts w:ascii="Palatino Linotype" w:hAnsi="Palatino Linotype" w:cstheme="minorHAnsi"/>
                <w:sz w:val="18"/>
                <w:szCs w:val="18"/>
              </w:rPr>
              <w:t>DSM-</w:t>
            </w:r>
            <w:r w:rsidRPr="00A75FDE">
              <w:rPr>
                <w:rFonts w:ascii="Palatino Linotype" w:hAnsi="Palatino Linotype" w:cstheme="minorHAnsi"/>
                <w:sz w:val="18"/>
                <w:szCs w:val="18"/>
              </w:rPr>
              <w:t>IV</w:t>
            </w:r>
          </w:p>
        </w:tc>
        <w:tc>
          <w:tcPr>
            <w:tcW w:w="1170" w:type="dxa"/>
          </w:tcPr>
          <w:p w14:paraId="0782FF3D" w14:textId="6A6BD89B"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AIMS, </w:t>
            </w:r>
            <w:r w:rsidRPr="005272E2">
              <w:rPr>
                <w:rFonts w:ascii="Palatino Linotype" w:hAnsi="Palatino Linotype" w:cstheme="minorHAnsi"/>
                <w:sz w:val="18"/>
                <w:szCs w:val="18"/>
              </w:rPr>
              <w:t>HSDS</w:t>
            </w:r>
          </w:p>
        </w:tc>
        <w:tc>
          <w:tcPr>
            <w:tcW w:w="1170" w:type="dxa"/>
          </w:tcPr>
          <w:p w14:paraId="47867C49" w14:textId="4661A925"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0D5ACE0C" w14:textId="04236A6C" w:rsidR="00274C4A" w:rsidRPr="0002670D" w:rsidRDefault="00274C4A" w:rsidP="00274C4A">
            <w:pPr>
              <w:rPr>
                <w:rFonts w:ascii="Palatino Linotype" w:hAnsi="Palatino Linotype" w:cstheme="minorHAnsi"/>
                <w:sz w:val="18"/>
                <w:szCs w:val="18"/>
              </w:rPr>
            </w:pPr>
            <w:r w:rsidRPr="0002670D">
              <w:rPr>
                <w:rFonts w:ascii="Palatino Linotype" w:hAnsi="Palatino Linotype" w:cstheme="minorHAnsi"/>
                <w:sz w:val="18"/>
                <w:szCs w:val="18"/>
              </w:rPr>
              <w:t>Microarray</w:t>
            </w:r>
            <w:r>
              <w:rPr>
                <w:rFonts w:ascii="Palatino Linotype" w:hAnsi="Palatino Linotype" w:cstheme="minorHAnsi"/>
                <w:sz w:val="18"/>
                <w:szCs w:val="18"/>
              </w:rPr>
              <w:t xml:space="preserve"> </w:t>
            </w:r>
            <w:r w:rsidRPr="0002670D">
              <w:rPr>
                <w:rFonts w:ascii="Palatino Linotype" w:hAnsi="Palatino Linotype" w:cstheme="minorHAnsi"/>
                <w:sz w:val="18"/>
                <w:szCs w:val="18"/>
              </w:rPr>
              <w:t>platform</w:t>
            </w:r>
            <w:r>
              <w:rPr>
                <w:rFonts w:ascii="Palatino Linotype" w:hAnsi="Palatino Linotype" w:cstheme="minorHAnsi"/>
                <w:sz w:val="18"/>
                <w:szCs w:val="18"/>
              </w:rPr>
              <w:t xml:space="preserve"> </w:t>
            </w:r>
            <w:r w:rsidRPr="0002670D">
              <w:rPr>
                <w:rFonts w:ascii="Palatino Linotype" w:hAnsi="Palatino Linotype" w:cstheme="minorHAnsi"/>
                <w:sz w:val="18"/>
                <w:szCs w:val="18"/>
              </w:rPr>
              <w:t>(Illumina)</w:t>
            </w:r>
          </w:p>
        </w:tc>
        <w:tc>
          <w:tcPr>
            <w:tcW w:w="2507" w:type="dxa"/>
          </w:tcPr>
          <w:p w14:paraId="6F9F4772" w14:textId="2BA2CD6E"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Association between the DRD3 haplotype of </w:t>
            </w:r>
            <w:r w:rsidRPr="00234490">
              <w:rPr>
                <w:rFonts w:ascii="Palatino Linotype" w:hAnsi="Palatino Linotype" w:cstheme="minorHAnsi"/>
                <w:sz w:val="18"/>
                <w:szCs w:val="18"/>
              </w:rPr>
              <w:t>rs3732782, rs905568, and rs7620754 with TD</w:t>
            </w:r>
            <w:r>
              <w:rPr>
                <w:rFonts w:ascii="Palatino Linotype" w:hAnsi="Palatino Linotype" w:cstheme="minorHAnsi"/>
                <w:sz w:val="18"/>
                <w:szCs w:val="18"/>
              </w:rPr>
              <w:t xml:space="preserve">, as well as </w:t>
            </w:r>
            <w:r w:rsidRPr="00234490">
              <w:rPr>
                <w:rFonts w:ascii="Palatino Linotype" w:hAnsi="Palatino Linotype" w:cstheme="minorHAnsi"/>
                <w:sz w:val="18"/>
                <w:szCs w:val="18"/>
              </w:rPr>
              <w:t>evidence of interaction between</w:t>
            </w:r>
            <w:r>
              <w:rPr>
                <w:rFonts w:ascii="Palatino Linotype" w:hAnsi="Palatino Linotype" w:cstheme="minorHAnsi"/>
                <w:sz w:val="18"/>
                <w:szCs w:val="18"/>
              </w:rPr>
              <w:t xml:space="preserve"> </w:t>
            </w:r>
            <w:r w:rsidRPr="00234490">
              <w:rPr>
                <w:rFonts w:ascii="Palatino Linotype" w:hAnsi="Palatino Linotype" w:cstheme="minorHAnsi"/>
                <w:sz w:val="18"/>
                <w:szCs w:val="18"/>
              </w:rPr>
              <w:t>BDNF</w:t>
            </w:r>
            <w:r>
              <w:rPr>
                <w:rFonts w:ascii="Palatino Linotype" w:hAnsi="Palatino Linotype" w:cstheme="minorHAnsi"/>
                <w:sz w:val="18"/>
                <w:szCs w:val="18"/>
              </w:rPr>
              <w:t xml:space="preserve"> </w:t>
            </w:r>
            <w:r w:rsidRPr="00234490">
              <w:rPr>
                <w:rFonts w:ascii="Palatino Linotype" w:hAnsi="Palatino Linotype" w:cstheme="minorHAnsi"/>
                <w:sz w:val="18"/>
                <w:szCs w:val="18"/>
              </w:rPr>
              <w:t>and</w:t>
            </w:r>
            <w:r>
              <w:rPr>
                <w:rFonts w:ascii="Palatino Linotype" w:hAnsi="Palatino Linotype" w:cstheme="minorHAnsi"/>
                <w:sz w:val="18"/>
                <w:szCs w:val="18"/>
              </w:rPr>
              <w:t xml:space="preserve"> </w:t>
            </w:r>
            <w:r w:rsidRPr="00234490">
              <w:rPr>
                <w:rFonts w:ascii="Palatino Linotype" w:hAnsi="Palatino Linotype" w:cstheme="minorHAnsi"/>
                <w:sz w:val="18"/>
                <w:szCs w:val="18"/>
              </w:rPr>
              <w:t>DRD3</w:t>
            </w:r>
            <w:r>
              <w:rPr>
                <w:rFonts w:ascii="Palatino Linotype" w:hAnsi="Palatino Linotype" w:cstheme="minorHAnsi"/>
                <w:sz w:val="18"/>
                <w:szCs w:val="18"/>
              </w:rPr>
              <w:t xml:space="preserve"> </w:t>
            </w:r>
            <w:r w:rsidRPr="00234490">
              <w:rPr>
                <w:rFonts w:ascii="Palatino Linotype" w:hAnsi="Palatino Linotype" w:cstheme="minorHAnsi"/>
                <w:sz w:val="18"/>
                <w:szCs w:val="18"/>
              </w:rPr>
              <w:t>polymorphisms</w:t>
            </w:r>
          </w:p>
        </w:tc>
        <w:tc>
          <w:tcPr>
            <w:tcW w:w="2173" w:type="dxa"/>
          </w:tcPr>
          <w:p w14:paraId="4C84DD3F" w14:textId="1C1E8751"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{"citationItems":[{"id":"ITEM-1","itemData":{"DOI":"10.1016/j.euroneuro.2009.01.001","ISSN":"1873-7862","PMID":"19217756","abstract":"Tardive dyskinesia (TD) is a neuroleptic-induced movement disorder. Its pathophysiology is unclear. The most consistent genetic findings have shown an association with the Ser9Gly polymorphism of the DRD3 gene. However, only few polymorphisms within DRD3 has been tested, and a comprehensive examination of DRD3 in TD is still lacking. Further, brain-derived neurotrophic factor (BDNF), a neuronal growth and survival peptide, regulates DRD3 expression and may be involved in the neuronal degeneration observed in TD. In the present study, we investigated 15 tag DRD3 polymorphisms and four tag BDNF polymorphisms for association with TD in our sample of Caucasian schizophrenia patients (N=171). While BDNF markers showed no association, a haplotype containing rs3732782, rs905568, and rs7620754 in the 5' region of DRD3 was associated with TD diagnosis (p[10,000 permutations]=0.007). We also found evidence of interaction between BDNF and DRD3 polymorphisms. Further studies are needed to confirm these findings.","author":[{"dropping-particle":"","family":"Zai","given":"Clement C","non-dropping-particle":"","parse-names":false,"suffix":""},{"dropping-particle":"","family":"Tiwari","given":"Arun K","non-dropping-particle":"","parse-names":false,"suffix":""},{"dropping-particle":"","family":"Luca","given":"Vincenzo","non-dropping-particle":"De","parse-names":false,"suffix":""},{"dropping-particle":"","family":"Müller","given":"Daniel J","non-dropping-particle":"","parse-names":false,"suffix":""},{"dropping-particle":"","family":"Bulgin","given":"Natalie","non-dropping-particle":"","parse-names":false,"suffix":""},{"dropping-particle":"","family":"Hwang","given":"Rudi","non-dropping-particle":"","parse-names":false,"suffix":""},{"dropping-particle":"","family":"Zai","given":"Gwyneth C","non-dropping-particle":"","parse-names":false,"suffix":""},{"dropping-particle":"","family":"King","given":"Nicole","non-dropping-particle":"","parse-names":false,"suffix":""},{"dropping-particle":"","family":"Voineskos","given":"Aristotle N","non-dropping-particle":"","parse-names":false,"suffix":""},{"dropping-particle":"","family":"Meltzer","given":"Herbert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G","non-dropping-particle":"","parse-names":false,"suffix":""},{"dropping-particle":"","family":"Remington","given":"Gary","non-dropping-particle":"","parse-names":false,"suffix":""},{"dropping-particle":"","family":"Kennedy","given":"James L","non-dropping-particle":"","parse-names":false,"suffix":""}],"container-title":"European neuropsychopharmacology : the journal of the European College of Neuropsychopharmacology","id":"ITEM-1","issue":"5","issued":{"date-parts":[["2009","5"]]},"page":"317-28","publisher":"Eur Neuropsychopharmacol","title":"Genetic study of BDNF, DRD3, and their interaction in tardive dyskinesia.","type":"article-journal","volume":"19"},"uris":["http://www.mendeley.com/documents/?uuid=517a1b74-29de-3dff-96a0-d551dfd5b65b"]}],"mendeley":{"formattedCitation":"(Zai et al. 2009b)","plainTextFormattedCitation":"(Zai et al. 2009b)","previouslyFormattedCitation":"(Zai et al. 2009b)"},"properties":{"noteIndex":0},"schema":"https://github.com/citation-style-language/schema/raw/master/csl-citation.json"}</w:instrText>
            </w:r>
            <w:r>
              <w:rPr>
                <w:rFonts w:ascii="Palatino Linotype" w:hAnsi="Palatino Linotype" w:cstheme="minorHAnsi"/>
                <w:sz w:val="18"/>
                <w:szCs w:val="18"/>
              </w:rPr>
              <w:fldChar w:fldCharType="separate"/>
            </w:r>
            <w:r w:rsidRPr="00F95979">
              <w:rPr>
                <w:rFonts w:ascii="Palatino Linotype" w:hAnsi="Palatino Linotype" w:cstheme="minorHAnsi"/>
                <w:noProof/>
                <w:sz w:val="18"/>
                <w:szCs w:val="18"/>
              </w:rPr>
              <w:t>(Zai et al. 2009b)</w:t>
            </w:r>
            <w:r>
              <w:rPr>
                <w:rFonts w:ascii="Palatino Linotype" w:hAnsi="Palatino Linotype" w:cstheme="minorHAnsi"/>
                <w:sz w:val="18"/>
                <w:szCs w:val="18"/>
              </w:rPr>
              <w:fldChar w:fldCharType="end"/>
            </w:r>
          </w:p>
        </w:tc>
      </w:tr>
      <w:tr w:rsidR="00274C4A" w:rsidRPr="00EA57B8" w14:paraId="22D9C724" w14:textId="748D7B37" w:rsidTr="0031439E">
        <w:tc>
          <w:tcPr>
            <w:tcW w:w="1094" w:type="dxa"/>
          </w:tcPr>
          <w:p w14:paraId="2FF551C7" w14:textId="3F3CE4D6" w:rsidR="00274C4A" w:rsidRPr="000F3F98" w:rsidRDefault="00274C4A" w:rsidP="00274C4A">
            <w:pPr>
              <w:rPr>
                <w:rFonts w:ascii="Palatino Linotype" w:hAnsi="Palatino Linotype" w:cstheme="minorHAnsi"/>
                <w:i/>
                <w:iCs/>
                <w:sz w:val="18"/>
                <w:szCs w:val="18"/>
              </w:rPr>
            </w:pPr>
            <w:r w:rsidRPr="000F3F98">
              <w:rPr>
                <w:rStyle w:val="st"/>
                <w:rFonts w:ascii="Palatino Linotype" w:hAnsi="Palatino Linotype"/>
                <w:i/>
                <w:iCs/>
                <w:sz w:val="18"/>
                <w:szCs w:val="18"/>
              </w:rPr>
              <w:t xml:space="preserve">NQO1, SOD2 </w:t>
            </w:r>
          </w:p>
        </w:tc>
        <w:tc>
          <w:tcPr>
            <w:tcW w:w="1080" w:type="dxa"/>
          </w:tcPr>
          <w:p w14:paraId="714EF996" w14:textId="1E23CCD9" w:rsidR="00274C4A" w:rsidRPr="00690A37" w:rsidRDefault="00274C4A" w:rsidP="00274C4A">
            <w:pPr>
              <w:rPr>
                <w:rFonts w:ascii="Palatino Linotype" w:hAnsi="Palatino Linotype" w:cstheme="minorHAnsi"/>
                <w:sz w:val="18"/>
                <w:szCs w:val="18"/>
              </w:rPr>
            </w:pPr>
            <w:r w:rsidRPr="000865D6">
              <w:rPr>
                <w:rStyle w:val="st"/>
                <w:rFonts w:ascii="Palatino Linotype" w:hAnsi="Palatino Linotype"/>
                <w:sz w:val="18"/>
                <w:szCs w:val="18"/>
              </w:rPr>
              <w:t xml:space="preserve">rs1800566 </w:t>
            </w:r>
            <w:r>
              <w:rPr>
                <w:rStyle w:val="st"/>
                <w:rFonts w:ascii="Palatino Linotype" w:hAnsi="Palatino Linotype"/>
                <w:sz w:val="18"/>
                <w:szCs w:val="18"/>
              </w:rPr>
              <w:t>(</w:t>
            </w:r>
            <w:r w:rsidRPr="00265F30">
              <w:rPr>
                <w:rStyle w:val="st"/>
                <w:rFonts w:ascii="Palatino Linotype" w:hAnsi="Palatino Linotype"/>
                <w:i/>
                <w:iCs/>
                <w:sz w:val="18"/>
                <w:szCs w:val="18"/>
              </w:rPr>
              <w:t>NQO1</w:t>
            </w:r>
            <w:r>
              <w:rPr>
                <w:rStyle w:val="st"/>
                <w:rFonts w:ascii="Palatino Linotype" w:hAnsi="Palatino Linotype"/>
                <w:sz w:val="18"/>
                <w:szCs w:val="18"/>
              </w:rPr>
              <w:t xml:space="preserve">), </w:t>
            </w:r>
            <w:r w:rsidRPr="006C6E42">
              <w:rPr>
                <w:rStyle w:val="st"/>
                <w:rFonts w:ascii="Palatino Linotype" w:hAnsi="Palatino Linotype"/>
                <w:sz w:val="18"/>
                <w:szCs w:val="18"/>
              </w:rPr>
              <w:t xml:space="preserve">and </w:t>
            </w:r>
            <w:r w:rsidRPr="000865D6">
              <w:rPr>
                <w:rStyle w:val="st"/>
                <w:rFonts w:ascii="Palatino Linotype" w:hAnsi="Palatino Linotype"/>
                <w:sz w:val="18"/>
                <w:szCs w:val="18"/>
              </w:rPr>
              <w:t xml:space="preserve">rs4880 </w:t>
            </w:r>
            <w:r>
              <w:rPr>
                <w:rStyle w:val="st"/>
                <w:rFonts w:ascii="Palatino Linotype" w:hAnsi="Palatino Linotype"/>
                <w:sz w:val="18"/>
                <w:szCs w:val="18"/>
              </w:rPr>
              <w:t>(</w:t>
            </w:r>
            <w:r w:rsidRPr="006C6E42">
              <w:rPr>
                <w:rStyle w:val="st"/>
                <w:rFonts w:ascii="Palatino Linotype" w:hAnsi="Palatino Linotype"/>
                <w:sz w:val="18"/>
                <w:szCs w:val="18"/>
              </w:rPr>
              <w:t>SOD2</w:t>
            </w:r>
            <w:r>
              <w:rPr>
                <w:rStyle w:val="st"/>
                <w:rFonts w:ascii="Palatino Linotype" w:hAnsi="Palatino Linotype"/>
                <w:sz w:val="18"/>
                <w:szCs w:val="18"/>
              </w:rPr>
              <w:t>)</w:t>
            </w:r>
          </w:p>
        </w:tc>
        <w:tc>
          <w:tcPr>
            <w:tcW w:w="1080" w:type="dxa"/>
          </w:tcPr>
          <w:p w14:paraId="7DC9D577" w14:textId="5E7651E9" w:rsidR="00274C4A" w:rsidRPr="00690A37" w:rsidRDefault="00274C4A" w:rsidP="00274C4A">
            <w:pPr>
              <w:rPr>
                <w:rFonts w:ascii="Palatino Linotype" w:hAnsi="Palatino Linotype" w:cstheme="minorHAnsi"/>
                <w:sz w:val="18"/>
                <w:szCs w:val="18"/>
              </w:rPr>
            </w:pPr>
            <w:r>
              <w:rPr>
                <w:rFonts w:ascii="Palatino Linotype" w:hAnsi="Palatino Linotype" w:cstheme="minorHAnsi"/>
                <w:sz w:val="18"/>
                <w:szCs w:val="18"/>
              </w:rPr>
              <w:t>223</w:t>
            </w:r>
          </w:p>
        </w:tc>
        <w:tc>
          <w:tcPr>
            <w:tcW w:w="1170" w:type="dxa"/>
          </w:tcPr>
          <w:p w14:paraId="430F3EAD" w14:textId="7C313082" w:rsidR="00274C4A" w:rsidRPr="00690A37" w:rsidRDefault="00274C4A" w:rsidP="00274C4A">
            <w:pPr>
              <w:rPr>
                <w:rFonts w:ascii="Palatino Linotype" w:hAnsi="Palatino Linotype" w:cstheme="minorHAnsi"/>
                <w:sz w:val="18"/>
                <w:szCs w:val="18"/>
              </w:rPr>
            </w:pPr>
            <w:r w:rsidRPr="00017E5D">
              <w:rPr>
                <w:rFonts w:ascii="Palatino Linotype" w:hAnsi="Palatino Linotype" w:cstheme="minorHAnsi"/>
                <w:sz w:val="18"/>
                <w:szCs w:val="18"/>
              </w:rPr>
              <w:t>Caucasian and African American</w:t>
            </w:r>
          </w:p>
        </w:tc>
        <w:tc>
          <w:tcPr>
            <w:tcW w:w="1350" w:type="dxa"/>
          </w:tcPr>
          <w:p w14:paraId="3AE443D9" w14:textId="061ED567" w:rsidR="00274C4A" w:rsidRPr="00690A37"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Schizophrenia </w:t>
            </w:r>
          </w:p>
        </w:tc>
        <w:tc>
          <w:tcPr>
            <w:tcW w:w="1260" w:type="dxa"/>
          </w:tcPr>
          <w:p w14:paraId="620B9CDE" w14:textId="67ED92BA" w:rsidR="00274C4A" w:rsidRPr="00690A37" w:rsidRDefault="00274C4A" w:rsidP="00274C4A">
            <w:pPr>
              <w:rPr>
                <w:rFonts w:ascii="Palatino Linotype" w:hAnsi="Palatino Linotype" w:cstheme="minorHAnsi"/>
                <w:sz w:val="18"/>
                <w:szCs w:val="18"/>
              </w:rPr>
            </w:pPr>
            <w:r>
              <w:rPr>
                <w:rFonts w:ascii="Palatino Linotype" w:hAnsi="Palatino Linotype" w:cstheme="minorHAnsi"/>
                <w:sz w:val="18"/>
                <w:szCs w:val="18"/>
                <w:lang w:val="el-GR"/>
              </w:rPr>
              <w:t>ΝΑ</w:t>
            </w:r>
          </w:p>
        </w:tc>
        <w:tc>
          <w:tcPr>
            <w:tcW w:w="1170" w:type="dxa"/>
          </w:tcPr>
          <w:p w14:paraId="728DE3F6" w14:textId="2022E042" w:rsidR="00274C4A" w:rsidRPr="00862CD3" w:rsidRDefault="00274C4A" w:rsidP="00274C4A">
            <w:pPr>
              <w:rPr>
                <w:rFonts w:ascii="Palatino Linotype" w:hAnsi="Palatino Linotype" w:cstheme="minorHAnsi"/>
                <w:sz w:val="18"/>
                <w:szCs w:val="18"/>
              </w:rPr>
            </w:pPr>
            <w:r w:rsidRPr="000865D6">
              <w:rPr>
                <w:rFonts w:ascii="Palatino Linotype" w:hAnsi="Palatino Linotype" w:cstheme="minorHAnsi"/>
                <w:sz w:val="18"/>
                <w:szCs w:val="18"/>
              </w:rPr>
              <w:t>AIMS</w:t>
            </w:r>
            <w:r>
              <w:rPr>
                <w:rFonts w:ascii="Palatino Linotype" w:hAnsi="Palatino Linotype" w:cstheme="minorHAnsi"/>
                <w:sz w:val="18"/>
                <w:szCs w:val="18"/>
              </w:rPr>
              <w:t>, H</w:t>
            </w:r>
            <w:r w:rsidRPr="000865D6">
              <w:rPr>
                <w:rFonts w:ascii="Palatino Linotype" w:hAnsi="Palatino Linotype" w:cstheme="minorHAnsi"/>
                <w:sz w:val="18"/>
                <w:szCs w:val="18"/>
              </w:rPr>
              <w:t>SD</w:t>
            </w:r>
            <w:r>
              <w:rPr>
                <w:rFonts w:ascii="Palatino Linotype" w:hAnsi="Palatino Linotype" w:cstheme="minorHAnsi"/>
                <w:sz w:val="18"/>
                <w:szCs w:val="18"/>
              </w:rPr>
              <w:t>S</w:t>
            </w:r>
          </w:p>
        </w:tc>
        <w:tc>
          <w:tcPr>
            <w:tcW w:w="1170" w:type="dxa"/>
          </w:tcPr>
          <w:p w14:paraId="486F431C" w14:textId="75021306"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6F6E74FE" w14:textId="6BA0BF38" w:rsidR="00274C4A" w:rsidRPr="00862CD3" w:rsidRDefault="00274C4A" w:rsidP="00274C4A">
            <w:pPr>
              <w:rPr>
                <w:rFonts w:ascii="Palatino Linotype" w:hAnsi="Palatino Linotype" w:cstheme="minorHAnsi"/>
                <w:sz w:val="18"/>
                <w:szCs w:val="18"/>
              </w:rPr>
            </w:pPr>
            <w:r w:rsidRPr="00870DB9">
              <w:rPr>
                <w:rStyle w:val="st"/>
                <w:rFonts w:ascii="Palatino Linotype" w:hAnsi="Palatino Linotype"/>
                <w:sz w:val="18"/>
                <w:szCs w:val="18"/>
              </w:rPr>
              <w:t>Assays-on-Demand</w:t>
            </w:r>
            <w:r>
              <w:rPr>
                <w:rStyle w:val="st"/>
                <w:rFonts w:ascii="Palatino Linotype" w:hAnsi="Palatino Linotype"/>
                <w:sz w:val="18"/>
                <w:szCs w:val="18"/>
              </w:rPr>
              <w:t xml:space="preserve"> for </w:t>
            </w:r>
            <w:r w:rsidRPr="000865D6">
              <w:rPr>
                <w:rStyle w:val="st"/>
                <w:rFonts w:ascii="Palatino Linotype" w:hAnsi="Palatino Linotype"/>
                <w:sz w:val="18"/>
                <w:szCs w:val="18"/>
              </w:rPr>
              <w:t>rs1800566</w:t>
            </w:r>
            <w:r>
              <w:rPr>
                <w:rStyle w:val="st"/>
                <w:rFonts w:ascii="Palatino Linotype" w:hAnsi="Palatino Linotype"/>
                <w:sz w:val="18"/>
                <w:szCs w:val="18"/>
              </w:rPr>
              <w:t>, PCR-RFLP (</w:t>
            </w:r>
            <w:proofErr w:type="spellStart"/>
            <w:r w:rsidRPr="00870DB9">
              <w:rPr>
                <w:rStyle w:val="st"/>
                <w:rFonts w:ascii="Palatino Linotype" w:hAnsi="Palatino Linotype"/>
                <w:sz w:val="18"/>
                <w:szCs w:val="18"/>
              </w:rPr>
              <w:t>BsaWI</w:t>
            </w:r>
            <w:proofErr w:type="spellEnd"/>
            <w:r>
              <w:rPr>
                <w:rStyle w:val="st"/>
                <w:rFonts w:ascii="Palatino Linotype" w:hAnsi="Palatino Linotype"/>
                <w:sz w:val="18"/>
                <w:szCs w:val="18"/>
              </w:rPr>
              <w:t xml:space="preserve">) for </w:t>
            </w:r>
            <w:r w:rsidRPr="000865D6">
              <w:rPr>
                <w:rStyle w:val="st"/>
                <w:rFonts w:ascii="Palatino Linotype" w:hAnsi="Palatino Linotype"/>
                <w:sz w:val="18"/>
                <w:szCs w:val="18"/>
              </w:rPr>
              <w:t>rs4880</w:t>
            </w:r>
          </w:p>
        </w:tc>
        <w:tc>
          <w:tcPr>
            <w:tcW w:w="2507" w:type="dxa"/>
          </w:tcPr>
          <w:p w14:paraId="7B8B1CB8" w14:textId="10D4B2DE" w:rsidR="00274C4A" w:rsidRPr="00690A37"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72BCF280" w14:textId="77C72D1E"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{"citationItems":[{"id":"ITEM-1","itemData":{"DOI":"10.1016/j.pnpbp.2009.09.020","ISSN":"1878-4216","PMID":"19778569","abstract":"INTRODUCTION Tardive dyskinesia (TD) is a potentially irreversible side effect of antipsychotic medication treatment that occurs in approximately 25% of chronically treated schizophrenia patients. Oxidative stress has been one of the proposed mechanisms influencing TD risk. Pae et al. (2004) originally reported a significant association between TD and the NADPH quinine oxidoreductase 1 (NQO1) gene Pro187Ser (C609T, rs1800566) polymorphism in Korean schizophrenia patients; however, subsequent studies have not consistently replicated these findings. Similarly, Hori et al. (2000) reported an association between TD and the Manganese superoxide dismutase SOD2 (MnSOD) gene Ala9Val (rs4880) polymorphism in a Japanese sample, but most research groups failed to replicate their positive findings. AIMS We investigated the role of the NQO1 polymorphism Pro187Ser and SOD2 (Ala9Val) in a group of well-characterized schizophrenia patients (N=223) assessed for TD. We also performed a meta-analysis of all the previously published TD studies, including data from our sample, on these polymorphisms, Pro187Ser (N=5 studies) and Ala9Val (N=9 studies). RESULTS We did not observe a significant association of the Pro187Ser or Ala9Val polymorphism with TD occurrence or AIMS scores in our Caucasian and African American samples when analyzed independently. Meta-analysis did not reveal a significant association of the Pro187Ser/Ala9Val alleles or genotypes with TD occurrence. CONCLUSIONS Neither the NQO1 Pro187Ser nor the SOD2 Ala9Val appear to play a major role in TD risk, although additional polymorphisms should be tested before the role of NQO1 and SOD2 in TD can be completely excluded.","author":[{"dropping-particle":"","family":"Zai","given":"Clement C","non-dropping-particle":"","parse-names":false,"suffix":""},{"dropping-particle":"","family":"Tiwari","given":"Arun K","non-dropping-particle":"","parse-names":false,"suffix":""},{"dropping-particle":"","family":"Basile","given":"Vincenzo","non-dropping-particle":"","parse-names":false,"suffix":""},{"dropping-particle":"","family":"Luca","given":"Vincenzo","non-dropping-particle":"de","parse-names":false,"suffix":""},{"dropping-particle":"","family":"Müller","given":"Daniel J","non-dropping-particle":"","parse-names":false,"suffix":""},{"dropping-particle":"","family":"Voineskos","given":"Aristotle N","non-dropping-particle":"","parse-names":false,"suffix":""},{"dropping-particle":"","family":"Remington","given":"Gary","non-dropping-particle":"","parse-names":false,"suffix":""},{"dropping-particle":"","family":"Meltzer","given":"Herbert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G","non-dropping-particle":"","parse-names":false,"suffix":""},{"dropping-particle":"","family":"Kennedy","given":"James L","non-dropping-particle":"","parse-names":false,"suffix":""}],"container-title":"Progress in neuro-psychopharmacology &amp; biological psychiatry","id":"ITEM-1","issue":"1","issued":{"date-parts":[["2010","2","1"]]},"page":"50-6","publisher":"Prog Neuropsychopharmacol Biol Psychiatry","title":"Oxidative stress in tardive dyskinesia: genetic association study and meta-analysis of NADPH quinine oxidoreductase 1 (NQO1) and Superoxide dismutase 2 (SOD2, MnSOD) genes.","type":"article-journal","volume":"34"},"uris":["http://www.mendeley.com/documents/?uuid=6a63df69-9afa-362e-865e-067eaaa68000"]}],"mendeley":{"formattedCitation":"(Zai et al. 2010a)","plainTextFormattedCitation":"(Zai et al. 2010a)","previouslyFormattedCitation":"(Zai et al. 2010a)"},"properties":{"noteIndex":0},"schema":"https://github.com/citation-style-language/schema/raw/master/csl-citation.json"}</w:instrText>
            </w:r>
            <w:r>
              <w:rPr>
                <w:rFonts w:ascii="Palatino Linotype" w:hAnsi="Palatino Linotype" w:cstheme="minorHAnsi"/>
                <w:sz w:val="18"/>
                <w:szCs w:val="18"/>
              </w:rPr>
              <w:fldChar w:fldCharType="separate"/>
            </w:r>
            <w:r w:rsidRPr="000B7131">
              <w:rPr>
                <w:rFonts w:ascii="Palatino Linotype" w:hAnsi="Palatino Linotype" w:cstheme="minorHAnsi"/>
                <w:noProof/>
                <w:sz w:val="18"/>
                <w:szCs w:val="18"/>
              </w:rPr>
              <w:t>(Zai et al. 2010a)</w:t>
            </w:r>
            <w:r>
              <w:rPr>
                <w:rFonts w:ascii="Palatino Linotype" w:hAnsi="Palatino Linotype" w:cstheme="minorHAnsi"/>
                <w:sz w:val="18"/>
                <w:szCs w:val="18"/>
              </w:rPr>
              <w:fldChar w:fldCharType="end"/>
            </w:r>
          </w:p>
        </w:tc>
      </w:tr>
      <w:tr w:rsidR="00274C4A" w:rsidRPr="00EA57B8" w14:paraId="3D35287D" w14:textId="77777777" w:rsidTr="0031439E">
        <w:tc>
          <w:tcPr>
            <w:tcW w:w="1094" w:type="dxa"/>
          </w:tcPr>
          <w:p w14:paraId="1600F054" w14:textId="050E5369" w:rsidR="00274C4A" w:rsidRPr="000F3F98" w:rsidRDefault="00274C4A" w:rsidP="00274C4A">
            <w:pPr>
              <w:rPr>
                <w:rStyle w:val="st"/>
                <w:rFonts w:ascii="Palatino Linotype" w:hAnsi="Palatino Linotype"/>
                <w:i/>
                <w:iCs/>
                <w:sz w:val="18"/>
                <w:szCs w:val="18"/>
              </w:rPr>
            </w:pPr>
            <w:r>
              <w:rPr>
                <w:rFonts w:ascii="Palatino Linotype" w:hAnsi="Palatino Linotype" w:cstheme="minorHAnsi"/>
                <w:i/>
                <w:iCs/>
                <w:sz w:val="18"/>
                <w:szCs w:val="18"/>
              </w:rPr>
              <w:t>COMT</w:t>
            </w:r>
          </w:p>
        </w:tc>
        <w:tc>
          <w:tcPr>
            <w:tcW w:w="1080" w:type="dxa"/>
          </w:tcPr>
          <w:p w14:paraId="1F7B6385" w14:textId="11BEEC7F" w:rsidR="00274C4A" w:rsidRPr="000B7131" w:rsidRDefault="00274C4A" w:rsidP="00274C4A">
            <w:pPr>
              <w:rPr>
                <w:rStyle w:val="st"/>
                <w:rFonts w:ascii="Palatino Linotype" w:hAnsi="Palatino Linotype"/>
                <w:sz w:val="18"/>
                <w:szCs w:val="18"/>
              </w:rPr>
            </w:pPr>
            <w:r w:rsidRPr="000B7131">
              <w:rPr>
                <w:rStyle w:val="st"/>
                <w:rFonts w:ascii="Palatino Linotype" w:hAnsi="Palatino Linotype"/>
                <w:sz w:val="18"/>
                <w:szCs w:val="18"/>
              </w:rPr>
              <w:t>rs737865,</w:t>
            </w:r>
          </w:p>
          <w:p w14:paraId="5BA5B770" w14:textId="7BDE914A" w:rsidR="00274C4A" w:rsidRPr="000B7131" w:rsidRDefault="00274C4A" w:rsidP="00274C4A">
            <w:pPr>
              <w:rPr>
                <w:rStyle w:val="st"/>
                <w:rFonts w:ascii="Palatino Linotype" w:hAnsi="Palatino Linotype"/>
                <w:sz w:val="18"/>
                <w:szCs w:val="18"/>
              </w:rPr>
            </w:pPr>
            <w:r w:rsidRPr="000B7131">
              <w:rPr>
                <w:rStyle w:val="st"/>
                <w:rFonts w:ascii="Palatino Linotype" w:hAnsi="Palatino Linotype"/>
                <w:sz w:val="18"/>
                <w:szCs w:val="18"/>
              </w:rPr>
              <w:t>rs6269</w:t>
            </w:r>
            <w:r>
              <w:rPr>
                <w:rStyle w:val="st"/>
                <w:rFonts w:ascii="Palatino Linotype" w:hAnsi="Palatino Linotype"/>
                <w:sz w:val="18"/>
                <w:szCs w:val="18"/>
              </w:rPr>
              <w:t>,</w:t>
            </w:r>
            <w:r w:rsidRPr="000B7131">
              <w:rPr>
                <w:rStyle w:val="st"/>
                <w:rFonts w:ascii="Palatino Linotype" w:hAnsi="Palatino Linotype"/>
                <w:sz w:val="18"/>
                <w:szCs w:val="18"/>
              </w:rPr>
              <w:t xml:space="preserve"> rs4633,</w:t>
            </w:r>
          </w:p>
          <w:p w14:paraId="7F7B2085" w14:textId="4F6A5289" w:rsidR="00274C4A" w:rsidRPr="000B7131" w:rsidRDefault="00274C4A" w:rsidP="00274C4A">
            <w:pPr>
              <w:rPr>
                <w:rStyle w:val="st"/>
                <w:rFonts w:ascii="Palatino Linotype" w:hAnsi="Palatino Linotype"/>
                <w:sz w:val="18"/>
                <w:szCs w:val="18"/>
              </w:rPr>
            </w:pPr>
            <w:r w:rsidRPr="000B7131">
              <w:rPr>
                <w:rStyle w:val="st"/>
                <w:rFonts w:ascii="Palatino Linotype" w:hAnsi="Palatino Linotype"/>
                <w:sz w:val="18"/>
                <w:szCs w:val="18"/>
              </w:rPr>
              <w:lastRenderedPageBreak/>
              <w:t>rs4818, rs4680, and</w:t>
            </w:r>
          </w:p>
          <w:p w14:paraId="3D107964" w14:textId="319B908B" w:rsidR="00274C4A" w:rsidRPr="000865D6" w:rsidRDefault="00274C4A" w:rsidP="00274C4A">
            <w:pPr>
              <w:rPr>
                <w:rStyle w:val="st"/>
                <w:rFonts w:ascii="Palatino Linotype" w:hAnsi="Palatino Linotype"/>
                <w:sz w:val="18"/>
                <w:szCs w:val="18"/>
              </w:rPr>
            </w:pPr>
            <w:r w:rsidRPr="000B7131">
              <w:rPr>
                <w:rStyle w:val="st"/>
                <w:rFonts w:ascii="Palatino Linotype" w:hAnsi="Palatino Linotype"/>
                <w:sz w:val="18"/>
                <w:szCs w:val="18"/>
              </w:rPr>
              <w:t>rs165599</w:t>
            </w:r>
          </w:p>
        </w:tc>
        <w:tc>
          <w:tcPr>
            <w:tcW w:w="1080" w:type="dxa"/>
          </w:tcPr>
          <w:p w14:paraId="3C0DD7FB" w14:textId="36EF900E" w:rsidR="00274C4A" w:rsidRDefault="00274C4A" w:rsidP="00274C4A">
            <w:pPr>
              <w:rPr>
                <w:rFonts w:ascii="Palatino Linotype" w:hAnsi="Palatino Linotype" w:cstheme="minorHAnsi"/>
                <w:sz w:val="18"/>
                <w:szCs w:val="18"/>
              </w:rPr>
            </w:pPr>
            <w:r w:rsidRPr="00142355">
              <w:rPr>
                <w:rFonts w:ascii="Palatino Linotype" w:hAnsi="Palatino Linotype" w:cstheme="minorHAnsi"/>
                <w:sz w:val="18"/>
                <w:szCs w:val="18"/>
              </w:rPr>
              <w:lastRenderedPageBreak/>
              <w:t>22</w:t>
            </w:r>
            <w:r>
              <w:rPr>
                <w:rFonts w:ascii="Palatino Linotype" w:hAnsi="Palatino Linotype" w:cstheme="minorHAnsi"/>
                <w:sz w:val="18"/>
                <w:szCs w:val="18"/>
              </w:rPr>
              <w:t>9 (90 with TD)</w:t>
            </w:r>
          </w:p>
        </w:tc>
        <w:tc>
          <w:tcPr>
            <w:tcW w:w="1170" w:type="dxa"/>
          </w:tcPr>
          <w:p w14:paraId="7A238C2D" w14:textId="5218D629" w:rsidR="00274C4A" w:rsidRPr="00017E5D" w:rsidRDefault="00274C4A" w:rsidP="00274C4A">
            <w:pPr>
              <w:rPr>
                <w:rFonts w:ascii="Palatino Linotype" w:hAnsi="Palatino Linotype" w:cstheme="minorHAnsi"/>
                <w:sz w:val="18"/>
                <w:szCs w:val="18"/>
              </w:rPr>
            </w:pPr>
            <w:r w:rsidRPr="00142355">
              <w:rPr>
                <w:rFonts w:ascii="Palatino Linotype" w:hAnsi="Palatino Linotype" w:cstheme="minorHAnsi"/>
                <w:sz w:val="18"/>
                <w:szCs w:val="18"/>
              </w:rPr>
              <w:t>Caucasian and African American</w:t>
            </w:r>
          </w:p>
        </w:tc>
        <w:tc>
          <w:tcPr>
            <w:tcW w:w="1350" w:type="dxa"/>
          </w:tcPr>
          <w:p w14:paraId="40C58BF0" w14:textId="51401BF9" w:rsidR="00274C4A" w:rsidRDefault="00274C4A" w:rsidP="00274C4A">
            <w:pPr>
              <w:rPr>
                <w:rFonts w:ascii="Palatino Linotype" w:hAnsi="Palatino Linotype" w:cstheme="minorHAnsi"/>
                <w:sz w:val="18"/>
                <w:szCs w:val="18"/>
              </w:rPr>
            </w:pPr>
            <w:r w:rsidRPr="00142355">
              <w:rPr>
                <w:rFonts w:ascii="Palatino Linotype" w:hAnsi="Palatino Linotype" w:cstheme="minorHAnsi"/>
                <w:sz w:val="18"/>
                <w:szCs w:val="18"/>
              </w:rPr>
              <w:t>Schizophreni</w:t>
            </w:r>
            <w:r>
              <w:rPr>
                <w:rFonts w:ascii="Palatino Linotype" w:hAnsi="Palatino Linotype" w:cstheme="minorHAnsi"/>
                <w:sz w:val="18"/>
                <w:szCs w:val="18"/>
              </w:rPr>
              <w:t xml:space="preserve">a, </w:t>
            </w:r>
            <w:r w:rsidRPr="00142355">
              <w:rPr>
                <w:rFonts w:ascii="Palatino Linotype" w:hAnsi="Palatino Linotype" w:cstheme="minorHAnsi"/>
                <w:sz w:val="18"/>
                <w:szCs w:val="18"/>
              </w:rPr>
              <w:lastRenderedPageBreak/>
              <w:t>schizoaffective disorder</w:t>
            </w:r>
          </w:p>
        </w:tc>
        <w:tc>
          <w:tcPr>
            <w:tcW w:w="1260" w:type="dxa"/>
          </w:tcPr>
          <w:p w14:paraId="75965E1C" w14:textId="76B54102" w:rsidR="00274C4A" w:rsidRPr="005F31BB" w:rsidRDefault="00274C4A" w:rsidP="00274C4A">
            <w:pPr>
              <w:rPr>
                <w:rFonts w:ascii="Palatino Linotype" w:hAnsi="Palatino Linotype" w:cstheme="minorHAnsi"/>
                <w:sz w:val="18"/>
                <w:szCs w:val="18"/>
              </w:rPr>
            </w:pPr>
            <w:r>
              <w:rPr>
                <w:rFonts w:ascii="Palatino Linotype" w:hAnsi="Palatino Linotype" w:cstheme="minorHAnsi"/>
                <w:sz w:val="18"/>
                <w:szCs w:val="18"/>
              </w:rPr>
              <w:lastRenderedPageBreak/>
              <w:t>D</w:t>
            </w:r>
            <w:r w:rsidRPr="00972E73">
              <w:rPr>
                <w:rFonts w:ascii="Palatino Linotype" w:hAnsi="Palatino Linotype" w:cstheme="minorHAnsi"/>
                <w:sz w:val="18"/>
                <w:szCs w:val="18"/>
              </w:rPr>
              <w:t>SM-III-R or DSM-IV</w:t>
            </w:r>
          </w:p>
        </w:tc>
        <w:tc>
          <w:tcPr>
            <w:tcW w:w="1170" w:type="dxa"/>
          </w:tcPr>
          <w:p w14:paraId="24A555E7" w14:textId="228BE2AA" w:rsidR="00274C4A" w:rsidRPr="000865D6" w:rsidRDefault="00274C4A" w:rsidP="00274C4A">
            <w:pPr>
              <w:rPr>
                <w:rFonts w:ascii="Palatino Linotype" w:hAnsi="Palatino Linotype" w:cstheme="minorHAnsi"/>
                <w:sz w:val="18"/>
                <w:szCs w:val="18"/>
              </w:rPr>
            </w:pPr>
            <w:r>
              <w:rPr>
                <w:rFonts w:ascii="Palatino Linotype" w:hAnsi="Palatino Linotype" w:cstheme="minorHAnsi"/>
                <w:sz w:val="18"/>
                <w:szCs w:val="18"/>
              </w:rPr>
              <w:t>AIMS</w:t>
            </w:r>
            <w:r w:rsidRPr="00972E73">
              <w:rPr>
                <w:rFonts w:ascii="Palatino Linotype" w:hAnsi="Palatino Linotype" w:cstheme="minorHAnsi"/>
                <w:sz w:val="18"/>
                <w:szCs w:val="18"/>
              </w:rPr>
              <w:t xml:space="preserve"> or the</w:t>
            </w:r>
            <w:r>
              <w:rPr>
                <w:rFonts w:ascii="Palatino Linotype" w:hAnsi="Palatino Linotype" w:cstheme="minorHAnsi"/>
                <w:sz w:val="18"/>
                <w:szCs w:val="18"/>
              </w:rPr>
              <w:t xml:space="preserve"> </w:t>
            </w:r>
            <w:r w:rsidRPr="00972E73">
              <w:rPr>
                <w:rFonts w:ascii="Palatino Linotype" w:hAnsi="Palatino Linotype" w:cstheme="minorHAnsi"/>
                <w:sz w:val="18"/>
                <w:szCs w:val="18"/>
              </w:rPr>
              <w:lastRenderedPageBreak/>
              <w:t>modified HSDS</w:t>
            </w:r>
          </w:p>
        </w:tc>
        <w:tc>
          <w:tcPr>
            <w:tcW w:w="1170" w:type="dxa"/>
          </w:tcPr>
          <w:p w14:paraId="75DD50F6" w14:textId="6B834DD3"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lastRenderedPageBreak/>
              <w:t>NA</w:t>
            </w:r>
          </w:p>
        </w:tc>
        <w:tc>
          <w:tcPr>
            <w:tcW w:w="1350" w:type="dxa"/>
          </w:tcPr>
          <w:p w14:paraId="4677E999" w14:textId="52A5F212" w:rsidR="00274C4A" w:rsidRPr="00870DB9" w:rsidRDefault="00274C4A" w:rsidP="00274C4A">
            <w:pPr>
              <w:rPr>
                <w:rStyle w:val="st"/>
                <w:rFonts w:ascii="Palatino Linotype" w:hAnsi="Palatino Linotype"/>
                <w:sz w:val="18"/>
                <w:szCs w:val="18"/>
              </w:rPr>
            </w:pPr>
            <w:r w:rsidRPr="0038037E">
              <w:rPr>
                <w:rStyle w:val="st"/>
                <w:rFonts w:ascii="Palatino Linotype" w:hAnsi="Palatino Linotype"/>
                <w:sz w:val="18"/>
                <w:szCs w:val="18"/>
              </w:rPr>
              <w:t>Assays-on-Demand (ABI)</w:t>
            </w:r>
          </w:p>
        </w:tc>
        <w:tc>
          <w:tcPr>
            <w:tcW w:w="2507" w:type="dxa"/>
          </w:tcPr>
          <w:p w14:paraId="014972B8" w14:textId="27AF9458"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Association between</w:t>
            </w:r>
            <w:r w:rsidRPr="0038037E">
              <w:rPr>
                <w:rFonts w:ascii="Palatino Linotype" w:hAnsi="Palatino Linotype" w:cstheme="minorHAnsi"/>
                <w:sz w:val="18"/>
                <w:szCs w:val="18"/>
              </w:rPr>
              <w:t xml:space="preserve"> AA genotype of rs165599 with TD </w:t>
            </w:r>
            <w:r>
              <w:rPr>
                <w:rFonts w:ascii="Palatino Linotype" w:hAnsi="Palatino Linotype" w:cstheme="minorHAnsi"/>
                <w:sz w:val="18"/>
                <w:szCs w:val="18"/>
              </w:rPr>
              <w:t>and</w:t>
            </w:r>
            <w:r w:rsidRPr="0038037E">
              <w:rPr>
                <w:rFonts w:ascii="Palatino Linotype" w:hAnsi="Palatino Linotype" w:cstheme="minorHAnsi"/>
                <w:sz w:val="18"/>
                <w:szCs w:val="18"/>
              </w:rPr>
              <w:t xml:space="preserve"> a trend </w:t>
            </w:r>
            <w:r>
              <w:rPr>
                <w:rFonts w:ascii="Palatino Linotype" w:hAnsi="Palatino Linotype" w:cstheme="minorHAnsi"/>
                <w:sz w:val="18"/>
                <w:szCs w:val="18"/>
              </w:rPr>
              <w:t xml:space="preserve">of </w:t>
            </w:r>
            <w:r>
              <w:rPr>
                <w:rFonts w:ascii="Palatino Linotype" w:hAnsi="Palatino Linotype" w:cstheme="minorHAnsi"/>
                <w:sz w:val="18"/>
                <w:szCs w:val="18"/>
              </w:rPr>
              <w:lastRenderedPageBreak/>
              <w:t xml:space="preserve">association with </w:t>
            </w:r>
            <w:r w:rsidRPr="0038037E">
              <w:rPr>
                <w:rFonts w:ascii="Palatino Linotype" w:hAnsi="Palatino Linotype" w:cstheme="minorHAnsi"/>
                <w:sz w:val="18"/>
                <w:szCs w:val="18"/>
              </w:rPr>
              <w:t>higher AIMS scores</w:t>
            </w:r>
          </w:p>
        </w:tc>
        <w:tc>
          <w:tcPr>
            <w:tcW w:w="2173" w:type="dxa"/>
          </w:tcPr>
          <w:p w14:paraId="79C2B20A" w14:textId="29E3E6EB"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lastRenderedPageBreak/>
              <w:fldChar w:fldCharType="begin" w:fldLock="1"/>
            </w:r>
            <w:r>
              <w:rPr>
                <w:rFonts w:ascii="Palatino Linotype" w:hAnsi="Palatino Linotype" w:cstheme="minorHAnsi"/>
                <w:sz w:val="18"/>
                <w:szCs w:val="18"/>
              </w:rPr>
              <w:instrText>ADDIN CSL_CITATION {"citationItems":[{"id":"ITEM-1","itemData":{"DOI":"10.3109/15622975.2010.486043","ISSN":"1814-1412","PMID":"20586531","abstract":"UNLABELLED Tardive dyskinesia (TD) is a severe and potentially irreversible motor side effect linked to long-term antipsychotic exposure. Changes in dopamine neurotransmission have been implicated in the etiology of TD, and catechol-O-methyl-transferase (COMT) is an enzyme that metabolizes dopamine. OBJECTIVES We investigated five single-nucleotide polymorphisms in addition to the functional Val158Met variant spanning the COMT gene for association with TD. METHODS We analyzed the six COMT single-nucleotide polymorphisms in a sample of schizophrenia/schizoaffective disorder patients (n=226; 196 Caucasians and 30 African Americans). RESULTS We found a significant association between the marker rs165599 in the 3' untranslated region of COMT and TD (AA versus G-carrier: OR(AA)=2.22, 95% CI:1.23-4.03; P=0.007). The association appeared to be originating from males. We did not find a significant association of the other five tested polymorphisms with TD in our samples. We performed a sex-stratified meta-analysis across all of the published studies (n=6 plus our own data) of COMT and TD, and found an association between ValVal genotype and TD in females (OR(ValVal)=1.63, 95% CI: 1.09-2.45; P=0.019) but not in males. CONCLUSIONS Overall, our results suggest that the COMT gene may have a minor but consistent role in TD, although sex-stratified studies with additional markers in larger clinical samples should be performed.","author":[{"dropping-particle":"","family":"Zai","given":"Clement C","non-dropping-particle":"","parse-names":false,"suffix":""},{"dropping-particle":"","family":"Tiwari","given":"Arun K","non-dropping-particle":"","parse-names":false,"suffix":""},{"dropping-particle":"","family":"Müller","given":"Daniel J","non-dropping-particle":"","parse-names":false,"suffix":""},{"dropping-particle":"","family":"Luca","given":"Vincenzo","non-dropping-particle":"De","parse-names":false,"suffix":""},{"dropping-particle":"","family":"Shinkai","given":"Takahiro","non-dropping-particle":"","parse-names":false,"suffix":""},{"dropping-particle":"","family":"Shaikh","given":"Sajid","non-dropping-particle":"","parse-names":false,"suffix":""},{"dropping-particle":"","family":"Ni","given":"Xingqun","non-dropping-particle":"","parse-names":false,"suffix":""},{"dropping-particle":"","family":"Sibony","given":"David","non-dropping-particle":"","parse-names":false,"suffix":""},{"dropping-particle":"","family":"Voineskos","given":"Aristotle N","non-dropping-particle":"","parse-names":false,"suffix":""},{"dropping-particle":"","family":"Meltzer","given":"Herbert Y","non-dropping-particle":"","parse-names":false,"suffix":""},{"dropping-particle":"","family":"Lieberman","given":"Jeffrey A","non-dropping-particle":"","parse-names":false,"suffix":""},{"dropping-particle":"","family":"Potkin","given":"Steven G","non-dropping-particle":"","parse-names":false,"suffix":""},{"dropping-particle":"","family":"Remington","given":"Gary","non-dropping-particle":"","parse-names":false,"suffix":""},{"dropping-particle":"","family":"Kennedy","given":"James L","non-dropping-particle":"","parse-names":false,"suffix":""}],"container-title":"The world journal of biological psychiatry : the official journal of the World Federation of Societies of Biological Psychiatry","id":"ITEM-1","issue":"6","issued":{"date-parts":[["2010","9"]]},"page":"803-12","publisher":"World J Biol Psychiatry","title":"The catechol-O-methyl-transferase gene in tardive dyskinesia.","type":"article-journal","volume":"11"},"uris":["http://www.mendeley.com/documents/?uuid=e14a2d32-28e9-3fb0-a655-3f65bf3ebd48"]}],"mendeley":{"formattedCitation":"(Zai et al. 2010b)","plainTextFormattedCitation":"(Zai et al. 2010b)","previouslyFormattedCitation":"(Zai et al. 2010b)"},"properties":{"noteIndex":0},"schema":"https://github.com/citation-style-language/schema/raw/master/csl-citation.json"}</w:instrText>
            </w:r>
            <w:r>
              <w:rPr>
                <w:rFonts w:ascii="Palatino Linotype" w:hAnsi="Palatino Linotype" w:cstheme="minorHAnsi"/>
                <w:sz w:val="18"/>
                <w:szCs w:val="18"/>
              </w:rPr>
              <w:fldChar w:fldCharType="separate"/>
            </w:r>
            <w:r w:rsidRPr="000B7131">
              <w:rPr>
                <w:rFonts w:ascii="Palatino Linotype" w:hAnsi="Palatino Linotype" w:cstheme="minorHAnsi"/>
                <w:noProof/>
                <w:sz w:val="18"/>
                <w:szCs w:val="18"/>
              </w:rPr>
              <w:t>(Zai et al. 2010b)</w:t>
            </w:r>
            <w:r>
              <w:rPr>
                <w:rFonts w:ascii="Palatino Linotype" w:hAnsi="Palatino Linotype" w:cstheme="minorHAnsi"/>
                <w:sz w:val="18"/>
                <w:szCs w:val="18"/>
              </w:rPr>
              <w:fldChar w:fldCharType="end"/>
            </w:r>
          </w:p>
        </w:tc>
      </w:tr>
      <w:tr w:rsidR="00274C4A" w:rsidRPr="00EA57B8" w14:paraId="5EE04842" w14:textId="55B00CB6" w:rsidTr="0031439E">
        <w:tc>
          <w:tcPr>
            <w:tcW w:w="1094" w:type="dxa"/>
          </w:tcPr>
          <w:p w14:paraId="62E00B7F" w14:textId="10B8FB19"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SLC18A2</w:t>
            </w:r>
          </w:p>
        </w:tc>
        <w:tc>
          <w:tcPr>
            <w:tcW w:w="1080" w:type="dxa"/>
          </w:tcPr>
          <w:p w14:paraId="27283133" w14:textId="77777777" w:rsidR="00274C4A" w:rsidRPr="00D67F95" w:rsidRDefault="00274C4A" w:rsidP="00274C4A">
            <w:pPr>
              <w:rPr>
                <w:rFonts w:ascii="Palatino Linotype" w:hAnsi="Palatino Linotype" w:cstheme="minorHAnsi"/>
                <w:sz w:val="18"/>
                <w:szCs w:val="18"/>
              </w:rPr>
            </w:pPr>
            <w:r>
              <w:rPr>
                <w:rFonts w:ascii="Palatino Linotype" w:hAnsi="Palatino Linotype" w:cstheme="minorHAnsi"/>
                <w:sz w:val="18"/>
                <w:szCs w:val="18"/>
              </w:rPr>
              <w:t>r</w:t>
            </w:r>
            <w:r w:rsidRPr="00D67F95">
              <w:rPr>
                <w:rFonts w:ascii="Palatino Linotype" w:hAnsi="Palatino Linotype" w:cstheme="minorHAnsi"/>
                <w:sz w:val="18"/>
                <w:szCs w:val="18"/>
              </w:rPr>
              <w:t>s363224</w:t>
            </w:r>
            <w:r>
              <w:rPr>
                <w:rFonts w:ascii="Palatino Linotype" w:hAnsi="Palatino Linotype" w:cstheme="minorHAnsi"/>
                <w:sz w:val="18"/>
                <w:szCs w:val="18"/>
              </w:rPr>
              <w:t xml:space="preserve">, </w:t>
            </w:r>
            <w:r w:rsidRPr="00D67F95">
              <w:rPr>
                <w:rFonts w:ascii="Palatino Linotype" w:hAnsi="Palatino Linotype" w:cstheme="minorHAnsi"/>
                <w:sz w:val="18"/>
                <w:szCs w:val="18"/>
              </w:rPr>
              <w:t xml:space="preserve">rs363390, rs1860404, </w:t>
            </w:r>
          </w:p>
          <w:p w14:paraId="4BF435DD" w14:textId="77777777" w:rsidR="00274C4A" w:rsidRPr="00D67F95" w:rsidRDefault="00274C4A" w:rsidP="00274C4A">
            <w:pPr>
              <w:rPr>
                <w:rFonts w:ascii="Palatino Linotype" w:hAnsi="Palatino Linotype" w:cstheme="minorHAnsi"/>
                <w:sz w:val="18"/>
                <w:szCs w:val="18"/>
              </w:rPr>
            </w:pPr>
            <w:r w:rsidRPr="00D67F95">
              <w:rPr>
                <w:rFonts w:ascii="Palatino Linotype" w:hAnsi="Palatino Linotype" w:cstheme="minorHAnsi"/>
                <w:sz w:val="18"/>
                <w:szCs w:val="18"/>
              </w:rPr>
              <w:t>rs2015586, rs14240</w:t>
            </w:r>
            <w:r>
              <w:rPr>
                <w:rFonts w:ascii="Palatino Linotype" w:hAnsi="Palatino Linotype" w:cstheme="minorHAnsi"/>
                <w:sz w:val="18"/>
                <w:szCs w:val="18"/>
              </w:rPr>
              <w:t xml:space="preserve">, </w:t>
            </w:r>
            <w:r w:rsidRPr="00D67F95">
              <w:rPr>
                <w:rFonts w:ascii="Palatino Linotype" w:hAnsi="Palatino Linotype" w:cstheme="minorHAnsi"/>
                <w:sz w:val="18"/>
                <w:szCs w:val="18"/>
              </w:rPr>
              <w:t xml:space="preserve">rs363393, rs2072362, </w:t>
            </w:r>
          </w:p>
          <w:p w14:paraId="065776E7" w14:textId="72C32BEF" w:rsidR="00274C4A" w:rsidRDefault="00274C4A" w:rsidP="00274C4A">
            <w:pPr>
              <w:rPr>
                <w:rFonts w:ascii="Palatino Linotype" w:hAnsi="Palatino Linotype" w:cstheme="minorHAnsi"/>
                <w:sz w:val="18"/>
                <w:szCs w:val="18"/>
              </w:rPr>
            </w:pPr>
            <w:r w:rsidRPr="00D67F95">
              <w:rPr>
                <w:rFonts w:ascii="Palatino Linotype" w:hAnsi="Palatino Linotype" w:cstheme="minorHAnsi"/>
                <w:sz w:val="18"/>
                <w:szCs w:val="18"/>
              </w:rPr>
              <w:t xml:space="preserve">rs2244249, rs363285 </w:t>
            </w:r>
          </w:p>
        </w:tc>
        <w:tc>
          <w:tcPr>
            <w:tcW w:w="1080" w:type="dxa"/>
          </w:tcPr>
          <w:p w14:paraId="0208CD28" w14:textId="4F72E8BD"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217</w:t>
            </w:r>
          </w:p>
        </w:tc>
        <w:tc>
          <w:tcPr>
            <w:tcW w:w="1170" w:type="dxa"/>
          </w:tcPr>
          <w:p w14:paraId="26B31FB2" w14:textId="0866A003"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p>
        </w:tc>
        <w:tc>
          <w:tcPr>
            <w:tcW w:w="1350" w:type="dxa"/>
          </w:tcPr>
          <w:p w14:paraId="40D3B0EE" w14:textId="64AEF2F5" w:rsidR="00274C4A" w:rsidRPr="006A1E5F" w:rsidRDefault="00274C4A" w:rsidP="00274C4A">
            <w:pPr>
              <w:rPr>
                <w:rFonts w:ascii="Palatino Linotype" w:hAnsi="Palatino Linotype" w:cstheme="minorHAnsi"/>
                <w:sz w:val="18"/>
                <w:szCs w:val="18"/>
              </w:rPr>
            </w:pPr>
            <w:r w:rsidRPr="00972E73">
              <w:rPr>
                <w:rFonts w:ascii="Palatino Linotype" w:hAnsi="Palatino Linotype" w:cstheme="minorHAnsi"/>
                <w:sz w:val="18"/>
                <w:szCs w:val="18"/>
              </w:rPr>
              <w:t>schizophrenia or schizoaffective disorder</w:t>
            </w:r>
          </w:p>
        </w:tc>
        <w:tc>
          <w:tcPr>
            <w:tcW w:w="1260" w:type="dxa"/>
          </w:tcPr>
          <w:p w14:paraId="14376CF6" w14:textId="49657BE1"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D</w:t>
            </w:r>
            <w:r w:rsidRPr="00972E73">
              <w:rPr>
                <w:rFonts w:ascii="Palatino Linotype" w:hAnsi="Palatino Linotype" w:cstheme="minorHAnsi"/>
                <w:sz w:val="18"/>
                <w:szCs w:val="18"/>
              </w:rPr>
              <w:t>SM-III-R or DSM-IV</w:t>
            </w:r>
          </w:p>
        </w:tc>
        <w:tc>
          <w:tcPr>
            <w:tcW w:w="1170" w:type="dxa"/>
          </w:tcPr>
          <w:p w14:paraId="2D5BCC52" w14:textId="20D9C2AA"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AIMS</w:t>
            </w:r>
            <w:r w:rsidRPr="00972E73">
              <w:rPr>
                <w:rFonts w:ascii="Palatino Linotype" w:hAnsi="Palatino Linotype" w:cstheme="minorHAnsi"/>
                <w:sz w:val="18"/>
                <w:szCs w:val="18"/>
              </w:rPr>
              <w:t xml:space="preserve"> or the</w:t>
            </w:r>
            <w:r>
              <w:rPr>
                <w:rFonts w:ascii="Palatino Linotype" w:hAnsi="Palatino Linotype" w:cstheme="minorHAnsi"/>
                <w:sz w:val="18"/>
                <w:szCs w:val="18"/>
              </w:rPr>
              <w:t xml:space="preserve"> </w:t>
            </w:r>
            <w:r w:rsidRPr="00972E73">
              <w:rPr>
                <w:rFonts w:ascii="Palatino Linotype" w:hAnsi="Palatino Linotype" w:cstheme="minorHAnsi"/>
                <w:sz w:val="18"/>
                <w:szCs w:val="18"/>
              </w:rPr>
              <w:t>modified HSDS</w:t>
            </w:r>
          </w:p>
        </w:tc>
        <w:tc>
          <w:tcPr>
            <w:tcW w:w="1170" w:type="dxa"/>
          </w:tcPr>
          <w:p w14:paraId="35BA2D0C" w14:textId="683419EC"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NA</w:t>
            </w:r>
          </w:p>
        </w:tc>
        <w:tc>
          <w:tcPr>
            <w:tcW w:w="1350" w:type="dxa"/>
          </w:tcPr>
          <w:p w14:paraId="304B8F76" w14:textId="4084F0AB" w:rsidR="00274C4A" w:rsidRPr="006A1E5F" w:rsidRDefault="00274C4A" w:rsidP="00274C4A">
            <w:pPr>
              <w:rPr>
                <w:rFonts w:ascii="Palatino Linotype" w:hAnsi="Palatino Linotype" w:cstheme="minorHAnsi"/>
                <w:sz w:val="18"/>
                <w:szCs w:val="18"/>
              </w:rPr>
            </w:pPr>
            <w:r w:rsidRPr="000E7FF8">
              <w:rPr>
                <w:rFonts w:ascii="Palatino Linotype" w:hAnsi="Palatino Linotype" w:cstheme="minorHAnsi"/>
                <w:sz w:val="18"/>
                <w:szCs w:val="18"/>
              </w:rPr>
              <w:t>TaqMan assay</w:t>
            </w:r>
          </w:p>
        </w:tc>
        <w:tc>
          <w:tcPr>
            <w:tcW w:w="2507" w:type="dxa"/>
          </w:tcPr>
          <w:p w14:paraId="4323012B" w14:textId="24903B2F"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A</w:t>
            </w:r>
            <w:r w:rsidRPr="006668DC">
              <w:rPr>
                <w:rFonts w:ascii="Palatino Linotype" w:hAnsi="Palatino Linotype" w:cstheme="minorHAnsi"/>
                <w:sz w:val="18"/>
                <w:szCs w:val="18"/>
              </w:rPr>
              <w:t>ssociat</w:t>
            </w:r>
            <w:r>
              <w:rPr>
                <w:rFonts w:ascii="Palatino Linotype" w:hAnsi="Palatino Linotype" w:cstheme="minorHAnsi"/>
                <w:sz w:val="18"/>
                <w:szCs w:val="18"/>
              </w:rPr>
              <w:t>ion between</w:t>
            </w:r>
            <w:r w:rsidRPr="006668DC">
              <w:rPr>
                <w:rFonts w:ascii="Palatino Linotype" w:hAnsi="Palatino Linotype" w:cstheme="minorHAnsi"/>
                <w:sz w:val="18"/>
                <w:szCs w:val="18"/>
              </w:rPr>
              <w:t xml:space="preserve"> rs363390</w:t>
            </w:r>
            <w:r>
              <w:rPr>
                <w:rFonts w:ascii="Palatino Linotype" w:hAnsi="Palatino Linotype" w:cstheme="minorHAnsi"/>
                <w:sz w:val="18"/>
                <w:szCs w:val="18"/>
              </w:rPr>
              <w:t xml:space="preserve">, </w:t>
            </w:r>
            <w:r w:rsidRPr="006668DC">
              <w:rPr>
                <w:rFonts w:ascii="Palatino Linotype" w:hAnsi="Palatino Linotype" w:cstheme="minorHAnsi"/>
                <w:sz w:val="18"/>
                <w:szCs w:val="18"/>
              </w:rPr>
              <w:t>rs363224</w:t>
            </w:r>
            <w:r>
              <w:rPr>
                <w:rFonts w:ascii="Palatino Linotype" w:hAnsi="Palatino Linotype" w:cstheme="minorHAnsi"/>
                <w:sz w:val="18"/>
                <w:szCs w:val="18"/>
              </w:rPr>
              <w:t xml:space="preserve"> </w:t>
            </w:r>
            <w:r w:rsidRPr="00D67F95">
              <w:rPr>
                <w:rFonts w:ascii="Palatino Linotype" w:hAnsi="Palatino Linotype" w:cstheme="minorHAnsi"/>
                <w:sz w:val="18"/>
                <w:szCs w:val="18"/>
              </w:rPr>
              <w:t>rs1860404,</w:t>
            </w:r>
            <w:r>
              <w:rPr>
                <w:rFonts w:ascii="Palatino Linotype" w:hAnsi="Palatino Linotype" w:cstheme="minorHAnsi"/>
                <w:sz w:val="18"/>
                <w:szCs w:val="18"/>
              </w:rPr>
              <w:t xml:space="preserve"> </w:t>
            </w:r>
            <w:r w:rsidRPr="00D67F95">
              <w:rPr>
                <w:rFonts w:ascii="Palatino Linotype" w:hAnsi="Palatino Linotype" w:cstheme="minorHAnsi"/>
                <w:sz w:val="18"/>
                <w:szCs w:val="18"/>
              </w:rPr>
              <w:t>rs2015586</w:t>
            </w:r>
            <w:r>
              <w:rPr>
                <w:rFonts w:ascii="Palatino Linotype" w:hAnsi="Palatino Linotype" w:cstheme="minorHAnsi"/>
                <w:sz w:val="18"/>
                <w:szCs w:val="18"/>
              </w:rPr>
              <w:t xml:space="preserve"> and </w:t>
            </w:r>
            <w:r w:rsidRPr="006668DC">
              <w:rPr>
                <w:rFonts w:ascii="Palatino Linotype" w:hAnsi="Palatino Linotype" w:cstheme="minorHAnsi"/>
                <w:sz w:val="18"/>
                <w:szCs w:val="18"/>
              </w:rPr>
              <w:t>rs14240</w:t>
            </w:r>
            <w:r>
              <w:rPr>
                <w:rFonts w:ascii="Palatino Linotype" w:hAnsi="Palatino Linotype" w:cstheme="minorHAnsi"/>
                <w:sz w:val="18"/>
                <w:szCs w:val="18"/>
              </w:rPr>
              <w:t xml:space="preserve"> </w:t>
            </w:r>
            <w:r w:rsidRPr="006668DC">
              <w:rPr>
                <w:rFonts w:ascii="Palatino Linotype" w:hAnsi="Palatino Linotype" w:cstheme="minorHAnsi"/>
                <w:sz w:val="18"/>
                <w:szCs w:val="18"/>
              </w:rPr>
              <w:t xml:space="preserve">with TD </w:t>
            </w:r>
          </w:p>
          <w:p w14:paraId="5DCB64A0" w14:textId="781BD0E5" w:rsidR="00274C4A" w:rsidRPr="006A1E5F" w:rsidRDefault="00274C4A" w:rsidP="00274C4A">
            <w:pPr>
              <w:rPr>
                <w:rFonts w:ascii="Palatino Linotype" w:hAnsi="Palatino Linotype" w:cstheme="minorHAnsi"/>
                <w:sz w:val="18"/>
                <w:szCs w:val="18"/>
              </w:rPr>
            </w:pPr>
          </w:p>
        </w:tc>
        <w:tc>
          <w:tcPr>
            <w:tcW w:w="2173" w:type="dxa"/>
          </w:tcPr>
          <w:p w14:paraId="5DE497D4" w14:textId="4F56C152" w:rsidR="00274C4A" w:rsidRDefault="00274C4A" w:rsidP="00274C4A">
            <w:pPr>
              <w:rPr>
                <w:rFonts w:ascii="Palatino Linotype" w:hAnsi="Palatino Linotype" w:cstheme="minorHAnsi"/>
                <w:sz w:val="18"/>
                <w:szCs w:val="18"/>
              </w:rPr>
            </w:pPr>
            <w:r>
              <w:rPr>
                <w:rFonts w:ascii="Palatino Linotype" w:hAnsi="Palatino Linotype" w:cstheme="minorHAnsi"/>
                <w:b/>
                <w:sz w:val="18"/>
                <w:szCs w:val="18"/>
              </w:rPr>
              <w:fldChar w:fldCharType="begin" w:fldLock="1"/>
            </w:r>
            <w:r>
              <w:rPr>
                <w:rFonts w:ascii="Palatino Linotype" w:hAnsi="Palatino Linotype" w:cstheme="minorHAnsi"/>
                <w:b/>
                <w:sz w:val="18"/>
                <w:szCs w:val="18"/>
              </w:rPr>
              <w:instrText>ADDIN CSL_CITATION {"citationItems":[{"id":"ITEM-1","itemData":{"DOI":"10.1016/J.JPSYCHIRES.2013.07.025","ISSN":"0022-3956","abstract":"Tardive dyskinesia (TD) is an involuntary movement disorder that can occur in up to 25% of patients receiving long-term first-generation antipsychotic treatment. Its etiology is unclear, but family studies suggest that genetic factors play an important role in contributing to risk for TD. The vesicular monoamine transporter 2 (VMAT2) is an interesting candidate for genetic studies of TD because it regulates the release of neurotransmitters implicated in TD, including dopamine, serotonin, and GABA. VMAT2 is also a target of tetrabenazine, a drug used in the treatment of hyperkinetic movement disorders, including TD. We examined nine single-nucleotide polymorphisms (SNPs) in the SLC18A2 gene that encodes VMAT2 for association with TD in our sample of chronic schizophrenia patients (n = 217). We found a number of SNPs to be nominally associated with TD occurrence and the Abnormal Involuntary Movement Scale (AIMS), including the rs2015586 marker which was previously found associated with TD in the CATIE sample (Tsai et al., 2010), as well as the rs363224 marker, with the low-expression AA genotype appearing to be protective against TD (p = 0.005). We further found the rs363224 marker to interact with the putative functional D2 receptor rs6277 (C957T) polymorphism (p = 0.001), supporting the dopamine hypothesis of TD. Pending further replication, VMAT2 may be considered a therapeutic target for the treatment and/or prevention of TD.","author":[{"dropping-particle":"","family":"Zai","given":"Clement C.","non-dropping-particle":"","parse-names":false,"suffix":""},{"dropping-particle":"","family":"Tiwari","given":"Arun K.","non-dropping-particle":"","parse-names":false,"suffix":""},{"dropping-particle":"","family":"Mazzoco","given":"Marina","non-dropping-particle":"","parse-names":false,"suffix":""},{"dropping-particle":"","family":"Luca","given":"Vincenzo","non-dropping-particle":"de","parse-names":false,"suffix":""},{"dropping-particle":"","family":"Müller","given":"Daniel J.","non-dropping-particle":"","parse-names":false,"suffix":""},{"dropping-particle":"","family":"Shaikh","given":"Sajid A.","non-dropping-particle":"","parse-names":false,"suffix":""},{"dropping-particle":"","family":"Lohoff","given":"Falk W.","non-dropping-particle":"","parse-names":false,"suffix":""},{"dropping-particle":"","family":"Freeman","given":"Natalie","non-dropping-particle":"","parse-names":false,"suffix":""},{"dropping-particle":"","family":"Voineskos","given":"Aristotle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L.","non-dropping-particle":"","parse-names":false,"suffix":""}],"container-title":"Journal of Psychiatric Research","id":"ITEM-1","issue":"11","issued":{"date-parts":[["2013","11","1"]]},"page":"1760-1765","publisher":"Pergamon","title":"Association study of the vesicular monoamine transporter gene SLC18A2 with tardive dyskinesia","type":"article-journal","volume":"47"},"uris":["http://www.mendeley.com/documents/?uuid=0f20ee7f-ca68-342b-8f03-3bd695a05399"]}],"mendeley":{"formattedCitation":"(Zai et al. 2013)","plainTextFormattedCitation":"(Zai et al. 2013)","previouslyFormattedCitation":"(Zai et al. 2013)"},"properties":{"noteIndex":0},"schema":"https://github.com/citation-style-language/schema/raw/master/csl-citation.json"}</w:instrText>
            </w:r>
            <w:r>
              <w:rPr>
                <w:rFonts w:ascii="Palatino Linotype" w:hAnsi="Palatino Linotype" w:cstheme="minorHAnsi"/>
                <w:b/>
                <w:sz w:val="18"/>
                <w:szCs w:val="18"/>
              </w:rPr>
              <w:fldChar w:fldCharType="separate"/>
            </w:r>
            <w:r w:rsidRPr="001060C2">
              <w:rPr>
                <w:rFonts w:ascii="Palatino Linotype" w:hAnsi="Palatino Linotype" w:cstheme="minorHAnsi"/>
                <w:noProof/>
                <w:sz w:val="18"/>
                <w:szCs w:val="18"/>
              </w:rPr>
              <w:t>(Zai et al. 2013)</w:t>
            </w:r>
            <w:r>
              <w:rPr>
                <w:rFonts w:ascii="Palatino Linotype" w:hAnsi="Palatino Linotype" w:cstheme="minorHAnsi"/>
                <w:b/>
                <w:sz w:val="18"/>
                <w:szCs w:val="18"/>
              </w:rPr>
              <w:fldChar w:fldCharType="end"/>
            </w:r>
          </w:p>
        </w:tc>
      </w:tr>
      <w:tr w:rsidR="00274C4A" w:rsidRPr="00EA57B8" w14:paraId="32D627F7" w14:textId="25A18792" w:rsidTr="0031439E">
        <w:tc>
          <w:tcPr>
            <w:tcW w:w="1094" w:type="dxa"/>
          </w:tcPr>
          <w:p w14:paraId="39003DAC" w14:textId="58997FCA"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 xml:space="preserve">HSPG2 </w:t>
            </w:r>
          </w:p>
        </w:tc>
        <w:tc>
          <w:tcPr>
            <w:tcW w:w="1080" w:type="dxa"/>
          </w:tcPr>
          <w:p w14:paraId="0D0BF0D4" w14:textId="13C83CC1" w:rsidR="00274C4A" w:rsidRDefault="00274C4A" w:rsidP="00274C4A">
            <w:pPr>
              <w:rPr>
                <w:rFonts w:ascii="Palatino Linotype" w:hAnsi="Palatino Linotype" w:cstheme="minorHAnsi"/>
                <w:sz w:val="18"/>
                <w:szCs w:val="18"/>
              </w:rPr>
            </w:pPr>
            <w:r w:rsidRPr="00BF1EFE">
              <w:rPr>
                <w:rFonts w:ascii="Palatino Linotype" w:hAnsi="Palatino Linotype" w:cstheme="minorHAnsi"/>
                <w:sz w:val="18"/>
                <w:szCs w:val="18"/>
              </w:rPr>
              <w:t>rs2445142</w:t>
            </w:r>
          </w:p>
        </w:tc>
        <w:tc>
          <w:tcPr>
            <w:tcW w:w="1080" w:type="dxa"/>
          </w:tcPr>
          <w:p w14:paraId="2A484755" w14:textId="03CF7FD3"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217 (87</w:t>
            </w:r>
            <w:r w:rsidRPr="005D1116">
              <w:rPr>
                <w:rFonts w:ascii="Palatino Linotype" w:hAnsi="Palatino Linotype" w:cstheme="minorHAnsi"/>
                <w:sz w:val="18"/>
                <w:szCs w:val="18"/>
              </w:rPr>
              <w:t xml:space="preserve"> with TD</w:t>
            </w:r>
            <w:r>
              <w:rPr>
                <w:rFonts w:ascii="Palatino Linotype" w:hAnsi="Palatino Linotype" w:cstheme="minorHAnsi"/>
                <w:sz w:val="18"/>
                <w:szCs w:val="18"/>
              </w:rPr>
              <w:t>)</w:t>
            </w:r>
          </w:p>
        </w:tc>
        <w:tc>
          <w:tcPr>
            <w:tcW w:w="1170" w:type="dxa"/>
          </w:tcPr>
          <w:p w14:paraId="31E55DF9" w14:textId="4A676E9C"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European</w:t>
            </w:r>
            <w:r w:rsidRPr="00017E5D">
              <w:rPr>
                <w:rFonts w:ascii="Palatino Linotype" w:hAnsi="Palatino Linotype" w:cstheme="minorHAnsi"/>
                <w:sz w:val="18"/>
                <w:szCs w:val="18"/>
              </w:rPr>
              <w:t xml:space="preserve"> and African American</w:t>
            </w:r>
          </w:p>
        </w:tc>
        <w:tc>
          <w:tcPr>
            <w:tcW w:w="1350" w:type="dxa"/>
          </w:tcPr>
          <w:p w14:paraId="4752E7FB" w14:textId="7D0B2FE8" w:rsidR="00274C4A" w:rsidRPr="006A1E5F" w:rsidRDefault="00274C4A" w:rsidP="00274C4A">
            <w:pPr>
              <w:rPr>
                <w:rFonts w:ascii="Palatino Linotype" w:hAnsi="Palatino Linotype" w:cstheme="minorHAnsi"/>
                <w:sz w:val="18"/>
                <w:szCs w:val="18"/>
              </w:rPr>
            </w:pPr>
            <w:r w:rsidRPr="005D1116">
              <w:rPr>
                <w:rFonts w:ascii="Palatino Linotype" w:hAnsi="Palatino Linotype" w:cstheme="minorHAnsi"/>
                <w:sz w:val="18"/>
                <w:szCs w:val="18"/>
              </w:rPr>
              <w:t>Schizophrenia</w:t>
            </w:r>
            <w:r>
              <w:rPr>
                <w:rFonts w:ascii="Palatino Linotype" w:hAnsi="Palatino Linotype" w:cstheme="minorHAnsi"/>
                <w:sz w:val="18"/>
                <w:szCs w:val="18"/>
              </w:rPr>
              <w:t xml:space="preserve">, </w:t>
            </w:r>
            <w:r w:rsidRPr="005D1116">
              <w:rPr>
                <w:rFonts w:ascii="Palatino Linotype" w:hAnsi="Palatino Linotype" w:cstheme="minorHAnsi"/>
                <w:sz w:val="18"/>
                <w:szCs w:val="18"/>
              </w:rPr>
              <w:t>schizoaffective</w:t>
            </w:r>
            <w:r>
              <w:rPr>
                <w:rFonts w:ascii="Palatino Linotype" w:hAnsi="Palatino Linotype" w:cstheme="minorHAnsi"/>
                <w:sz w:val="18"/>
                <w:szCs w:val="18"/>
              </w:rPr>
              <w:t xml:space="preserve"> </w:t>
            </w:r>
            <w:r w:rsidRPr="005D1116">
              <w:rPr>
                <w:rFonts w:ascii="Palatino Linotype" w:hAnsi="Palatino Linotype" w:cstheme="minorHAnsi"/>
                <w:sz w:val="18"/>
                <w:szCs w:val="18"/>
              </w:rPr>
              <w:t>disorder</w:t>
            </w:r>
          </w:p>
        </w:tc>
        <w:tc>
          <w:tcPr>
            <w:tcW w:w="1260" w:type="dxa"/>
          </w:tcPr>
          <w:p w14:paraId="3139E44C" w14:textId="77777777" w:rsidR="00274C4A" w:rsidRPr="005D1116" w:rsidRDefault="00274C4A" w:rsidP="00274C4A">
            <w:pPr>
              <w:rPr>
                <w:rFonts w:ascii="Palatino Linotype" w:hAnsi="Palatino Linotype" w:cstheme="minorHAnsi"/>
                <w:sz w:val="18"/>
                <w:szCs w:val="18"/>
              </w:rPr>
            </w:pPr>
            <w:r w:rsidRPr="005D1116">
              <w:rPr>
                <w:rFonts w:ascii="Palatino Linotype" w:hAnsi="Palatino Linotype" w:cstheme="minorHAnsi"/>
                <w:sz w:val="18"/>
                <w:szCs w:val="18"/>
              </w:rPr>
              <w:t>DSM-</w:t>
            </w:r>
          </w:p>
          <w:p w14:paraId="529A6FCF" w14:textId="14F80BC2" w:rsidR="00274C4A" w:rsidRPr="006A1E5F" w:rsidRDefault="00274C4A" w:rsidP="00274C4A">
            <w:pPr>
              <w:rPr>
                <w:rFonts w:ascii="Palatino Linotype" w:hAnsi="Palatino Linotype" w:cstheme="minorHAnsi"/>
                <w:sz w:val="18"/>
                <w:szCs w:val="18"/>
              </w:rPr>
            </w:pPr>
            <w:r w:rsidRPr="005D1116">
              <w:rPr>
                <w:rFonts w:ascii="Palatino Linotype" w:hAnsi="Palatino Linotype" w:cstheme="minorHAnsi"/>
                <w:sz w:val="18"/>
                <w:szCs w:val="18"/>
              </w:rPr>
              <w:t>III-R or DSM-IV</w:t>
            </w:r>
          </w:p>
        </w:tc>
        <w:tc>
          <w:tcPr>
            <w:tcW w:w="1170" w:type="dxa"/>
          </w:tcPr>
          <w:p w14:paraId="09C03A0F" w14:textId="0AE7C448"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AIMS or HSDS</w:t>
            </w:r>
          </w:p>
        </w:tc>
        <w:tc>
          <w:tcPr>
            <w:tcW w:w="1170" w:type="dxa"/>
          </w:tcPr>
          <w:p w14:paraId="2E800D78" w14:textId="7861B779"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FGAs, SGAs</w:t>
            </w:r>
          </w:p>
        </w:tc>
        <w:tc>
          <w:tcPr>
            <w:tcW w:w="1350" w:type="dxa"/>
          </w:tcPr>
          <w:p w14:paraId="65D93358" w14:textId="57C89B6F" w:rsidR="00274C4A" w:rsidRPr="006A1E5F" w:rsidRDefault="00274C4A" w:rsidP="00274C4A">
            <w:pPr>
              <w:rPr>
                <w:rFonts w:ascii="Palatino Linotype" w:hAnsi="Palatino Linotype" w:cstheme="minorHAnsi"/>
                <w:sz w:val="18"/>
                <w:szCs w:val="18"/>
              </w:rPr>
            </w:pPr>
            <w:r w:rsidRPr="005D1116">
              <w:rPr>
                <w:rStyle w:val="st"/>
                <w:rFonts w:ascii="Palatino Linotype" w:hAnsi="Palatino Linotype"/>
                <w:sz w:val="18"/>
                <w:szCs w:val="18"/>
              </w:rPr>
              <w:t>TaqMan assay</w:t>
            </w:r>
          </w:p>
        </w:tc>
        <w:tc>
          <w:tcPr>
            <w:tcW w:w="2507" w:type="dxa"/>
          </w:tcPr>
          <w:p w14:paraId="5893A2B7" w14:textId="45FFE28A" w:rsidR="00274C4A" w:rsidRPr="006A1E5F" w:rsidRDefault="00274C4A" w:rsidP="00274C4A">
            <w:pPr>
              <w:rPr>
                <w:rFonts w:ascii="Palatino Linotype" w:hAnsi="Palatino Linotype" w:cstheme="minorHAnsi"/>
                <w:sz w:val="18"/>
                <w:szCs w:val="18"/>
              </w:rPr>
            </w:pPr>
            <w:r>
              <w:rPr>
                <w:rStyle w:val="st"/>
                <w:rFonts w:ascii="Palatino Linotype" w:hAnsi="Palatino Linotype"/>
                <w:sz w:val="18"/>
                <w:szCs w:val="18"/>
              </w:rPr>
              <w:t xml:space="preserve">Significant association between </w:t>
            </w:r>
            <w:r w:rsidRPr="00133C13">
              <w:rPr>
                <w:rStyle w:val="st"/>
                <w:rFonts w:ascii="Palatino Linotype" w:hAnsi="Palatino Linotype"/>
                <w:sz w:val="18"/>
                <w:szCs w:val="18"/>
              </w:rPr>
              <w:t>rs2445142 G-allele</w:t>
            </w:r>
            <w:r>
              <w:rPr>
                <w:rStyle w:val="st"/>
                <w:rFonts w:ascii="Palatino Linotype" w:hAnsi="Palatino Linotype"/>
                <w:sz w:val="18"/>
                <w:szCs w:val="18"/>
              </w:rPr>
              <w:t xml:space="preserve"> of </w:t>
            </w:r>
            <w:r w:rsidRPr="00E47344">
              <w:rPr>
                <w:rStyle w:val="st"/>
                <w:rFonts w:ascii="Palatino Linotype" w:hAnsi="Palatino Linotype"/>
                <w:i/>
                <w:iCs/>
                <w:sz w:val="18"/>
                <w:szCs w:val="18"/>
              </w:rPr>
              <w:t>HSPG2</w:t>
            </w:r>
            <w:r w:rsidRPr="00133C13">
              <w:rPr>
                <w:rStyle w:val="st"/>
                <w:rFonts w:ascii="Palatino Linotype" w:hAnsi="Palatino Linotype"/>
                <w:sz w:val="18"/>
                <w:szCs w:val="18"/>
              </w:rPr>
              <w:t xml:space="preserve"> </w:t>
            </w:r>
            <w:r>
              <w:rPr>
                <w:rStyle w:val="st"/>
                <w:rFonts w:ascii="Palatino Linotype" w:hAnsi="Palatino Linotype"/>
                <w:sz w:val="18"/>
                <w:szCs w:val="18"/>
              </w:rPr>
              <w:t>and</w:t>
            </w:r>
            <w:r w:rsidRPr="00133C13">
              <w:rPr>
                <w:rStyle w:val="st"/>
                <w:rFonts w:ascii="Palatino Linotype" w:hAnsi="Palatino Linotype"/>
                <w:sz w:val="18"/>
                <w:szCs w:val="18"/>
              </w:rPr>
              <w:t xml:space="preserve"> TD</w:t>
            </w:r>
          </w:p>
        </w:tc>
        <w:tc>
          <w:tcPr>
            <w:tcW w:w="2173" w:type="dxa"/>
          </w:tcPr>
          <w:p w14:paraId="40DAA090" w14:textId="55B9F501" w:rsidR="00274C4A" w:rsidRDefault="00274C4A" w:rsidP="00274C4A">
            <w:pPr>
              <w:rPr>
                <w:rStyle w:val="st"/>
                <w:rFonts w:ascii="Palatino Linotype" w:hAnsi="Palatino Linotype"/>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{"citationItems":[{"id":"ITEM-1","itemData":{"DOI":"10.3389/fphar.2018.00974","ISSN":"1663-9812","PMID":"30283332","abstract":"Tardive dyskinesia (TD) is a movement disorder that may occur after extended use of antipsychotic medications. The etiopathophysiology is unclear; however, genetic factors play an important role. The Perlecan (HSPG2) gene was found to be significantly associated with TD in Japanese schizophrenia patients, and this association was subsequently replicated by an independent research group. To add to the evidence for this gene in TD, we conducted a meta-analysis specific to the relationship of HSPG2 rs2445142 with TD occurrence, while also adding our unpublished genotype data. Overall, we found a significant association of the G allele with TD occurrence (p = 0.0001); however, much of the effect appeared to originate from the discovery dataset. Nonetheless, most study samples exhibit the same trend of association with TD for the G allele. Our findings encourage further genetic and molecular studies of HSPG2 in TD.","author":[{"dropping-particle":"","family":"Zai","given":"Clement C","non-dropping-particle":"","parse-names":false,"suffix":""},{"dropping-particle":"","family":"Lee","given":"Frankie H","non-dropping-particle":"","parse-names":false,"suffix":""},{"dropping-particle":"","family":"Tiwari","given":"Arun K","non-dropping-particle":"","parse-names":false,"suffix":""},{"dropping-particle":"","family":"Lu","given":"Justin Y","non-dropping-particle":"","parse-names":false,"suffix":""},{"dropping-particle":"","family":"Luca","given":"Vincenzo","non-dropping-particle":"de","parse-names":false,"suffix":""},{"dropping-particle":"","family":"Maes","given":"Miriam S","non-dropping-particle":"","parse-names":false,"suffix":""},{"dropping-particle":"","family":"Herbert","given":"Deanna","non-dropping-particle":"","parse-names":false,"suffix":""},{"dropping-particle":"","family":"Shahmirian","given":"Anashe","non-dropping-particle":"","parse-names":false,"suffix":""},{"dropping-particle":"","family":"Cheema","given":"Sheraz Y","non-dropping-particle":"","parse-names":false,"suffix":""},{"dropping-particle":"","family":"Zai","given":"Gwyneth C","non-dropping-particle":"","parse-names":false,"suffix":""},{"dropping-particle":"","family":"Atukuri","given":"Anupama","non-dropping-particle":"","parse-names":false,"suffix":""},{"dropping-particle":"","family":"Sherman","given":"Michael","non-dropping-particle":"","parse-names":false,"suffix":""},{"dropping-particle":"","family":"Shaikh","given":"Sajid A","non-dropping-particle":"","parse-names":false,"suffix":""},{"dropping-particle":"","family":"Tampakeras","given":"Maria","non-dropping-particle":"","parse-names":false,"suffix":""},{"dropping-particle":"","family":"Freeman","given":"Natalie","non-dropping-particle":"","parse-names":false,"suffix":""},{"dropping-particle":"","family":"King","given":"Nicole","non-dropping-particle":"","parse-names":false,"suffix":""},{"dropping-particle":"","family":"Müller","given":"Daniel J","non-dropping-particle":"","parse-names":false,"suffix":""},{"dropping-particle":"","family":"Greenbaum","given":"Lior","non-dropping-particle":"","parse-names":false,"suffix":""},{"dropping-particle":"","family":"Lerer","given":"Bernard","non-dropping-particle":"","parse-names":false,"suffix":""},{"dropping-particle":"","family":"Voineskos","given":"Aristotle N","non-dropping-particle":"","parse-names":false,"suffix":""},{"dropping-particle":"","family":"Potkin","given":"Steven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Y","non-dropping-particle":"","parse-names":false,"suffix":""},{"dropping-particle":"","family":"Remington","given":"Gary","non-dropping-particle":"","parse-names":false,"suffix":""},{"dropping-particle":"","family":"Kennedy","given":"James L","non-dropping-particle":"","parse-names":false,"suffix":""}],"container-title":"Frontiers in pharmacology","id":"ITEM-1","issued":{"date-parts":[["2018"]]},"page":"974","publisher":"Front Pharmacol","title":"Investigation of the HSPG2 Gene in Tardive Dyskinesia - New Data and Meta-Analysis.","type":"article-journal","volume":"9"},"uris":["http://www.mendeley.com/documents/?uuid=0bea7116-f86e-3307-9c58-3d1be4f9b949"]}],"mendeley":{"formattedCitation":"(Zai et al. 2018)","plainTextFormattedCitation":"(Zai et al. 2018)","previouslyFormattedCitation":"(Zai et al. 2018)"},"properties":{"noteIndex":0},"schema":"https://github.com/citation-style-language/schema/raw/master/csl-citation.json"}</w:instrText>
            </w:r>
            <w:r>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(Zai et al. 2018)</w:t>
            </w:r>
            <w:r>
              <w:rPr>
                <w:rFonts w:ascii="Palatino Linotype" w:hAnsi="Palatino Linotype" w:cstheme="minorHAnsi"/>
                <w:sz w:val="18"/>
                <w:szCs w:val="18"/>
              </w:rPr>
              <w:fldChar w:fldCharType="end"/>
            </w:r>
            <w:r>
              <w:rPr>
                <w:rFonts w:ascii="Palatino Linotype" w:hAnsi="Palatino Linotype" w:cstheme="minorHAnsi"/>
                <w:sz w:val="18"/>
                <w:szCs w:val="18"/>
              </w:rPr>
              <w:t xml:space="preserve">  </w:t>
            </w:r>
          </w:p>
        </w:tc>
      </w:tr>
      <w:tr w:rsidR="00274C4A" w:rsidRPr="00EA57B8" w14:paraId="46EE0D7A" w14:textId="1E4E9AD1" w:rsidTr="0031439E">
        <w:tc>
          <w:tcPr>
            <w:tcW w:w="1094" w:type="dxa"/>
          </w:tcPr>
          <w:p w14:paraId="72FE3A2B" w14:textId="1DAE52C4" w:rsidR="00274C4A" w:rsidRPr="000F3F98" w:rsidRDefault="00274C4A" w:rsidP="00274C4A">
            <w:pPr>
              <w:rPr>
                <w:rFonts w:ascii="Palatino Linotype" w:hAnsi="Palatino Linotype" w:cstheme="minorHAnsi"/>
                <w:i/>
                <w:iCs/>
                <w:sz w:val="18"/>
                <w:szCs w:val="18"/>
              </w:rPr>
            </w:pPr>
            <w:r w:rsidRPr="000F3F98">
              <w:rPr>
                <w:rStyle w:val="st"/>
                <w:rFonts w:ascii="Palatino Linotype" w:hAnsi="Palatino Linotype"/>
                <w:i/>
                <w:iCs/>
                <w:sz w:val="18"/>
                <w:szCs w:val="18"/>
              </w:rPr>
              <w:t>C4</w:t>
            </w:r>
          </w:p>
        </w:tc>
        <w:tc>
          <w:tcPr>
            <w:tcW w:w="1080" w:type="dxa"/>
          </w:tcPr>
          <w:p w14:paraId="0E633980" w14:textId="43A9EFC9" w:rsidR="00274C4A" w:rsidRPr="006A1E5F" w:rsidRDefault="00274C4A" w:rsidP="00274C4A">
            <w:pPr>
              <w:rPr>
                <w:rFonts w:ascii="Palatino Linotype" w:hAnsi="Palatino Linotype" w:cstheme="minorHAnsi"/>
                <w:sz w:val="18"/>
                <w:szCs w:val="18"/>
              </w:rPr>
            </w:pPr>
            <w:r>
              <w:rPr>
                <w:rStyle w:val="st"/>
                <w:rFonts w:ascii="Palatino Linotype" w:hAnsi="Palatino Linotype"/>
                <w:sz w:val="18"/>
                <w:szCs w:val="18"/>
              </w:rPr>
              <w:t>c</w:t>
            </w:r>
            <w:r w:rsidRPr="00342B08">
              <w:rPr>
                <w:rStyle w:val="st"/>
                <w:rFonts w:ascii="Palatino Linotype" w:hAnsi="Palatino Linotype"/>
                <w:sz w:val="18"/>
                <w:szCs w:val="18"/>
              </w:rPr>
              <w:t>op</w:t>
            </w:r>
            <w:r>
              <w:rPr>
                <w:rStyle w:val="st"/>
                <w:rFonts w:ascii="Palatino Linotype" w:hAnsi="Palatino Linotype"/>
                <w:sz w:val="18"/>
                <w:szCs w:val="18"/>
              </w:rPr>
              <w:t>y</w:t>
            </w:r>
            <w:r w:rsidRPr="00342B08">
              <w:rPr>
                <w:rStyle w:val="st"/>
                <w:rFonts w:ascii="Palatino Linotype" w:hAnsi="Palatino Linotype"/>
                <w:sz w:val="18"/>
                <w:szCs w:val="18"/>
              </w:rPr>
              <w:t xml:space="preserve"> numbers of</w:t>
            </w:r>
            <w:r>
              <w:rPr>
                <w:rStyle w:val="st"/>
                <w:rFonts w:ascii="Palatino Linotype" w:hAnsi="Palatino Linotype"/>
                <w:sz w:val="18"/>
                <w:szCs w:val="18"/>
              </w:rPr>
              <w:t xml:space="preserve"> </w:t>
            </w:r>
            <w:r w:rsidRPr="00342B08">
              <w:rPr>
                <w:rStyle w:val="st"/>
                <w:rFonts w:ascii="Palatino Linotype" w:hAnsi="Palatino Linotype"/>
                <w:sz w:val="18"/>
                <w:szCs w:val="18"/>
              </w:rPr>
              <w:t>C4A, C4B, C4L</w:t>
            </w:r>
            <w:r>
              <w:rPr>
                <w:rStyle w:val="st"/>
                <w:rFonts w:ascii="Palatino Linotype" w:hAnsi="Palatino Linotype"/>
                <w:sz w:val="18"/>
                <w:szCs w:val="18"/>
              </w:rPr>
              <w:t xml:space="preserve">, </w:t>
            </w:r>
            <w:r w:rsidRPr="00342B08">
              <w:rPr>
                <w:rStyle w:val="st"/>
                <w:rFonts w:ascii="Palatino Linotype" w:hAnsi="Palatino Linotype"/>
                <w:sz w:val="18"/>
                <w:szCs w:val="18"/>
              </w:rPr>
              <w:t>C4S and</w:t>
            </w:r>
            <w:r>
              <w:rPr>
                <w:rStyle w:val="st"/>
                <w:rFonts w:ascii="Palatino Linotype" w:hAnsi="Palatino Linotype"/>
                <w:sz w:val="18"/>
                <w:szCs w:val="18"/>
              </w:rPr>
              <w:t xml:space="preserve"> </w:t>
            </w:r>
            <w:r w:rsidRPr="00072250">
              <w:rPr>
                <w:rStyle w:val="st"/>
                <w:rFonts w:ascii="Palatino Linotype" w:hAnsi="Palatino Linotype"/>
                <w:sz w:val="18"/>
                <w:szCs w:val="18"/>
              </w:rPr>
              <w:t>C4AL, C4BL, C4AS, C4BS, C4A, C4B</w:t>
            </w:r>
          </w:p>
        </w:tc>
        <w:tc>
          <w:tcPr>
            <w:tcW w:w="1080" w:type="dxa"/>
          </w:tcPr>
          <w:p w14:paraId="6B0EF443" w14:textId="6960CFE7" w:rsidR="00274C4A" w:rsidRPr="006A1E5F" w:rsidRDefault="00274C4A" w:rsidP="00274C4A">
            <w:pPr>
              <w:rPr>
                <w:rFonts w:ascii="Palatino Linotype" w:hAnsi="Palatino Linotype" w:cstheme="minorHAnsi"/>
                <w:sz w:val="18"/>
                <w:szCs w:val="18"/>
              </w:rPr>
            </w:pPr>
            <w:r w:rsidRPr="00D71D88">
              <w:rPr>
                <w:rFonts w:ascii="Palatino Linotype" w:hAnsi="Palatino Linotype" w:cstheme="minorHAnsi"/>
                <w:sz w:val="18"/>
                <w:szCs w:val="18"/>
              </w:rPr>
              <w:t>129</w:t>
            </w:r>
            <w:r>
              <w:rPr>
                <w:rFonts w:ascii="Palatino Linotype" w:hAnsi="Palatino Linotype" w:cstheme="minorHAnsi"/>
                <w:sz w:val="18"/>
                <w:szCs w:val="18"/>
              </w:rPr>
              <w:t xml:space="preserve"> (48 with TD)</w:t>
            </w:r>
          </w:p>
        </w:tc>
        <w:tc>
          <w:tcPr>
            <w:tcW w:w="1170" w:type="dxa"/>
          </w:tcPr>
          <w:p w14:paraId="37BDA973" w14:textId="4214C19C"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r w:rsidRPr="00D71D88">
              <w:rPr>
                <w:rFonts w:ascii="Palatino Linotype" w:hAnsi="Palatino Linotype" w:cstheme="minorHAnsi"/>
                <w:sz w:val="18"/>
                <w:szCs w:val="18"/>
              </w:rPr>
              <w:t xml:space="preserve"> </w:t>
            </w:r>
          </w:p>
        </w:tc>
        <w:tc>
          <w:tcPr>
            <w:tcW w:w="1350" w:type="dxa"/>
          </w:tcPr>
          <w:p w14:paraId="31545EB5" w14:textId="77777777" w:rsidR="00274C4A" w:rsidRPr="00F90BB0" w:rsidRDefault="00274C4A" w:rsidP="00274C4A">
            <w:pPr>
              <w:rPr>
                <w:rFonts w:ascii="Palatino Linotype" w:hAnsi="Palatino Linotype" w:cstheme="minorHAnsi"/>
                <w:sz w:val="18"/>
                <w:szCs w:val="18"/>
              </w:rPr>
            </w:pPr>
            <w:r w:rsidRPr="00D71D88">
              <w:rPr>
                <w:rFonts w:ascii="Palatino Linotype" w:hAnsi="Palatino Linotype" w:cstheme="minorHAnsi"/>
                <w:sz w:val="18"/>
                <w:szCs w:val="18"/>
              </w:rPr>
              <w:t xml:space="preserve">schizophrenia </w:t>
            </w:r>
            <w:r w:rsidRPr="00F90BB0">
              <w:rPr>
                <w:rFonts w:ascii="Palatino Linotype" w:hAnsi="Palatino Linotype" w:cstheme="minorHAnsi"/>
                <w:sz w:val="18"/>
                <w:szCs w:val="18"/>
              </w:rPr>
              <w:t xml:space="preserve">or schizoaffective </w:t>
            </w:r>
          </w:p>
          <w:p w14:paraId="021A650B" w14:textId="0CC201DA" w:rsidR="00274C4A" w:rsidRPr="006A1E5F" w:rsidRDefault="00274C4A" w:rsidP="00274C4A">
            <w:pPr>
              <w:rPr>
                <w:rFonts w:ascii="Palatino Linotype" w:hAnsi="Palatino Linotype" w:cstheme="minorHAnsi"/>
                <w:sz w:val="18"/>
                <w:szCs w:val="18"/>
              </w:rPr>
            </w:pPr>
            <w:r w:rsidRPr="00F90BB0">
              <w:rPr>
                <w:rFonts w:ascii="Palatino Linotype" w:hAnsi="Palatino Linotype" w:cstheme="minorHAnsi"/>
                <w:sz w:val="18"/>
                <w:szCs w:val="18"/>
              </w:rPr>
              <w:t>disorder</w:t>
            </w:r>
          </w:p>
        </w:tc>
        <w:tc>
          <w:tcPr>
            <w:tcW w:w="1260" w:type="dxa"/>
          </w:tcPr>
          <w:p w14:paraId="49A2F651" w14:textId="09CDAF3D" w:rsidR="00274C4A" w:rsidRPr="006A1E5F" w:rsidRDefault="00274C4A" w:rsidP="00274C4A">
            <w:pPr>
              <w:rPr>
                <w:rFonts w:ascii="Palatino Linotype" w:hAnsi="Palatino Linotype" w:cstheme="minorHAnsi"/>
                <w:sz w:val="18"/>
                <w:szCs w:val="18"/>
              </w:rPr>
            </w:pPr>
            <w:r w:rsidRPr="00F90BB0">
              <w:rPr>
                <w:rFonts w:ascii="Palatino Linotype" w:hAnsi="Palatino Linotype" w:cstheme="minorHAnsi"/>
                <w:sz w:val="18"/>
                <w:szCs w:val="18"/>
              </w:rPr>
              <w:t>DSM-III-R or DSM-IV</w:t>
            </w:r>
          </w:p>
        </w:tc>
        <w:tc>
          <w:tcPr>
            <w:tcW w:w="1170" w:type="dxa"/>
          </w:tcPr>
          <w:p w14:paraId="0BD0586C" w14:textId="32C85CA0" w:rsidR="00274C4A" w:rsidRPr="006A1E5F" w:rsidRDefault="00274C4A" w:rsidP="00274C4A">
            <w:pPr>
              <w:rPr>
                <w:rFonts w:ascii="Palatino Linotype" w:hAnsi="Palatino Linotype" w:cstheme="minorHAnsi"/>
                <w:sz w:val="18"/>
                <w:szCs w:val="18"/>
              </w:rPr>
            </w:pPr>
            <w:r w:rsidRPr="00D71D88">
              <w:rPr>
                <w:rFonts w:ascii="Palatino Linotype" w:hAnsi="Palatino Linotype" w:cstheme="minorHAnsi"/>
                <w:sz w:val="18"/>
                <w:szCs w:val="18"/>
              </w:rPr>
              <w:t>AIMS</w:t>
            </w:r>
          </w:p>
        </w:tc>
        <w:tc>
          <w:tcPr>
            <w:tcW w:w="1170" w:type="dxa"/>
          </w:tcPr>
          <w:p w14:paraId="52DCED4B" w14:textId="4B963912"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t>FGAs</w:t>
            </w:r>
          </w:p>
        </w:tc>
        <w:tc>
          <w:tcPr>
            <w:tcW w:w="1350" w:type="dxa"/>
          </w:tcPr>
          <w:p w14:paraId="5D18444D" w14:textId="77777777" w:rsidR="00274C4A" w:rsidRPr="00CA1FBF" w:rsidRDefault="00274C4A" w:rsidP="00274C4A">
            <w:pPr>
              <w:rPr>
                <w:rFonts w:ascii="Palatino Linotype" w:hAnsi="Palatino Linotype" w:cstheme="minorHAnsi"/>
                <w:sz w:val="18"/>
                <w:szCs w:val="18"/>
              </w:rPr>
            </w:pPr>
            <w:r w:rsidRPr="00CA1FBF">
              <w:rPr>
                <w:rFonts w:ascii="Palatino Linotype" w:hAnsi="Palatino Linotype" w:cstheme="minorHAnsi"/>
                <w:sz w:val="18"/>
                <w:szCs w:val="18"/>
              </w:rPr>
              <w:t xml:space="preserve">droplet digital </w:t>
            </w:r>
          </w:p>
          <w:p w14:paraId="7D4B6370" w14:textId="070112DF" w:rsidR="00274C4A" w:rsidRPr="006A1E5F" w:rsidRDefault="00274C4A" w:rsidP="00274C4A">
            <w:pPr>
              <w:rPr>
                <w:rFonts w:ascii="Palatino Linotype" w:hAnsi="Palatino Linotype" w:cstheme="minorHAnsi"/>
                <w:sz w:val="18"/>
                <w:szCs w:val="18"/>
              </w:rPr>
            </w:pPr>
            <w:r w:rsidRPr="00CA1FBF">
              <w:rPr>
                <w:rFonts w:ascii="Palatino Linotype" w:hAnsi="Palatino Linotype" w:cstheme="minorHAnsi"/>
                <w:sz w:val="18"/>
                <w:szCs w:val="18"/>
              </w:rPr>
              <w:t>PCR (</w:t>
            </w:r>
            <w:proofErr w:type="spellStart"/>
            <w:r w:rsidRPr="00CA1FBF">
              <w:rPr>
                <w:rFonts w:ascii="Palatino Linotype" w:hAnsi="Palatino Linotype" w:cstheme="minorHAnsi"/>
                <w:sz w:val="18"/>
                <w:szCs w:val="18"/>
              </w:rPr>
              <w:t>ddPCR</w:t>
            </w:r>
            <w:proofErr w:type="spellEnd"/>
            <w:r w:rsidRPr="00CA1FBF">
              <w:rPr>
                <w:rFonts w:ascii="Palatino Linotype" w:hAnsi="Palatino Linotype" w:cstheme="minorHAnsi"/>
                <w:sz w:val="18"/>
                <w:szCs w:val="18"/>
              </w:rPr>
              <w:t>)</w:t>
            </w:r>
            <w:r>
              <w:rPr>
                <w:rFonts w:ascii="Palatino Linotype" w:hAnsi="Palatino Linotype" w:cstheme="minorHAnsi"/>
                <w:sz w:val="18"/>
                <w:szCs w:val="18"/>
              </w:rPr>
              <w:t xml:space="preserve"> and </w:t>
            </w:r>
            <w:r w:rsidRPr="00CA1FBF">
              <w:rPr>
                <w:rFonts w:ascii="Palatino Linotype" w:hAnsi="Palatino Linotype" w:cstheme="minorHAnsi"/>
                <w:sz w:val="18"/>
                <w:szCs w:val="18"/>
              </w:rPr>
              <w:t xml:space="preserve">long-range PCR  </w:t>
            </w:r>
          </w:p>
        </w:tc>
        <w:tc>
          <w:tcPr>
            <w:tcW w:w="2507" w:type="dxa"/>
          </w:tcPr>
          <w:p w14:paraId="5032C64B" w14:textId="4F3DA0C5" w:rsidR="00274C4A" w:rsidRPr="006A1E5F" w:rsidRDefault="00274C4A" w:rsidP="00274C4A">
            <w:pPr>
              <w:rPr>
                <w:rFonts w:ascii="Palatino Linotype" w:hAnsi="Palatino Linotype" w:cstheme="minorHAnsi"/>
                <w:sz w:val="18"/>
                <w:szCs w:val="18"/>
              </w:rPr>
            </w:pPr>
            <w:r w:rsidRPr="000678D9">
              <w:rPr>
                <w:rFonts w:ascii="Palatino Linotype" w:hAnsi="Palatino Linotype" w:cstheme="minorHAnsi"/>
                <w:sz w:val="18"/>
                <w:szCs w:val="18"/>
              </w:rPr>
              <w:t>Nominally significant</w:t>
            </w:r>
            <w:r>
              <w:rPr>
                <w:rFonts w:ascii="Palatino Linotype" w:hAnsi="Palatino Linotype" w:cstheme="minorHAnsi"/>
                <w:sz w:val="18"/>
                <w:szCs w:val="18"/>
              </w:rPr>
              <w:t xml:space="preserve"> </w:t>
            </w:r>
            <w:r w:rsidRPr="000678D9">
              <w:rPr>
                <w:rFonts w:ascii="Palatino Linotype" w:hAnsi="Palatino Linotype" w:cstheme="minorHAnsi"/>
                <w:sz w:val="18"/>
                <w:szCs w:val="18"/>
              </w:rPr>
              <w:t>association</w:t>
            </w:r>
            <w:r>
              <w:rPr>
                <w:rFonts w:ascii="Palatino Linotype" w:hAnsi="Palatino Linotype" w:cstheme="minorHAnsi"/>
                <w:sz w:val="18"/>
                <w:szCs w:val="18"/>
              </w:rPr>
              <w:t xml:space="preserve"> between</w:t>
            </w:r>
            <w:r w:rsidRPr="000678D9">
              <w:rPr>
                <w:rFonts w:ascii="Palatino Linotype" w:hAnsi="Palatino Linotype" w:cstheme="minorHAnsi"/>
                <w:sz w:val="18"/>
                <w:szCs w:val="18"/>
              </w:rPr>
              <w:t xml:space="preserve"> C4BL</w:t>
            </w:r>
            <w:r>
              <w:rPr>
                <w:rFonts w:ascii="Palatino Linotype" w:hAnsi="Palatino Linotype" w:cstheme="minorHAnsi"/>
                <w:sz w:val="18"/>
                <w:szCs w:val="18"/>
              </w:rPr>
              <w:t xml:space="preserve"> and</w:t>
            </w:r>
            <w:r w:rsidRPr="000678D9">
              <w:rPr>
                <w:rFonts w:ascii="Palatino Linotype" w:hAnsi="Palatino Linotype" w:cstheme="minorHAnsi"/>
                <w:sz w:val="18"/>
                <w:szCs w:val="18"/>
              </w:rPr>
              <w:t xml:space="preserve"> TD</w:t>
            </w:r>
            <w:r>
              <w:rPr>
                <w:rFonts w:ascii="Palatino Linotype" w:hAnsi="Palatino Linotype" w:cstheme="minorHAnsi"/>
                <w:sz w:val="18"/>
                <w:szCs w:val="18"/>
              </w:rPr>
              <w:t xml:space="preserve"> </w:t>
            </w:r>
            <w:r w:rsidRPr="000678D9">
              <w:rPr>
                <w:rFonts w:ascii="Palatino Linotype" w:hAnsi="Palatino Linotype" w:cstheme="minorHAnsi"/>
                <w:sz w:val="18"/>
                <w:szCs w:val="18"/>
              </w:rPr>
              <w:t>severity</w:t>
            </w:r>
          </w:p>
        </w:tc>
        <w:tc>
          <w:tcPr>
            <w:tcW w:w="2173" w:type="dxa"/>
          </w:tcPr>
          <w:p w14:paraId="489609FC" w14:textId="7217EB09" w:rsidR="00274C4A" w:rsidRPr="000678D9"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{"citationItems":[{"id":"ITEM-1","itemData":{"DOI":"10.3389/fphar.2019.01339","ISSN":"1663-9812","PMID":"31849639","abstract":"Tardive dyskinesia (TD) is a movement disorder that may develop in schizophrenia patients being treated long-term with antipsychotic medication. TD interferes with voluntary movements and leads to stigma, and can be associated with treatment non-adherence. The etiology of TD is unclear, but it appears to have a genetic component. There is emerging evidence of immune dysregulation in TD. In the current study, we set out to investigate the complex schizophrenia-associated complement component 4 (C4) gene for possible association with TD occurrence and TD severity as assessed by the Abnormal Involuntary Movement Scale (AIMS) in a sample of 129 schizophrenia patients of European ancestry. We have genotyped the copy numbers of long and short forms of C4A and C4B gene variants in 129 European ancestry patients with schizophrenia or schizoaffective disorder. We did not find predicted C4A or C4B expression to be nominally associated with TD risk or severity. However, we found the number of copies of C4BL to be nominally associated with TD severity (p = 0.020).","author":[{"dropping-particle":"","family":"Zai","given":"Clement C","non-dropping-particle":"","parse-names":false,"suffix":""},{"dropping-particle":"","family":"Tiwari","given":"Arun K","non-dropping-particle":"","parse-names":false,"suffix":""},{"dropping-particle":"","family":"Zai","given":"Gwyneth C","non-dropping-particle":"","parse-names":false,"suffix":""},{"dropping-particle":"","family":"Freeman","given":"Natalie","non-dropping-particle":"","parse-names":false,"suffix":""},{"dropping-particle":"","family":"Pouget","given":"Jennie G","non-dropping-particle":"","parse-names":false,"suffix":""},{"dropping-particle":"","family":"Greco","given":"James","non-dropping-particle":"","parse-names":false,"suffix":""},{"dropping-particle":"","family":"Tampakeras","given":"Maria","non-dropping-particle":"","parse-names":false,"suffix":""},{"dropping-particle":"","family":"Shaikh","given":"Sajid A","non-dropping-particle":"","parse-names":false,"suffix":""},{"dropping-particle":"","family":"Herbert","given":"Deanna","non-dropping-particle":"","parse-names":false,"suffix":""},{"dropping-particle":"","family":"Emmerson","given":"Heather","non-dropping-particle":"","parse-names":false,"suffix":""},{"dropping-particle":"","family":"Cheema","given":"Sheraz Y","non-dropping-particle":"","parse-names":false,"suffix":""},{"dropping-particle":"","family":"Braganza","given":"Nicole","non-dropping-particle":"","parse-names":false,"suffix":""},{"dropping-particle":"","family":"Müller","given":"Daniel J","non-dropping-particle":"","parse-names":false,"suffix":""},{"dropping-particle":"","family":"Voineskos","given":"Aristotle N","non-dropping-particle":"","parse-names":false,"suffix":""},{"dropping-particle":"","family":"Remington","given":"Gary","non-dropping-particle":"","parse-names":false,"suffix":""},{"dropping-particle":"","family":"Kennedy","given":"James L","non-dropping-particle":"","parse-names":false,"suffix":""}],"container-title":"Frontiers in pharmacology","id":"ITEM-1","issued":{"date-parts":[["2019"]]},"page":"1339","publisher":"Front Pharmacol","title":"Association Study of the Complement Component C4 Gene in Tardive Dyskinesia.","type":"article-journal","volume":"10"},"uris":["http://www.mendeley.com/documents/?uuid=91517020-49b0-3682-b3d3-98bad24f3fb2"]}],"mendeley":{"formattedCitation":"(Zai et al. 2019b)","plainTextFormattedCitation":"(Zai et al. 2019b)","previouslyFormattedCitation":"(Zai et al. 2019b)"},"properties":{"noteIndex":0},"schema":"https://github.com/citation-style-language/schema/raw/master/csl-citation.json"}</w:instrText>
            </w:r>
            <w:r>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(Zai et al. 2019b)</w:t>
            </w:r>
            <w:r>
              <w:rPr>
                <w:rFonts w:ascii="Palatino Linotype" w:hAnsi="Palatino Linotype" w:cstheme="minorHAnsi"/>
                <w:sz w:val="18"/>
                <w:szCs w:val="18"/>
              </w:rPr>
              <w:fldChar w:fldCharType="end"/>
            </w:r>
          </w:p>
        </w:tc>
      </w:tr>
      <w:tr w:rsidR="00274C4A" w:rsidRPr="00EA57B8" w14:paraId="56FD48E7" w14:textId="3F09DC04" w:rsidTr="0031439E">
        <w:tc>
          <w:tcPr>
            <w:tcW w:w="1094" w:type="dxa"/>
          </w:tcPr>
          <w:p w14:paraId="6BC4B3D5" w14:textId="6BCDB07E"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NRG1, ERBB4</w:t>
            </w:r>
          </w:p>
        </w:tc>
        <w:tc>
          <w:tcPr>
            <w:tcW w:w="1080" w:type="dxa"/>
          </w:tcPr>
          <w:p w14:paraId="1111CBD0" w14:textId="7E92382C" w:rsidR="00274C4A" w:rsidRDefault="00274C4A" w:rsidP="00274C4A">
            <w:pPr>
              <w:rPr>
                <w:rFonts w:ascii="Palatino Linotype" w:hAnsi="Palatino Linotype" w:cstheme="minorHAnsi"/>
                <w:sz w:val="18"/>
                <w:szCs w:val="18"/>
              </w:rPr>
            </w:pPr>
            <w:r w:rsidRPr="00D81CC6">
              <w:rPr>
                <w:rStyle w:val="st"/>
                <w:rFonts w:ascii="Palatino Linotype" w:hAnsi="Palatino Linotype"/>
                <w:sz w:val="18"/>
                <w:szCs w:val="18"/>
              </w:rPr>
              <w:t>rs35753505</w:t>
            </w:r>
            <w:r>
              <w:rPr>
                <w:rStyle w:val="st"/>
                <w:rFonts w:ascii="Palatino Linotype" w:hAnsi="Palatino Linotype"/>
                <w:sz w:val="18"/>
                <w:szCs w:val="18"/>
              </w:rPr>
              <w:t xml:space="preserve">, </w:t>
            </w:r>
            <w:r w:rsidRPr="00D81CC6">
              <w:rPr>
                <w:rStyle w:val="st"/>
                <w:rFonts w:ascii="Palatino Linotype" w:hAnsi="Palatino Linotype"/>
                <w:sz w:val="18"/>
                <w:szCs w:val="18"/>
              </w:rPr>
              <w:t xml:space="preserve">rs6994992 </w:t>
            </w:r>
            <w:r>
              <w:rPr>
                <w:rStyle w:val="st"/>
                <w:rFonts w:ascii="Palatino Linotype" w:hAnsi="Palatino Linotype"/>
                <w:sz w:val="18"/>
                <w:szCs w:val="18"/>
              </w:rPr>
              <w:t>(</w:t>
            </w:r>
            <w:r w:rsidRPr="00265F30">
              <w:rPr>
                <w:rStyle w:val="st"/>
                <w:rFonts w:ascii="Palatino Linotype" w:hAnsi="Palatino Linotype"/>
                <w:i/>
                <w:iCs/>
                <w:sz w:val="18"/>
                <w:szCs w:val="18"/>
              </w:rPr>
              <w:t>NRG1</w:t>
            </w:r>
            <w:r>
              <w:rPr>
                <w:rStyle w:val="st"/>
                <w:rFonts w:ascii="Palatino Linotype" w:hAnsi="Palatino Linotype"/>
                <w:sz w:val="18"/>
                <w:szCs w:val="18"/>
              </w:rPr>
              <w:t xml:space="preserve">), </w:t>
            </w:r>
            <w:r w:rsidRPr="00D81CC6">
              <w:rPr>
                <w:rStyle w:val="st"/>
                <w:rFonts w:ascii="Palatino Linotype" w:hAnsi="Palatino Linotype"/>
                <w:sz w:val="18"/>
                <w:szCs w:val="18"/>
              </w:rPr>
              <w:t>rs839523</w:t>
            </w:r>
            <w:r>
              <w:rPr>
                <w:rStyle w:val="st"/>
                <w:rFonts w:ascii="Palatino Linotype" w:hAnsi="Palatino Linotype"/>
                <w:sz w:val="18"/>
                <w:szCs w:val="18"/>
              </w:rPr>
              <w:t xml:space="preserve"> (</w:t>
            </w:r>
            <w:r w:rsidRPr="00265F30">
              <w:rPr>
                <w:rStyle w:val="st"/>
                <w:rFonts w:ascii="Palatino Linotype" w:hAnsi="Palatino Linotype"/>
                <w:i/>
                <w:iCs/>
                <w:sz w:val="18"/>
                <w:szCs w:val="18"/>
              </w:rPr>
              <w:t>ERBB4</w:t>
            </w:r>
            <w:r>
              <w:rPr>
                <w:rStyle w:val="st"/>
                <w:rFonts w:ascii="Palatino Linotype" w:hAnsi="Palatino Linotype"/>
                <w:sz w:val="18"/>
                <w:szCs w:val="18"/>
              </w:rPr>
              <w:t>)</w:t>
            </w:r>
          </w:p>
        </w:tc>
        <w:tc>
          <w:tcPr>
            <w:tcW w:w="1080" w:type="dxa"/>
          </w:tcPr>
          <w:p w14:paraId="3442501C" w14:textId="06B2B68C"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153 (66 with TD)</w:t>
            </w:r>
          </w:p>
        </w:tc>
        <w:tc>
          <w:tcPr>
            <w:tcW w:w="1170" w:type="dxa"/>
          </w:tcPr>
          <w:p w14:paraId="6F081F4E" w14:textId="08EFF8E2"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Caucasian (E</w:t>
            </w:r>
            <w:r w:rsidRPr="003F7148">
              <w:rPr>
                <w:rFonts w:ascii="Palatino Linotype" w:hAnsi="Palatino Linotype" w:cstheme="minorHAnsi"/>
                <w:sz w:val="18"/>
                <w:szCs w:val="18"/>
              </w:rPr>
              <w:t>uropean</w:t>
            </w:r>
            <w:r>
              <w:rPr>
                <w:rFonts w:ascii="Palatino Linotype" w:hAnsi="Palatino Linotype" w:cstheme="minorHAnsi"/>
                <w:sz w:val="18"/>
                <w:szCs w:val="18"/>
              </w:rPr>
              <w:t>)</w:t>
            </w:r>
          </w:p>
        </w:tc>
        <w:tc>
          <w:tcPr>
            <w:tcW w:w="1350" w:type="dxa"/>
          </w:tcPr>
          <w:p w14:paraId="25A5EB13" w14:textId="7895FE58"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S</w:t>
            </w:r>
            <w:r w:rsidRPr="00EA1B45">
              <w:rPr>
                <w:rFonts w:ascii="Palatino Linotype" w:hAnsi="Palatino Linotype" w:cstheme="minorHAnsi"/>
                <w:sz w:val="18"/>
                <w:szCs w:val="18"/>
              </w:rPr>
              <w:t>chizophrenia or schizoaffective dis-order</w:t>
            </w:r>
          </w:p>
        </w:tc>
        <w:tc>
          <w:tcPr>
            <w:tcW w:w="1260" w:type="dxa"/>
          </w:tcPr>
          <w:p w14:paraId="6937F591" w14:textId="3EEC1B60" w:rsidR="00274C4A" w:rsidRPr="006D1A8C" w:rsidRDefault="00274C4A" w:rsidP="00274C4A">
            <w:pPr>
              <w:rPr>
                <w:rFonts w:ascii="Palatino Linotype" w:hAnsi="Palatino Linotype" w:cstheme="minorHAnsi"/>
                <w:sz w:val="18"/>
                <w:szCs w:val="18"/>
              </w:rPr>
            </w:pPr>
            <w:r w:rsidRPr="00EA1B45">
              <w:rPr>
                <w:rFonts w:ascii="Palatino Linotype" w:hAnsi="Palatino Linotype" w:cstheme="minorHAnsi"/>
                <w:sz w:val="18"/>
                <w:szCs w:val="18"/>
              </w:rPr>
              <w:t>DSM-IIIR/IV</w:t>
            </w:r>
          </w:p>
        </w:tc>
        <w:tc>
          <w:tcPr>
            <w:tcW w:w="1170" w:type="dxa"/>
          </w:tcPr>
          <w:p w14:paraId="22D4A853" w14:textId="06D9CC2C" w:rsidR="00274C4A" w:rsidRDefault="00274C4A" w:rsidP="00274C4A">
            <w:pPr>
              <w:rPr>
                <w:rFonts w:ascii="Palatino Linotype" w:hAnsi="Palatino Linotype" w:cstheme="minorHAnsi"/>
                <w:sz w:val="18"/>
                <w:szCs w:val="18"/>
              </w:rPr>
            </w:pPr>
            <w:r w:rsidRPr="00D81CC6">
              <w:rPr>
                <w:rFonts w:ascii="Palatino Linotype" w:hAnsi="Palatino Linotype" w:cstheme="minorHAnsi"/>
                <w:sz w:val="18"/>
                <w:szCs w:val="18"/>
              </w:rPr>
              <w:t>Schooler and Kane criteria</w:t>
            </w:r>
          </w:p>
        </w:tc>
        <w:tc>
          <w:tcPr>
            <w:tcW w:w="1170" w:type="dxa"/>
          </w:tcPr>
          <w:p w14:paraId="534A3A2A" w14:textId="3500A07A"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FGAs and SGAs</w:t>
            </w:r>
          </w:p>
        </w:tc>
        <w:tc>
          <w:tcPr>
            <w:tcW w:w="1350" w:type="dxa"/>
          </w:tcPr>
          <w:p w14:paraId="6A3DA514" w14:textId="213221A1"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TaqMan assay</w:t>
            </w:r>
          </w:p>
        </w:tc>
        <w:tc>
          <w:tcPr>
            <w:tcW w:w="2507" w:type="dxa"/>
          </w:tcPr>
          <w:p w14:paraId="59F2E9B9" w14:textId="6811791D"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Association between </w:t>
            </w:r>
            <w:r w:rsidRPr="00315F8D">
              <w:rPr>
                <w:rFonts w:ascii="Palatino Linotype" w:hAnsi="Palatino Linotype" w:cstheme="minorHAnsi"/>
                <w:sz w:val="18"/>
                <w:szCs w:val="18"/>
              </w:rPr>
              <w:t>rs839523</w:t>
            </w:r>
            <w:r>
              <w:rPr>
                <w:rFonts w:ascii="Palatino Linotype" w:hAnsi="Palatino Linotype" w:cstheme="minorHAnsi"/>
                <w:sz w:val="18"/>
                <w:szCs w:val="18"/>
              </w:rPr>
              <w:t xml:space="preserve"> and </w:t>
            </w:r>
            <w:r w:rsidRPr="00315F8D">
              <w:rPr>
                <w:rFonts w:ascii="Palatino Linotype" w:hAnsi="Palatino Linotype" w:cstheme="minorHAnsi"/>
                <w:sz w:val="18"/>
                <w:szCs w:val="18"/>
              </w:rPr>
              <w:t>TD</w:t>
            </w:r>
            <w:r>
              <w:rPr>
                <w:rFonts w:ascii="Palatino Linotype" w:hAnsi="Palatino Linotype" w:cstheme="minorHAnsi"/>
                <w:sz w:val="18"/>
                <w:szCs w:val="18"/>
              </w:rPr>
              <w:t xml:space="preserve"> </w:t>
            </w:r>
            <w:r w:rsidRPr="00315F8D">
              <w:rPr>
                <w:rFonts w:ascii="Palatino Linotype" w:hAnsi="Palatino Linotype" w:cstheme="minorHAnsi"/>
                <w:sz w:val="18"/>
                <w:szCs w:val="18"/>
              </w:rPr>
              <w:t xml:space="preserve">occurrence   </w:t>
            </w:r>
          </w:p>
        </w:tc>
        <w:tc>
          <w:tcPr>
            <w:tcW w:w="2173" w:type="dxa"/>
          </w:tcPr>
          <w:p w14:paraId="784A6CA0" w14:textId="4D225F63"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{"citationItems":[{"id":"ITEM-1","itemData":{"DOI":"10.1080/15622975.2017.1301681","ISSN":"1814-1412","PMID":"28394697","abstract":"OBJECTIVES Tardive dyskinesia (TD) is a movement disorder that may develop as a side effect of antipsychotic medication. The aetiology underlying TD is unclear, but a number of mechanisms have been proposed. METHODS We investigated single-nucleotide polymorphisms (SNPs) in the genes coding for neuregulin-1 and erbB-4 receptor in our sample of 153 European schizophrenia patients for possible association with TD. RESULTS We found the ERBB4 rs839523 CC genotype to be associated with risk for TD occurrence and increased severity as measured by the Abnormal Involuntary Movement Scale (AIMS) (P = .003). CONCLUSIONS This study supports a role for the neuregulin signalling pathway in TD, although independent replications are warranted.","author":[{"dropping-particle":"","family":"Zai","given":"Clement C","non-dropping-particle":"","parse-names":false,"suffix":""},{"dropping-particle":"","family":"Tiwari","given":"Arun K","non-dropping-particle":"","parse-names":false,"suffix":""},{"dropping-particle":"","family":"Chowdhury","given":"Nabilah I","non-dropping-particle":"","parse-names":false,"suffix":""},{"dropping-particle":"","family":"Yilmaz","given":"Zeynep","non-dropping-particle":"","parse-names":false,"suffix":""},{"dropping-particle":"","family":"Luca","given":"Vincenzo","non-dropping-particle":"de","parse-names":false,"suffix":""},{"dropping-particle":"","family":"Müller","given":"Daniel J","non-dropping-particle":"","parse-names":false,"suffix":""},{"dropping-particle":"","family":"Potkin","given":"Steven G","non-dropping-particle":"","parse-names":false,"suffix":""},{"dropping-particle":"","family":"Lieberman","given":"Jeffrey A","non-dropping-particle":"","parse-names":false,"suffix":""},{"dropping-particle":"","family":"Meltzer","given":"Herbert Y","non-dropping-particle":"","parse-names":false,"suffix":""},{"dropping-particle":"","family":"Voineskos","given":"Aristotle N","non-dropping-particle":"","parse-names":false,"suffix":""},{"dropping-particle":"","family":"Remington","given":"Gary","non-dropping-particle":"","parse-names":false,"suffix":""},{"dropping-particle":"","family":"Kennedy","given":"James L","non-dropping-particle":"","parse-names":false,"suffix":""}],"container-title":"The world journal of biological psychiatry : the official journal of the World Federation of Societies of Biological Psychiatry","id":"ITEM-1","issue":"1","issued":{"date-parts":[["2019"]]},"page":"91-95","publisher":"World J Biol Psychiatry","title":"Genetic study of neuregulin 1 and receptor tyrosine-protein kinase erbB-4 in tardive dyskinesia.","type":"article-journal","volume":"20"},"uris":["http://www.mendeley.com/documents/?uuid=6a9bfea0-eb40-3134-9155-a53a3133f70f"]}],"mendeley":{"formattedCitation":"(Zai et al. 2019a)","plainTextFormattedCitation":"(Zai et al. 2019a)","previouslyFormattedCitation":"(Zai et al. 2019a)"},"properties":{"noteIndex":0},"schema":"https://github.com/citation-style-language/schema/raw/master/csl-citation.json"}</w:instrText>
            </w:r>
            <w:r>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(Zai et al. 2019a)</w:t>
            </w:r>
            <w:r>
              <w:rPr>
                <w:rFonts w:ascii="Palatino Linotype" w:hAnsi="Palatino Linotype" w:cstheme="minorHAnsi"/>
                <w:sz w:val="18"/>
                <w:szCs w:val="18"/>
              </w:rPr>
              <w:fldChar w:fldCharType="end"/>
            </w:r>
          </w:p>
        </w:tc>
      </w:tr>
      <w:tr w:rsidR="00274C4A" w:rsidRPr="00EA57B8" w14:paraId="348A08E0" w14:textId="5A363AE6" w:rsidTr="0031439E">
        <w:tc>
          <w:tcPr>
            <w:tcW w:w="1094" w:type="dxa"/>
          </w:tcPr>
          <w:p w14:paraId="6F973308" w14:textId="40A0E078" w:rsidR="00274C4A" w:rsidRPr="000F3F98" w:rsidRDefault="00274C4A" w:rsidP="00274C4A">
            <w:pPr>
              <w:rPr>
                <w:rFonts w:ascii="Palatino Linotype" w:hAnsi="Palatino Linotype" w:cstheme="minorHAnsi"/>
                <w:i/>
                <w:iCs/>
                <w:sz w:val="18"/>
                <w:szCs w:val="18"/>
              </w:rPr>
            </w:pPr>
            <w:proofErr w:type="spellStart"/>
            <w:r w:rsidRPr="000F3F98">
              <w:rPr>
                <w:rFonts w:ascii="Palatino Linotype" w:hAnsi="Palatino Linotype" w:cstheme="minorHAnsi"/>
                <w:i/>
                <w:iCs/>
                <w:sz w:val="18"/>
                <w:szCs w:val="18"/>
              </w:rPr>
              <w:lastRenderedPageBreak/>
              <w:t>MnSOD</w:t>
            </w:r>
            <w:proofErr w:type="spellEnd"/>
          </w:p>
        </w:tc>
        <w:tc>
          <w:tcPr>
            <w:tcW w:w="1080" w:type="dxa"/>
          </w:tcPr>
          <w:p w14:paraId="62F20258" w14:textId="76D0386D" w:rsidR="00274C4A" w:rsidRDefault="00274C4A" w:rsidP="00274C4A">
            <w:pPr>
              <w:rPr>
                <w:rFonts w:ascii="Palatino Linotype" w:hAnsi="Palatino Linotype" w:cstheme="minorHAnsi"/>
                <w:sz w:val="18"/>
                <w:szCs w:val="18"/>
              </w:rPr>
            </w:pPr>
            <w:r w:rsidRPr="00EA643A">
              <w:rPr>
                <w:rFonts w:ascii="Palatino Linotype" w:hAnsi="Palatino Linotype" w:cstheme="minorHAnsi"/>
                <w:sz w:val="18"/>
                <w:szCs w:val="18"/>
              </w:rPr>
              <w:t>rs4880</w:t>
            </w:r>
          </w:p>
        </w:tc>
        <w:tc>
          <w:tcPr>
            <w:tcW w:w="1080" w:type="dxa"/>
          </w:tcPr>
          <w:p w14:paraId="203DF25B" w14:textId="2D11AFD3"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 xml:space="preserve">101 (42 males with TD) and 50 male controls </w:t>
            </w:r>
          </w:p>
        </w:tc>
        <w:tc>
          <w:tcPr>
            <w:tcW w:w="1170" w:type="dxa"/>
          </w:tcPr>
          <w:p w14:paraId="0387525F" w14:textId="1A92FFCE" w:rsidR="00274C4A" w:rsidRDefault="00274C4A" w:rsidP="00274C4A">
            <w:pPr>
              <w:rPr>
                <w:rFonts w:ascii="Palatino Linotype" w:hAnsi="Palatino Linotype" w:cstheme="minorHAnsi"/>
                <w:sz w:val="18"/>
                <w:szCs w:val="18"/>
              </w:rPr>
            </w:pPr>
            <w:r w:rsidRPr="003D507B">
              <w:rPr>
                <w:rFonts w:ascii="Palatino Linotype" w:hAnsi="Palatino Linotype" w:cstheme="minorHAnsi"/>
                <w:sz w:val="18"/>
                <w:szCs w:val="18"/>
              </w:rPr>
              <w:t>Chinese</w:t>
            </w:r>
          </w:p>
        </w:tc>
        <w:tc>
          <w:tcPr>
            <w:tcW w:w="1350" w:type="dxa"/>
          </w:tcPr>
          <w:p w14:paraId="796FBAA9" w14:textId="146C46A0" w:rsidR="00274C4A" w:rsidRPr="00E37F39" w:rsidRDefault="00274C4A" w:rsidP="00274C4A">
            <w:pPr>
              <w:rPr>
                <w:rFonts w:ascii="Palatino Linotype" w:hAnsi="Palatino Linotype" w:cstheme="minorHAnsi"/>
                <w:sz w:val="18"/>
                <w:szCs w:val="18"/>
              </w:rPr>
            </w:pPr>
            <w:r w:rsidRPr="003D507B">
              <w:rPr>
                <w:rFonts w:ascii="Palatino Linotype" w:hAnsi="Palatino Linotype" w:cstheme="minorHAnsi"/>
                <w:sz w:val="18"/>
                <w:szCs w:val="18"/>
              </w:rPr>
              <w:t>schizophren</w:t>
            </w:r>
            <w:r>
              <w:rPr>
                <w:rFonts w:ascii="Palatino Linotype" w:hAnsi="Palatino Linotype" w:cstheme="minorHAnsi"/>
                <w:sz w:val="18"/>
                <w:szCs w:val="18"/>
              </w:rPr>
              <w:t>ia</w:t>
            </w:r>
          </w:p>
        </w:tc>
        <w:tc>
          <w:tcPr>
            <w:tcW w:w="1260" w:type="dxa"/>
          </w:tcPr>
          <w:p w14:paraId="4E58CF6B" w14:textId="18DE11DD" w:rsidR="00274C4A" w:rsidRPr="00476A67" w:rsidRDefault="00274C4A" w:rsidP="00274C4A">
            <w:pPr>
              <w:rPr>
                <w:rFonts w:ascii="Palatino Linotype" w:hAnsi="Palatino Linotype" w:cstheme="minorHAnsi"/>
                <w:sz w:val="18"/>
                <w:szCs w:val="18"/>
              </w:rPr>
            </w:pPr>
            <w:r w:rsidRPr="0086320C">
              <w:rPr>
                <w:rFonts w:ascii="Palatino Linotype" w:hAnsi="Palatino Linotype" w:cstheme="minorHAnsi"/>
                <w:sz w:val="18"/>
                <w:szCs w:val="18"/>
              </w:rPr>
              <w:t>DSM IV</w:t>
            </w:r>
          </w:p>
        </w:tc>
        <w:tc>
          <w:tcPr>
            <w:tcW w:w="1170" w:type="dxa"/>
          </w:tcPr>
          <w:p w14:paraId="401A169C" w14:textId="1A60056F"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43E2373D" w14:textId="70BD2500" w:rsidR="00274C4A" w:rsidRDefault="00274C4A" w:rsidP="00274C4A">
            <w:pPr>
              <w:rPr>
                <w:rFonts w:ascii="Palatino Linotype" w:hAnsi="Palatino Linotype" w:cstheme="minorHAnsi"/>
                <w:sz w:val="18"/>
                <w:szCs w:val="18"/>
              </w:rPr>
            </w:pPr>
            <w:r w:rsidRPr="0086320C">
              <w:rPr>
                <w:rFonts w:ascii="Palatino Linotype" w:hAnsi="Palatino Linotype" w:cstheme="minorHAnsi"/>
                <w:sz w:val="18"/>
                <w:szCs w:val="18"/>
              </w:rPr>
              <w:t>chlorpromazine, clozapine, fluphenazine, sulpiride</w:t>
            </w:r>
            <w:r>
              <w:rPr>
                <w:rFonts w:ascii="Palatino Linotype" w:hAnsi="Palatino Linotype" w:cstheme="minorHAnsi"/>
                <w:sz w:val="18"/>
                <w:szCs w:val="18"/>
              </w:rPr>
              <w:t xml:space="preserve">, </w:t>
            </w:r>
            <w:r w:rsidRPr="0086320C">
              <w:rPr>
                <w:rFonts w:ascii="Palatino Linotype" w:hAnsi="Palatino Linotype" w:cstheme="minorHAnsi"/>
                <w:sz w:val="18"/>
                <w:szCs w:val="18"/>
              </w:rPr>
              <w:t>haloperidol</w:t>
            </w:r>
            <w:r>
              <w:rPr>
                <w:rFonts w:ascii="Palatino Linotype" w:hAnsi="Palatino Linotype" w:cstheme="minorHAnsi"/>
                <w:sz w:val="18"/>
                <w:szCs w:val="18"/>
              </w:rPr>
              <w:t xml:space="preserve"> and combination</w:t>
            </w:r>
          </w:p>
        </w:tc>
        <w:tc>
          <w:tcPr>
            <w:tcW w:w="1350" w:type="dxa"/>
          </w:tcPr>
          <w:p w14:paraId="65A65AB6" w14:textId="23415B40" w:rsidR="00274C4A" w:rsidRDefault="00274C4A" w:rsidP="00274C4A">
            <w:pPr>
              <w:rPr>
                <w:rStyle w:val="st"/>
                <w:rFonts w:ascii="Palatino Linotype" w:hAnsi="Palatino Linotype"/>
                <w:sz w:val="18"/>
                <w:szCs w:val="18"/>
              </w:rPr>
            </w:pPr>
            <w:r>
              <w:rPr>
                <w:rStyle w:val="st"/>
                <w:rFonts w:ascii="Palatino Linotype" w:hAnsi="Palatino Linotype"/>
                <w:sz w:val="18"/>
                <w:szCs w:val="18"/>
              </w:rPr>
              <w:t>PCR-RFLP (</w:t>
            </w:r>
            <w:proofErr w:type="spellStart"/>
            <w:r w:rsidRPr="00EA643A">
              <w:rPr>
                <w:rStyle w:val="st"/>
                <w:rFonts w:ascii="Palatino Linotype" w:hAnsi="Palatino Linotype"/>
                <w:sz w:val="18"/>
                <w:szCs w:val="18"/>
              </w:rPr>
              <w:t>BsaW</w:t>
            </w:r>
            <w:proofErr w:type="spellEnd"/>
            <w:r w:rsidRPr="00EA643A">
              <w:rPr>
                <w:rStyle w:val="st"/>
                <w:rFonts w:ascii="Palatino Linotype" w:hAnsi="Palatino Linotype"/>
                <w:sz w:val="18"/>
                <w:szCs w:val="18"/>
              </w:rPr>
              <w:t xml:space="preserve"> I</w:t>
            </w:r>
            <w:r>
              <w:rPr>
                <w:rStyle w:val="st"/>
                <w:rFonts w:ascii="Palatino Linotype" w:hAnsi="Palatino Linotype"/>
                <w:sz w:val="18"/>
                <w:szCs w:val="18"/>
              </w:rPr>
              <w:t>)</w:t>
            </w:r>
          </w:p>
        </w:tc>
        <w:tc>
          <w:tcPr>
            <w:tcW w:w="2507" w:type="dxa"/>
          </w:tcPr>
          <w:p w14:paraId="39F2D960" w14:textId="1D566F9B" w:rsidR="00274C4A"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6D7E5E4C" w14:textId="0B3A7C5B"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{"citationItems":[{"id":"ITEM-1","itemData":{"DOI":"10.1016/s0022-3956(02)00007-9","ISSN":"0022-3956","PMID":"12127599","abstract":"That tardive dyskinesia (TD) may have its origins in free-radical toxicity has stimulated investigations into one enzyme important in the control of oxidative free radicals: superoxide dismutase (SOD). The manganese-containing form of this enzyme (MnSOD) is the major superoxide scavenger in mitochondria; a weak association between a functional genetic polymorphism (Ala-9Val) in the mitochondrial targeting sequence (MTS) of this enzyme and TD has been reported in a Japanese population. We have undertaken to determine both the plasma activity of MnSOD and the association of the Ala-9Val polymorphism in a well-matched series of male Chinese schizophrenic patients with (n=42) and without (n=59) TD, and normal male controls (n=50). MnSOD activity was elevated in the TD subjects over those without TD (P&lt;0.05) and normal controls (P&lt;0.05), an effect that was independent of age, age at first antipsychotic treatment, drug dosage and duration of illness. A significant positive correlation between total AIMS score and MnSOD activity was also observed (P&lt;0.0001). No significant reduction in the frequency of the Ala allele was observed in the TD group (0.14) below non-TD (0.18) or control subjects (0.17); nor was there any relationship between MnSOD activity and the polymorphism. There was no difference between the mean AIMS scores for the two genotypes (V/V and A/V) in the TD group. We conclude that while we have further evidence of a disturbance in the mechanisms regulating oxidative free radicals in TD, this effect is not under the control of the genetic polymorphism investigated here.","author":[{"dropping-particle":"","family":"Zhang","given":"ZhiJun","non-dropping-particle":"","parse-names":false,"suffix":""},{"dropping-particle":"","family":"Zhang","given":"XiaoBin","non-dropping-particle":"","parse-names":false,"suffix":""},{"dropping-particle":"","family":"Hou","given":"Gang","non-dropping-particle":"","parse-names":false,"suffix":""},{"dropping-particle":"","family":"Sha","given":"WeiWei","non-dropping-particle":"","parse-names":false,"suffix":""},{"dropping-particle":"","family":"Reynolds","given":"Gavin P","non-dropping-particle":"","parse-names":false,"suffix":""}],"container-title":"Journal of psychiatric research","id":"ITEM-1","issue":"5","issued":{"date-parts":[["2002"]]},"page":"317-24","publisher":"J Psychiatr Res","title":"The increased activity of plasma manganese superoxide dismutase in tardive dyskinesia is unrelated to the Ala-9Val polymorphism.","type":"article-journal","volume":"36"},"uris":["http://www.mendeley.com/documents/?uuid=9a226dc9-a09a-3ed2-b6c6-4cf32e887b52"]}],"mendeley":{"formattedCitation":"(Zhang et al. 2002b)","plainTextFormattedCitation":"(Zhang et al. 2002b)","previouslyFormattedCitation":"(Zhang et al. 2002b)"},"properties":{"noteIndex":0},"schema":"https://github.com/citation-style-language/schema/raw/master/csl-citation.json"}</w:instrText>
            </w:r>
            <w:r>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(Zhang et al. 2002b)</w:t>
            </w:r>
            <w:r>
              <w:rPr>
                <w:rFonts w:ascii="Palatino Linotype" w:hAnsi="Palatino Linotype" w:cstheme="minorHAnsi"/>
                <w:sz w:val="18"/>
                <w:szCs w:val="18"/>
              </w:rPr>
              <w:fldChar w:fldCharType="end"/>
            </w:r>
          </w:p>
        </w:tc>
      </w:tr>
      <w:tr w:rsidR="00274C4A" w:rsidRPr="00EA57B8" w14:paraId="3943116A" w14:textId="23F47429" w:rsidTr="0031439E">
        <w:tc>
          <w:tcPr>
            <w:tcW w:w="1094" w:type="dxa"/>
          </w:tcPr>
          <w:p w14:paraId="56F5ACCF" w14:textId="7491A653"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HTR2C</w:t>
            </w:r>
          </w:p>
        </w:tc>
        <w:tc>
          <w:tcPr>
            <w:tcW w:w="1080" w:type="dxa"/>
          </w:tcPr>
          <w:p w14:paraId="2F37770A" w14:textId="12A6AF26" w:rsidR="00274C4A" w:rsidRDefault="00274C4A" w:rsidP="00274C4A">
            <w:pPr>
              <w:rPr>
                <w:rFonts w:ascii="Palatino Linotype" w:hAnsi="Palatino Linotype" w:cstheme="minorHAnsi"/>
                <w:sz w:val="18"/>
                <w:szCs w:val="18"/>
              </w:rPr>
            </w:pPr>
            <w:r w:rsidRPr="006A1E5F">
              <w:rPr>
                <w:rStyle w:val="st"/>
                <w:rFonts w:ascii="Palatino Linotype" w:hAnsi="Palatino Linotype"/>
                <w:sz w:val="18"/>
                <w:szCs w:val="18"/>
              </w:rPr>
              <w:t>rs3813929, rs518147</w:t>
            </w:r>
          </w:p>
        </w:tc>
        <w:tc>
          <w:tcPr>
            <w:tcW w:w="1080" w:type="dxa"/>
          </w:tcPr>
          <w:p w14:paraId="26AC0788" w14:textId="1F99F4FC" w:rsidR="00274C4A"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42</w:t>
            </w:r>
          </w:p>
        </w:tc>
        <w:tc>
          <w:tcPr>
            <w:tcW w:w="1170" w:type="dxa"/>
          </w:tcPr>
          <w:p w14:paraId="30A9AD38" w14:textId="70583984" w:rsidR="00274C4A" w:rsidRPr="00895067"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 xml:space="preserve">Han Chinese </w:t>
            </w:r>
          </w:p>
        </w:tc>
        <w:tc>
          <w:tcPr>
            <w:tcW w:w="1350" w:type="dxa"/>
          </w:tcPr>
          <w:p w14:paraId="78671BC0" w14:textId="03A37238" w:rsidR="00274C4A" w:rsidRPr="00E37F39"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 xml:space="preserve">Schizophrenia </w:t>
            </w:r>
          </w:p>
        </w:tc>
        <w:tc>
          <w:tcPr>
            <w:tcW w:w="1260" w:type="dxa"/>
          </w:tcPr>
          <w:p w14:paraId="26A08FDC" w14:textId="30618C29" w:rsidR="00274C4A" w:rsidRPr="00483F01" w:rsidRDefault="00274C4A" w:rsidP="00274C4A">
            <w:pPr>
              <w:rPr>
                <w:rFonts w:ascii="Palatino Linotype" w:hAnsi="Palatino Linotype" w:cstheme="minorHAnsi"/>
                <w:sz w:val="18"/>
                <w:szCs w:val="18"/>
              </w:rPr>
            </w:pPr>
            <w:r w:rsidRPr="006A1E5F">
              <w:rPr>
                <w:rFonts w:ascii="Palatino Linotype" w:hAnsi="Palatino Linotype"/>
                <w:sz w:val="18"/>
                <w:szCs w:val="18"/>
              </w:rPr>
              <w:t>DSM-IV</w:t>
            </w:r>
          </w:p>
        </w:tc>
        <w:tc>
          <w:tcPr>
            <w:tcW w:w="1170" w:type="dxa"/>
          </w:tcPr>
          <w:p w14:paraId="78BBAF2E" w14:textId="294AD51E" w:rsidR="00274C4A"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AIMS</w:t>
            </w:r>
          </w:p>
        </w:tc>
        <w:tc>
          <w:tcPr>
            <w:tcW w:w="1170" w:type="dxa"/>
          </w:tcPr>
          <w:p w14:paraId="533C63C2" w14:textId="36DE99AB" w:rsidR="00274C4A"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 xml:space="preserve">Antipsychotics </w:t>
            </w:r>
          </w:p>
        </w:tc>
        <w:tc>
          <w:tcPr>
            <w:tcW w:w="1350" w:type="dxa"/>
          </w:tcPr>
          <w:p w14:paraId="6744F068" w14:textId="14BA10B0" w:rsidR="00274C4A" w:rsidRDefault="00274C4A" w:rsidP="00274C4A">
            <w:pPr>
              <w:rPr>
                <w:rStyle w:val="st"/>
                <w:rFonts w:ascii="Palatino Linotype" w:hAnsi="Palatino Linotype"/>
                <w:sz w:val="18"/>
                <w:szCs w:val="18"/>
              </w:rPr>
            </w:pPr>
            <w:r w:rsidRPr="006A1E5F">
              <w:rPr>
                <w:rFonts w:ascii="Palatino Linotype" w:hAnsi="Palatino Linotype" w:cstheme="minorHAnsi"/>
                <w:sz w:val="18"/>
                <w:szCs w:val="18"/>
              </w:rPr>
              <w:t>PCR-RFLP (</w:t>
            </w:r>
            <w:proofErr w:type="spellStart"/>
            <w:r w:rsidRPr="006A1E5F">
              <w:rPr>
                <w:rFonts w:ascii="Palatino Linotype" w:hAnsi="Palatino Linotype"/>
                <w:sz w:val="18"/>
                <w:szCs w:val="18"/>
              </w:rPr>
              <w:t>AciI</w:t>
            </w:r>
            <w:proofErr w:type="spellEnd"/>
            <w:r w:rsidRPr="006A1E5F">
              <w:rPr>
                <w:rFonts w:ascii="Palatino Linotype" w:hAnsi="Palatino Linotype"/>
                <w:sz w:val="18"/>
                <w:szCs w:val="18"/>
              </w:rPr>
              <w:t>)</w:t>
            </w:r>
          </w:p>
        </w:tc>
        <w:tc>
          <w:tcPr>
            <w:tcW w:w="2507" w:type="dxa"/>
          </w:tcPr>
          <w:p w14:paraId="5AC7ACF5" w14:textId="411EE211" w:rsidR="00274C4A" w:rsidRDefault="00274C4A" w:rsidP="00274C4A">
            <w:pPr>
              <w:rPr>
                <w:rFonts w:ascii="Palatino Linotype" w:hAnsi="Palatino Linotype" w:cstheme="minorHAnsi"/>
                <w:sz w:val="18"/>
                <w:szCs w:val="18"/>
              </w:rPr>
            </w:pPr>
            <w:r>
              <w:rPr>
                <w:rFonts w:ascii="Palatino Linotype" w:hAnsi="Palatino Linotype"/>
                <w:sz w:val="18"/>
                <w:szCs w:val="18"/>
                <w:lang w:eastAsia="el-GR"/>
              </w:rPr>
              <w:t xml:space="preserve">Association between </w:t>
            </w:r>
            <w:r w:rsidRPr="006A1E5F">
              <w:rPr>
                <w:rStyle w:val="st"/>
                <w:rFonts w:ascii="Palatino Linotype" w:hAnsi="Palatino Linotype"/>
                <w:sz w:val="18"/>
                <w:szCs w:val="18"/>
              </w:rPr>
              <w:t>rs518147</w:t>
            </w:r>
            <w:r>
              <w:rPr>
                <w:rStyle w:val="st"/>
                <w:rFonts w:ascii="Palatino Linotype" w:hAnsi="Palatino Linotype"/>
                <w:sz w:val="18"/>
                <w:szCs w:val="18"/>
              </w:rPr>
              <w:t xml:space="preserve"> </w:t>
            </w:r>
            <w:r>
              <w:rPr>
                <w:rFonts w:ascii="Palatino Linotype" w:hAnsi="Palatino Linotype"/>
                <w:sz w:val="18"/>
                <w:szCs w:val="18"/>
                <w:lang w:eastAsia="el-GR"/>
              </w:rPr>
              <w:t>and</w:t>
            </w:r>
            <w:r w:rsidRPr="006A1E5F">
              <w:rPr>
                <w:rFonts w:ascii="Palatino Linotype" w:hAnsi="Palatino Linotype"/>
                <w:sz w:val="18"/>
                <w:szCs w:val="18"/>
                <w:lang w:eastAsia="el-GR"/>
              </w:rPr>
              <w:t xml:space="preserve"> TD </w:t>
            </w:r>
          </w:p>
        </w:tc>
        <w:tc>
          <w:tcPr>
            <w:tcW w:w="2173" w:type="dxa"/>
          </w:tcPr>
          <w:p w14:paraId="741907C2" w14:textId="2EBA40D0" w:rsidR="00274C4A" w:rsidRDefault="00274C4A" w:rsidP="00274C4A">
            <w:pPr>
              <w:rPr>
                <w:rFonts w:ascii="Palatino Linotype" w:hAnsi="Palatino Linotype"/>
                <w:sz w:val="18"/>
                <w:szCs w:val="18"/>
                <w:lang w:eastAsia="el-GR"/>
              </w:rPr>
            </w:pPr>
            <w:r w:rsidRPr="006A1E5F">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10.1038/sj.mp.4001052","ISSN":"1359-4184","PMID":"12192608","author":[{"dropping-particle":"","family":"Zhang","given":"Z-J","non-dropping-particle":"","parse-names":false,"suffix":""},{"dropping-particle":"","family":"Zhang","given":"X-B","non-dropping-particle":"","parse-names":false,"suffix":""},{"dropping-particle":"","family":"Sha","given":"W-W","non-dropping-particle":"","parse-names":false,"suffix":""},{"dropping-particle":"","family":"Zhang","given":"X-B","non-dropping-particle":"","parse-names":false,"suffix":""},{"dropping-particle":"","family":"Reynolds","given":"G P","non-dropping-particle":"","parse-names":false,"suffix":""}],"container-title":"Molecular psychiatry","id":"ITEM-1","issue":"7","issued":{"date-parts":[["2002","8","23"]]},"page":"670-1","title":"Association of a polymorphism in the promoter region of the serotonin 5-HT2C receptor gene with tardive dyskinesia in patients with schizophrenia.","type":"article-journal","volume":"7"},"uris":["http://www.mendeley.com/documents/?uuid=e2f28626-7d6d-33df-8714-c7f8f0c0dcfe"]}],"mendeley":{"formattedCitation":"(Zhang et al. 2002a)","plainTextFormattedCitation":"(Zhang et al. 2002a)","previouslyFormattedCitation":"(Zhang et al. 2002a)"},"properties":{"noteIndex":0},"schema":"https://github.com/citation-style-language/schema/raw/master/csl-citation.json"}</w:instrText>
            </w:r>
            <w:r w:rsidRPr="006A1E5F">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(Zhang et al. 2002a)</w:t>
            </w:r>
            <w:r w:rsidRPr="006A1E5F">
              <w:rPr>
                <w:rFonts w:ascii="Palatino Linotype" w:hAnsi="Palatino Linotype" w:cstheme="minorHAnsi"/>
                <w:sz w:val="18"/>
                <w:szCs w:val="18"/>
              </w:rPr>
              <w:fldChar w:fldCharType="end"/>
            </w:r>
          </w:p>
        </w:tc>
      </w:tr>
      <w:tr w:rsidR="00274C4A" w:rsidRPr="00EA57B8" w14:paraId="697DDC19" w14:textId="7F4B8686" w:rsidTr="0031439E">
        <w:tc>
          <w:tcPr>
            <w:tcW w:w="1094" w:type="dxa"/>
          </w:tcPr>
          <w:p w14:paraId="7C22D052" w14:textId="4165BFD6" w:rsidR="00274C4A" w:rsidRPr="000F3F98" w:rsidRDefault="00274C4A" w:rsidP="00274C4A">
            <w:pPr>
              <w:rPr>
                <w:rFonts w:ascii="Palatino Linotype" w:hAnsi="Palatino Linotype" w:cstheme="minorHAnsi"/>
                <w:i/>
                <w:iCs/>
                <w:sz w:val="18"/>
                <w:szCs w:val="18"/>
              </w:rPr>
            </w:pPr>
            <w:r w:rsidRPr="000F3F98">
              <w:rPr>
                <w:rFonts w:ascii="Palatino Linotype" w:hAnsi="Palatino Linotype" w:cstheme="minorHAnsi"/>
                <w:i/>
                <w:iCs/>
                <w:sz w:val="18"/>
                <w:szCs w:val="18"/>
              </w:rPr>
              <w:t>BDNF</w:t>
            </w:r>
          </w:p>
        </w:tc>
        <w:tc>
          <w:tcPr>
            <w:tcW w:w="1080" w:type="dxa"/>
          </w:tcPr>
          <w:p w14:paraId="5BC25C5B" w14:textId="777D455D" w:rsidR="00274C4A"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rs6265</w:t>
            </w:r>
          </w:p>
        </w:tc>
        <w:tc>
          <w:tcPr>
            <w:tcW w:w="1080" w:type="dxa"/>
          </w:tcPr>
          <w:p w14:paraId="210130EE" w14:textId="1BDAEBB6"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931 (368 with TD) and 546 controls</w:t>
            </w:r>
          </w:p>
        </w:tc>
        <w:tc>
          <w:tcPr>
            <w:tcW w:w="1170" w:type="dxa"/>
          </w:tcPr>
          <w:p w14:paraId="45BEE3AA" w14:textId="38916063" w:rsidR="00274C4A" w:rsidRPr="002A69F8" w:rsidRDefault="00274C4A" w:rsidP="00274C4A">
            <w:pPr>
              <w:rPr>
                <w:rFonts w:ascii="Palatino Linotype" w:hAnsi="Palatino Linotype" w:cstheme="minorHAnsi"/>
                <w:sz w:val="18"/>
                <w:szCs w:val="18"/>
              </w:rPr>
            </w:pPr>
            <w:r w:rsidRPr="00A61B60">
              <w:rPr>
                <w:rFonts w:ascii="Palatino Linotype" w:hAnsi="Palatino Linotype" w:cstheme="minorHAnsi"/>
                <w:sz w:val="18"/>
                <w:szCs w:val="18"/>
              </w:rPr>
              <w:t>Han Chinese</w:t>
            </w:r>
          </w:p>
        </w:tc>
        <w:tc>
          <w:tcPr>
            <w:tcW w:w="1350" w:type="dxa"/>
          </w:tcPr>
          <w:p w14:paraId="4730DC5B" w14:textId="3C2B8371" w:rsidR="00274C4A" w:rsidRPr="00610CAE"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Schizophrenia</w:t>
            </w:r>
          </w:p>
        </w:tc>
        <w:tc>
          <w:tcPr>
            <w:tcW w:w="1260" w:type="dxa"/>
          </w:tcPr>
          <w:p w14:paraId="3882629B" w14:textId="6C5E58D8" w:rsidR="00274C4A" w:rsidRPr="00610CAE" w:rsidRDefault="00274C4A" w:rsidP="00274C4A">
            <w:pPr>
              <w:rPr>
                <w:rFonts w:ascii="Palatino Linotype" w:hAnsi="Palatino Linotype" w:cstheme="minorHAnsi"/>
                <w:sz w:val="18"/>
                <w:szCs w:val="18"/>
              </w:rPr>
            </w:pPr>
            <w:r w:rsidRPr="00A61B60">
              <w:rPr>
                <w:rFonts w:ascii="Palatino Linotype" w:hAnsi="Palatino Linotype" w:cstheme="minorHAnsi"/>
                <w:sz w:val="18"/>
                <w:szCs w:val="18"/>
              </w:rPr>
              <w:t>DSM-IV</w:t>
            </w:r>
          </w:p>
        </w:tc>
        <w:tc>
          <w:tcPr>
            <w:tcW w:w="1170" w:type="dxa"/>
          </w:tcPr>
          <w:p w14:paraId="7D0D9C16" w14:textId="7A834BA7" w:rsidR="00274C4A" w:rsidRDefault="00274C4A" w:rsidP="00274C4A">
            <w:pPr>
              <w:rPr>
                <w:rFonts w:ascii="Palatino Linotype" w:hAnsi="Palatino Linotype" w:cstheme="minorHAnsi"/>
                <w:sz w:val="18"/>
                <w:szCs w:val="18"/>
              </w:rPr>
            </w:pPr>
            <w:r>
              <w:rPr>
                <w:rFonts w:ascii="Palatino Linotype" w:hAnsi="Palatino Linotype" w:cstheme="minorHAnsi"/>
                <w:sz w:val="18"/>
                <w:szCs w:val="18"/>
              </w:rPr>
              <w:t>AIMS</w:t>
            </w:r>
          </w:p>
        </w:tc>
        <w:tc>
          <w:tcPr>
            <w:tcW w:w="1170" w:type="dxa"/>
          </w:tcPr>
          <w:p w14:paraId="0E29F8A6" w14:textId="19FA492B" w:rsidR="00274C4A" w:rsidRDefault="00274C4A" w:rsidP="00274C4A">
            <w:pPr>
              <w:rPr>
                <w:rFonts w:ascii="Palatino Linotype" w:hAnsi="Palatino Linotype" w:cstheme="minorHAnsi"/>
                <w:sz w:val="18"/>
                <w:szCs w:val="18"/>
              </w:rPr>
            </w:pPr>
            <w:r w:rsidRPr="00420715">
              <w:rPr>
                <w:rFonts w:ascii="Palatino Linotype" w:hAnsi="Palatino Linotype" w:cstheme="minorHAnsi"/>
                <w:sz w:val="18"/>
                <w:szCs w:val="18"/>
              </w:rPr>
              <w:t>clozapin</w:t>
            </w:r>
            <w:r>
              <w:rPr>
                <w:rFonts w:ascii="Palatino Linotype" w:hAnsi="Palatino Linotype" w:cstheme="minorHAnsi"/>
                <w:sz w:val="18"/>
                <w:szCs w:val="18"/>
              </w:rPr>
              <w:t>e</w:t>
            </w:r>
            <w:r w:rsidRPr="00420715">
              <w:rPr>
                <w:rFonts w:ascii="Palatino Linotype" w:hAnsi="Palatino Linotype" w:cstheme="minorHAnsi"/>
                <w:sz w:val="18"/>
                <w:szCs w:val="18"/>
              </w:rPr>
              <w:t>,</w:t>
            </w:r>
            <w:r>
              <w:rPr>
                <w:rFonts w:ascii="Palatino Linotype" w:hAnsi="Palatino Linotype" w:cstheme="minorHAnsi"/>
                <w:sz w:val="18"/>
                <w:szCs w:val="18"/>
              </w:rPr>
              <w:t xml:space="preserve"> </w:t>
            </w:r>
            <w:r w:rsidRPr="00420715">
              <w:rPr>
                <w:rFonts w:ascii="Palatino Linotype" w:hAnsi="Palatino Linotype" w:cstheme="minorHAnsi"/>
                <w:sz w:val="18"/>
                <w:szCs w:val="18"/>
              </w:rPr>
              <w:t>risperidone</w:t>
            </w:r>
            <w:r>
              <w:rPr>
                <w:rFonts w:ascii="Palatino Linotype" w:hAnsi="Palatino Linotype" w:cstheme="minorHAnsi"/>
                <w:sz w:val="18"/>
                <w:szCs w:val="18"/>
              </w:rPr>
              <w:t xml:space="preserve">, </w:t>
            </w:r>
            <w:r w:rsidRPr="00420715">
              <w:rPr>
                <w:rFonts w:ascii="Palatino Linotype" w:hAnsi="Palatino Linotype" w:cstheme="minorHAnsi"/>
                <w:sz w:val="18"/>
                <w:szCs w:val="18"/>
              </w:rPr>
              <w:t xml:space="preserve">quetiapine, </w:t>
            </w:r>
            <w:proofErr w:type="spellStart"/>
            <w:r w:rsidRPr="00420715">
              <w:rPr>
                <w:rFonts w:ascii="Palatino Linotype" w:hAnsi="Palatino Linotype" w:cstheme="minorHAnsi"/>
                <w:sz w:val="18"/>
                <w:szCs w:val="18"/>
              </w:rPr>
              <w:t>aripirazole</w:t>
            </w:r>
            <w:proofErr w:type="spellEnd"/>
            <w:r>
              <w:rPr>
                <w:rFonts w:ascii="Palatino Linotype" w:hAnsi="Palatino Linotype" w:cstheme="minorHAnsi"/>
                <w:sz w:val="18"/>
                <w:szCs w:val="18"/>
              </w:rPr>
              <w:t xml:space="preserve">, </w:t>
            </w:r>
            <w:r w:rsidRPr="00420715">
              <w:rPr>
                <w:rFonts w:ascii="Palatino Linotype" w:hAnsi="Palatino Linotype" w:cstheme="minorHAnsi"/>
                <w:sz w:val="18"/>
                <w:szCs w:val="18"/>
              </w:rPr>
              <w:t>olanzapine,</w:t>
            </w:r>
            <w:r>
              <w:rPr>
                <w:rFonts w:ascii="Palatino Linotype" w:hAnsi="Palatino Linotype" w:cstheme="minorHAnsi"/>
                <w:sz w:val="18"/>
                <w:szCs w:val="18"/>
              </w:rPr>
              <w:t xml:space="preserve"> </w:t>
            </w:r>
            <w:proofErr w:type="spellStart"/>
            <w:r w:rsidRPr="00420715">
              <w:rPr>
                <w:rFonts w:ascii="Palatino Linotype" w:hAnsi="Palatino Linotype" w:cstheme="minorHAnsi"/>
                <w:sz w:val="18"/>
                <w:szCs w:val="18"/>
              </w:rPr>
              <w:t>loxapine</w:t>
            </w:r>
            <w:proofErr w:type="spellEnd"/>
            <w:r w:rsidRPr="00420715">
              <w:rPr>
                <w:rFonts w:ascii="Palatino Linotype" w:hAnsi="Palatino Linotype" w:cstheme="minorHAnsi"/>
                <w:sz w:val="18"/>
                <w:szCs w:val="18"/>
              </w:rPr>
              <w:t>,</w:t>
            </w:r>
            <w:r>
              <w:rPr>
                <w:rFonts w:ascii="Palatino Linotype" w:hAnsi="Palatino Linotype" w:cstheme="minorHAnsi"/>
                <w:sz w:val="18"/>
                <w:szCs w:val="18"/>
              </w:rPr>
              <w:t xml:space="preserve"> </w:t>
            </w:r>
            <w:r w:rsidRPr="00420715">
              <w:rPr>
                <w:rFonts w:ascii="Palatino Linotype" w:hAnsi="Palatino Linotype" w:cstheme="minorHAnsi"/>
                <w:sz w:val="18"/>
                <w:szCs w:val="18"/>
              </w:rPr>
              <w:t>ziprasidone</w:t>
            </w:r>
            <w:r>
              <w:rPr>
                <w:rFonts w:ascii="Palatino Linotype" w:hAnsi="Palatino Linotype" w:cstheme="minorHAnsi"/>
                <w:sz w:val="18"/>
                <w:szCs w:val="18"/>
              </w:rPr>
              <w:t xml:space="preserve">, </w:t>
            </w:r>
            <w:r w:rsidRPr="00420715">
              <w:rPr>
                <w:rFonts w:ascii="Palatino Linotype" w:hAnsi="Palatino Linotype" w:cstheme="minorHAnsi"/>
                <w:sz w:val="18"/>
                <w:szCs w:val="18"/>
              </w:rPr>
              <w:t>chlorpromazine,</w:t>
            </w:r>
            <w:r>
              <w:rPr>
                <w:rFonts w:ascii="Palatino Linotype" w:hAnsi="Palatino Linotype" w:cstheme="minorHAnsi"/>
                <w:sz w:val="18"/>
                <w:szCs w:val="18"/>
              </w:rPr>
              <w:t xml:space="preserve"> </w:t>
            </w:r>
            <w:r w:rsidRPr="00420715">
              <w:rPr>
                <w:rFonts w:ascii="Palatino Linotype" w:hAnsi="Palatino Linotype" w:cstheme="minorHAnsi"/>
                <w:sz w:val="18"/>
                <w:szCs w:val="18"/>
              </w:rPr>
              <w:t>sulpiride, perphenazine, haloperidol,</w:t>
            </w:r>
            <w:r>
              <w:rPr>
                <w:rFonts w:ascii="Palatino Linotype" w:hAnsi="Palatino Linotype" w:cstheme="minorHAnsi"/>
                <w:sz w:val="18"/>
                <w:szCs w:val="18"/>
              </w:rPr>
              <w:t xml:space="preserve"> </w:t>
            </w:r>
            <w:r w:rsidRPr="00420715">
              <w:rPr>
                <w:rFonts w:ascii="Palatino Linotype" w:hAnsi="Palatino Linotype" w:cstheme="minorHAnsi"/>
                <w:sz w:val="18"/>
                <w:szCs w:val="18"/>
              </w:rPr>
              <w:t>pipotiazine palmitate</w:t>
            </w:r>
          </w:p>
        </w:tc>
        <w:tc>
          <w:tcPr>
            <w:tcW w:w="1350" w:type="dxa"/>
          </w:tcPr>
          <w:p w14:paraId="522C6FAF" w14:textId="31D5C812" w:rsidR="00274C4A" w:rsidRDefault="00274C4A" w:rsidP="00274C4A">
            <w:pPr>
              <w:rPr>
                <w:rStyle w:val="st"/>
                <w:rFonts w:ascii="Palatino Linotype" w:hAnsi="Palatino Linotype"/>
                <w:sz w:val="18"/>
                <w:szCs w:val="18"/>
              </w:rPr>
            </w:pPr>
            <w:r>
              <w:rPr>
                <w:rFonts w:ascii="Palatino Linotype" w:hAnsi="Palatino Linotype" w:cstheme="minorHAnsi"/>
                <w:sz w:val="18"/>
                <w:szCs w:val="18"/>
              </w:rPr>
              <w:t>PCR-RFLP (</w:t>
            </w:r>
            <w:r w:rsidRPr="00A61B60">
              <w:rPr>
                <w:rFonts w:ascii="Palatino Linotype" w:hAnsi="Palatino Linotype" w:cstheme="minorHAnsi"/>
                <w:sz w:val="18"/>
                <w:szCs w:val="18"/>
              </w:rPr>
              <w:t>Eco721</w:t>
            </w:r>
            <w:r>
              <w:rPr>
                <w:rFonts w:ascii="Palatino Linotype" w:hAnsi="Palatino Linotype" w:cstheme="minorHAnsi"/>
                <w:sz w:val="18"/>
                <w:szCs w:val="18"/>
              </w:rPr>
              <w:t>)</w:t>
            </w:r>
          </w:p>
        </w:tc>
        <w:tc>
          <w:tcPr>
            <w:tcW w:w="2507" w:type="dxa"/>
          </w:tcPr>
          <w:p w14:paraId="0DC569F0" w14:textId="71691F05" w:rsidR="00274C4A" w:rsidRPr="006A1E5F" w:rsidRDefault="00274C4A" w:rsidP="00274C4A">
            <w:pPr>
              <w:rPr>
                <w:rFonts w:ascii="Palatino Linotype" w:hAnsi="Palatino Linotype" w:cstheme="minorHAnsi"/>
                <w:sz w:val="18"/>
                <w:szCs w:val="18"/>
              </w:rPr>
            </w:pPr>
            <w:r w:rsidRPr="006A1E5F">
              <w:rPr>
                <w:rFonts w:ascii="Palatino Linotype" w:hAnsi="Palatino Linotype" w:cstheme="minorHAnsi"/>
                <w:sz w:val="18"/>
                <w:szCs w:val="18"/>
              </w:rPr>
              <w:t>No statistically significant genotypic or allele frequencies</w:t>
            </w:r>
          </w:p>
        </w:tc>
        <w:tc>
          <w:tcPr>
            <w:tcW w:w="2173" w:type="dxa"/>
          </w:tcPr>
          <w:p w14:paraId="0F74B5FF" w14:textId="78CBEAFB" w:rsidR="00274C4A" w:rsidRPr="006A1E5F" w:rsidRDefault="00274C4A" w:rsidP="00274C4A">
            <w:pPr>
              <w:rPr>
                <w:rFonts w:ascii="Palatino Linotype" w:hAnsi="Palatino Linotype" w:cstheme="minorHAnsi"/>
                <w:sz w:val="18"/>
                <w:szCs w:val="18"/>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ADDIN CSL_CITATION {"citationItems":[{"id":"ITEM-1","itemData":{"DOI":"10.1016/j.biopsych.2012.04.032","ISSN":"1873-2402","PMID":"22695185","abstract":"BACKGROUND Tardive dyskinesia (TD) has no well-accepted treatments or known pathophysiology, but low brain-derived neurotrophic factor (BDNF) may play an important role in its pathophysiology. Ginkgo biloba (EGb-761) is a potent antioxidant that has neuroprotective effects mediated through enhancing BDNF levels. We hypothesized that treatment with EGb-761 would increase serum BDNF levels and reduce TD, particularly among schizophrenia patients who have the BDNF valine 66 to methionine (Val66Met) genotype (Val/Val). METHODS Serum BDNF levels and genotyping for the BDNF gene Val66Met polymorphism were assessed in Chinese schizophrenic patients with (n = 368) and without (n = 563) TD as well as healthy control subjects (n = 546). About half of the TD patients (n = 157) then participated in a double-blind, randomized, placebo-control 12-week treatment with 240 mg per day of EGb-761. Serum BDNF levels were measured again at posttreatment. Clinical efficacy was determined using the Abnormal Involuntary Movement Scale (AIMS). RESULTS TD patients had lower BDNF levels than the non-TD patients and healthy controls. EGb-761 treatment improved symptoms of TD and increased BDNF levels compared with placebo treatment. Moreover, the improvement of AIMS total score correlated with the increase in BDNF levels. Furthermore, improvement in the AIMS score was greatest in those with the Val/Val allele and lowest with the Met/Met allele. CONCLUSIONS The BDNF system may be implicated in the pathophysiology of TD and its improvement with antioxidant treatment. Furthermore, patients with the genetic potential for greater BDNF release (Val/Val at 66) may obtain a greater reduction in TD from EGb-761 treatment.","author":[{"dropping-particle":"","family":"Zhang","given":"Xiang Yang","non-dropping-particle":"","parse-names":false,"suffix":""},{"dropping-particle":"","family":"Zhang","given":"Wu-Fang","non-dropping-particle":"","parse-names":false,"suffix":""},{"dropping-particle":"","family":"Zhou","given":"Dong-Feng","non-dropping-particle":"","parse-names":false,"suffix":""},{"dropping-particle":"","family":"Chen","given":"Da Chun","non-dropping-particle":"","parse-names":false,"suffix":""},{"dropping-particle":"","family":"Xiu","given":"Mei Hong","non-dropping-particle":"","parse-names":false,"suffix":""},{"dropping-particle":"","family":"Wu","given":"Hao-Ran","non-dropping-particle":"","parse-names":false,"suffix":""},{"dropping-particle":"","family":"Haile","given":"Colin N","non-dropping-particle":"","parse-names":false,"suffix":""},{"dropping-particle":"","family":"Kosten","given":"Therese A","non-dropping-particle":"","parse-names":false,"suffix":""},{"dropping-particle":"","family":"Kosten","given":"Thomas R","non-dropping-particle":"","parse-names":false,"suffix":""}],"container-title":"Biological psychiatry","id":"ITEM-1","issue":"8","issued":{"date-parts":[["2012","10","15"]]},"page":"700-6","publisher":"Biol Psychiatry","title":"Brain-derived neurotrophic factor levels and its Val66Met gene polymorphism predict tardive dyskinesia treatment response to Ginkgo biloba.","type":"article-journal","volume":"72"},"uris":["http://www.mendeley.com/documents/?uuid=226b1c7e-e118-3dae-ab6e-5c290ccbe18c"]}],"mendeley":{"formattedCitation":"(Zhang et al. 2012)","plainTextFormattedCitation":"(Zhang et al. 2012)","previouslyFormattedCitation":"(Zhang et al. 2012)"},"properties":{"noteIndex":0},"schema":"https://github.com/citation-style-language/schema/raw/master/csl-citation.json"}</w:instrText>
            </w:r>
            <w:r>
              <w:rPr>
                <w:rFonts w:ascii="Palatino Linotype" w:hAnsi="Palatino Linotype" w:cstheme="minorHAnsi"/>
                <w:sz w:val="18"/>
                <w:szCs w:val="18"/>
              </w:rPr>
              <w:fldChar w:fldCharType="separate"/>
            </w:r>
            <w:r w:rsidRPr="001060C2">
              <w:rPr>
                <w:rFonts w:ascii="Palatino Linotype" w:hAnsi="Palatino Linotype" w:cstheme="minorHAnsi"/>
                <w:noProof/>
                <w:sz w:val="18"/>
                <w:szCs w:val="18"/>
              </w:rPr>
              <w:t>(Zhang et al. 2012)</w:t>
            </w:r>
            <w:r>
              <w:rPr>
                <w:rFonts w:ascii="Palatino Linotype" w:hAnsi="Palatino Linotype" w:cstheme="minorHAnsi"/>
                <w:sz w:val="18"/>
                <w:szCs w:val="18"/>
              </w:rPr>
              <w:fldChar w:fldCharType="end"/>
            </w:r>
          </w:p>
        </w:tc>
      </w:tr>
    </w:tbl>
    <w:p w14:paraId="67D49E7F" w14:textId="110E0280" w:rsidR="00AC3A8F" w:rsidRPr="00BA41E4" w:rsidRDefault="00067C5E" w:rsidP="00BA41E4">
      <w:pPr>
        <w:rPr>
          <w:rFonts w:ascii="Palatino Linotype" w:hAnsi="Palatino Linotype"/>
          <w:sz w:val="18"/>
          <w:szCs w:val="18"/>
        </w:rPr>
      </w:pPr>
      <w:r>
        <w:rPr>
          <w:rFonts w:ascii="Palatino Linotype" w:hAnsi="Palatino Linotype" w:cstheme="minorHAnsi"/>
          <w:sz w:val="18"/>
          <w:szCs w:val="18"/>
        </w:rPr>
        <w:t>*</w:t>
      </w:r>
      <w:r w:rsidR="00972E73" w:rsidRPr="0040274E">
        <w:rPr>
          <w:rFonts w:ascii="Palatino Linotype" w:hAnsi="Palatino Linotype" w:cstheme="minorHAnsi"/>
          <w:sz w:val="18"/>
          <w:szCs w:val="18"/>
        </w:rPr>
        <w:t>Hillside Simpson Dyskinesia Scale (HSDS), Abnormal Involuntary Movement Scale (AIMS)</w:t>
      </w:r>
      <w:r w:rsidRPr="0040274E">
        <w:rPr>
          <w:rFonts w:ascii="Palatino Linotype" w:hAnsi="Palatino Linotype" w:cstheme="minorHAnsi"/>
          <w:sz w:val="18"/>
          <w:szCs w:val="18"/>
        </w:rPr>
        <w:t>, High resolution melting analysis (HRM)</w:t>
      </w:r>
      <w:r w:rsidR="008B2C40">
        <w:rPr>
          <w:rFonts w:ascii="Palatino Linotype" w:hAnsi="Palatino Linotype" w:cstheme="minorHAnsi"/>
          <w:sz w:val="18"/>
          <w:szCs w:val="18"/>
        </w:rPr>
        <w:t xml:space="preserve">, </w:t>
      </w:r>
      <w:r w:rsidR="008B2C40" w:rsidRPr="008B2C40">
        <w:rPr>
          <w:rFonts w:ascii="Palatino Linotype" w:hAnsi="Palatino Linotype" w:cstheme="minorHAnsi"/>
          <w:sz w:val="18"/>
          <w:szCs w:val="18"/>
        </w:rPr>
        <w:t>Research Diagnostic Criteria for Tardive Dyskinesia (RDC-TD)</w:t>
      </w:r>
      <w:r w:rsidR="00F41A11">
        <w:rPr>
          <w:rFonts w:ascii="Palatino Linotype" w:hAnsi="Palatino Linotype" w:cstheme="minorHAnsi"/>
          <w:sz w:val="18"/>
          <w:szCs w:val="18"/>
        </w:rPr>
        <w:t xml:space="preserve">, </w:t>
      </w:r>
      <w:r w:rsidR="00F41A11" w:rsidRPr="005B5BB7">
        <w:rPr>
          <w:rFonts w:ascii="Palatino Linotype" w:hAnsi="Palatino Linotype" w:cstheme="minorHAnsi"/>
          <w:sz w:val="18"/>
          <w:szCs w:val="18"/>
        </w:rPr>
        <w:t>limb-truncal dyskinesia</w:t>
      </w:r>
      <w:r w:rsidR="00F41A11">
        <w:rPr>
          <w:rFonts w:ascii="Palatino Linotype" w:hAnsi="Palatino Linotype" w:cstheme="minorHAnsi"/>
          <w:sz w:val="18"/>
          <w:szCs w:val="18"/>
        </w:rPr>
        <w:t xml:space="preserve"> (</w:t>
      </w:r>
      <w:proofErr w:type="spellStart"/>
      <w:r w:rsidR="00F41A11" w:rsidRPr="002602E0">
        <w:rPr>
          <w:rFonts w:ascii="Palatino Linotype" w:hAnsi="Palatino Linotype" w:cstheme="minorHAnsi"/>
          <w:sz w:val="18"/>
          <w:szCs w:val="18"/>
        </w:rPr>
        <w:t>TDlt</w:t>
      </w:r>
      <w:proofErr w:type="spellEnd"/>
      <w:r w:rsidR="00F41A11">
        <w:rPr>
          <w:rFonts w:ascii="Palatino Linotype" w:hAnsi="Palatino Linotype" w:cstheme="minorHAnsi"/>
          <w:sz w:val="18"/>
          <w:szCs w:val="18"/>
        </w:rPr>
        <w:t>)</w:t>
      </w:r>
      <w:r w:rsidR="004204E4">
        <w:rPr>
          <w:rFonts w:ascii="Palatino Linotype" w:hAnsi="Palatino Linotype" w:cstheme="minorHAnsi"/>
          <w:sz w:val="18"/>
          <w:szCs w:val="18"/>
        </w:rPr>
        <w:t>, Whole exome sequencing (WES)</w:t>
      </w:r>
      <w:r w:rsidR="00BA41E4">
        <w:rPr>
          <w:rFonts w:ascii="Palatino Linotype" w:hAnsi="Palatino Linotype" w:cstheme="minorHAnsi"/>
          <w:sz w:val="18"/>
          <w:szCs w:val="18"/>
        </w:rPr>
        <w:t>, h</w:t>
      </w:r>
      <w:r w:rsidR="00BA41E4" w:rsidRPr="005F1127">
        <w:rPr>
          <w:rStyle w:val="st"/>
          <w:rFonts w:ascii="Palatino Linotype" w:hAnsi="Palatino Linotype"/>
          <w:sz w:val="18"/>
          <w:szCs w:val="18"/>
        </w:rPr>
        <w:t xml:space="preserve">eteroduplex-single strand conformational polymorphism </w:t>
      </w:r>
      <w:r w:rsidR="00BA41E4">
        <w:rPr>
          <w:rStyle w:val="st"/>
          <w:rFonts w:ascii="Palatino Linotype" w:hAnsi="Palatino Linotype"/>
          <w:sz w:val="18"/>
          <w:szCs w:val="18"/>
        </w:rPr>
        <w:t>analysis (</w:t>
      </w:r>
      <w:r w:rsidR="00BA41E4" w:rsidRPr="005F1127">
        <w:rPr>
          <w:rStyle w:val="st"/>
          <w:rFonts w:ascii="Palatino Linotype" w:hAnsi="Palatino Linotype"/>
          <w:sz w:val="18"/>
          <w:szCs w:val="18"/>
        </w:rPr>
        <w:t>HEX-SSCP</w:t>
      </w:r>
      <w:r w:rsidR="00BA41E4">
        <w:rPr>
          <w:rStyle w:val="st"/>
          <w:rFonts w:ascii="Palatino Linotype" w:hAnsi="Palatino Linotype"/>
          <w:sz w:val="18"/>
          <w:szCs w:val="18"/>
        </w:rPr>
        <w:t>)</w:t>
      </w:r>
    </w:p>
    <w:p w14:paraId="08E26280" w14:textId="1C710563" w:rsidR="003632B1" w:rsidRPr="0085025B" w:rsidRDefault="00477F97" w:rsidP="00067C5E">
      <w:pPr>
        <w:rPr>
          <w:rFonts w:ascii="Palatino Linotype" w:hAnsi="Palatino Linotype" w:cstheme="minorHAnsi"/>
          <w:sz w:val="18"/>
          <w:szCs w:val="18"/>
        </w:rPr>
      </w:pPr>
      <w:r>
        <w:rPr>
          <w:rFonts w:ascii="Palatino Linotype" w:hAnsi="Palatino Linotype" w:cstheme="minorHAnsi"/>
          <w:sz w:val="18"/>
          <w:szCs w:val="18"/>
        </w:rPr>
        <w:t xml:space="preserve">Please note that the studies are presented alphabetically, by the </w:t>
      </w:r>
      <w:r w:rsidR="004967F5">
        <w:rPr>
          <w:rFonts w:ascii="Palatino Linotype" w:hAnsi="Palatino Linotype" w:cstheme="minorHAnsi"/>
          <w:sz w:val="18"/>
          <w:szCs w:val="18"/>
        </w:rPr>
        <w:t xml:space="preserve">first </w:t>
      </w:r>
      <w:r>
        <w:rPr>
          <w:rFonts w:ascii="Palatino Linotype" w:hAnsi="Palatino Linotype" w:cstheme="minorHAnsi"/>
          <w:sz w:val="18"/>
          <w:szCs w:val="18"/>
        </w:rPr>
        <w:t>author’s name.</w:t>
      </w:r>
    </w:p>
    <w:p w14:paraId="6C514B76" w14:textId="77777777" w:rsidR="003632B1" w:rsidRDefault="003632B1" w:rsidP="00067C5E">
      <w:pPr>
        <w:rPr>
          <w:rFonts w:ascii="Palatino Linotype" w:hAnsi="Palatino Linotype" w:cstheme="minorHAnsi"/>
          <w:sz w:val="18"/>
          <w:szCs w:val="18"/>
        </w:rPr>
      </w:pPr>
    </w:p>
    <w:p w14:paraId="4C992C47" w14:textId="2B446DA5" w:rsidR="00AC3A8F" w:rsidRPr="0040274E" w:rsidRDefault="00AC3A8F" w:rsidP="00067C5E">
      <w:pPr>
        <w:rPr>
          <w:rFonts w:ascii="Palatino Linotype" w:hAnsi="Palatino Linotype" w:cstheme="minorHAnsi"/>
          <w:b/>
          <w:bCs/>
          <w:sz w:val="18"/>
          <w:szCs w:val="18"/>
        </w:rPr>
      </w:pPr>
      <w:r w:rsidRPr="0040274E">
        <w:rPr>
          <w:rFonts w:ascii="Palatino Linotype" w:hAnsi="Palatino Linotype" w:cstheme="minorHAnsi"/>
          <w:b/>
          <w:bCs/>
          <w:sz w:val="18"/>
          <w:szCs w:val="18"/>
        </w:rPr>
        <w:t xml:space="preserve">References </w:t>
      </w:r>
    </w:p>
    <w:p w14:paraId="574659A4" w14:textId="21594866" w:rsidR="0082167D" w:rsidRPr="0082167D" w:rsidRDefault="00AC3A8F" w:rsidP="0082167D">
      <w:pPr>
        <w:widowControl w:val="0"/>
        <w:autoSpaceDE w:val="0"/>
        <w:autoSpaceDN w:val="0"/>
        <w:adjustRightInd w:val="0"/>
        <w:ind w:left="480" w:hanging="480"/>
        <w:rPr>
          <w:rFonts w:ascii="Palatino Linotype" w:hAnsi="Palatino Linotype"/>
          <w:noProof/>
          <w:sz w:val="18"/>
          <w:lang w:val="en-GB"/>
        </w:rPr>
      </w:pPr>
      <w:r>
        <w:rPr>
          <w:rFonts w:ascii="Palatino Linotype" w:hAnsi="Palatino Linotype" w:cstheme="minorHAnsi"/>
          <w:sz w:val="18"/>
          <w:szCs w:val="18"/>
        </w:rPr>
        <w:fldChar w:fldCharType="begin" w:fldLock="1"/>
      </w:r>
      <w:r>
        <w:rPr>
          <w:rFonts w:ascii="Palatino Linotype" w:hAnsi="Palatino Linotype" w:cstheme="minorHAnsi"/>
          <w:sz w:val="18"/>
          <w:szCs w:val="18"/>
        </w:rPr>
        <w:instrText xml:space="preserve">ADDIN Mendeley Bibliography CSL_BIBLIOGRAPHY </w:instrText>
      </w:r>
      <w:r>
        <w:rPr>
          <w:rFonts w:ascii="Palatino Linotype" w:hAnsi="Palatino Linotype" w:cstheme="minorHAnsi"/>
          <w:sz w:val="18"/>
          <w:szCs w:val="18"/>
        </w:rPr>
        <w:fldChar w:fldCharType="separate"/>
      </w:r>
      <w:r w:rsidR="0082167D" w:rsidRPr="0082167D">
        <w:rPr>
          <w:rFonts w:ascii="Palatino Linotype" w:hAnsi="Palatino Linotype"/>
          <w:noProof/>
          <w:sz w:val="18"/>
          <w:lang w:val="en-GB"/>
        </w:rPr>
        <w:t>Al Hadithy AFY, Ivanova SA, Pechlivanoglou P, et al (2009) Tardive dyskinesia and DRD3, HTR2A and HTR2C gene polymorphisms in Russian psychiatric inpatients from Siberia. Prog Neuro-Psychopharmacology Biol Psychiatry 33:475–481. https://doi.org/10.1016/j.pnpbp.2009.01.010</w:t>
      </w:r>
    </w:p>
    <w:p w14:paraId="40E9C8B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Alkelai A, Greenbaum L, Heinzen EL, et al (2019) New insights into tardive dyskinesia genetics: Implementation of whole-exome sequencing approach. Prog Neuropsychopharmacol Biol Psychiatry 94:109659. https://doi.org/10.1016/j.pnpbp.2019.109659</w:t>
      </w:r>
    </w:p>
    <w:p w14:paraId="63C5C9A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An H-M, Tan Y-L, Shi J, et al (2013) Extract of Ginkgo biloba is equivalent to vitamin E in attenuating and preventing vacuous chewing movements in a rat model of tardive dyskinesia. Behav Pharmacol 24:610–6. https://doi.org/10.1097/FBP.0b013e3283656d87</w:t>
      </w:r>
    </w:p>
    <w:p w14:paraId="35D6F0B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An HM, Tan YL, Shi J, et al (2016a) Beneficial effects of EGb761 and vitamin E on haloperidol-induced vacuous chewing movements in rats: Possible involvement of S100B mechanisms. Behav Brain Res 297:124–30. https://doi.org/10.1016/j.bbr.2015.10.004</w:t>
      </w:r>
    </w:p>
    <w:p w14:paraId="11DCF0B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An HM, Tan YL, Shi J, et al (2016b) Ginkgo biloba leaf extract and alpha-tocopherol attenuate haloperidol-induced orofacial dyskinesia in rats: Possible implication of antiapoptotic mechanisms by preventing Bcl-2 decrease and Bax elevation. Phytomedicine 23:1653–1660. https://doi.org/10.1016/j.phymed.2016.10.009</w:t>
      </w:r>
    </w:p>
    <w:p w14:paraId="640BC00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Andreassen OA, MacEwan T, Gulbrandsen AK, et al (1997) Non-functional CYP2D6 alleles and risk for neuroleptic-induced movement disorders in schizophrenic patients. Psychopharmacology (Berl) 131:174–9</w:t>
      </w:r>
    </w:p>
    <w:p w14:paraId="31D37A3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Armstrong M, Daly AK, Blennerhassett R, et al (1997) Antipsychotic drug-induced movement disorders in schizophrenics in relation to CYP2D6 genotype. Br J Psychiatry 170:23–6</w:t>
      </w:r>
    </w:p>
    <w:p w14:paraId="190401A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Arthur H, Dahl ML, Siwers B, Sjöqvist F (1995) Polymorphic drug metabolism in schizophrenic patients with tardive dyskinesia. J Clin Psychopharmacol 15:211–6</w:t>
      </w:r>
    </w:p>
    <w:p w14:paraId="49C0E2B9"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Bakker PR, Al Hadithy AFY, Amin N, et al (2012) Antipsychotic-induced movement disorders in long-stay psychiatric patients and 45 tag SNPs in 7 candidate genes: a prospective study. PLoS One 7:e50970. https://doi.org/10.1371/journal.pone.0050970</w:t>
      </w:r>
    </w:p>
    <w:p w14:paraId="07C6B8B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Basile VS, Masellis M, Badri F, et al (1999) Association of the MscI polymorphism of the dopamine D3 receptor gene with tardive dyskinesia in schizophrenia. Neuropsychopharmacology 21:17–27. https://doi.org/10.1016/S0893-133X(98)00114-6</w:t>
      </w:r>
    </w:p>
    <w:p w14:paraId="6DA9E2D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Basile VS, Ozdemir V, Masellis M, et al (2000) A functional polymorphism of the cytochrome P450 1A2 (CYP1A2) gene: association with tardive dyskinesia in schizophrenia. Mol Psychiatry 5:410–7</w:t>
      </w:r>
    </w:p>
    <w:p w14:paraId="2970CE3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Basile VS, Ozdemir V, Masellis M, et al (2001) Lack of association between serotonin-2A receptor gene (HTR2A) polymorphisms and tardive dyskinesia in schizophrenia. Mol Psychiatry 6:230–4. https://doi.org/10.1038/sj.mp.4000847</w:t>
      </w:r>
    </w:p>
    <w:p w14:paraId="67A4DC8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Bishnoi M, Boparai RK (2012) An animal model to study the molecular basis of tardive dyskinesia. Methods Mol Biol 829:193–201. https://doi.org/10.1007/978-1-61779-458-2_12</w:t>
      </w:r>
    </w:p>
    <w:p w14:paraId="3AAD86E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Boiko AS, Ivanova SA, Pozhidaev I V, et al (2020) Pharmacogenetics of tardive dyskinesia in schizophrenia: The role of CHRM1 and CHRM2 muscarinic receptors. World J Biol Psychiatry 21:72–77. https://doi.org/10.1080/15622975.2018.1548780</w:t>
      </w:r>
    </w:p>
    <w:p w14:paraId="2E1E2869"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Boke O, Gunes S, Kara N, et al (2007) Association of serotonin 2A receptor and lack of association of CYP1A2 gene polymorphism with tardive dyskinesia in a Turkish population. DNA Cell Biol 26:527–31. https://doi.org/10.1089/dna.2007.0605</w:t>
      </w:r>
    </w:p>
    <w:p w14:paraId="560116B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Bordia T, McIntosh JM, Quik M (2012) Nicotine reduces antipsychotic-induced orofacial dyskinesia in rats. J Pharmacol Exp Ther 340:612–9. https://doi.org/10.1124/jpet.111.189100</w:t>
      </w:r>
    </w:p>
    <w:p w14:paraId="02D14AC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Bošković M, Vovk T, Saje M, et al (2013) Association of SOD2, GPX1, CAT, and TNF genetic polymorphisms with oxidative stress, neurochemistry, psychopathology, and extrapyramidal symptoms in schizophrenia. Neurochem Res 38:433–42. https://doi.org/10.1007/s11064-012-0937-4</w:t>
      </w:r>
    </w:p>
    <w:p w14:paraId="322E045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lastRenderedPageBreak/>
        <w:t>Brockmöller J, Kirchheiner J, Schmider J, et al (2002) The impact of the CYP2D6 polymorphism on haloperidol pharmacokinetics and on the outcome of haloperidol treatment. Clin Pharmacol Ther 72:438–52. https://doi.org/10.1067/mcp.2002.127494</w:t>
      </w:r>
    </w:p>
    <w:p w14:paraId="2A694DD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Busanello A, Leal CQ, Peroza LR, et al (2017) Resveratrol Protects Against Vacuous Chewing Movements Induced by Chronic Treatment with Fluphenazine. Neurochem Res 42:3033–3040. https://doi.org/10.1007/s11064-017-2335-4</w:t>
      </w:r>
    </w:p>
    <w:p w14:paraId="24DCA9A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Busanello A, Peroza LR, Wagner C, et al (2012) Resveratrol reduces vacuous chewing movements induced by acute treatment with fluphenazine. Pharmacol Biochem Behav 101:307–10. https://doi.org/10.1016/j.pbb.2012.01.007</w:t>
      </w:r>
    </w:p>
    <w:p w14:paraId="4064E5A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Ceretta APC, de Freitas CM, Schaffer LF, et al (2018) Gabapentin reduces haloperidol-induced vacuous chewing movements in mice. Pharmacol Biochem Behav 166:21–26. https://doi.org/10.1016/j.pbb.2018.01.003</w:t>
      </w:r>
    </w:p>
    <w:p w14:paraId="79CBE34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Chen C-N, Chang K-C, Wang M-H, et al (2018) Protective Effect of L-Theanine on Haloperidol-Induced Orofacial. Chin J Physiol 61:35–41. https://doi.org/10.4077/CJP.2018.BAG529</w:t>
      </w:r>
    </w:p>
    <w:p w14:paraId="1DDC0FC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Chen CH, Wei FC, Koong FJ, Hsiao KJ (1997) Association of TaqI A polymorphism of dopamine D2 receptor gene and tardive dyskinesia in schizophrenia. Biol Psychiatry 41:827–9. https://doi.org/10.1016/S0006-3223(96)00543-4</w:t>
      </w:r>
    </w:p>
    <w:p w14:paraId="1E5673F4" w14:textId="77777777" w:rsidR="0082167D" w:rsidRPr="00AE2DED" w:rsidRDefault="0082167D" w:rsidP="0082167D">
      <w:pPr>
        <w:widowControl w:val="0"/>
        <w:autoSpaceDE w:val="0"/>
        <w:autoSpaceDN w:val="0"/>
        <w:adjustRightInd w:val="0"/>
        <w:ind w:left="480" w:hanging="480"/>
        <w:rPr>
          <w:rFonts w:ascii="Palatino Linotype" w:hAnsi="Palatino Linotype"/>
          <w:noProof/>
          <w:sz w:val="18"/>
          <w:lang w:val="de-DE"/>
          <w:rPrChange w:id="83" w:author="Samson Oyebanjo" w:date="2021-12-31T16:52:00Z">
            <w:rPr>
              <w:rFonts w:ascii="Palatino Linotype" w:hAnsi="Palatino Linotype"/>
              <w:noProof/>
              <w:sz w:val="18"/>
              <w:lang w:val="en-GB"/>
            </w:rPr>
          </w:rPrChange>
        </w:rPr>
      </w:pPr>
      <w:r w:rsidRPr="0082167D">
        <w:rPr>
          <w:rFonts w:ascii="Palatino Linotype" w:hAnsi="Palatino Linotype"/>
          <w:noProof/>
          <w:sz w:val="18"/>
          <w:lang w:val="en-GB"/>
        </w:rPr>
        <w:t xml:space="preserve">Chong S-A, Tan E-C, Tan CH, et al (2003a) Polymorphisms of dopamine receptors and tardive dyskinesia among Chinese patients with schizophrenia. </w:t>
      </w:r>
      <w:r w:rsidRPr="00AE2DED">
        <w:rPr>
          <w:rFonts w:ascii="Palatino Linotype" w:hAnsi="Palatino Linotype"/>
          <w:noProof/>
          <w:sz w:val="18"/>
          <w:lang w:val="de-DE"/>
          <w:rPrChange w:id="84" w:author="Samson Oyebanjo" w:date="2021-12-31T16:52:00Z">
            <w:rPr>
              <w:rFonts w:ascii="Palatino Linotype" w:hAnsi="Palatino Linotype"/>
              <w:noProof/>
              <w:sz w:val="18"/>
              <w:lang w:val="en-GB"/>
            </w:rPr>
          </w:rPrChange>
        </w:rPr>
        <w:t>Am J Med Genet B Neuropsychiatr Genet 116B:51–4. https://doi.org/10.1002/ajmg.b.10004</w:t>
      </w:r>
    </w:p>
    <w:p w14:paraId="75AB1AA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Chong S-A, Tan E-C, Tan CH, Mythily (2003b) Smoking and tardive dyskinesia: lack of involvement of the CYP1A2 gene. J Psychiatry Neurosci 28:185–9</w:t>
      </w:r>
    </w:p>
    <w:p w14:paraId="402954C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Chong SA, Tan EC, Tan CH, et al (2000) Tardive dyskinesia is not associated with the serotonin gene polymorphism (5-HTTLPR) in Chinese. Am J Med Genet 96:712–5</w:t>
      </w:r>
    </w:p>
    <w:p w14:paraId="0CA70CE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Creed MC, Hamani C, Nobrega JN (2012) Early gene mapping after deep brain stimulation in a rat model of tardive dyskinesia: comparison with transient local inactivation. Eur Neuropsychopharmacol 22:506–17. https://doi.org/10.1016/j.euroneuro.2011.11.004</w:t>
      </w:r>
    </w:p>
    <w:p w14:paraId="7FA59D0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Crowley JJ, Adkins DE, Pratt AL, et al (2012a) Antipsychotic-induced vacuous chewing movements and extrapyramidal side effects are highly heritable in mice. Pharmacogenomics J 12:147–55. https://doi.org/10.1038/tpj.2010.82</w:t>
      </w:r>
    </w:p>
    <w:p w14:paraId="0F86037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Crowley JJ, Kim Y, Szatkiewicz JP, et al (2012b) Genome-wide association mapping of loci for antipsychotic-induced extrapyramidal symptoms in mice. Mamm Genome 23:322–35. https://doi.org/10.1007/s00335-011-9385-8</w:t>
      </w:r>
    </w:p>
    <w:p w14:paraId="233FB1B1"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Datta S, Jamwal S, Deshmukh R, Kumar P (2016) Beneficial effects of lycopene against haloperidol induced orofacial dyskinesia in rats: Possible neurotransmitters and neuroinflammation modulation. Eur J Pharmacol 771:229–35. https://doi.org/10.1016/j.ejphar.2015.12.032</w:t>
      </w:r>
    </w:p>
    <w:p w14:paraId="5D90956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de Leon J, Susce MT, Pan R-M, et al (2005) Polymorphic variations in GSTM1, GSTT1, PgP, CYP2D6, CYP3A5, and dopamine D2 and D3 receptors and their association with tardive dyskinesia in severe mental illness. J Clin Psychopharmacol 25:448–56</w:t>
      </w:r>
    </w:p>
    <w:p w14:paraId="0EBFD8C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De Luca V, Souza RP, Viggiano E, et al (2009) MDR1 gene in tardive dyskinesia scale scores: Comparison of strategies for quantitative trait haplotype analysis. Schizophr. Res. 110</w:t>
      </w:r>
    </w:p>
    <w:p w14:paraId="70EAF2C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de Oliveira GV, Gomes PXL, de Araújo FYR, et al (2013) Prevention of haloperidol-induced alterations in brain acetylcholinesterase activity by vitamins B co-administration in a rodent model of tardive dyskinesia. Metab Brain Dis 28:53–9. https://doi.org/10.1007/s11011-012-9345-3</w:t>
      </w:r>
    </w:p>
    <w:p w14:paraId="00716D0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Dhingra D, Goswami S, Gahalain N (2018) Protective effect of hesperetin against haloperidol-induced orofacial dyskinesia and catalepsy in rats. Nutr Neurosci 21:667–675. https://doi.org/10.1080/1028415X.2017.1338549</w:t>
      </w:r>
    </w:p>
    <w:p w14:paraId="1A707532"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Ellingrod VL, Schultz SK, Arndt S (2002) Abnormal movements and tardive dyskinesia in smokers and nonsmokers with schizophrenia genotyped for cytochrome P450 2D6. Pharmacotherapy 22:1416–9</w:t>
      </w:r>
    </w:p>
    <w:p w14:paraId="674CB5D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lastRenderedPageBreak/>
        <w:t>Fedorenko OY, Loonen AJM, Lang F, et al (2014) Association study indicates a protective role of phosphatidylinositol-4-phosphate-5-kinase against tardive dyskinesia. Int J Neuropsychopharmacol 18:. https://doi.org/10.1093/ijnp/pyu098</w:t>
      </w:r>
    </w:p>
    <w:p w14:paraId="04E9B532"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Fu Y, Fan C, Deng H, et al (2006) Association of CYP2D6 and CYP1A2 gene polymorphism with tardive dyskinesia in Chinese schizophrenic patients. Acta Pharmacol Sin 27:328–32. https://doi.org/10.1111/j.1745-7254.2006.00279.x</w:t>
      </w:r>
    </w:p>
    <w:p w14:paraId="14D8E92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Gaitonde EJ, Morris A, Sivagnanasundaram S, et al (1996) Assessment of association of D3 dopamine receptor MscI polymorphism with schizophrenia: analysis of symptom ratings, family history, age at onset, and movement disorders. Am J Med Genet 67:455–8. https://doi.org/10.1002/(SICI)1096-8628(19960920)67:5&lt;455::AID-AJMG3&gt;3.0.CO;2-J</w:t>
      </w:r>
    </w:p>
    <w:p w14:paraId="60743FA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Garcia-Barceló MM, Lam LC, Ungvari GS, et al (2001) Dopamine D3 receptor gene and tardive dyskinesia in Chinese schizophrenic patients. J Neural Transm 108:671–7. https://doi.org/10.1007/s007020170044</w:t>
      </w:r>
    </w:p>
    <w:p w14:paraId="66BB9B8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Greenbaum L, Alkelai A, Zozulinsky P, et al (2012) Support for association of HSPG2 with tardive dyskinesia in Caucasian populations. Pharmacogenomics J 12:513–20. https://doi.org/10.1038/tpj.2011.32</w:t>
      </w:r>
    </w:p>
    <w:p w14:paraId="464A4F0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Grossman I, Sullivan PF, Walley N, et al (2008) Genetic determinants of variable metabolism have little impact on the clinical use of leading antipsychotics in the CATIE study. Genet Med 10:720–9. https://doi.org/10.1097/GIM.0b013e3181863239</w:t>
      </w:r>
    </w:p>
    <w:p w14:paraId="2BC78AB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Grover S, Kumar P, Singh K, et al (2013) Possible beneficial effect of peroxisome proliferator-activated receptor (PPAR)--α and γ agonist against a rat model of oral dyskinesia. Pharmacol Biochem Behav 111:17–23. https://doi.org/10.1016/j.pbb.2013.08.001</w:t>
      </w:r>
    </w:p>
    <w:p w14:paraId="2121D5B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Herken H, Erdal ME, Böke O, Savaş HA (2003) Tardive dyskinesia is not associated with the polymorphisms of 5-HT2A receptor gene, serotonin transporter gene and catechol-o-methyltransferase gene. Eur Psychiatry 18:77–81</w:t>
      </w:r>
    </w:p>
    <w:p w14:paraId="2A10A6A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Hernandez G, Mahmoudi S, Cyr M, et al (2019) Tardive dyskinesia is associated with altered putamen Akt/GSK-3β signaling in nonhuman primates. Mov Disord 34:717–726. https://doi.org/10.1002/mds.27630</w:t>
      </w:r>
    </w:p>
    <w:p w14:paraId="5BD5E7A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Hitzeroth A, Niehaus DJH, Koen L, et al (2007) Association between the MnSOD Ala-9Val polymorphism and development of schizophrenia and abnormal involuntary movements in the Xhosa population. Prog Neuropsychopharmacol Biol Psychiatry 31:664–72. https://doi.org/10.1016/j.pnpbp.2006.12.019</w:t>
      </w:r>
    </w:p>
    <w:p w14:paraId="3823BD3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Hori H, Ohmori O, Shinkai T, et al (2001) Association between three functional polymorphisms of dopamine D2 receptor gene and tardive dyskinesia in schizophrenia. Am J Med Genet 105:774–8</w:t>
      </w:r>
    </w:p>
    <w:p w14:paraId="4E1FBE6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Hori H, Ohmori O, Shinkai T, et al (2000) Manganese superoxide dismutase gene polymorphism and schizophrenia: relation to tardive dyskinesia. Neuropsychopharmacology 23:170–7. https://doi.org/10.1016/S0893-133X(99)00156-6</w:t>
      </w:r>
    </w:p>
    <w:p w14:paraId="32D7545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Hsieh C-J, Chen Y-C, Lai M-S, et al (2011) Genetic variability in serotonin receptor and transporter genes may influence risk for tardive dyskinesia in chronic schizophrenia. Psychiatry Res 188:175–6. https://doi.org/10.1016/j.psychres.2010.10.006</w:t>
      </w:r>
    </w:p>
    <w:p w14:paraId="09CAB9C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Hui L, Han M, Huang XF, et al (2015) Possible association between DBH 19 bp insertion/deletion polymorphism and clinical symptoms in schizophrenia with tardive dyskinesia. J Neural Transm 122:907–14. https://doi.org/10.1007/s00702-014-1327-7</w:t>
      </w:r>
    </w:p>
    <w:p w14:paraId="41453DD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Hui L, Han M, Yin GZ, et al (2017) Association between DBH 19bp insertion/deletion polymorphism and cognition in schizophrenia with and without tardive dyskinesia. Schizophr Res 182:104–109. https://doi.org/10.1016/j.schres.2016.10.028</w:t>
      </w:r>
    </w:p>
    <w:p w14:paraId="186320D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Inada T, Senoo H, Iijima Y, et al (2003) Cytochrome P450 II D6 gene polymorphisms and the neuroleptic-induced extrapyramidal symptoms in Japanese schizophrenic patients. Psychiatr Genet 13:163–8. https://doi.org/10.1097/00041444-200309000-00005</w:t>
      </w:r>
    </w:p>
    <w:p w14:paraId="2DEF1AD1"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 xml:space="preserve">Ivanova SA, Al Hadithy AFY, Brazovskaya N, et al (2012a) No involvement of the adenosine A2A receptor in tardive dyskinesia in Russian psychiatric inpatients from Siberia. </w:t>
      </w:r>
      <w:r w:rsidRPr="0082167D">
        <w:rPr>
          <w:rFonts w:ascii="Palatino Linotype" w:hAnsi="Palatino Linotype"/>
          <w:noProof/>
          <w:sz w:val="18"/>
          <w:lang w:val="en-GB"/>
        </w:rPr>
        <w:lastRenderedPageBreak/>
        <w:t>Hum Psychopharmacol 27:334–7. https://doi.org/10.1002/hup.2226</w:t>
      </w:r>
    </w:p>
    <w:p w14:paraId="48E4877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Ivanova SA, Filipenko ML, Vyalova NM, et al (2016a) CYP1A2 and CYP2D6 Gene Polymorphisms in Schizophrenic Patients with Neuroleptic Drug-Induced Side Effects. Bull Exp Biol Med 160:687–90. https://doi.org/10.1007/s10517-016-3250-4</w:t>
      </w:r>
    </w:p>
    <w:p w14:paraId="022CA06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Ivanova SA, Geers LM, Al Hadithy AFY, et al (2014) Dehydroepiandrosterone sulphate as a putative protective factor against tardive dyskinesia. Prog Neuropsychopharmacol Biol Psychiatry 50:172–7. https://doi.org/10.1016/j.pnpbp.2013.12.015</w:t>
      </w:r>
    </w:p>
    <w:p w14:paraId="0512DC5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Ivanova SA, Loonen AJ, Bakker PR, et al (2016b) Likelihood of mechanistic roles for dopaminergic, serotonergic and glutamatergic receptors in tardive dyskinesia: A comparison of genetic variants in two independent patient populations. SAGE Open Med 4:205031211664367. https://doi.org/10.1177/2050312116643673</w:t>
      </w:r>
    </w:p>
    <w:p w14:paraId="3F9C1402"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Ivanova SA, Loonen AJM, Pechlivanoglou P, et al (2012b) NMDA receptor genotypes associated with the vulnerability to develop dyskinesia. Transl Psychiatry 2:e67. https://doi.org/10.1038/tp.2011.66</w:t>
      </w:r>
    </w:p>
    <w:p w14:paraId="61B85AB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Ivanova SA, Toshchakova VA, Filipenko ML, et al (2015) Cytochrome P450 1A2 co-determines neuroleptic load and may diminish tardive dyskinesia by increased inducibility. World J Biol Psychiatry 16:200–5. https://doi.org/10.3109/15622975.2014.995222</w:t>
      </w:r>
    </w:p>
    <w:p w14:paraId="787E2D9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Jaanson P, Marandi T, Kiivet R-A, et al (2002) Maintenance therapy with zuclopenthixol decanoate: associations between plasma concentrations, neurological side effects and CYP2D6 genotype. Psychopharmacology (Berl) 162:67–73. https://doi.org/10.1007/s00213-002-1059-5</w:t>
      </w:r>
    </w:p>
    <w:p w14:paraId="1BA91D9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Kaiser R, Tremblay P-B, Klufmöller F, et al (2002) Relationship between adverse effects of antipsychotic treatment and dopamine D(2) receptor polymorphisms in patients with schizophrenia. Mol Psychiatry 7:695–705. https://doi.org/10.1038/sj.mp.4001054</w:t>
      </w:r>
    </w:p>
    <w:p w14:paraId="41E18C1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Kajero JA, Seedat S, Ohaeri J, et al (2020) Investigation of the effects of cannabidiol on vacuous chewing movements, locomotion, oxidative stress and blood glucose in rats treated with oral haloperidol. World J Biol Psychiatry 21:612–626. https://doi.org/10.1080/15622975.2020.1752934</w:t>
      </w:r>
    </w:p>
    <w:p w14:paraId="04C729F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Kang S-G, Lee H-J, Yoon H-K, et al (2013) There is no evidence for an association between the serotonin receptor 3A gene C178T polymorphism and tardive dyskinesia in Korean schizophrenia patients. Nord J Psychiatry 67:214–8. https://doi.org/10.3109/08039488.2012.732114</w:t>
      </w:r>
    </w:p>
    <w:p w14:paraId="67A1AEA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Kapitany T, Meszaros K, Lenzinger E, et al (1998) Genetic polymorphisms for drug metabolism (CYP2D6) and tardive dyskinesia in schizophrenia. Schizophr Res 32:101–6</w:t>
      </w:r>
    </w:p>
    <w:p w14:paraId="40B58F1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Khan MM, Xiao J, Hollingsworth TJ, et al (2019) Gnal haploinsufficiency causes genomic instability and increased sensitivity to haloperidol. Exp Neurol 318:61–70. https://doi.org/10.1016/j.expneurol.2019.04.014</w:t>
      </w:r>
    </w:p>
    <w:p w14:paraId="1040149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Kim I-S, Yoon H-K, Kang S-G, et al (2012) No association between PAWR gene polymorphisms and tardive dyskinesia in schizophrenia patients. Psychiatry Investig 9:191–4. https://doi.org/10.4306/pi.2012.9.2.191</w:t>
      </w:r>
    </w:p>
    <w:p w14:paraId="0562C28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Kimura T, Shono M, Yokota S, et al (2000) Apolipoprotein E epsilon4 and tardive dyskinesia in a Japanese population. J Psychiatr Res 34:329–32. https://doi.org/10.1016/s0022-3956(00)00023-6</w:t>
      </w:r>
    </w:p>
    <w:p w14:paraId="38CD1DB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Koning JP, Vehof J, Burger H, et al (2012) Association of two DRD2 gene polymorphisms with acute and tardive antipsychotic-induced movement disorders in young Caucasian patients. Psychopharmacology (Berl) 219:727–36. https://doi.org/10.1007/s00213-011-2394-1</w:t>
      </w:r>
    </w:p>
    <w:p w14:paraId="2FFAC90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Koola MM, Tsapakis EM, Wright P, et al (2014) Association of tardive dyskinesia with variation in CYP2D6: Is there a role for active metabolites? J Psychopharmacol 28:665–70. https://doi.org/10.1177/0269881114523861</w:t>
      </w:r>
    </w:p>
    <w:p w14:paraId="42FFFF6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Kronbauer M, Metz VG, Roversi K, et al (2017) Influence of magnesium supplementation on movement side effects related to typical antipsychotic treatment in rats. Behav Brain Res 320:400–411. https://doi.org/10.1016/j.bbr.2016.10.049</w:t>
      </w:r>
    </w:p>
    <w:p w14:paraId="71F683D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Lai I-C, Chen M-L, Wang Y-C, et al (2011a) Analysis of genetic variations in the human melatonin receptor (MTNR1A, MTNR1B) genes and antipsychotics-induced tardive dyskinesia in schizophrenia. World J Biol Psychiatry 12:143–8. https://doi.org/10.3109/15622975.2010.496870</w:t>
      </w:r>
    </w:p>
    <w:p w14:paraId="192C8C0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lastRenderedPageBreak/>
        <w:t>Lai I-C, Liao D-L, Bai Y-M, et al (2002) Association study of the estrogen receptor polymorphisms with tardive dyskinesia in schizophrenia. Neuropsychobiology 46:173–5. https://doi.org/10.1159/000067808</w:t>
      </w:r>
    </w:p>
    <w:p w14:paraId="5D048F9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Lai I-C, Mo G-H, Chen M-L, et al (2011b) Analysis of genetic variations in the dopamine D1 receptor (DRD1) gene and antipsychotics-induced tardive dyskinesia in schizophrenia. Eur J Clin Pharmacol 67:383–388. https://doi.org/10.1007/s00228-010-0967-2</w:t>
      </w:r>
    </w:p>
    <w:p w14:paraId="130512F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Lam LC, Garcia-Barcelo MM, Ungvari GS, et al (2001) Cytochrome P450 2D6 genotyping and association with tardive dyskinesia in Chinese schizophrenic patients. Pharmacopsychiatry 34:238–41. https://doi.org/10.1055/s-2001-18035</w:t>
      </w:r>
    </w:p>
    <w:p w14:paraId="44B513F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Lanning R, Lett TA, Tiwari AK, et al (2017) Association study between the neurexin-1 gene and tardive dyskinesia. Hum Psychopharmacol 32:. https://doi.org/10.1002/hup.2568</w:t>
      </w:r>
    </w:p>
    <w:p w14:paraId="71CB2E09"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Lerer B, Segman RH, Fangerau H, et al (2002) Pharmacogenetics of tardive dyskinesia: combined analysis of 780 patients supports association with dopamine D3 receptor gene Ser9Gly polymorphism. Neuropsychopharmacology 27:105–19. https://doi.org/10.1016/S0893-133X(02)00293-2</w:t>
      </w:r>
    </w:p>
    <w:p w14:paraId="1AB20A8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Levchenko A, Vyalova N, Pozhidaev I V, et al (2019) No evidence so far of a major role of AKT1 and GSK3B in the pathogenesis of antipsychotic-induced tardive dyskinesia. https://doi.org/10.1002/hup.2685</w:t>
      </w:r>
    </w:p>
    <w:p w14:paraId="3B4AAF3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Lévesque C, Hernandez G, Mahmoudi S, et al (2017) Deficient striatal adaptation in aminergic and glutamatergic neurotransmission is associated with tardive dyskinesia in non-human primates exposed to antipsychotic drugs. Neuroscience 361:43–57. https://doi.org/10.1016/j.neuroscience.2017.07.068</w:t>
      </w:r>
    </w:p>
    <w:p w14:paraId="3B319AF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Li H, Tan Y, Wang Z, et al (2013) Association study on tardive dyskinesia and polymorphisms in COMT and MAOA in Chinese population. Psychiatr Genet 23:176. https://doi.org/10.1097/YPG.0b013e32835e8df6</w:t>
      </w:r>
    </w:p>
    <w:p w14:paraId="7912CD7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Liao DL, Yeh YC, Chen HM, et al (2001) Association between the Ser9Gly polymorphism of the dopamine D3 receptor gene and tardive dyskinesia in Chinese schizophrenic patients. Neuropsychobiology 44:95–8. https://doi.org/10.1159/000054924</w:t>
      </w:r>
    </w:p>
    <w:p w14:paraId="6161695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Liou Y-J, Lai I-C, Liao D-L, et al (2006) The human dopamine receptor D2 (DRD2) gene is associated with tardive dyskinesia in patients with schizophrenia. Schizophr Res 86:323–325. https://doi.org/10.1016/j.schres.2006.04.008</w:t>
      </w:r>
    </w:p>
    <w:p w14:paraId="7112BBB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Liou Y-J, Wang Y-C, Bai Y-M, et al (2004) Cytochrome P-450 2D6*10 C188T polymorphism is associated with antipsychotic-induced persistent tardive dyskinesia in Chinese schizophrenic patients. Neuropsychobiology 49:167–73. https://doi.org/10.1159/000077360</w:t>
      </w:r>
    </w:p>
    <w:p w14:paraId="76B8538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Lohmann PL, Bagli M, Krauss H, et al (2003) CYP2D6 polymorphism and tardive dyskinesia in schizophrenic patients. Pharmacopsychiatry 36:73–8. https://doi.org/10.1055/s-2003-39048</w:t>
      </w:r>
    </w:p>
    <w:p w14:paraId="1868C87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Løvlie R, Daly AK, Blennerhassett R, et al (2000) Homozygosity for the Gly-9 variant of the dopamine D3 receptor and risk for tardive dyskinesia in schizophrenic patients. Int J Neuropsychopharmacol 3:61–65. https://doi.org/10.1017/S1461145700001796</w:t>
      </w:r>
    </w:p>
    <w:p w14:paraId="06E0660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Lu JY, Tiwari AK, Freeman N, et al (2020) Liver enzyme CYP2D6 gene and tardive dyskinesia. Pharmacogenomics 21:1065–1072. https://doi.org/10.2217/pgs-2020-0065</w:t>
      </w:r>
    </w:p>
    <w:p w14:paraId="69B64B91"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Lu JY, Tiwari AK, Zai GC, et al (2018) Association study of Disrupted-In-Schizophrenia-1 gene variants and tardive dyskinesia. Neurosci Lett 686:17–22. https://doi.org/10.1016/j.neulet.2018.08.007</w:t>
      </w:r>
    </w:p>
    <w:p w14:paraId="117DE8A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Maes MS, Lu JY, Tiwari AK, et al (2021) Schizophrenia-associated gene dysbindin-1 and tardive dyskinesia. Drug Dev Res 82:678–684. https://doi.org/10.1002/ddr.21681</w:t>
      </w:r>
    </w:p>
    <w:p w14:paraId="2652DC2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Mahmoudi S, Blanchet PJ, Lévesque D (2013) Haloperidol-induced striatal Nur77 expression in a non-human primate model of tardive dyskinesia. Eur J Neurosci 38:2192–8. https://doi.org/10.1111/ejn.12198</w:t>
      </w:r>
    </w:p>
    <w:p w14:paraId="53D4B8A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Mahmoudi S, Lévesque D, Blanchet PJ (2014) Upregulation of dopamine D3, not D2, receptors correlates with tardive dyskinesia in a primate model. Mov Disord 29:1125–1133. https://doi.org/10.1002/mds.25909</w:t>
      </w:r>
    </w:p>
    <w:p w14:paraId="22BDD65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lastRenderedPageBreak/>
        <w:t>Matsumoto C, Ohmori O, Shinkai T, et al (2004a) Genetic association analysis of functional polymorphisms in the cytochrome P450 1A2 (CYP1A2) gene with tardive dyskinesia in Japanese patients with schizophrenia. Psychiatr Genet 14:209–13</w:t>
      </w:r>
    </w:p>
    <w:p w14:paraId="67D5578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Matsumoto C, Shinkai T, Hori H, et al (2004b) Polymorphisms of dopamine degradation enzyme (COMT and MAO) genes and tardive dyskinesia in patients with schizophrenia. Psychiatry Res 127:1–7. https://doi.org/10.1016/j.psychres.2004.03.011</w:t>
      </w:r>
    </w:p>
    <w:p w14:paraId="7E8B69D2"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Miksys S, Wadji FB, Tolledo EC, et al (2017) Rat brain CYP2D enzymatic metabolism alters acute and chronic haloperidol side-effects by different mechanisms. Prog Neuropsychopharmacol Biol Psychiatry 78:140–148. https://doi.org/10.1016/j.pnpbp.2017.04.030</w:t>
      </w:r>
    </w:p>
    <w:p w14:paraId="45679BB1"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Nade VS, Shendye N V, Kawale LA, et al (2013) Protective effect of nebivolol on reserpine-induced neurobehavioral and biochemical alterations in rats. Neurochem Int 63:316–21. https://doi.org/10.1016/j.neuint.2013.07.002</w:t>
      </w:r>
    </w:p>
    <w:p w14:paraId="32CCBFA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Nagaoka K, Nagashima T, Asaoka N, et al (2021) Striatal TRPV1 activation by acetaminophen ameliorates dopamine D2 receptor antagonist-induced orofacial dyskinesia. JCI insight 6:. https://doi.org/10.1172/jci.insight.145632</w:t>
      </w:r>
    </w:p>
    <w:p w14:paraId="73E02D4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Nikoloff D, Shim JC, Fairchild M, et al (2002) Association between CYP2D6 genotype and tardive dyskinesia in Korean schizophrenics. Pharmacogenomics J 2:400–7. https://doi.org/10.1038/sj.tpj.6500138</w:t>
      </w:r>
    </w:p>
    <w:p w14:paraId="7A36A41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Ohmori, Kojima, Shinkai, et al (1999) Genetic association analysis between CYP2D6*2 allele and tardive dyskinesia in schizophrenic patients. Psychiatry Res 87:239–44</w:t>
      </w:r>
    </w:p>
    <w:p w14:paraId="1D41B3F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Ohmori O, Shinkai T, Hori H, et al (2001) Polymorphisms of mu and delta opioid receptor genes and tardive dyskinesia in patients with schizophrenia. Schizophr Res 52:137–8. https://doi.org/10.1016/s0920-9964(00)00188-2</w:t>
      </w:r>
    </w:p>
    <w:p w14:paraId="7CA2BC3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Ohmori O, Shinkai T, Hori H, Nakamura J (2002) Genetic association analysis of 5-HT(6) receptor gene polymorphism (267C/T) with tardive dyskinesia. Psychiatry Res 110:97–102</w:t>
      </w:r>
    </w:p>
    <w:p w14:paraId="0A1B528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Ohmori O, Suzuki T, Kojima H, et al (1998) Tardive dyskinesia and debrisoquine 4-hydroxylase (CYP2D6) genotype in Japanese schizophrenics. Schizophr Res 32:107–13</w:t>
      </w:r>
    </w:p>
    <w:p w14:paraId="55393ED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Oliveira PA de, Dalton JAR, López-Cano M, et al (2017) Angiotensin II type 1/adenosine A 2A receptor oligomers: a novel target for tardive dyskinesia. Sci Rep 7:1857. https://doi.org/10.1038/s41598-017-02037-z</w:t>
      </w:r>
    </w:p>
    <w:p w14:paraId="102C6A0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Park Y-M, Kang S-G, Choi J-E, et al (2011) No Evidence for an Association between Dopamine D2 Receptor Polymorphisms and Tardive Dyskinesia in Korean Schizophrenia Patients. Psychiatry Investig 8:49–54. https://doi.org/10.4306/pi.2011.8.1.49</w:t>
      </w:r>
    </w:p>
    <w:p w14:paraId="12EBDFD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Patil RA, Hiray YA, Kasture SB (2012) Reversal of reserpine-induced orofacial dyskinesia and catalepsy by Nardostachys jatamansi. Indian J Pharmacol 44:340–4. https://doi.org/10.4103/0253-7613.96307</w:t>
      </w:r>
    </w:p>
    <w:p w14:paraId="7DF7F4E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Peroza LR, Schaffer LF, De Freitas CM, et al (2016) Alteration of Cytokines Levels in the Striatum of Rats: Possible Participation in Vacuous Chewing Movements Induced by Antipsycotics. Neurochem Res 41:2481–9. https://doi.org/10.1007/s11064-016-1961-6</w:t>
      </w:r>
    </w:p>
    <w:p w14:paraId="2C7B370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Plesnicar BK, Zalar B, Breskvar K, Dolzan V (2006) The influence of the CYP2D6 polymorphism on psychopathological and extrapyramidal symptoms in the patients on long-term antipsychotic treatment. J Psychopharmacol 20:829–33. https://doi.org/10.1177/0269881106062894</w:t>
      </w:r>
    </w:p>
    <w:p w14:paraId="0DFB042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Pozhidaev I V, Paderina DZ, Fedorenko OY, et al (2020) 5-Hydroxytryptamine Receptors and Tardive Dyskinesia in Schizophrenia. Front Mol Neurosci 13:63. https://doi.org/10.3389/fnmol.2020.00063</w:t>
      </w:r>
    </w:p>
    <w:p w14:paraId="71DB024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Reinheimer JB, Bressan GN, de Freitas CM, et al (2020) Effects of CATECHIN on reserpine-induced vacuous chewing movements: behavioral and biochemical analysis. Naunyn Schmiedebergs Arch Pharmacol 393:2439–2452. https://doi.org/10.1007/s00210-020-01923-0</w:t>
      </w:r>
    </w:p>
    <w:p w14:paraId="79F2CA1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Rietschel M, Krauss H, Müller DJ, et al (2000) Dopamine D3 receptor variant and tardive dyskinesia. Eur Arch Psychiatry Clin Neurosci 250:31–5</w:t>
      </w:r>
    </w:p>
    <w:p w14:paraId="723F90A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 xml:space="preserve">Röpke J, Busanello A, Leal CQ, et al (2014) Anandamide attenuates haloperidol-induced vacuous chewing movements in rats. Prog Neuropsychopharmacol Biol Psychiatry </w:t>
      </w:r>
      <w:r w:rsidRPr="0082167D">
        <w:rPr>
          <w:rFonts w:ascii="Palatino Linotype" w:hAnsi="Palatino Linotype"/>
          <w:noProof/>
          <w:sz w:val="18"/>
          <w:lang w:val="en-GB"/>
        </w:rPr>
        <w:lastRenderedPageBreak/>
        <w:t>54:195–9. https://doi.org/10.1016/j.pnpbp.2014.04.006</w:t>
      </w:r>
    </w:p>
    <w:p w14:paraId="0B9DF8D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Röpke J, Ferreira-Vieira TH, Iglesias LP, et al (2021) Protective role of endocannabinoid signaling in an animal model of haloperidol-induced tardive dyskinesia. Pharmacol Biochem Behav 206:173193. https://doi.org/10.1016/j.pbb.2021.173193</w:t>
      </w:r>
    </w:p>
    <w:p w14:paraId="4661232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Samad N, Haleem DJ (2017) Antioxidant effects of rice bran oil mitigate repeated haloperidol-induced tardive dyskinesia in male rats. Metab Brain Dis 32:1099–1107. https://doi.org/10.1007/s11011-017-0002-8</w:t>
      </w:r>
    </w:p>
    <w:p w14:paraId="178E8C7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Schaffer LF, de Freitas CM, Chiapinotto Ceretta AP, et al (2016) Harpagophytum Procumbens Ethyl Acetate Fraction Reduces Fluphenazine-Induced Vacuous Chewing Movements and Oxidative Stress in Rat Brain. Neurochem Res 41:1170–84. https://doi.org/10.1007/s11064-015-1811-y</w:t>
      </w:r>
    </w:p>
    <w:p w14:paraId="52AEE63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Schulze TG, Schumacher J, Müller DJ, et al (2001) Lack of association between a functional polymorphism of the cytochrome P450 1A2 (CYP1A2) gene and tardive dyskinesia in schizophrenia. Am J Med Genet 105:498–501</w:t>
      </w:r>
    </w:p>
    <w:p w14:paraId="1AC31FB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Scordo MG, Spina E, Romeo P, et al (2000) CYP2D6 genotype and antipsychotic-induced extrapyramidal side effects in schizophrenic patients. Eur J Clin Pharmacol 56:679–83. https://doi.org/10.1007/s002280000222</w:t>
      </w:r>
    </w:p>
    <w:p w14:paraId="4AA5088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 Neeman T, Heresco-Levy U, et al (1999) Genotypic association between the dopamine D3 receptor and tardive dyskinesia in chronic schizophrenia. Mol Psychiatry 4:247–53</w:t>
      </w:r>
    </w:p>
    <w:p w14:paraId="3845C4D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RH, Goltser T, Heresco-Levy U, et al (2003) Association of dopaminergic and serotonergic genes with tardive dyskinesia in patients with chronic schizophrenia. Pharmacogenomics J 3:277–83. https://doi.org/10.1038/sj.tpj.6500194</w:t>
      </w:r>
    </w:p>
    <w:p w14:paraId="679E429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RH, Heresco-Levy U, Finkel B, et al (2000) Association between the serotonin 2C receptor gene and tardive dyskinesia in chronic schizophrenia: additive contribution of 5-HT2Cser and DRD3gly alleles to susceptibility. Psychopharmacology (Berl) 152:408–13</w:t>
      </w:r>
    </w:p>
    <w:p w14:paraId="3D6DF28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RH, Heresco-Levy U, Finkel B, et al (2001) Association between the serotonin 2A receptor gene and tardive dyskinesia in chronic schizophrenia. Mol Psychiatry 6:225–9. https://doi.org/10.1038/sj.mp.4000842</w:t>
      </w:r>
    </w:p>
    <w:p w14:paraId="3DFCE93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RH, Heresco-Levy U, Yakir A, et al (2002a) Interactive effect of cytochrome P450 17alpha-hydroxylase and dopamine D3 receptor gene polymorphisms on abnormal involuntary movements in chronic schizophrenia. Biol Psychiatry 51:261–3. https://doi.org/10.1016/s0006-3223(01)01302-6</w:t>
      </w:r>
    </w:p>
    <w:p w14:paraId="2A8B150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Segman RH, Shapira Y, Modai I, et al (2002b) Angiotensin converting enzyme gene insertion/deletion polymorphism: case-control association studies in schizophrenia, major affective disorder, and tardive dyskinesia and a family-based association study in schizophrenia. Am J Med Genet 114:310–4. https://doi.org/10.1002/ajmg.10255</w:t>
      </w:r>
    </w:p>
    <w:p w14:paraId="34B3978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Sekiguchi K, Kanno H, Yamaguchi T, et al (2012) Ameliorative effect of yokukansan on vacuous chewing movement in haloperidol-induced rat tardive dyskinesia model and involvement of glutamatergic system. Brain Res Bull 89:151–8. https://doi.org/10.1016/j.brainresbull.2012.08.008</w:t>
      </w:r>
    </w:p>
    <w:p w14:paraId="68C8B68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Shi J, Tan YL, Wang ZR, et al (2016) Ginkgo biloba and vitamin E ameliorate haloperidol-induced vacuous chewingmovement and brain-derived neurotrophic factor expression in a rat tardive dyskinesia model. Pharmacol Biochem Behav 148:53–8. https://doi.org/10.1016/j.pbb.2016.06.003</w:t>
      </w:r>
    </w:p>
    <w:p w14:paraId="771085B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Shinkai T, De Luca V, Hwang R, et al (2005) Association study between a functional glutathione S-transferase (GSTP1) gene polymorphism (Ile105Val) and tardive dyskinesia. Neurosci Lett 388:116–20. https://doi.org/10.1016/j.neulet.2005.06.038</w:t>
      </w:r>
    </w:p>
    <w:p w14:paraId="4FE650F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Shinkai T, Müller DJ, De Luca V, et al (2006) Genetic association analysis of the glutathione peroxidase (GPX1) gene polymorphism (Pro197Leu) with tardive dyskinesia. Psychiatry Res 141:123–8. https://doi.org/10.1016/j.psychres.2004.06.023</w:t>
      </w:r>
    </w:p>
    <w:p w14:paraId="51BCCFE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Shinkai T, Ohmori O, Matsumoto C, et al (2004) Genetic association analysis of neuronal nitric oxide synthase gene polymorphism with tardive dyskinesia. Neuromolecular Med 5:163–70. https://doi.org/10.1385/NMM:5:2:163</w:t>
      </w:r>
    </w:p>
    <w:p w14:paraId="53807EE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 xml:space="preserve">Son W-Y, Lee H-J, Yoon H-K, et al (2014) Gaba transporter SLC6A11 gene polymorphism associated with tardive dyskinesia. Nord J Psychiatry 68:123–8. </w:t>
      </w:r>
      <w:r w:rsidRPr="0082167D">
        <w:rPr>
          <w:rFonts w:ascii="Palatino Linotype" w:hAnsi="Palatino Linotype"/>
          <w:noProof/>
          <w:sz w:val="18"/>
          <w:lang w:val="en-GB"/>
        </w:rPr>
        <w:lastRenderedPageBreak/>
        <w:t>https://doi.org/10.3109/08039488.2013.780260</w:t>
      </w:r>
    </w:p>
    <w:p w14:paraId="039211CF"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Sonego AB, Prado DS, Vale GT, et al (2018) Cannabidiol prevents haloperidol-induced vacuos chewing movements and inflammatory changes in mice via PPARγ receptors. Brain Behav Immun 74:241–251. https://doi.org/10.1016/j.bbi.2018.09.014</w:t>
      </w:r>
    </w:p>
    <w:p w14:paraId="15C1DF29"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Soung H-S, Wang M-H, Chang K-C, et al (2018) L-Theanine Decreases Orofacial Dyskinesia Induced by Reserpine in Rats. Neurotox Res 34:375–387. https://doi.org/10.1007/s12640-018-9897-z</w:t>
      </w:r>
    </w:p>
    <w:p w14:paraId="499ADAC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Srivastava V, Varma PG, Prasad S, et al (2006) Genetic susceptibility to tardive dyskinesia among schizophrenia subjects: IV. Role of dopaminergic pathway gene polymorphisms. Pharmacogenet Genomics 16:111–7. https://doi.org/10.1097/01.fpc.0000184957.98150.0f</w:t>
      </w:r>
    </w:p>
    <w:p w14:paraId="54C79E3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Steen VM, Løvlie R, MacEwan T, McCreadie RG (1997) Dopamine D3-receptor gene variant and susceptibility to tardive dyskinesia in schizophrenic patients. Mol Psychiatry 2:139–45</w:t>
      </w:r>
    </w:p>
    <w:p w14:paraId="090D9E5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Sun H, Wang F, Fan H, et al (2013) The interaction of polymorphisms of IL10 and DBH was associated with general symptoms of PANSS with TD in Chinese Han schizophrenic patients. PLoS One 8:e70963. https://doi.org/10.1371/journal.pone.0070963</w:t>
      </w:r>
    </w:p>
    <w:p w14:paraId="6A803AD5"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Tan EC, Chong SA, Mahendran R, et al (2001) Susceptibility to neuroleptic-induced tardive dyskinesia and the T102C polymorphism in the serotonin type 2A receptor. Biol Psychiatry 50:144–7</w:t>
      </w:r>
    </w:p>
    <w:p w14:paraId="545DE54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Thakur KS, Prakash A, Bisht R, Bansal PK (2015) Beneficial effect of candesartan and lisinopril against haloperidol-induced tardive dyskinesia in rat. J Renin Angiotensin Aldosterone Syst 16:917–29. https://doi.org/10.1177/1470320313515038</w:t>
      </w:r>
    </w:p>
    <w:p w14:paraId="3132B8B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Tiwari AK, Deshpande SN, Rao AR, et al (2005a) Genetic susceptibility to tardive dyskinesia in chronic schizophrenia subjects: I. Association of CYP1A2 gene polymorphism. Pharmacogenomics J 5:60–9. https://doi.org/10.1038/sj.tpj.6500282</w:t>
      </w:r>
    </w:p>
    <w:p w14:paraId="01E4A34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Tiwari AK, Deshpande SN, Rao AR, et al (2005b) Genetic susceptibility to tardive dyskinesia in chronic schizophrenia subjects: III. Lack of association of CYP3A4 and CYP2D6 gene polymorphisms. Schizophr Res 75:21–6. https://doi.org/10.1016/j.schres.2004.12.011</w:t>
      </w:r>
    </w:p>
    <w:p w14:paraId="3B5915D1"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Tiwari AK, Zai CC, Likhodi O, et al (2012) Association study of cannabinoid receptor 1 (CNR1) gene in tardive dyskinesia. Pharmacogenomics J 12:260–6. https://doi.org/10.1038/tpj.2010.93</w:t>
      </w:r>
    </w:p>
    <w:p w14:paraId="63A6B4C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Tsai C-C, Wang M-H, Chang K-C, et al (2019) Possible nitric oxide mechanism involved in the protective effect of L-theanine on haloperidol-induced orofacial dyskinesia. Chin J Physiol 62:17–26. https://doi.org/10.4103/CJP.CJP_8_19</w:t>
      </w:r>
    </w:p>
    <w:p w14:paraId="0D728D4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Turčin A, Dolžan V, Porcelli S, et al (2016) Adenosine Hypothesis of Antipsychotic Drugs Revisited: Pharmacogenomics Variation in Nonacute Schizophrenia. OMICS 20:283–9. https://doi.org/10.1089/omi.2016.0003</w:t>
      </w:r>
    </w:p>
    <w:p w14:paraId="7EA2220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Utsunomiya K, Shinkai T, Sakata S, et al (2012) Genetic association between the dopamine D3 receptor gene polymorphism (Ser9Gly) and tardive dyskinesia in patients with schizophrenia: a reevaluation in East Asian populations. Neurosci Lett 507:52–6. https://doi.org/10.1016/j.neulet.2011.11.050</w:t>
      </w:r>
    </w:p>
    <w:p w14:paraId="2D0116FA"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Wang F, Fan H, Sun H, et al (2012) Association between TNF-α promoter -308A/G polymorphism and tardive dyskinesian Chinese Han patients with schizophrenia. Prog Neuropsychopharmacol Biol Psychiatry 37:106–10. https://doi.org/10.1016/j.pnpbp.2011.12.007</w:t>
      </w:r>
    </w:p>
    <w:p w14:paraId="1DDB4EF6"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Wang M-H, Lin R-F, Tseng H-C, et al (2015) (-) Epigallocatechin-3-gallate attenuates reserpine-induced orofacial dyskinesia and oxidative stress in rat striatum. Pharmacol Biochem Behav 131:71–6. https://doi.org/10.1016/j.pbb.2015.02.003</w:t>
      </w:r>
    </w:p>
    <w:p w14:paraId="0170FA8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Wang M-H, Yang C-C, Tseng H-C, et al (2021) Naringin Ameliorates Haloperidol-Induced Neurotoxicity and Orofacial Dyskinesia in a Rat Model of Human Tardive Dyskinesia. Neurotox Res 39:774–786. https://doi.org/10.1007/s12640-021-00333-1</w:t>
      </w:r>
    </w:p>
    <w:p w14:paraId="6648BC20"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 xml:space="preserve">Wang Y, Dong Wang J, Ran Wu H, et al (2010) The Val66Met polymorphism of the brain-derived neurotrophic factor gene is not associated with risk for schizophrenia and </w:t>
      </w:r>
      <w:r w:rsidRPr="0082167D">
        <w:rPr>
          <w:rFonts w:ascii="Palatino Linotype" w:hAnsi="Palatino Linotype"/>
          <w:noProof/>
          <w:sz w:val="18"/>
          <w:lang w:val="en-GB"/>
        </w:rPr>
        <w:lastRenderedPageBreak/>
        <w:t>tardive dyskinesia in Han Chinese population. Schizophr Res 120:240–242. https://doi.org/10.1016/j.schres.2010.03.020</w:t>
      </w:r>
    </w:p>
    <w:p w14:paraId="0F660DB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Woo S, Kim JW, Rha E, et al (2002) Association of the Ser9Gly polymorphism in the dopamine D3 receptor gene with tardive dyskinesia in Korean schizophrenics. Psychiatry Clin Neurosci 56:469–74. https://doi.org/10.1046/j.1440-1819.2002.01038.x</w:t>
      </w:r>
    </w:p>
    <w:p w14:paraId="5928EE9C"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Hwang RW, De Luca V, et al (2007) Association study of tardive dyskinesia and twelve DRD2 polymorphisms in schizophrenia patients. Int J Neuropsychopharmacol 10:639–51. https://doi.org/10.1017/S1461145706007152</w:t>
      </w:r>
    </w:p>
    <w:p w14:paraId="1256BB4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Lee FH, Tiwari AK, et al (2018) Investigation of the HSPG2 Gene in Tardive Dyskinesia - New Data and Meta-Analysis. Front Pharmacol 9:974. https://doi.org/10.3389/fphar.2018.00974</w:t>
      </w:r>
    </w:p>
    <w:p w14:paraId="245C50A4"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Romano-Silva MA, Hwang R, et al (2008) Genetic study of eight AKT1 gene polymorphisms and their interaction with DRD2 gene polymorphisms in tardive dyskinesia. Schizophr Res 106:248–52. https://doi.org/10.1016/j.schres.2008.08.036</w:t>
      </w:r>
    </w:p>
    <w:p w14:paraId="048E6AF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Basile V, et al (2009a) Association study of tardive dyskinesia and five DRD4 polymorphisms in schizophrenia patients. Pharmacogenomics J 9:168–74. https://doi.org/10.1038/tpj.2009.2</w:t>
      </w:r>
    </w:p>
    <w:p w14:paraId="66AB235B"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Basile V, et al (2010a) Oxidative stress in tardive dyskinesia: genetic association study and meta-analysis of NADPH quinine oxidoreductase 1 (NQO1) and Superoxide dismutase 2 (SOD2, MnSOD) genes. Prog Neuropsychopharmacol Biol Psychiatry 34:50–6. https://doi.org/10.1016/j.pnpbp.2009.09.020</w:t>
      </w:r>
    </w:p>
    <w:p w14:paraId="4E7843C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Chowdhury NI, et al (2019a) Genetic study of neuregulin 1 and receptor tyrosine-protein kinase erbB-4 in tardive dyskinesia. World J Biol Psychiatry 20:91–95. https://doi.org/10.1080/15622975.2017.1301681</w:t>
      </w:r>
    </w:p>
    <w:p w14:paraId="76CD34CE"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De Luca V, et al (2009b) Genetic study of BDNF, DRD3, and their interaction in tardive dyskinesia. Eur Neuropsychopharmacol 19:317–28. https://doi.org/10.1016/j.euroneuro.2009.01.001</w:t>
      </w:r>
    </w:p>
    <w:p w14:paraId="396FCB4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Mazzoco M, et al (2013) Association study of the vesicular monoamine transporter gene SLC18A2 with tardive dyskinesia. J Psychiatr Res 47:1760–1765. https://doi.org/10.1016/J.JPSYCHIRES.2013.07.025</w:t>
      </w:r>
    </w:p>
    <w:p w14:paraId="10D65A2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Müller DJ, et al (2010b) The catechol-O-methyl-transferase gene in tardive dyskinesia. World J Biol Psychiatry 11:803–12. https://doi.org/10.3109/15622975.2010.486043</w:t>
      </w:r>
    </w:p>
    <w:p w14:paraId="0A4D7193"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Zai CC, Tiwari AK, Zai GC, et al (2019b) Association Study of the Complement Component C4 Gene in Tardive Dyskinesia. Front Pharmacol 10:1339. https://doi.org/10.3389/fphar.2019.01339</w:t>
      </w:r>
    </w:p>
    <w:p w14:paraId="580ABAFD"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Zhang XY, Zhang W-F, Zhou D-F, et al (2012) Brain-derived neurotrophic factor levels and its Val66Met gene polymorphism predict tardive dyskinesia treatment response to Ginkgo biloba. Biol Psychiatry 72:700–6. https://doi.org/10.1016/j.biopsych.2012.04.032</w:t>
      </w:r>
    </w:p>
    <w:p w14:paraId="2EB46AA8"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lang w:val="en-GB"/>
        </w:rPr>
      </w:pPr>
      <w:r w:rsidRPr="0082167D">
        <w:rPr>
          <w:rFonts w:ascii="Palatino Linotype" w:hAnsi="Palatino Linotype"/>
          <w:noProof/>
          <w:sz w:val="18"/>
          <w:lang w:val="en-GB"/>
        </w:rPr>
        <w:t>Zhang Z-J, Zhang X-B, Sha W-W, et al (2002a) Association of a polymorphism in the promoter region of the serotonin 5-HT2C receptor gene with tardive dyskinesia in patients with schizophrenia. Mol Psychiatry 7:670–1. https://doi.org/10.1038/sj.mp.4001052</w:t>
      </w:r>
    </w:p>
    <w:p w14:paraId="5A6C7457" w14:textId="77777777" w:rsidR="0082167D" w:rsidRPr="0082167D" w:rsidRDefault="0082167D" w:rsidP="0082167D">
      <w:pPr>
        <w:widowControl w:val="0"/>
        <w:autoSpaceDE w:val="0"/>
        <w:autoSpaceDN w:val="0"/>
        <w:adjustRightInd w:val="0"/>
        <w:ind w:left="480" w:hanging="480"/>
        <w:rPr>
          <w:rFonts w:ascii="Palatino Linotype" w:hAnsi="Palatino Linotype"/>
          <w:noProof/>
          <w:sz w:val="18"/>
        </w:rPr>
      </w:pPr>
      <w:r w:rsidRPr="0082167D">
        <w:rPr>
          <w:rFonts w:ascii="Palatino Linotype" w:hAnsi="Palatino Linotype"/>
          <w:noProof/>
          <w:sz w:val="18"/>
          <w:lang w:val="en-GB"/>
        </w:rPr>
        <w:t>Zhang Z, Zhang X, Hou G, et al (2002b) The increased activity of plasma manganese superoxide dismutase in tardive dyskinesia is unrelated to the Ala-9Val polymorphism. J Psychiatr Res 36:317–24. https://doi.org/10.1016/s0022-3956(02)00007-9</w:t>
      </w:r>
    </w:p>
    <w:p w14:paraId="49016393" w14:textId="0DB8081F" w:rsidR="00AC3A8F" w:rsidRPr="001D4C44" w:rsidRDefault="00AC3A8F" w:rsidP="0082167D">
      <w:pPr>
        <w:widowControl w:val="0"/>
        <w:autoSpaceDE w:val="0"/>
        <w:autoSpaceDN w:val="0"/>
        <w:adjustRightInd w:val="0"/>
        <w:ind w:left="480" w:hanging="480"/>
        <w:rPr>
          <w:rFonts w:ascii="Palatino Linotype" w:hAnsi="Palatino Linotype" w:cstheme="minorHAnsi"/>
          <w:sz w:val="18"/>
          <w:szCs w:val="18"/>
        </w:rPr>
      </w:pPr>
      <w:r>
        <w:rPr>
          <w:rFonts w:ascii="Palatino Linotype" w:hAnsi="Palatino Linotype" w:cstheme="minorHAnsi"/>
          <w:sz w:val="18"/>
          <w:szCs w:val="18"/>
        </w:rPr>
        <w:fldChar w:fldCharType="end"/>
      </w:r>
    </w:p>
    <w:sectPr w:rsidR="00AC3A8F" w:rsidRPr="001D4C44" w:rsidSect="00BA6A03">
      <w:pgSz w:w="1682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52812"/>
    <w:multiLevelType w:val="hybridMultilevel"/>
    <w:tmpl w:val="25404CF4"/>
    <w:lvl w:ilvl="0" w:tplc="7B22687E">
      <w:start w:val="280"/>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733D37"/>
    <w:multiLevelType w:val="hybridMultilevel"/>
    <w:tmpl w:val="28C22580"/>
    <w:lvl w:ilvl="0" w:tplc="08090001">
      <w:start w:val="49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mson Oyebanjo">
    <w15:presenceInfo w15:providerId="AD" w15:userId="S::samson.oyebanjo@frontiersin.net::ffd6b599-9dac-418f-95e8-3fb1626d79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9DE"/>
    <w:rsid w:val="000009E3"/>
    <w:rsid w:val="000143AE"/>
    <w:rsid w:val="00014DAB"/>
    <w:rsid w:val="00017E5D"/>
    <w:rsid w:val="00023112"/>
    <w:rsid w:val="0002670D"/>
    <w:rsid w:val="00027BEB"/>
    <w:rsid w:val="000302AA"/>
    <w:rsid w:val="00032068"/>
    <w:rsid w:val="00033C8B"/>
    <w:rsid w:val="0003428D"/>
    <w:rsid w:val="00036F28"/>
    <w:rsid w:val="000409CA"/>
    <w:rsid w:val="00045A71"/>
    <w:rsid w:val="0004635A"/>
    <w:rsid w:val="00046CFB"/>
    <w:rsid w:val="00047103"/>
    <w:rsid w:val="00051B97"/>
    <w:rsid w:val="00052D43"/>
    <w:rsid w:val="00053A9A"/>
    <w:rsid w:val="00054B5A"/>
    <w:rsid w:val="00054E8E"/>
    <w:rsid w:val="000558F2"/>
    <w:rsid w:val="00057246"/>
    <w:rsid w:val="000678D9"/>
    <w:rsid w:val="00067C5E"/>
    <w:rsid w:val="00072250"/>
    <w:rsid w:val="00082577"/>
    <w:rsid w:val="000856D5"/>
    <w:rsid w:val="000865D6"/>
    <w:rsid w:val="00092929"/>
    <w:rsid w:val="00095E58"/>
    <w:rsid w:val="000A2D05"/>
    <w:rsid w:val="000A43FC"/>
    <w:rsid w:val="000B0499"/>
    <w:rsid w:val="000B4A6F"/>
    <w:rsid w:val="000B587A"/>
    <w:rsid w:val="000B587E"/>
    <w:rsid w:val="000B6536"/>
    <w:rsid w:val="000B6B52"/>
    <w:rsid w:val="000B7131"/>
    <w:rsid w:val="000C0699"/>
    <w:rsid w:val="000C64BA"/>
    <w:rsid w:val="000C6F11"/>
    <w:rsid w:val="000D010E"/>
    <w:rsid w:val="000D20AF"/>
    <w:rsid w:val="000D4D5D"/>
    <w:rsid w:val="000D6A17"/>
    <w:rsid w:val="000D7CF9"/>
    <w:rsid w:val="000E31D2"/>
    <w:rsid w:val="000E325E"/>
    <w:rsid w:val="000E5404"/>
    <w:rsid w:val="000E7FF8"/>
    <w:rsid w:val="000F3F98"/>
    <w:rsid w:val="000F5034"/>
    <w:rsid w:val="000F6F56"/>
    <w:rsid w:val="001060C2"/>
    <w:rsid w:val="00107576"/>
    <w:rsid w:val="0011050A"/>
    <w:rsid w:val="001132EB"/>
    <w:rsid w:val="00120739"/>
    <w:rsid w:val="00122CB0"/>
    <w:rsid w:val="001244D5"/>
    <w:rsid w:val="00125CCD"/>
    <w:rsid w:val="00126705"/>
    <w:rsid w:val="001315B2"/>
    <w:rsid w:val="001318BA"/>
    <w:rsid w:val="00132B77"/>
    <w:rsid w:val="001330AB"/>
    <w:rsid w:val="001378E9"/>
    <w:rsid w:val="001409CD"/>
    <w:rsid w:val="00142355"/>
    <w:rsid w:val="0015231C"/>
    <w:rsid w:val="00153511"/>
    <w:rsid w:val="0015617E"/>
    <w:rsid w:val="0015752A"/>
    <w:rsid w:val="00160455"/>
    <w:rsid w:val="00160C07"/>
    <w:rsid w:val="001630B4"/>
    <w:rsid w:val="00163D67"/>
    <w:rsid w:val="00163E81"/>
    <w:rsid w:val="00166ECB"/>
    <w:rsid w:val="0017088C"/>
    <w:rsid w:val="001806DE"/>
    <w:rsid w:val="00181476"/>
    <w:rsid w:val="001815CE"/>
    <w:rsid w:val="001827CE"/>
    <w:rsid w:val="00183105"/>
    <w:rsid w:val="001855CB"/>
    <w:rsid w:val="001944DB"/>
    <w:rsid w:val="001A0D8F"/>
    <w:rsid w:val="001A1118"/>
    <w:rsid w:val="001A3858"/>
    <w:rsid w:val="001A4F1F"/>
    <w:rsid w:val="001B1FFC"/>
    <w:rsid w:val="001B28A8"/>
    <w:rsid w:val="001B6913"/>
    <w:rsid w:val="001B73FA"/>
    <w:rsid w:val="001C0183"/>
    <w:rsid w:val="001C582E"/>
    <w:rsid w:val="001C6600"/>
    <w:rsid w:val="001C785B"/>
    <w:rsid w:val="001D06F7"/>
    <w:rsid w:val="001D49BF"/>
    <w:rsid w:val="001D4C44"/>
    <w:rsid w:val="001D7B3F"/>
    <w:rsid w:val="001E0DF4"/>
    <w:rsid w:val="001E1F42"/>
    <w:rsid w:val="001E25C9"/>
    <w:rsid w:val="001E3C8C"/>
    <w:rsid w:val="001E4F86"/>
    <w:rsid w:val="001E5B0F"/>
    <w:rsid w:val="001E65B7"/>
    <w:rsid w:val="001F4DFC"/>
    <w:rsid w:val="001F5CF1"/>
    <w:rsid w:val="001F6E30"/>
    <w:rsid w:val="00200175"/>
    <w:rsid w:val="00200398"/>
    <w:rsid w:val="00200BCC"/>
    <w:rsid w:val="00201430"/>
    <w:rsid w:val="00201FDB"/>
    <w:rsid w:val="002042E0"/>
    <w:rsid w:val="00204AA0"/>
    <w:rsid w:val="002075E1"/>
    <w:rsid w:val="00211E2D"/>
    <w:rsid w:val="00212D22"/>
    <w:rsid w:val="002134D7"/>
    <w:rsid w:val="002150F3"/>
    <w:rsid w:val="00215CBA"/>
    <w:rsid w:val="00224143"/>
    <w:rsid w:val="00224C2B"/>
    <w:rsid w:val="002253CE"/>
    <w:rsid w:val="00225599"/>
    <w:rsid w:val="00234490"/>
    <w:rsid w:val="00244271"/>
    <w:rsid w:val="00245F32"/>
    <w:rsid w:val="002473DE"/>
    <w:rsid w:val="00250C01"/>
    <w:rsid w:val="00252397"/>
    <w:rsid w:val="002555F5"/>
    <w:rsid w:val="00256DDA"/>
    <w:rsid w:val="002602E0"/>
    <w:rsid w:val="00261994"/>
    <w:rsid w:val="00261F7D"/>
    <w:rsid w:val="00263FBD"/>
    <w:rsid w:val="00265AB1"/>
    <w:rsid w:val="00265F30"/>
    <w:rsid w:val="0027057E"/>
    <w:rsid w:val="0027118B"/>
    <w:rsid w:val="00271217"/>
    <w:rsid w:val="00271D03"/>
    <w:rsid w:val="00273A48"/>
    <w:rsid w:val="00274C4A"/>
    <w:rsid w:val="00282579"/>
    <w:rsid w:val="00282E6B"/>
    <w:rsid w:val="00283A33"/>
    <w:rsid w:val="00283BC4"/>
    <w:rsid w:val="00285CE5"/>
    <w:rsid w:val="00290429"/>
    <w:rsid w:val="002932C1"/>
    <w:rsid w:val="002A69F8"/>
    <w:rsid w:val="002B1F10"/>
    <w:rsid w:val="002B4721"/>
    <w:rsid w:val="002B5B6B"/>
    <w:rsid w:val="002C1EC0"/>
    <w:rsid w:val="002C55C6"/>
    <w:rsid w:val="002C634D"/>
    <w:rsid w:val="002C6B28"/>
    <w:rsid w:val="002C727E"/>
    <w:rsid w:val="002D470B"/>
    <w:rsid w:val="002E1F9C"/>
    <w:rsid w:val="002E21BD"/>
    <w:rsid w:val="002E6397"/>
    <w:rsid w:val="002E7D09"/>
    <w:rsid w:val="002F0063"/>
    <w:rsid w:val="002F0858"/>
    <w:rsid w:val="002F2B54"/>
    <w:rsid w:val="002F4984"/>
    <w:rsid w:val="00301F38"/>
    <w:rsid w:val="00303899"/>
    <w:rsid w:val="003048ED"/>
    <w:rsid w:val="003070D6"/>
    <w:rsid w:val="00310E5C"/>
    <w:rsid w:val="00311569"/>
    <w:rsid w:val="0031439E"/>
    <w:rsid w:val="00315F8D"/>
    <w:rsid w:val="00320000"/>
    <w:rsid w:val="00321869"/>
    <w:rsid w:val="003223C7"/>
    <w:rsid w:val="00324411"/>
    <w:rsid w:val="003270B4"/>
    <w:rsid w:val="00327DFF"/>
    <w:rsid w:val="0033026B"/>
    <w:rsid w:val="003317A6"/>
    <w:rsid w:val="003333B9"/>
    <w:rsid w:val="00342B08"/>
    <w:rsid w:val="00343405"/>
    <w:rsid w:val="00345A7D"/>
    <w:rsid w:val="00347D4D"/>
    <w:rsid w:val="00350E77"/>
    <w:rsid w:val="003532DC"/>
    <w:rsid w:val="00362248"/>
    <w:rsid w:val="003632B1"/>
    <w:rsid w:val="00372DA6"/>
    <w:rsid w:val="00373BDC"/>
    <w:rsid w:val="00374ADC"/>
    <w:rsid w:val="00377405"/>
    <w:rsid w:val="0038037E"/>
    <w:rsid w:val="003809F8"/>
    <w:rsid w:val="00381C2D"/>
    <w:rsid w:val="003836F2"/>
    <w:rsid w:val="00384BAF"/>
    <w:rsid w:val="00385EF8"/>
    <w:rsid w:val="003974E1"/>
    <w:rsid w:val="003976C1"/>
    <w:rsid w:val="003A13B2"/>
    <w:rsid w:val="003A18DE"/>
    <w:rsid w:val="003A45B2"/>
    <w:rsid w:val="003B0A56"/>
    <w:rsid w:val="003B3E22"/>
    <w:rsid w:val="003B4A4A"/>
    <w:rsid w:val="003B5863"/>
    <w:rsid w:val="003C33CF"/>
    <w:rsid w:val="003C7894"/>
    <w:rsid w:val="003D13A3"/>
    <w:rsid w:val="003D1FE8"/>
    <w:rsid w:val="003D4389"/>
    <w:rsid w:val="003D507B"/>
    <w:rsid w:val="003E2837"/>
    <w:rsid w:val="003E2E63"/>
    <w:rsid w:val="003E796E"/>
    <w:rsid w:val="003F0A0E"/>
    <w:rsid w:val="003F3349"/>
    <w:rsid w:val="003F4A06"/>
    <w:rsid w:val="003F53CB"/>
    <w:rsid w:val="003F5A05"/>
    <w:rsid w:val="003F5D45"/>
    <w:rsid w:val="003F7148"/>
    <w:rsid w:val="0040274E"/>
    <w:rsid w:val="0040509B"/>
    <w:rsid w:val="0040553B"/>
    <w:rsid w:val="00410F97"/>
    <w:rsid w:val="004204E4"/>
    <w:rsid w:val="00420715"/>
    <w:rsid w:val="0042176C"/>
    <w:rsid w:val="004239EA"/>
    <w:rsid w:val="0042630C"/>
    <w:rsid w:val="0043517A"/>
    <w:rsid w:val="00437C51"/>
    <w:rsid w:val="00441744"/>
    <w:rsid w:val="00452AD5"/>
    <w:rsid w:val="0045629B"/>
    <w:rsid w:val="00457F15"/>
    <w:rsid w:val="00462301"/>
    <w:rsid w:val="0046242F"/>
    <w:rsid w:val="00464B47"/>
    <w:rsid w:val="00474227"/>
    <w:rsid w:val="00476A67"/>
    <w:rsid w:val="00476CF8"/>
    <w:rsid w:val="00477F97"/>
    <w:rsid w:val="00481C73"/>
    <w:rsid w:val="00482A4A"/>
    <w:rsid w:val="00483F01"/>
    <w:rsid w:val="00490DD3"/>
    <w:rsid w:val="00493446"/>
    <w:rsid w:val="00495FDD"/>
    <w:rsid w:val="004967F5"/>
    <w:rsid w:val="004A1D0F"/>
    <w:rsid w:val="004A3005"/>
    <w:rsid w:val="004A385E"/>
    <w:rsid w:val="004A4A86"/>
    <w:rsid w:val="004A5A9E"/>
    <w:rsid w:val="004B0CAD"/>
    <w:rsid w:val="004B2110"/>
    <w:rsid w:val="004B545A"/>
    <w:rsid w:val="004B7FC7"/>
    <w:rsid w:val="004C0DF0"/>
    <w:rsid w:val="004C3696"/>
    <w:rsid w:val="004C6954"/>
    <w:rsid w:val="004D171B"/>
    <w:rsid w:val="004D244D"/>
    <w:rsid w:val="004D3BEE"/>
    <w:rsid w:val="004E2CB8"/>
    <w:rsid w:val="004E573F"/>
    <w:rsid w:val="004F0D13"/>
    <w:rsid w:val="00502ED2"/>
    <w:rsid w:val="00503042"/>
    <w:rsid w:val="00510DE7"/>
    <w:rsid w:val="00511C08"/>
    <w:rsid w:val="00525A0F"/>
    <w:rsid w:val="005272E2"/>
    <w:rsid w:val="0052793B"/>
    <w:rsid w:val="0053414C"/>
    <w:rsid w:val="0054265C"/>
    <w:rsid w:val="00542C4B"/>
    <w:rsid w:val="005502DB"/>
    <w:rsid w:val="0055566A"/>
    <w:rsid w:val="00560587"/>
    <w:rsid w:val="005607F7"/>
    <w:rsid w:val="00561271"/>
    <w:rsid w:val="005647DA"/>
    <w:rsid w:val="005654B1"/>
    <w:rsid w:val="005725A7"/>
    <w:rsid w:val="00575F72"/>
    <w:rsid w:val="00582B97"/>
    <w:rsid w:val="00583096"/>
    <w:rsid w:val="0059000A"/>
    <w:rsid w:val="00590C43"/>
    <w:rsid w:val="0059350E"/>
    <w:rsid w:val="00594293"/>
    <w:rsid w:val="00594E79"/>
    <w:rsid w:val="005A21C2"/>
    <w:rsid w:val="005A243A"/>
    <w:rsid w:val="005A4BBA"/>
    <w:rsid w:val="005B357B"/>
    <w:rsid w:val="005B5BB7"/>
    <w:rsid w:val="005B7B01"/>
    <w:rsid w:val="005C7D55"/>
    <w:rsid w:val="005D1116"/>
    <w:rsid w:val="005D3898"/>
    <w:rsid w:val="005D6AEE"/>
    <w:rsid w:val="005D6D9D"/>
    <w:rsid w:val="005E0FBA"/>
    <w:rsid w:val="005E6ABB"/>
    <w:rsid w:val="005E77EE"/>
    <w:rsid w:val="005E78F7"/>
    <w:rsid w:val="005F1127"/>
    <w:rsid w:val="005F2806"/>
    <w:rsid w:val="005F31BB"/>
    <w:rsid w:val="005F411D"/>
    <w:rsid w:val="005F4D48"/>
    <w:rsid w:val="005F5732"/>
    <w:rsid w:val="00602DA1"/>
    <w:rsid w:val="006042D1"/>
    <w:rsid w:val="00610CAE"/>
    <w:rsid w:val="00621603"/>
    <w:rsid w:val="006256D3"/>
    <w:rsid w:val="00630DF0"/>
    <w:rsid w:val="0063327A"/>
    <w:rsid w:val="006347E8"/>
    <w:rsid w:val="0063742D"/>
    <w:rsid w:val="00637722"/>
    <w:rsid w:val="006449EB"/>
    <w:rsid w:val="00644D84"/>
    <w:rsid w:val="006471B3"/>
    <w:rsid w:val="00647D37"/>
    <w:rsid w:val="006509D3"/>
    <w:rsid w:val="0065335A"/>
    <w:rsid w:val="006573EF"/>
    <w:rsid w:val="00660C37"/>
    <w:rsid w:val="00662454"/>
    <w:rsid w:val="00662664"/>
    <w:rsid w:val="0066509F"/>
    <w:rsid w:val="006651B5"/>
    <w:rsid w:val="00665414"/>
    <w:rsid w:val="006656A9"/>
    <w:rsid w:val="006660C9"/>
    <w:rsid w:val="006668DC"/>
    <w:rsid w:val="00666B5B"/>
    <w:rsid w:val="00677CBB"/>
    <w:rsid w:val="00681174"/>
    <w:rsid w:val="0068159D"/>
    <w:rsid w:val="00683E2E"/>
    <w:rsid w:val="00683F9E"/>
    <w:rsid w:val="006861C6"/>
    <w:rsid w:val="006867FC"/>
    <w:rsid w:val="00687714"/>
    <w:rsid w:val="00687A41"/>
    <w:rsid w:val="00687ECD"/>
    <w:rsid w:val="00690A37"/>
    <w:rsid w:val="00690F79"/>
    <w:rsid w:val="00697CA3"/>
    <w:rsid w:val="006A1E5F"/>
    <w:rsid w:val="006A446F"/>
    <w:rsid w:val="006A636B"/>
    <w:rsid w:val="006A6756"/>
    <w:rsid w:val="006B134C"/>
    <w:rsid w:val="006B7D59"/>
    <w:rsid w:val="006C044B"/>
    <w:rsid w:val="006C3B55"/>
    <w:rsid w:val="006C58B3"/>
    <w:rsid w:val="006C6E42"/>
    <w:rsid w:val="006C7AAF"/>
    <w:rsid w:val="006D1A8C"/>
    <w:rsid w:val="006D2EA4"/>
    <w:rsid w:val="006D7D14"/>
    <w:rsid w:val="006E6922"/>
    <w:rsid w:val="006E77CB"/>
    <w:rsid w:val="006F793E"/>
    <w:rsid w:val="006F7B25"/>
    <w:rsid w:val="00700124"/>
    <w:rsid w:val="0070140A"/>
    <w:rsid w:val="00701460"/>
    <w:rsid w:val="00701A69"/>
    <w:rsid w:val="00701E6B"/>
    <w:rsid w:val="007061D1"/>
    <w:rsid w:val="00713BAA"/>
    <w:rsid w:val="00714EE6"/>
    <w:rsid w:val="00717710"/>
    <w:rsid w:val="007228EC"/>
    <w:rsid w:val="0073204E"/>
    <w:rsid w:val="0073374A"/>
    <w:rsid w:val="00740687"/>
    <w:rsid w:val="00740C86"/>
    <w:rsid w:val="00741E21"/>
    <w:rsid w:val="00743EEB"/>
    <w:rsid w:val="007459D8"/>
    <w:rsid w:val="00746ACF"/>
    <w:rsid w:val="0075761C"/>
    <w:rsid w:val="0076171A"/>
    <w:rsid w:val="00761EAC"/>
    <w:rsid w:val="0076558F"/>
    <w:rsid w:val="00765C9A"/>
    <w:rsid w:val="0076672A"/>
    <w:rsid w:val="007667C3"/>
    <w:rsid w:val="00767604"/>
    <w:rsid w:val="00770748"/>
    <w:rsid w:val="00773876"/>
    <w:rsid w:val="00776B93"/>
    <w:rsid w:val="00776D44"/>
    <w:rsid w:val="00781423"/>
    <w:rsid w:val="007913AE"/>
    <w:rsid w:val="007A146F"/>
    <w:rsid w:val="007A16F9"/>
    <w:rsid w:val="007A2075"/>
    <w:rsid w:val="007A5DB3"/>
    <w:rsid w:val="007B2B08"/>
    <w:rsid w:val="007B7024"/>
    <w:rsid w:val="007C191C"/>
    <w:rsid w:val="007C2962"/>
    <w:rsid w:val="007C4AC0"/>
    <w:rsid w:val="007C4BBE"/>
    <w:rsid w:val="007C5FFD"/>
    <w:rsid w:val="007D52A8"/>
    <w:rsid w:val="007D56D0"/>
    <w:rsid w:val="007D5DAA"/>
    <w:rsid w:val="007E02B6"/>
    <w:rsid w:val="007E0802"/>
    <w:rsid w:val="007E2112"/>
    <w:rsid w:val="007E3A29"/>
    <w:rsid w:val="007E495D"/>
    <w:rsid w:val="007E68CB"/>
    <w:rsid w:val="007F46D6"/>
    <w:rsid w:val="00804656"/>
    <w:rsid w:val="008049EF"/>
    <w:rsid w:val="00807DD7"/>
    <w:rsid w:val="00811EFA"/>
    <w:rsid w:val="008140A0"/>
    <w:rsid w:val="0082167D"/>
    <w:rsid w:val="00825F23"/>
    <w:rsid w:val="00833900"/>
    <w:rsid w:val="008342B3"/>
    <w:rsid w:val="00834F71"/>
    <w:rsid w:val="00835BDE"/>
    <w:rsid w:val="00843DE2"/>
    <w:rsid w:val="00844A89"/>
    <w:rsid w:val="00844F98"/>
    <w:rsid w:val="00845CB3"/>
    <w:rsid w:val="0085025B"/>
    <w:rsid w:val="0085090C"/>
    <w:rsid w:val="008570C0"/>
    <w:rsid w:val="008617F8"/>
    <w:rsid w:val="00862CD3"/>
    <w:rsid w:val="0086320C"/>
    <w:rsid w:val="00865248"/>
    <w:rsid w:val="008654CB"/>
    <w:rsid w:val="0086687B"/>
    <w:rsid w:val="00870C92"/>
    <w:rsid w:val="00870DB9"/>
    <w:rsid w:val="0087498A"/>
    <w:rsid w:val="00875BDC"/>
    <w:rsid w:val="00875E20"/>
    <w:rsid w:val="00876E49"/>
    <w:rsid w:val="00880143"/>
    <w:rsid w:val="008833C7"/>
    <w:rsid w:val="008836CD"/>
    <w:rsid w:val="008867E1"/>
    <w:rsid w:val="008877E1"/>
    <w:rsid w:val="00887C8D"/>
    <w:rsid w:val="00893AB9"/>
    <w:rsid w:val="00895067"/>
    <w:rsid w:val="008A2D32"/>
    <w:rsid w:val="008A3366"/>
    <w:rsid w:val="008B246C"/>
    <w:rsid w:val="008B2C40"/>
    <w:rsid w:val="008B3385"/>
    <w:rsid w:val="008B6DA6"/>
    <w:rsid w:val="008B7415"/>
    <w:rsid w:val="008C12DE"/>
    <w:rsid w:val="008C1AE9"/>
    <w:rsid w:val="008C29F9"/>
    <w:rsid w:val="008C32E7"/>
    <w:rsid w:val="008C3CD2"/>
    <w:rsid w:val="008D14B8"/>
    <w:rsid w:val="008D2DA9"/>
    <w:rsid w:val="008D4786"/>
    <w:rsid w:val="008D4D2D"/>
    <w:rsid w:val="008D78B6"/>
    <w:rsid w:val="008E0506"/>
    <w:rsid w:val="008E1137"/>
    <w:rsid w:val="008E1177"/>
    <w:rsid w:val="008E342F"/>
    <w:rsid w:val="008E4144"/>
    <w:rsid w:val="008E574A"/>
    <w:rsid w:val="008E777E"/>
    <w:rsid w:val="008F1858"/>
    <w:rsid w:val="008F1ABA"/>
    <w:rsid w:val="008F35C7"/>
    <w:rsid w:val="008F3772"/>
    <w:rsid w:val="008F3C61"/>
    <w:rsid w:val="008F49DE"/>
    <w:rsid w:val="00903AFB"/>
    <w:rsid w:val="0090550E"/>
    <w:rsid w:val="009073C0"/>
    <w:rsid w:val="009075DF"/>
    <w:rsid w:val="00912F6E"/>
    <w:rsid w:val="00914DE1"/>
    <w:rsid w:val="009165BF"/>
    <w:rsid w:val="00916E14"/>
    <w:rsid w:val="009231CF"/>
    <w:rsid w:val="00923684"/>
    <w:rsid w:val="00924ABD"/>
    <w:rsid w:val="009256DF"/>
    <w:rsid w:val="00926165"/>
    <w:rsid w:val="00926D88"/>
    <w:rsid w:val="009321C5"/>
    <w:rsid w:val="009322D7"/>
    <w:rsid w:val="009422A3"/>
    <w:rsid w:val="0094270D"/>
    <w:rsid w:val="009436AB"/>
    <w:rsid w:val="00946887"/>
    <w:rsid w:val="009471B4"/>
    <w:rsid w:val="00950792"/>
    <w:rsid w:val="00960488"/>
    <w:rsid w:val="009619BB"/>
    <w:rsid w:val="009634ED"/>
    <w:rsid w:val="00965B08"/>
    <w:rsid w:val="00965C7C"/>
    <w:rsid w:val="00966201"/>
    <w:rsid w:val="00972E73"/>
    <w:rsid w:val="00991A46"/>
    <w:rsid w:val="00991BCD"/>
    <w:rsid w:val="00991DB6"/>
    <w:rsid w:val="009921DF"/>
    <w:rsid w:val="009930B1"/>
    <w:rsid w:val="00993EEF"/>
    <w:rsid w:val="009946EE"/>
    <w:rsid w:val="009A448D"/>
    <w:rsid w:val="009B7D11"/>
    <w:rsid w:val="009C2721"/>
    <w:rsid w:val="009C4E80"/>
    <w:rsid w:val="009D34BA"/>
    <w:rsid w:val="009D64F4"/>
    <w:rsid w:val="009D6624"/>
    <w:rsid w:val="009E4BD6"/>
    <w:rsid w:val="009E68A5"/>
    <w:rsid w:val="009F2B2E"/>
    <w:rsid w:val="009F4309"/>
    <w:rsid w:val="00A0015C"/>
    <w:rsid w:val="00A00B16"/>
    <w:rsid w:val="00A0245A"/>
    <w:rsid w:val="00A038B4"/>
    <w:rsid w:val="00A03BDE"/>
    <w:rsid w:val="00A06B91"/>
    <w:rsid w:val="00A1187B"/>
    <w:rsid w:val="00A14207"/>
    <w:rsid w:val="00A16694"/>
    <w:rsid w:val="00A168B7"/>
    <w:rsid w:val="00A16906"/>
    <w:rsid w:val="00A234B3"/>
    <w:rsid w:val="00A237AB"/>
    <w:rsid w:val="00A25B54"/>
    <w:rsid w:val="00A31BB0"/>
    <w:rsid w:val="00A31EFF"/>
    <w:rsid w:val="00A41BDD"/>
    <w:rsid w:val="00A42014"/>
    <w:rsid w:val="00A42BA1"/>
    <w:rsid w:val="00A4353D"/>
    <w:rsid w:val="00A46170"/>
    <w:rsid w:val="00A4645F"/>
    <w:rsid w:val="00A476F0"/>
    <w:rsid w:val="00A53553"/>
    <w:rsid w:val="00A5400B"/>
    <w:rsid w:val="00A6053C"/>
    <w:rsid w:val="00A61242"/>
    <w:rsid w:val="00A61B60"/>
    <w:rsid w:val="00A6225A"/>
    <w:rsid w:val="00A63D13"/>
    <w:rsid w:val="00A66C2E"/>
    <w:rsid w:val="00A67DBF"/>
    <w:rsid w:val="00A75FDE"/>
    <w:rsid w:val="00A77E70"/>
    <w:rsid w:val="00A80C63"/>
    <w:rsid w:val="00A815BC"/>
    <w:rsid w:val="00A81DD4"/>
    <w:rsid w:val="00A82F8F"/>
    <w:rsid w:val="00A87235"/>
    <w:rsid w:val="00A9037D"/>
    <w:rsid w:val="00A90AAC"/>
    <w:rsid w:val="00A91514"/>
    <w:rsid w:val="00A965B7"/>
    <w:rsid w:val="00A96783"/>
    <w:rsid w:val="00AA1656"/>
    <w:rsid w:val="00AA426A"/>
    <w:rsid w:val="00AA6664"/>
    <w:rsid w:val="00AA6D50"/>
    <w:rsid w:val="00AA7A37"/>
    <w:rsid w:val="00AB31DF"/>
    <w:rsid w:val="00AB4B4A"/>
    <w:rsid w:val="00AB5C19"/>
    <w:rsid w:val="00AC0B93"/>
    <w:rsid w:val="00AC3A8F"/>
    <w:rsid w:val="00AD02DA"/>
    <w:rsid w:val="00AD6BF7"/>
    <w:rsid w:val="00AE2DED"/>
    <w:rsid w:val="00AE3FDA"/>
    <w:rsid w:val="00AE57F0"/>
    <w:rsid w:val="00AE6C5C"/>
    <w:rsid w:val="00AF0D2F"/>
    <w:rsid w:val="00AF40A4"/>
    <w:rsid w:val="00AF56B2"/>
    <w:rsid w:val="00AF5C77"/>
    <w:rsid w:val="00AF689E"/>
    <w:rsid w:val="00AF77C5"/>
    <w:rsid w:val="00B01C52"/>
    <w:rsid w:val="00B038CA"/>
    <w:rsid w:val="00B04EEF"/>
    <w:rsid w:val="00B069BE"/>
    <w:rsid w:val="00B16BA8"/>
    <w:rsid w:val="00B208D5"/>
    <w:rsid w:val="00B240CB"/>
    <w:rsid w:val="00B363DB"/>
    <w:rsid w:val="00B40B19"/>
    <w:rsid w:val="00B46003"/>
    <w:rsid w:val="00B46E2E"/>
    <w:rsid w:val="00B4716D"/>
    <w:rsid w:val="00B50BC3"/>
    <w:rsid w:val="00B55266"/>
    <w:rsid w:val="00B56638"/>
    <w:rsid w:val="00B5693F"/>
    <w:rsid w:val="00B60D89"/>
    <w:rsid w:val="00B631A7"/>
    <w:rsid w:val="00B64C9C"/>
    <w:rsid w:val="00B65E67"/>
    <w:rsid w:val="00B667DE"/>
    <w:rsid w:val="00B678EB"/>
    <w:rsid w:val="00B700BF"/>
    <w:rsid w:val="00B71018"/>
    <w:rsid w:val="00B7142A"/>
    <w:rsid w:val="00B750D8"/>
    <w:rsid w:val="00B76420"/>
    <w:rsid w:val="00B82E91"/>
    <w:rsid w:val="00B8590B"/>
    <w:rsid w:val="00B87167"/>
    <w:rsid w:val="00B8785F"/>
    <w:rsid w:val="00B90017"/>
    <w:rsid w:val="00B90463"/>
    <w:rsid w:val="00B90999"/>
    <w:rsid w:val="00B90AC5"/>
    <w:rsid w:val="00B92D4C"/>
    <w:rsid w:val="00B931F5"/>
    <w:rsid w:val="00B93FCF"/>
    <w:rsid w:val="00B94333"/>
    <w:rsid w:val="00B94809"/>
    <w:rsid w:val="00B95ABB"/>
    <w:rsid w:val="00B97AF2"/>
    <w:rsid w:val="00BA2B1B"/>
    <w:rsid w:val="00BA41E4"/>
    <w:rsid w:val="00BA5525"/>
    <w:rsid w:val="00BA589A"/>
    <w:rsid w:val="00BA6A03"/>
    <w:rsid w:val="00BB1EEE"/>
    <w:rsid w:val="00BB3EBE"/>
    <w:rsid w:val="00BB5B75"/>
    <w:rsid w:val="00BB5EE0"/>
    <w:rsid w:val="00BB6365"/>
    <w:rsid w:val="00BC179A"/>
    <w:rsid w:val="00BC6146"/>
    <w:rsid w:val="00BD1110"/>
    <w:rsid w:val="00BD4E29"/>
    <w:rsid w:val="00BD59C4"/>
    <w:rsid w:val="00BD5DE8"/>
    <w:rsid w:val="00BD6977"/>
    <w:rsid w:val="00BE22E5"/>
    <w:rsid w:val="00BE2ABE"/>
    <w:rsid w:val="00BE35ED"/>
    <w:rsid w:val="00BE603B"/>
    <w:rsid w:val="00BE71AD"/>
    <w:rsid w:val="00BF1EFE"/>
    <w:rsid w:val="00BF2545"/>
    <w:rsid w:val="00BF2CDD"/>
    <w:rsid w:val="00BF4291"/>
    <w:rsid w:val="00BF5B45"/>
    <w:rsid w:val="00BF7AEB"/>
    <w:rsid w:val="00BF7C6A"/>
    <w:rsid w:val="00C01814"/>
    <w:rsid w:val="00C03400"/>
    <w:rsid w:val="00C041B1"/>
    <w:rsid w:val="00C112BA"/>
    <w:rsid w:val="00C12CF8"/>
    <w:rsid w:val="00C1432C"/>
    <w:rsid w:val="00C14A1C"/>
    <w:rsid w:val="00C1565D"/>
    <w:rsid w:val="00C17DF3"/>
    <w:rsid w:val="00C2068E"/>
    <w:rsid w:val="00C23F6B"/>
    <w:rsid w:val="00C26141"/>
    <w:rsid w:val="00C3112A"/>
    <w:rsid w:val="00C31C04"/>
    <w:rsid w:val="00C3294D"/>
    <w:rsid w:val="00C35469"/>
    <w:rsid w:val="00C35C80"/>
    <w:rsid w:val="00C437C3"/>
    <w:rsid w:val="00C45CBE"/>
    <w:rsid w:val="00C51210"/>
    <w:rsid w:val="00C56BA8"/>
    <w:rsid w:val="00C60FEB"/>
    <w:rsid w:val="00C630A5"/>
    <w:rsid w:val="00C63244"/>
    <w:rsid w:val="00C63AB5"/>
    <w:rsid w:val="00C64AA9"/>
    <w:rsid w:val="00C71433"/>
    <w:rsid w:val="00C735DF"/>
    <w:rsid w:val="00C8453B"/>
    <w:rsid w:val="00C846AF"/>
    <w:rsid w:val="00C8795A"/>
    <w:rsid w:val="00C919B1"/>
    <w:rsid w:val="00CA1FBF"/>
    <w:rsid w:val="00CA51DC"/>
    <w:rsid w:val="00CA60DD"/>
    <w:rsid w:val="00CB367C"/>
    <w:rsid w:val="00CB51F0"/>
    <w:rsid w:val="00CB6C33"/>
    <w:rsid w:val="00CB735C"/>
    <w:rsid w:val="00CC06D3"/>
    <w:rsid w:val="00CC1D99"/>
    <w:rsid w:val="00CC26A5"/>
    <w:rsid w:val="00CC2A43"/>
    <w:rsid w:val="00CC6E71"/>
    <w:rsid w:val="00CD1D67"/>
    <w:rsid w:val="00CD223A"/>
    <w:rsid w:val="00CD2EBD"/>
    <w:rsid w:val="00CE212A"/>
    <w:rsid w:val="00CE22AC"/>
    <w:rsid w:val="00CE5BCC"/>
    <w:rsid w:val="00CE5D77"/>
    <w:rsid w:val="00CF176D"/>
    <w:rsid w:val="00CF5FE4"/>
    <w:rsid w:val="00CF7BA7"/>
    <w:rsid w:val="00D01B68"/>
    <w:rsid w:val="00D146D3"/>
    <w:rsid w:val="00D20B69"/>
    <w:rsid w:val="00D214CC"/>
    <w:rsid w:val="00D21E33"/>
    <w:rsid w:val="00D2421A"/>
    <w:rsid w:val="00D27862"/>
    <w:rsid w:val="00D318FC"/>
    <w:rsid w:val="00D31903"/>
    <w:rsid w:val="00D31BDE"/>
    <w:rsid w:val="00D340B9"/>
    <w:rsid w:val="00D356C7"/>
    <w:rsid w:val="00D4306C"/>
    <w:rsid w:val="00D43E1D"/>
    <w:rsid w:val="00D47F44"/>
    <w:rsid w:val="00D501DE"/>
    <w:rsid w:val="00D520D4"/>
    <w:rsid w:val="00D52C06"/>
    <w:rsid w:val="00D55812"/>
    <w:rsid w:val="00D60D3B"/>
    <w:rsid w:val="00D62BF9"/>
    <w:rsid w:val="00D634F6"/>
    <w:rsid w:val="00D67F95"/>
    <w:rsid w:val="00D71D88"/>
    <w:rsid w:val="00D812DB"/>
    <w:rsid w:val="00D81CC6"/>
    <w:rsid w:val="00D83400"/>
    <w:rsid w:val="00D86345"/>
    <w:rsid w:val="00D963FA"/>
    <w:rsid w:val="00D977F8"/>
    <w:rsid w:val="00DB3B63"/>
    <w:rsid w:val="00DC6419"/>
    <w:rsid w:val="00DD0B28"/>
    <w:rsid w:val="00DD44A6"/>
    <w:rsid w:val="00DD5C96"/>
    <w:rsid w:val="00DD7823"/>
    <w:rsid w:val="00DE051F"/>
    <w:rsid w:val="00DE23CB"/>
    <w:rsid w:val="00DF1061"/>
    <w:rsid w:val="00DF3D9F"/>
    <w:rsid w:val="00E02079"/>
    <w:rsid w:val="00E03B3E"/>
    <w:rsid w:val="00E05BC4"/>
    <w:rsid w:val="00E05BE0"/>
    <w:rsid w:val="00E065F8"/>
    <w:rsid w:val="00E155B3"/>
    <w:rsid w:val="00E21C5F"/>
    <w:rsid w:val="00E2608E"/>
    <w:rsid w:val="00E264B7"/>
    <w:rsid w:val="00E26F63"/>
    <w:rsid w:val="00E323F9"/>
    <w:rsid w:val="00E327A4"/>
    <w:rsid w:val="00E3550F"/>
    <w:rsid w:val="00E355C8"/>
    <w:rsid w:val="00E368D6"/>
    <w:rsid w:val="00E36F72"/>
    <w:rsid w:val="00E37F39"/>
    <w:rsid w:val="00E46237"/>
    <w:rsid w:val="00E47344"/>
    <w:rsid w:val="00E473D0"/>
    <w:rsid w:val="00E518E2"/>
    <w:rsid w:val="00E51FCD"/>
    <w:rsid w:val="00E532FD"/>
    <w:rsid w:val="00E53D7F"/>
    <w:rsid w:val="00E55F1D"/>
    <w:rsid w:val="00E648D8"/>
    <w:rsid w:val="00E72DC7"/>
    <w:rsid w:val="00E749C8"/>
    <w:rsid w:val="00E80F54"/>
    <w:rsid w:val="00E81FAC"/>
    <w:rsid w:val="00E8271A"/>
    <w:rsid w:val="00E82EF0"/>
    <w:rsid w:val="00E87C37"/>
    <w:rsid w:val="00E9719E"/>
    <w:rsid w:val="00EA1B45"/>
    <w:rsid w:val="00EA3E56"/>
    <w:rsid w:val="00EA523A"/>
    <w:rsid w:val="00EA57B8"/>
    <w:rsid w:val="00EA643A"/>
    <w:rsid w:val="00EB32C2"/>
    <w:rsid w:val="00EB3D82"/>
    <w:rsid w:val="00EB5D61"/>
    <w:rsid w:val="00EB79F1"/>
    <w:rsid w:val="00EB7EFC"/>
    <w:rsid w:val="00EC1F06"/>
    <w:rsid w:val="00EC6E3F"/>
    <w:rsid w:val="00EC6F5B"/>
    <w:rsid w:val="00ED0F80"/>
    <w:rsid w:val="00ED2539"/>
    <w:rsid w:val="00ED30B3"/>
    <w:rsid w:val="00ED6C0A"/>
    <w:rsid w:val="00ED6CE7"/>
    <w:rsid w:val="00EE189B"/>
    <w:rsid w:val="00EE2714"/>
    <w:rsid w:val="00EE271D"/>
    <w:rsid w:val="00EE37F4"/>
    <w:rsid w:val="00EE3ECC"/>
    <w:rsid w:val="00EE42A1"/>
    <w:rsid w:val="00EE7F1D"/>
    <w:rsid w:val="00EF15AA"/>
    <w:rsid w:val="00EF2F23"/>
    <w:rsid w:val="00EF48A2"/>
    <w:rsid w:val="00EF6EAB"/>
    <w:rsid w:val="00F02CAE"/>
    <w:rsid w:val="00F03AE5"/>
    <w:rsid w:val="00F04917"/>
    <w:rsid w:val="00F0602F"/>
    <w:rsid w:val="00F06D48"/>
    <w:rsid w:val="00F07982"/>
    <w:rsid w:val="00F07AFE"/>
    <w:rsid w:val="00F1043A"/>
    <w:rsid w:val="00F175FA"/>
    <w:rsid w:val="00F178BA"/>
    <w:rsid w:val="00F20925"/>
    <w:rsid w:val="00F21A5B"/>
    <w:rsid w:val="00F22ECB"/>
    <w:rsid w:val="00F236DE"/>
    <w:rsid w:val="00F23A4D"/>
    <w:rsid w:val="00F23E17"/>
    <w:rsid w:val="00F24911"/>
    <w:rsid w:val="00F25D15"/>
    <w:rsid w:val="00F26B88"/>
    <w:rsid w:val="00F273F0"/>
    <w:rsid w:val="00F337BB"/>
    <w:rsid w:val="00F40253"/>
    <w:rsid w:val="00F41A11"/>
    <w:rsid w:val="00F4390D"/>
    <w:rsid w:val="00F503BF"/>
    <w:rsid w:val="00F53DE7"/>
    <w:rsid w:val="00F61460"/>
    <w:rsid w:val="00F710DC"/>
    <w:rsid w:val="00F7349E"/>
    <w:rsid w:val="00F7377F"/>
    <w:rsid w:val="00F811D9"/>
    <w:rsid w:val="00F85DC9"/>
    <w:rsid w:val="00F90BB0"/>
    <w:rsid w:val="00F91CDF"/>
    <w:rsid w:val="00F9283F"/>
    <w:rsid w:val="00F92DF6"/>
    <w:rsid w:val="00F95979"/>
    <w:rsid w:val="00F9713E"/>
    <w:rsid w:val="00F97FD8"/>
    <w:rsid w:val="00FA0741"/>
    <w:rsid w:val="00FA1716"/>
    <w:rsid w:val="00FA2746"/>
    <w:rsid w:val="00FA68EA"/>
    <w:rsid w:val="00FB100A"/>
    <w:rsid w:val="00FB2DC5"/>
    <w:rsid w:val="00FC0EE4"/>
    <w:rsid w:val="00FD0F47"/>
    <w:rsid w:val="00FD2155"/>
    <w:rsid w:val="00FD269F"/>
    <w:rsid w:val="00FD5BBC"/>
    <w:rsid w:val="00FE04FA"/>
    <w:rsid w:val="00FE0532"/>
    <w:rsid w:val="00FE0DC8"/>
    <w:rsid w:val="00FE160C"/>
    <w:rsid w:val="00FE6137"/>
    <w:rsid w:val="00FE78D4"/>
    <w:rsid w:val="00FF0F6B"/>
    <w:rsid w:val="00FF597F"/>
    <w:rsid w:val="00FF7E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773B"/>
  <w15:chartTrackingRefBased/>
  <w15:docId w15:val="{26BC9294-15E1-4E9F-9F80-43F8FC3E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7AB"/>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6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74227"/>
  </w:style>
  <w:style w:type="character" w:styleId="Emphasis">
    <w:name w:val="Emphasis"/>
    <w:basedOn w:val="DefaultParagraphFont"/>
    <w:uiPriority w:val="20"/>
    <w:qFormat/>
    <w:rsid w:val="00741E21"/>
    <w:rPr>
      <w:i/>
      <w:iCs/>
    </w:rPr>
  </w:style>
  <w:style w:type="character" w:customStyle="1" w:styleId="current-selection">
    <w:name w:val="current-selection"/>
    <w:basedOn w:val="DefaultParagraphFont"/>
    <w:rsid w:val="001B73FA"/>
  </w:style>
  <w:style w:type="character" w:customStyle="1" w:styleId="a">
    <w:name w:val="_"/>
    <w:basedOn w:val="DefaultParagraphFont"/>
    <w:rsid w:val="001B73FA"/>
  </w:style>
  <w:style w:type="paragraph" w:styleId="ListParagraph">
    <w:name w:val="List Paragraph"/>
    <w:basedOn w:val="Normal"/>
    <w:uiPriority w:val="34"/>
    <w:qFormat/>
    <w:rsid w:val="000C0699"/>
    <w:pPr>
      <w:ind w:left="720"/>
      <w:contextualSpacing/>
    </w:pPr>
  </w:style>
  <w:style w:type="character" w:customStyle="1" w:styleId="mim-text-font">
    <w:name w:val="mim-text-font"/>
    <w:basedOn w:val="DefaultParagraphFont"/>
    <w:rsid w:val="00C71433"/>
  </w:style>
  <w:style w:type="character" w:customStyle="1" w:styleId="id-label">
    <w:name w:val="id-label"/>
    <w:basedOn w:val="DefaultParagraphFont"/>
    <w:rsid w:val="00C71433"/>
  </w:style>
  <w:style w:type="character" w:styleId="Strong">
    <w:name w:val="Strong"/>
    <w:basedOn w:val="DefaultParagraphFont"/>
    <w:uiPriority w:val="22"/>
    <w:qFormat/>
    <w:rsid w:val="00C71433"/>
    <w:rPr>
      <w:b/>
      <w:bCs/>
    </w:rPr>
  </w:style>
  <w:style w:type="paragraph" w:styleId="Revision">
    <w:name w:val="Revision"/>
    <w:hidden/>
    <w:uiPriority w:val="99"/>
    <w:semiHidden/>
    <w:rsid w:val="00B16BA8"/>
    <w:pPr>
      <w:spacing w:after="0" w:line="240" w:lineRule="auto"/>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89557">
      <w:bodyDiv w:val="1"/>
      <w:marLeft w:val="0"/>
      <w:marRight w:val="0"/>
      <w:marTop w:val="0"/>
      <w:marBottom w:val="0"/>
      <w:divBdr>
        <w:top w:val="none" w:sz="0" w:space="0" w:color="auto"/>
        <w:left w:val="none" w:sz="0" w:space="0" w:color="auto"/>
        <w:bottom w:val="none" w:sz="0" w:space="0" w:color="auto"/>
        <w:right w:val="none" w:sz="0" w:space="0" w:color="auto"/>
      </w:divBdr>
    </w:div>
    <w:div w:id="166094273">
      <w:bodyDiv w:val="1"/>
      <w:marLeft w:val="0"/>
      <w:marRight w:val="0"/>
      <w:marTop w:val="0"/>
      <w:marBottom w:val="0"/>
      <w:divBdr>
        <w:top w:val="none" w:sz="0" w:space="0" w:color="auto"/>
        <w:left w:val="none" w:sz="0" w:space="0" w:color="auto"/>
        <w:bottom w:val="none" w:sz="0" w:space="0" w:color="auto"/>
        <w:right w:val="none" w:sz="0" w:space="0" w:color="auto"/>
      </w:divBdr>
    </w:div>
    <w:div w:id="432671801">
      <w:bodyDiv w:val="1"/>
      <w:marLeft w:val="0"/>
      <w:marRight w:val="0"/>
      <w:marTop w:val="0"/>
      <w:marBottom w:val="0"/>
      <w:divBdr>
        <w:top w:val="none" w:sz="0" w:space="0" w:color="auto"/>
        <w:left w:val="none" w:sz="0" w:space="0" w:color="auto"/>
        <w:bottom w:val="none" w:sz="0" w:space="0" w:color="auto"/>
        <w:right w:val="none" w:sz="0" w:space="0" w:color="auto"/>
      </w:divBdr>
      <w:divsChild>
        <w:div w:id="791285871">
          <w:marLeft w:val="0"/>
          <w:marRight w:val="0"/>
          <w:marTop w:val="0"/>
          <w:marBottom w:val="0"/>
          <w:divBdr>
            <w:top w:val="none" w:sz="0" w:space="0" w:color="auto"/>
            <w:left w:val="none" w:sz="0" w:space="0" w:color="auto"/>
            <w:bottom w:val="none" w:sz="0" w:space="0" w:color="auto"/>
            <w:right w:val="none" w:sz="0" w:space="0" w:color="auto"/>
          </w:divBdr>
        </w:div>
        <w:div w:id="1812597323">
          <w:marLeft w:val="0"/>
          <w:marRight w:val="0"/>
          <w:marTop w:val="0"/>
          <w:marBottom w:val="0"/>
          <w:divBdr>
            <w:top w:val="none" w:sz="0" w:space="0" w:color="auto"/>
            <w:left w:val="none" w:sz="0" w:space="0" w:color="auto"/>
            <w:bottom w:val="none" w:sz="0" w:space="0" w:color="auto"/>
            <w:right w:val="none" w:sz="0" w:space="0" w:color="auto"/>
          </w:divBdr>
        </w:div>
        <w:div w:id="1527252229">
          <w:marLeft w:val="0"/>
          <w:marRight w:val="0"/>
          <w:marTop w:val="0"/>
          <w:marBottom w:val="0"/>
          <w:divBdr>
            <w:top w:val="none" w:sz="0" w:space="0" w:color="auto"/>
            <w:left w:val="none" w:sz="0" w:space="0" w:color="auto"/>
            <w:bottom w:val="none" w:sz="0" w:space="0" w:color="auto"/>
            <w:right w:val="none" w:sz="0" w:space="0" w:color="auto"/>
          </w:divBdr>
        </w:div>
        <w:div w:id="528033251">
          <w:marLeft w:val="0"/>
          <w:marRight w:val="0"/>
          <w:marTop w:val="0"/>
          <w:marBottom w:val="0"/>
          <w:divBdr>
            <w:top w:val="none" w:sz="0" w:space="0" w:color="auto"/>
            <w:left w:val="none" w:sz="0" w:space="0" w:color="auto"/>
            <w:bottom w:val="none" w:sz="0" w:space="0" w:color="auto"/>
            <w:right w:val="none" w:sz="0" w:space="0" w:color="auto"/>
          </w:divBdr>
        </w:div>
      </w:divsChild>
    </w:div>
    <w:div w:id="485630090">
      <w:bodyDiv w:val="1"/>
      <w:marLeft w:val="0"/>
      <w:marRight w:val="0"/>
      <w:marTop w:val="0"/>
      <w:marBottom w:val="0"/>
      <w:divBdr>
        <w:top w:val="none" w:sz="0" w:space="0" w:color="auto"/>
        <w:left w:val="none" w:sz="0" w:space="0" w:color="auto"/>
        <w:bottom w:val="none" w:sz="0" w:space="0" w:color="auto"/>
        <w:right w:val="none" w:sz="0" w:space="0" w:color="auto"/>
      </w:divBdr>
    </w:div>
    <w:div w:id="494033837">
      <w:bodyDiv w:val="1"/>
      <w:marLeft w:val="0"/>
      <w:marRight w:val="0"/>
      <w:marTop w:val="0"/>
      <w:marBottom w:val="0"/>
      <w:divBdr>
        <w:top w:val="none" w:sz="0" w:space="0" w:color="auto"/>
        <w:left w:val="none" w:sz="0" w:space="0" w:color="auto"/>
        <w:bottom w:val="none" w:sz="0" w:space="0" w:color="auto"/>
        <w:right w:val="none" w:sz="0" w:space="0" w:color="auto"/>
      </w:divBdr>
    </w:div>
    <w:div w:id="556938755">
      <w:bodyDiv w:val="1"/>
      <w:marLeft w:val="0"/>
      <w:marRight w:val="0"/>
      <w:marTop w:val="0"/>
      <w:marBottom w:val="0"/>
      <w:divBdr>
        <w:top w:val="none" w:sz="0" w:space="0" w:color="auto"/>
        <w:left w:val="none" w:sz="0" w:space="0" w:color="auto"/>
        <w:bottom w:val="none" w:sz="0" w:space="0" w:color="auto"/>
        <w:right w:val="none" w:sz="0" w:space="0" w:color="auto"/>
      </w:divBdr>
      <w:divsChild>
        <w:div w:id="175384817">
          <w:marLeft w:val="0"/>
          <w:marRight w:val="0"/>
          <w:marTop w:val="0"/>
          <w:marBottom w:val="0"/>
          <w:divBdr>
            <w:top w:val="none" w:sz="0" w:space="0" w:color="auto"/>
            <w:left w:val="none" w:sz="0" w:space="0" w:color="auto"/>
            <w:bottom w:val="none" w:sz="0" w:space="0" w:color="auto"/>
            <w:right w:val="none" w:sz="0" w:space="0" w:color="auto"/>
          </w:divBdr>
        </w:div>
        <w:div w:id="649023603">
          <w:marLeft w:val="0"/>
          <w:marRight w:val="0"/>
          <w:marTop w:val="0"/>
          <w:marBottom w:val="0"/>
          <w:divBdr>
            <w:top w:val="none" w:sz="0" w:space="0" w:color="auto"/>
            <w:left w:val="none" w:sz="0" w:space="0" w:color="auto"/>
            <w:bottom w:val="none" w:sz="0" w:space="0" w:color="auto"/>
            <w:right w:val="none" w:sz="0" w:space="0" w:color="auto"/>
          </w:divBdr>
        </w:div>
        <w:div w:id="1503231127">
          <w:marLeft w:val="0"/>
          <w:marRight w:val="0"/>
          <w:marTop w:val="0"/>
          <w:marBottom w:val="0"/>
          <w:divBdr>
            <w:top w:val="none" w:sz="0" w:space="0" w:color="auto"/>
            <w:left w:val="none" w:sz="0" w:space="0" w:color="auto"/>
            <w:bottom w:val="none" w:sz="0" w:space="0" w:color="auto"/>
            <w:right w:val="none" w:sz="0" w:space="0" w:color="auto"/>
          </w:divBdr>
        </w:div>
        <w:div w:id="1232886929">
          <w:marLeft w:val="0"/>
          <w:marRight w:val="0"/>
          <w:marTop w:val="0"/>
          <w:marBottom w:val="0"/>
          <w:divBdr>
            <w:top w:val="none" w:sz="0" w:space="0" w:color="auto"/>
            <w:left w:val="none" w:sz="0" w:space="0" w:color="auto"/>
            <w:bottom w:val="none" w:sz="0" w:space="0" w:color="auto"/>
            <w:right w:val="none" w:sz="0" w:space="0" w:color="auto"/>
          </w:divBdr>
        </w:div>
        <w:div w:id="1206024462">
          <w:marLeft w:val="0"/>
          <w:marRight w:val="0"/>
          <w:marTop w:val="0"/>
          <w:marBottom w:val="0"/>
          <w:divBdr>
            <w:top w:val="none" w:sz="0" w:space="0" w:color="auto"/>
            <w:left w:val="none" w:sz="0" w:space="0" w:color="auto"/>
            <w:bottom w:val="none" w:sz="0" w:space="0" w:color="auto"/>
            <w:right w:val="none" w:sz="0" w:space="0" w:color="auto"/>
          </w:divBdr>
        </w:div>
        <w:div w:id="811865608">
          <w:marLeft w:val="0"/>
          <w:marRight w:val="0"/>
          <w:marTop w:val="0"/>
          <w:marBottom w:val="0"/>
          <w:divBdr>
            <w:top w:val="none" w:sz="0" w:space="0" w:color="auto"/>
            <w:left w:val="none" w:sz="0" w:space="0" w:color="auto"/>
            <w:bottom w:val="none" w:sz="0" w:space="0" w:color="auto"/>
            <w:right w:val="none" w:sz="0" w:space="0" w:color="auto"/>
          </w:divBdr>
        </w:div>
        <w:div w:id="1052537774">
          <w:marLeft w:val="0"/>
          <w:marRight w:val="0"/>
          <w:marTop w:val="0"/>
          <w:marBottom w:val="0"/>
          <w:divBdr>
            <w:top w:val="none" w:sz="0" w:space="0" w:color="auto"/>
            <w:left w:val="none" w:sz="0" w:space="0" w:color="auto"/>
            <w:bottom w:val="none" w:sz="0" w:space="0" w:color="auto"/>
            <w:right w:val="none" w:sz="0" w:space="0" w:color="auto"/>
          </w:divBdr>
        </w:div>
        <w:div w:id="1972051193">
          <w:marLeft w:val="0"/>
          <w:marRight w:val="0"/>
          <w:marTop w:val="0"/>
          <w:marBottom w:val="0"/>
          <w:divBdr>
            <w:top w:val="none" w:sz="0" w:space="0" w:color="auto"/>
            <w:left w:val="none" w:sz="0" w:space="0" w:color="auto"/>
            <w:bottom w:val="none" w:sz="0" w:space="0" w:color="auto"/>
            <w:right w:val="none" w:sz="0" w:space="0" w:color="auto"/>
          </w:divBdr>
        </w:div>
        <w:div w:id="212547587">
          <w:marLeft w:val="0"/>
          <w:marRight w:val="0"/>
          <w:marTop w:val="0"/>
          <w:marBottom w:val="0"/>
          <w:divBdr>
            <w:top w:val="none" w:sz="0" w:space="0" w:color="auto"/>
            <w:left w:val="none" w:sz="0" w:space="0" w:color="auto"/>
            <w:bottom w:val="none" w:sz="0" w:space="0" w:color="auto"/>
            <w:right w:val="none" w:sz="0" w:space="0" w:color="auto"/>
          </w:divBdr>
        </w:div>
        <w:div w:id="1567106921">
          <w:marLeft w:val="0"/>
          <w:marRight w:val="0"/>
          <w:marTop w:val="0"/>
          <w:marBottom w:val="0"/>
          <w:divBdr>
            <w:top w:val="none" w:sz="0" w:space="0" w:color="auto"/>
            <w:left w:val="none" w:sz="0" w:space="0" w:color="auto"/>
            <w:bottom w:val="none" w:sz="0" w:space="0" w:color="auto"/>
            <w:right w:val="none" w:sz="0" w:space="0" w:color="auto"/>
          </w:divBdr>
        </w:div>
        <w:div w:id="1951163356">
          <w:marLeft w:val="0"/>
          <w:marRight w:val="0"/>
          <w:marTop w:val="0"/>
          <w:marBottom w:val="0"/>
          <w:divBdr>
            <w:top w:val="none" w:sz="0" w:space="0" w:color="auto"/>
            <w:left w:val="none" w:sz="0" w:space="0" w:color="auto"/>
            <w:bottom w:val="none" w:sz="0" w:space="0" w:color="auto"/>
            <w:right w:val="none" w:sz="0" w:space="0" w:color="auto"/>
          </w:divBdr>
        </w:div>
        <w:div w:id="341590703">
          <w:marLeft w:val="0"/>
          <w:marRight w:val="0"/>
          <w:marTop w:val="0"/>
          <w:marBottom w:val="0"/>
          <w:divBdr>
            <w:top w:val="none" w:sz="0" w:space="0" w:color="auto"/>
            <w:left w:val="none" w:sz="0" w:space="0" w:color="auto"/>
            <w:bottom w:val="none" w:sz="0" w:space="0" w:color="auto"/>
            <w:right w:val="none" w:sz="0" w:space="0" w:color="auto"/>
          </w:divBdr>
        </w:div>
        <w:div w:id="1326856266">
          <w:marLeft w:val="0"/>
          <w:marRight w:val="0"/>
          <w:marTop w:val="0"/>
          <w:marBottom w:val="0"/>
          <w:divBdr>
            <w:top w:val="none" w:sz="0" w:space="0" w:color="auto"/>
            <w:left w:val="none" w:sz="0" w:space="0" w:color="auto"/>
            <w:bottom w:val="none" w:sz="0" w:space="0" w:color="auto"/>
            <w:right w:val="none" w:sz="0" w:space="0" w:color="auto"/>
          </w:divBdr>
        </w:div>
        <w:div w:id="381951928">
          <w:marLeft w:val="0"/>
          <w:marRight w:val="0"/>
          <w:marTop w:val="0"/>
          <w:marBottom w:val="0"/>
          <w:divBdr>
            <w:top w:val="none" w:sz="0" w:space="0" w:color="auto"/>
            <w:left w:val="none" w:sz="0" w:space="0" w:color="auto"/>
            <w:bottom w:val="none" w:sz="0" w:space="0" w:color="auto"/>
            <w:right w:val="none" w:sz="0" w:space="0" w:color="auto"/>
          </w:divBdr>
        </w:div>
        <w:div w:id="1535383341">
          <w:marLeft w:val="0"/>
          <w:marRight w:val="0"/>
          <w:marTop w:val="0"/>
          <w:marBottom w:val="0"/>
          <w:divBdr>
            <w:top w:val="none" w:sz="0" w:space="0" w:color="auto"/>
            <w:left w:val="none" w:sz="0" w:space="0" w:color="auto"/>
            <w:bottom w:val="none" w:sz="0" w:space="0" w:color="auto"/>
            <w:right w:val="none" w:sz="0" w:space="0" w:color="auto"/>
          </w:divBdr>
        </w:div>
        <w:div w:id="597756999">
          <w:marLeft w:val="0"/>
          <w:marRight w:val="0"/>
          <w:marTop w:val="0"/>
          <w:marBottom w:val="0"/>
          <w:divBdr>
            <w:top w:val="none" w:sz="0" w:space="0" w:color="auto"/>
            <w:left w:val="none" w:sz="0" w:space="0" w:color="auto"/>
            <w:bottom w:val="none" w:sz="0" w:space="0" w:color="auto"/>
            <w:right w:val="none" w:sz="0" w:space="0" w:color="auto"/>
          </w:divBdr>
        </w:div>
        <w:div w:id="2052605917">
          <w:marLeft w:val="0"/>
          <w:marRight w:val="0"/>
          <w:marTop w:val="0"/>
          <w:marBottom w:val="0"/>
          <w:divBdr>
            <w:top w:val="none" w:sz="0" w:space="0" w:color="auto"/>
            <w:left w:val="none" w:sz="0" w:space="0" w:color="auto"/>
            <w:bottom w:val="none" w:sz="0" w:space="0" w:color="auto"/>
            <w:right w:val="none" w:sz="0" w:space="0" w:color="auto"/>
          </w:divBdr>
        </w:div>
        <w:div w:id="2037583713">
          <w:marLeft w:val="0"/>
          <w:marRight w:val="0"/>
          <w:marTop w:val="0"/>
          <w:marBottom w:val="0"/>
          <w:divBdr>
            <w:top w:val="none" w:sz="0" w:space="0" w:color="auto"/>
            <w:left w:val="none" w:sz="0" w:space="0" w:color="auto"/>
            <w:bottom w:val="none" w:sz="0" w:space="0" w:color="auto"/>
            <w:right w:val="none" w:sz="0" w:space="0" w:color="auto"/>
          </w:divBdr>
        </w:div>
        <w:div w:id="19203903">
          <w:marLeft w:val="0"/>
          <w:marRight w:val="0"/>
          <w:marTop w:val="0"/>
          <w:marBottom w:val="0"/>
          <w:divBdr>
            <w:top w:val="none" w:sz="0" w:space="0" w:color="auto"/>
            <w:left w:val="none" w:sz="0" w:space="0" w:color="auto"/>
            <w:bottom w:val="none" w:sz="0" w:space="0" w:color="auto"/>
            <w:right w:val="none" w:sz="0" w:space="0" w:color="auto"/>
          </w:divBdr>
        </w:div>
        <w:div w:id="1960449038">
          <w:marLeft w:val="0"/>
          <w:marRight w:val="0"/>
          <w:marTop w:val="0"/>
          <w:marBottom w:val="0"/>
          <w:divBdr>
            <w:top w:val="none" w:sz="0" w:space="0" w:color="auto"/>
            <w:left w:val="none" w:sz="0" w:space="0" w:color="auto"/>
            <w:bottom w:val="none" w:sz="0" w:space="0" w:color="auto"/>
            <w:right w:val="none" w:sz="0" w:space="0" w:color="auto"/>
          </w:divBdr>
        </w:div>
        <w:div w:id="1733582561">
          <w:marLeft w:val="0"/>
          <w:marRight w:val="0"/>
          <w:marTop w:val="0"/>
          <w:marBottom w:val="0"/>
          <w:divBdr>
            <w:top w:val="none" w:sz="0" w:space="0" w:color="auto"/>
            <w:left w:val="none" w:sz="0" w:space="0" w:color="auto"/>
            <w:bottom w:val="none" w:sz="0" w:space="0" w:color="auto"/>
            <w:right w:val="none" w:sz="0" w:space="0" w:color="auto"/>
          </w:divBdr>
        </w:div>
        <w:div w:id="256911114">
          <w:marLeft w:val="0"/>
          <w:marRight w:val="0"/>
          <w:marTop w:val="0"/>
          <w:marBottom w:val="0"/>
          <w:divBdr>
            <w:top w:val="none" w:sz="0" w:space="0" w:color="auto"/>
            <w:left w:val="none" w:sz="0" w:space="0" w:color="auto"/>
            <w:bottom w:val="none" w:sz="0" w:space="0" w:color="auto"/>
            <w:right w:val="none" w:sz="0" w:space="0" w:color="auto"/>
          </w:divBdr>
        </w:div>
        <w:div w:id="1180312857">
          <w:marLeft w:val="0"/>
          <w:marRight w:val="0"/>
          <w:marTop w:val="0"/>
          <w:marBottom w:val="0"/>
          <w:divBdr>
            <w:top w:val="none" w:sz="0" w:space="0" w:color="auto"/>
            <w:left w:val="none" w:sz="0" w:space="0" w:color="auto"/>
            <w:bottom w:val="none" w:sz="0" w:space="0" w:color="auto"/>
            <w:right w:val="none" w:sz="0" w:space="0" w:color="auto"/>
          </w:divBdr>
        </w:div>
        <w:div w:id="975524340">
          <w:marLeft w:val="0"/>
          <w:marRight w:val="0"/>
          <w:marTop w:val="0"/>
          <w:marBottom w:val="0"/>
          <w:divBdr>
            <w:top w:val="none" w:sz="0" w:space="0" w:color="auto"/>
            <w:left w:val="none" w:sz="0" w:space="0" w:color="auto"/>
            <w:bottom w:val="none" w:sz="0" w:space="0" w:color="auto"/>
            <w:right w:val="none" w:sz="0" w:space="0" w:color="auto"/>
          </w:divBdr>
        </w:div>
        <w:div w:id="459954467">
          <w:marLeft w:val="0"/>
          <w:marRight w:val="0"/>
          <w:marTop w:val="0"/>
          <w:marBottom w:val="0"/>
          <w:divBdr>
            <w:top w:val="none" w:sz="0" w:space="0" w:color="auto"/>
            <w:left w:val="none" w:sz="0" w:space="0" w:color="auto"/>
            <w:bottom w:val="none" w:sz="0" w:space="0" w:color="auto"/>
            <w:right w:val="none" w:sz="0" w:space="0" w:color="auto"/>
          </w:divBdr>
        </w:div>
        <w:div w:id="802768245">
          <w:marLeft w:val="0"/>
          <w:marRight w:val="0"/>
          <w:marTop w:val="0"/>
          <w:marBottom w:val="0"/>
          <w:divBdr>
            <w:top w:val="none" w:sz="0" w:space="0" w:color="auto"/>
            <w:left w:val="none" w:sz="0" w:space="0" w:color="auto"/>
            <w:bottom w:val="none" w:sz="0" w:space="0" w:color="auto"/>
            <w:right w:val="none" w:sz="0" w:space="0" w:color="auto"/>
          </w:divBdr>
        </w:div>
        <w:div w:id="1156146582">
          <w:marLeft w:val="0"/>
          <w:marRight w:val="0"/>
          <w:marTop w:val="0"/>
          <w:marBottom w:val="0"/>
          <w:divBdr>
            <w:top w:val="none" w:sz="0" w:space="0" w:color="auto"/>
            <w:left w:val="none" w:sz="0" w:space="0" w:color="auto"/>
            <w:bottom w:val="none" w:sz="0" w:space="0" w:color="auto"/>
            <w:right w:val="none" w:sz="0" w:space="0" w:color="auto"/>
          </w:divBdr>
        </w:div>
        <w:div w:id="1438208730">
          <w:marLeft w:val="0"/>
          <w:marRight w:val="0"/>
          <w:marTop w:val="0"/>
          <w:marBottom w:val="0"/>
          <w:divBdr>
            <w:top w:val="none" w:sz="0" w:space="0" w:color="auto"/>
            <w:left w:val="none" w:sz="0" w:space="0" w:color="auto"/>
            <w:bottom w:val="none" w:sz="0" w:space="0" w:color="auto"/>
            <w:right w:val="none" w:sz="0" w:space="0" w:color="auto"/>
          </w:divBdr>
        </w:div>
        <w:div w:id="474375016">
          <w:marLeft w:val="0"/>
          <w:marRight w:val="0"/>
          <w:marTop w:val="0"/>
          <w:marBottom w:val="0"/>
          <w:divBdr>
            <w:top w:val="none" w:sz="0" w:space="0" w:color="auto"/>
            <w:left w:val="none" w:sz="0" w:space="0" w:color="auto"/>
            <w:bottom w:val="none" w:sz="0" w:space="0" w:color="auto"/>
            <w:right w:val="none" w:sz="0" w:space="0" w:color="auto"/>
          </w:divBdr>
        </w:div>
        <w:div w:id="592279625">
          <w:marLeft w:val="0"/>
          <w:marRight w:val="0"/>
          <w:marTop w:val="0"/>
          <w:marBottom w:val="0"/>
          <w:divBdr>
            <w:top w:val="none" w:sz="0" w:space="0" w:color="auto"/>
            <w:left w:val="none" w:sz="0" w:space="0" w:color="auto"/>
            <w:bottom w:val="none" w:sz="0" w:space="0" w:color="auto"/>
            <w:right w:val="none" w:sz="0" w:space="0" w:color="auto"/>
          </w:divBdr>
        </w:div>
        <w:div w:id="754981358">
          <w:marLeft w:val="0"/>
          <w:marRight w:val="0"/>
          <w:marTop w:val="0"/>
          <w:marBottom w:val="0"/>
          <w:divBdr>
            <w:top w:val="none" w:sz="0" w:space="0" w:color="auto"/>
            <w:left w:val="none" w:sz="0" w:space="0" w:color="auto"/>
            <w:bottom w:val="none" w:sz="0" w:space="0" w:color="auto"/>
            <w:right w:val="none" w:sz="0" w:space="0" w:color="auto"/>
          </w:divBdr>
        </w:div>
        <w:div w:id="1426028444">
          <w:marLeft w:val="0"/>
          <w:marRight w:val="0"/>
          <w:marTop w:val="0"/>
          <w:marBottom w:val="0"/>
          <w:divBdr>
            <w:top w:val="none" w:sz="0" w:space="0" w:color="auto"/>
            <w:left w:val="none" w:sz="0" w:space="0" w:color="auto"/>
            <w:bottom w:val="none" w:sz="0" w:space="0" w:color="auto"/>
            <w:right w:val="none" w:sz="0" w:space="0" w:color="auto"/>
          </w:divBdr>
        </w:div>
        <w:div w:id="1443843731">
          <w:marLeft w:val="0"/>
          <w:marRight w:val="0"/>
          <w:marTop w:val="0"/>
          <w:marBottom w:val="0"/>
          <w:divBdr>
            <w:top w:val="none" w:sz="0" w:space="0" w:color="auto"/>
            <w:left w:val="none" w:sz="0" w:space="0" w:color="auto"/>
            <w:bottom w:val="none" w:sz="0" w:space="0" w:color="auto"/>
            <w:right w:val="none" w:sz="0" w:space="0" w:color="auto"/>
          </w:divBdr>
        </w:div>
        <w:div w:id="1776637657">
          <w:marLeft w:val="0"/>
          <w:marRight w:val="0"/>
          <w:marTop w:val="0"/>
          <w:marBottom w:val="0"/>
          <w:divBdr>
            <w:top w:val="none" w:sz="0" w:space="0" w:color="auto"/>
            <w:left w:val="none" w:sz="0" w:space="0" w:color="auto"/>
            <w:bottom w:val="none" w:sz="0" w:space="0" w:color="auto"/>
            <w:right w:val="none" w:sz="0" w:space="0" w:color="auto"/>
          </w:divBdr>
        </w:div>
        <w:div w:id="1826511889">
          <w:marLeft w:val="0"/>
          <w:marRight w:val="0"/>
          <w:marTop w:val="0"/>
          <w:marBottom w:val="0"/>
          <w:divBdr>
            <w:top w:val="none" w:sz="0" w:space="0" w:color="auto"/>
            <w:left w:val="none" w:sz="0" w:space="0" w:color="auto"/>
            <w:bottom w:val="none" w:sz="0" w:space="0" w:color="auto"/>
            <w:right w:val="none" w:sz="0" w:space="0" w:color="auto"/>
          </w:divBdr>
        </w:div>
        <w:div w:id="756244508">
          <w:marLeft w:val="0"/>
          <w:marRight w:val="0"/>
          <w:marTop w:val="0"/>
          <w:marBottom w:val="0"/>
          <w:divBdr>
            <w:top w:val="none" w:sz="0" w:space="0" w:color="auto"/>
            <w:left w:val="none" w:sz="0" w:space="0" w:color="auto"/>
            <w:bottom w:val="none" w:sz="0" w:space="0" w:color="auto"/>
            <w:right w:val="none" w:sz="0" w:space="0" w:color="auto"/>
          </w:divBdr>
        </w:div>
        <w:div w:id="977492165">
          <w:marLeft w:val="0"/>
          <w:marRight w:val="0"/>
          <w:marTop w:val="0"/>
          <w:marBottom w:val="0"/>
          <w:divBdr>
            <w:top w:val="none" w:sz="0" w:space="0" w:color="auto"/>
            <w:left w:val="none" w:sz="0" w:space="0" w:color="auto"/>
            <w:bottom w:val="none" w:sz="0" w:space="0" w:color="auto"/>
            <w:right w:val="none" w:sz="0" w:space="0" w:color="auto"/>
          </w:divBdr>
        </w:div>
        <w:div w:id="405766087">
          <w:marLeft w:val="0"/>
          <w:marRight w:val="0"/>
          <w:marTop w:val="0"/>
          <w:marBottom w:val="0"/>
          <w:divBdr>
            <w:top w:val="none" w:sz="0" w:space="0" w:color="auto"/>
            <w:left w:val="none" w:sz="0" w:space="0" w:color="auto"/>
            <w:bottom w:val="none" w:sz="0" w:space="0" w:color="auto"/>
            <w:right w:val="none" w:sz="0" w:space="0" w:color="auto"/>
          </w:divBdr>
        </w:div>
        <w:div w:id="714544437">
          <w:marLeft w:val="0"/>
          <w:marRight w:val="0"/>
          <w:marTop w:val="0"/>
          <w:marBottom w:val="0"/>
          <w:divBdr>
            <w:top w:val="none" w:sz="0" w:space="0" w:color="auto"/>
            <w:left w:val="none" w:sz="0" w:space="0" w:color="auto"/>
            <w:bottom w:val="none" w:sz="0" w:space="0" w:color="auto"/>
            <w:right w:val="none" w:sz="0" w:space="0" w:color="auto"/>
          </w:divBdr>
        </w:div>
        <w:div w:id="343285241">
          <w:marLeft w:val="0"/>
          <w:marRight w:val="0"/>
          <w:marTop w:val="0"/>
          <w:marBottom w:val="0"/>
          <w:divBdr>
            <w:top w:val="none" w:sz="0" w:space="0" w:color="auto"/>
            <w:left w:val="none" w:sz="0" w:space="0" w:color="auto"/>
            <w:bottom w:val="none" w:sz="0" w:space="0" w:color="auto"/>
            <w:right w:val="none" w:sz="0" w:space="0" w:color="auto"/>
          </w:divBdr>
        </w:div>
        <w:div w:id="2016227083">
          <w:marLeft w:val="0"/>
          <w:marRight w:val="0"/>
          <w:marTop w:val="0"/>
          <w:marBottom w:val="0"/>
          <w:divBdr>
            <w:top w:val="none" w:sz="0" w:space="0" w:color="auto"/>
            <w:left w:val="none" w:sz="0" w:space="0" w:color="auto"/>
            <w:bottom w:val="none" w:sz="0" w:space="0" w:color="auto"/>
            <w:right w:val="none" w:sz="0" w:space="0" w:color="auto"/>
          </w:divBdr>
        </w:div>
        <w:div w:id="1252274534">
          <w:marLeft w:val="0"/>
          <w:marRight w:val="0"/>
          <w:marTop w:val="0"/>
          <w:marBottom w:val="0"/>
          <w:divBdr>
            <w:top w:val="none" w:sz="0" w:space="0" w:color="auto"/>
            <w:left w:val="none" w:sz="0" w:space="0" w:color="auto"/>
            <w:bottom w:val="none" w:sz="0" w:space="0" w:color="auto"/>
            <w:right w:val="none" w:sz="0" w:space="0" w:color="auto"/>
          </w:divBdr>
        </w:div>
      </w:divsChild>
    </w:div>
    <w:div w:id="559099643">
      <w:bodyDiv w:val="1"/>
      <w:marLeft w:val="0"/>
      <w:marRight w:val="0"/>
      <w:marTop w:val="0"/>
      <w:marBottom w:val="0"/>
      <w:divBdr>
        <w:top w:val="none" w:sz="0" w:space="0" w:color="auto"/>
        <w:left w:val="none" w:sz="0" w:space="0" w:color="auto"/>
        <w:bottom w:val="none" w:sz="0" w:space="0" w:color="auto"/>
        <w:right w:val="none" w:sz="0" w:space="0" w:color="auto"/>
      </w:divBdr>
      <w:divsChild>
        <w:div w:id="1962497128">
          <w:marLeft w:val="0"/>
          <w:marRight w:val="0"/>
          <w:marTop w:val="0"/>
          <w:marBottom w:val="0"/>
          <w:divBdr>
            <w:top w:val="none" w:sz="0" w:space="0" w:color="auto"/>
            <w:left w:val="none" w:sz="0" w:space="0" w:color="auto"/>
            <w:bottom w:val="none" w:sz="0" w:space="0" w:color="auto"/>
            <w:right w:val="none" w:sz="0" w:space="0" w:color="auto"/>
          </w:divBdr>
        </w:div>
        <w:div w:id="1264535109">
          <w:marLeft w:val="0"/>
          <w:marRight w:val="0"/>
          <w:marTop w:val="0"/>
          <w:marBottom w:val="0"/>
          <w:divBdr>
            <w:top w:val="none" w:sz="0" w:space="0" w:color="auto"/>
            <w:left w:val="none" w:sz="0" w:space="0" w:color="auto"/>
            <w:bottom w:val="none" w:sz="0" w:space="0" w:color="auto"/>
            <w:right w:val="none" w:sz="0" w:space="0" w:color="auto"/>
          </w:divBdr>
        </w:div>
        <w:div w:id="1434594401">
          <w:marLeft w:val="0"/>
          <w:marRight w:val="0"/>
          <w:marTop w:val="0"/>
          <w:marBottom w:val="0"/>
          <w:divBdr>
            <w:top w:val="none" w:sz="0" w:space="0" w:color="auto"/>
            <w:left w:val="none" w:sz="0" w:space="0" w:color="auto"/>
            <w:bottom w:val="none" w:sz="0" w:space="0" w:color="auto"/>
            <w:right w:val="none" w:sz="0" w:space="0" w:color="auto"/>
          </w:divBdr>
        </w:div>
      </w:divsChild>
    </w:div>
    <w:div w:id="699672594">
      <w:bodyDiv w:val="1"/>
      <w:marLeft w:val="0"/>
      <w:marRight w:val="0"/>
      <w:marTop w:val="0"/>
      <w:marBottom w:val="0"/>
      <w:divBdr>
        <w:top w:val="none" w:sz="0" w:space="0" w:color="auto"/>
        <w:left w:val="none" w:sz="0" w:space="0" w:color="auto"/>
        <w:bottom w:val="none" w:sz="0" w:space="0" w:color="auto"/>
        <w:right w:val="none" w:sz="0" w:space="0" w:color="auto"/>
      </w:divBdr>
    </w:div>
    <w:div w:id="950163505">
      <w:bodyDiv w:val="1"/>
      <w:marLeft w:val="0"/>
      <w:marRight w:val="0"/>
      <w:marTop w:val="0"/>
      <w:marBottom w:val="0"/>
      <w:divBdr>
        <w:top w:val="none" w:sz="0" w:space="0" w:color="auto"/>
        <w:left w:val="none" w:sz="0" w:space="0" w:color="auto"/>
        <w:bottom w:val="none" w:sz="0" w:space="0" w:color="auto"/>
        <w:right w:val="none" w:sz="0" w:space="0" w:color="auto"/>
      </w:divBdr>
    </w:div>
    <w:div w:id="1001394905">
      <w:bodyDiv w:val="1"/>
      <w:marLeft w:val="0"/>
      <w:marRight w:val="0"/>
      <w:marTop w:val="0"/>
      <w:marBottom w:val="0"/>
      <w:divBdr>
        <w:top w:val="none" w:sz="0" w:space="0" w:color="auto"/>
        <w:left w:val="none" w:sz="0" w:space="0" w:color="auto"/>
        <w:bottom w:val="none" w:sz="0" w:space="0" w:color="auto"/>
        <w:right w:val="none" w:sz="0" w:space="0" w:color="auto"/>
      </w:divBdr>
    </w:div>
    <w:div w:id="1004238014">
      <w:bodyDiv w:val="1"/>
      <w:marLeft w:val="0"/>
      <w:marRight w:val="0"/>
      <w:marTop w:val="0"/>
      <w:marBottom w:val="0"/>
      <w:divBdr>
        <w:top w:val="none" w:sz="0" w:space="0" w:color="auto"/>
        <w:left w:val="none" w:sz="0" w:space="0" w:color="auto"/>
        <w:bottom w:val="none" w:sz="0" w:space="0" w:color="auto"/>
        <w:right w:val="none" w:sz="0" w:space="0" w:color="auto"/>
      </w:divBdr>
    </w:div>
    <w:div w:id="1031956499">
      <w:bodyDiv w:val="1"/>
      <w:marLeft w:val="0"/>
      <w:marRight w:val="0"/>
      <w:marTop w:val="0"/>
      <w:marBottom w:val="0"/>
      <w:divBdr>
        <w:top w:val="none" w:sz="0" w:space="0" w:color="auto"/>
        <w:left w:val="none" w:sz="0" w:space="0" w:color="auto"/>
        <w:bottom w:val="none" w:sz="0" w:space="0" w:color="auto"/>
        <w:right w:val="none" w:sz="0" w:space="0" w:color="auto"/>
      </w:divBdr>
    </w:div>
    <w:div w:id="1049888152">
      <w:bodyDiv w:val="1"/>
      <w:marLeft w:val="0"/>
      <w:marRight w:val="0"/>
      <w:marTop w:val="0"/>
      <w:marBottom w:val="0"/>
      <w:divBdr>
        <w:top w:val="none" w:sz="0" w:space="0" w:color="auto"/>
        <w:left w:val="none" w:sz="0" w:space="0" w:color="auto"/>
        <w:bottom w:val="none" w:sz="0" w:space="0" w:color="auto"/>
        <w:right w:val="none" w:sz="0" w:space="0" w:color="auto"/>
      </w:divBdr>
    </w:div>
    <w:div w:id="1052461109">
      <w:bodyDiv w:val="1"/>
      <w:marLeft w:val="0"/>
      <w:marRight w:val="0"/>
      <w:marTop w:val="0"/>
      <w:marBottom w:val="0"/>
      <w:divBdr>
        <w:top w:val="none" w:sz="0" w:space="0" w:color="auto"/>
        <w:left w:val="none" w:sz="0" w:space="0" w:color="auto"/>
        <w:bottom w:val="none" w:sz="0" w:space="0" w:color="auto"/>
        <w:right w:val="none" w:sz="0" w:space="0" w:color="auto"/>
      </w:divBdr>
    </w:div>
    <w:div w:id="1096946897">
      <w:bodyDiv w:val="1"/>
      <w:marLeft w:val="0"/>
      <w:marRight w:val="0"/>
      <w:marTop w:val="0"/>
      <w:marBottom w:val="0"/>
      <w:divBdr>
        <w:top w:val="none" w:sz="0" w:space="0" w:color="auto"/>
        <w:left w:val="none" w:sz="0" w:space="0" w:color="auto"/>
        <w:bottom w:val="none" w:sz="0" w:space="0" w:color="auto"/>
        <w:right w:val="none" w:sz="0" w:space="0" w:color="auto"/>
      </w:divBdr>
      <w:divsChild>
        <w:div w:id="2142378956">
          <w:marLeft w:val="0"/>
          <w:marRight w:val="0"/>
          <w:marTop w:val="0"/>
          <w:marBottom w:val="0"/>
          <w:divBdr>
            <w:top w:val="none" w:sz="0" w:space="0" w:color="auto"/>
            <w:left w:val="none" w:sz="0" w:space="0" w:color="auto"/>
            <w:bottom w:val="none" w:sz="0" w:space="0" w:color="auto"/>
            <w:right w:val="none" w:sz="0" w:space="0" w:color="auto"/>
          </w:divBdr>
        </w:div>
        <w:div w:id="2024821204">
          <w:marLeft w:val="0"/>
          <w:marRight w:val="0"/>
          <w:marTop w:val="0"/>
          <w:marBottom w:val="0"/>
          <w:divBdr>
            <w:top w:val="none" w:sz="0" w:space="0" w:color="auto"/>
            <w:left w:val="none" w:sz="0" w:space="0" w:color="auto"/>
            <w:bottom w:val="none" w:sz="0" w:space="0" w:color="auto"/>
            <w:right w:val="none" w:sz="0" w:space="0" w:color="auto"/>
          </w:divBdr>
        </w:div>
      </w:divsChild>
    </w:div>
    <w:div w:id="1117793177">
      <w:bodyDiv w:val="1"/>
      <w:marLeft w:val="0"/>
      <w:marRight w:val="0"/>
      <w:marTop w:val="0"/>
      <w:marBottom w:val="0"/>
      <w:divBdr>
        <w:top w:val="none" w:sz="0" w:space="0" w:color="auto"/>
        <w:left w:val="none" w:sz="0" w:space="0" w:color="auto"/>
        <w:bottom w:val="none" w:sz="0" w:space="0" w:color="auto"/>
        <w:right w:val="none" w:sz="0" w:space="0" w:color="auto"/>
      </w:divBdr>
    </w:div>
    <w:div w:id="1146707574">
      <w:bodyDiv w:val="1"/>
      <w:marLeft w:val="0"/>
      <w:marRight w:val="0"/>
      <w:marTop w:val="0"/>
      <w:marBottom w:val="0"/>
      <w:divBdr>
        <w:top w:val="none" w:sz="0" w:space="0" w:color="auto"/>
        <w:left w:val="none" w:sz="0" w:space="0" w:color="auto"/>
        <w:bottom w:val="none" w:sz="0" w:space="0" w:color="auto"/>
        <w:right w:val="none" w:sz="0" w:space="0" w:color="auto"/>
      </w:divBdr>
      <w:divsChild>
        <w:div w:id="54277231">
          <w:marLeft w:val="0"/>
          <w:marRight w:val="0"/>
          <w:marTop w:val="0"/>
          <w:marBottom w:val="0"/>
          <w:divBdr>
            <w:top w:val="none" w:sz="0" w:space="0" w:color="auto"/>
            <w:left w:val="none" w:sz="0" w:space="0" w:color="auto"/>
            <w:bottom w:val="none" w:sz="0" w:space="0" w:color="auto"/>
            <w:right w:val="none" w:sz="0" w:space="0" w:color="auto"/>
          </w:divBdr>
        </w:div>
        <w:div w:id="386955507">
          <w:marLeft w:val="0"/>
          <w:marRight w:val="0"/>
          <w:marTop w:val="0"/>
          <w:marBottom w:val="0"/>
          <w:divBdr>
            <w:top w:val="none" w:sz="0" w:space="0" w:color="auto"/>
            <w:left w:val="none" w:sz="0" w:space="0" w:color="auto"/>
            <w:bottom w:val="none" w:sz="0" w:space="0" w:color="auto"/>
            <w:right w:val="none" w:sz="0" w:space="0" w:color="auto"/>
          </w:divBdr>
        </w:div>
        <w:div w:id="908229634">
          <w:marLeft w:val="0"/>
          <w:marRight w:val="0"/>
          <w:marTop w:val="0"/>
          <w:marBottom w:val="0"/>
          <w:divBdr>
            <w:top w:val="none" w:sz="0" w:space="0" w:color="auto"/>
            <w:left w:val="none" w:sz="0" w:space="0" w:color="auto"/>
            <w:bottom w:val="none" w:sz="0" w:space="0" w:color="auto"/>
            <w:right w:val="none" w:sz="0" w:space="0" w:color="auto"/>
          </w:divBdr>
        </w:div>
        <w:div w:id="2023504057">
          <w:marLeft w:val="0"/>
          <w:marRight w:val="0"/>
          <w:marTop w:val="0"/>
          <w:marBottom w:val="0"/>
          <w:divBdr>
            <w:top w:val="none" w:sz="0" w:space="0" w:color="auto"/>
            <w:left w:val="none" w:sz="0" w:space="0" w:color="auto"/>
            <w:bottom w:val="none" w:sz="0" w:space="0" w:color="auto"/>
            <w:right w:val="none" w:sz="0" w:space="0" w:color="auto"/>
          </w:divBdr>
        </w:div>
        <w:div w:id="432089181">
          <w:marLeft w:val="0"/>
          <w:marRight w:val="0"/>
          <w:marTop w:val="0"/>
          <w:marBottom w:val="0"/>
          <w:divBdr>
            <w:top w:val="none" w:sz="0" w:space="0" w:color="auto"/>
            <w:left w:val="none" w:sz="0" w:space="0" w:color="auto"/>
            <w:bottom w:val="none" w:sz="0" w:space="0" w:color="auto"/>
            <w:right w:val="none" w:sz="0" w:space="0" w:color="auto"/>
          </w:divBdr>
        </w:div>
        <w:div w:id="382798009">
          <w:marLeft w:val="0"/>
          <w:marRight w:val="0"/>
          <w:marTop w:val="0"/>
          <w:marBottom w:val="0"/>
          <w:divBdr>
            <w:top w:val="none" w:sz="0" w:space="0" w:color="auto"/>
            <w:left w:val="none" w:sz="0" w:space="0" w:color="auto"/>
            <w:bottom w:val="none" w:sz="0" w:space="0" w:color="auto"/>
            <w:right w:val="none" w:sz="0" w:space="0" w:color="auto"/>
          </w:divBdr>
        </w:div>
        <w:div w:id="518858208">
          <w:marLeft w:val="0"/>
          <w:marRight w:val="0"/>
          <w:marTop w:val="0"/>
          <w:marBottom w:val="0"/>
          <w:divBdr>
            <w:top w:val="none" w:sz="0" w:space="0" w:color="auto"/>
            <w:left w:val="none" w:sz="0" w:space="0" w:color="auto"/>
            <w:bottom w:val="none" w:sz="0" w:space="0" w:color="auto"/>
            <w:right w:val="none" w:sz="0" w:space="0" w:color="auto"/>
          </w:divBdr>
        </w:div>
        <w:div w:id="583302857">
          <w:marLeft w:val="0"/>
          <w:marRight w:val="0"/>
          <w:marTop w:val="0"/>
          <w:marBottom w:val="0"/>
          <w:divBdr>
            <w:top w:val="none" w:sz="0" w:space="0" w:color="auto"/>
            <w:left w:val="none" w:sz="0" w:space="0" w:color="auto"/>
            <w:bottom w:val="none" w:sz="0" w:space="0" w:color="auto"/>
            <w:right w:val="none" w:sz="0" w:space="0" w:color="auto"/>
          </w:divBdr>
        </w:div>
        <w:div w:id="331764473">
          <w:marLeft w:val="0"/>
          <w:marRight w:val="0"/>
          <w:marTop w:val="0"/>
          <w:marBottom w:val="0"/>
          <w:divBdr>
            <w:top w:val="none" w:sz="0" w:space="0" w:color="auto"/>
            <w:left w:val="none" w:sz="0" w:space="0" w:color="auto"/>
            <w:bottom w:val="none" w:sz="0" w:space="0" w:color="auto"/>
            <w:right w:val="none" w:sz="0" w:space="0" w:color="auto"/>
          </w:divBdr>
        </w:div>
        <w:div w:id="916015284">
          <w:marLeft w:val="0"/>
          <w:marRight w:val="0"/>
          <w:marTop w:val="0"/>
          <w:marBottom w:val="0"/>
          <w:divBdr>
            <w:top w:val="none" w:sz="0" w:space="0" w:color="auto"/>
            <w:left w:val="none" w:sz="0" w:space="0" w:color="auto"/>
            <w:bottom w:val="none" w:sz="0" w:space="0" w:color="auto"/>
            <w:right w:val="none" w:sz="0" w:space="0" w:color="auto"/>
          </w:divBdr>
        </w:div>
        <w:div w:id="790251157">
          <w:marLeft w:val="0"/>
          <w:marRight w:val="0"/>
          <w:marTop w:val="0"/>
          <w:marBottom w:val="0"/>
          <w:divBdr>
            <w:top w:val="none" w:sz="0" w:space="0" w:color="auto"/>
            <w:left w:val="none" w:sz="0" w:space="0" w:color="auto"/>
            <w:bottom w:val="none" w:sz="0" w:space="0" w:color="auto"/>
            <w:right w:val="none" w:sz="0" w:space="0" w:color="auto"/>
          </w:divBdr>
        </w:div>
        <w:div w:id="1861505409">
          <w:marLeft w:val="0"/>
          <w:marRight w:val="0"/>
          <w:marTop w:val="0"/>
          <w:marBottom w:val="0"/>
          <w:divBdr>
            <w:top w:val="none" w:sz="0" w:space="0" w:color="auto"/>
            <w:left w:val="none" w:sz="0" w:space="0" w:color="auto"/>
            <w:bottom w:val="none" w:sz="0" w:space="0" w:color="auto"/>
            <w:right w:val="none" w:sz="0" w:space="0" w:color="auto"/>
          </w:divBdr>
        </w:div>
        <w:div w:id="1435250920">
          <w:marLeft w:val="0"/>
          <w:marRight w:val="0"/>
          <w:marTop w:val="0"/>
          <w:marBottom w:val="0"/>
          <w:divBdr>
            <w:top w:val="none" w:sz="0" w:space="0" w:color="auto"/>
            <w:left w:val="none" w:sz="0" w:space="0" w:color="auto"/>
            <w:bottom w:val="none" w:sz="0" w:space="0" w:color="auto"/>
            <w:right w:val="none" w:sz="0" w:space="0" w:color="auto"/>
          </w:divBdr>
        </w:div>
        <w:div w:id="996802803">
          <w:marLeft w:val="0"/>
          <w:marRight w:val="0"/>
          <w:marTop w:val="0"/>
          <w:marBottom w:val="0"/>
          <w:divBdr>
            <w:top w:val="none" w:sz="0" w:space="0" w:color="auto"/>
            <w:left w:val="none" w:sz="0" w:space="0" w:color="auto"/>
            <w:bottom w:val="none" w:sz="0" w:space="0" w:color="auto"/>
            <w:right w:val="none" w:sz="0" w:space="0" w:color="auto"/>
          </w:divBdr>
        </w:div>
        <w:div w:id="1944413729">
          <w:marLeft w:val="0"/>
          <w:marRight w:val="0"/>
          <w:marTop w:val="0"/>
          <w:marBottom w:val="0"/>
          <w:divBdr>
            <w:top w:val="none" w:sz="0" w:space="0" w:color="auto"/>
            <w:left w:val="none" w:sz="0" w:space="0" w:color="auto"/>
            <w:bottom w:val="none" w:sz="0" w:space="0" w:color="auto"/>
            <w:right w:val="none" w:sz="0" w:space="0" w:color="auto"/>
          </w:divBdr>
        </w:div>
        <w:div w:id="576213412">
          <w:marLeft w:val="0"/>
          <w:marRight w:val="0"/>
          <w:marTop w:val="0"/>
          <w:marBottom w:val="0"/>
          <w:divBdr>
            <w:top w:val="none" w:sz="0" w:space="0" w:color="auto"/>
            <w:left w:val="none" w:sz="0" w:space="0" w:color="auto"/>
            <w:bottom w:val="none" w:sz="0" w:space="0" w:color="auto"/>
            <w:right w:val="none" w:sz="0" w:space="0" w:color="auto"/>
          </w:divBdr>
        </w:div>
        <w:div w:id="620576812">
          <w:marLeft w:val="0"/>
          <w:marRight w:val="0"/>
          <w:marTop w:val="0"/>
          <w:marBottom w:val="0"/>
          <w:divBdr>
            <w:top w:val="none" w:sz="0" w:space="0" w:color="auto"/>
            <w:left w:val="none" w:sz="0" w:space="0" w:color="auto"/>
            <w:bottom w:val="none" w:sz="0" w:space="0" w:color="auto"/>
            <w:right w:val="none" w:sz="0" w:space="0" w:color="auto"/>
          </w:divBdr>
        </w:div>
        <w:div w:id="16733267">
          <w:marLeft w:val="0"/>
          <w:marRight w:val="0"/>
          <w:marTop w:val="0"/>
          <w:marBottom w:val="0"/>
          <w:divBdr>
            <w:top w:val="none" w:sz="0" w:space="0" w:color="auto"/>
            <w:left w:val="none" w:sz="0" w:space="0" w:color="auto"/>
            <w:bottom w:val="none" w:sz="0" w:space="0" w:color="auto"/>
            <w:right w:val="none" w:sz="0" w:space="0" w:color="auto"/>
          </w:divBdr>
        </w:div>
        <w:div w:id="600574739">
          <w:marLeft w:val="0"/>
          <w:marRight w:val="0"/>
          <w:marTop w:val="0"/>
          <w:marBottom w:val="0"/>
          <w:divBdr>
            <w:top w:val="none" w:sz="0" w:space="0" w:color="auto"/>
            <w:left w:val="none" w:sz="0" w:space="0" w:color="auto"/>
            <w:bottom w:val="none" w:sz="0" w:space="0" w:color="auto"/>
            <w:right w:val="none" w:sz="0" w:space="0" w:color="auto"/>
          </w:divBdr>
        </w:div>
        <w:div w:id="1902519204">
          <w:marLeft w:val="0"/>
          <w:marRight w:val="0"/>
          <w:marTop w:val="0"/>
          <w:marBottom w:val="0"/>
          <w:divBdr>
            <w:top w:val="none" w:sz="0" w:space="0" w:color="auto"/>
            <w:left w:val="none" w:sz="0" w:space="0" w:color="auto"/>
            <w:bottom w:val="none" w:sz="0" w:space="0" w:color="auto"/>
            <w:right w:val="none" w:sz="0" w:space="0" w:color="auto"/>
          </w:divBdr>
        </w:div>
        <w:div w:id="1647319293">
          <w:marLeft w:val="0"/>
          <w:marRight w:val="0"/>
          <w:marTop w:val="0"/>
          <w:marBottom w:val="0"/>
          <w:divBdr>
            <w:top w:val="none" w:sz="0" w:space="0" w:color="auto"/>
            <w:left w:val="none" w:sz="0" w:space="0" w:color="auto"/>
            <w:bottom w:val="none" w:sz="0" w:space="0" w:color="auto"/>
            <w:right w:val="none" w:sz="0" w:space="0" w:color="auto"/>
          </w:divBdr>
        </w:div>
      </w:divsChild>
    </w:div>
    <w:div w:id="1211530192">
      <w:bodyDiv w:val="1"/>
      <w:marLeft w:val="0"/>
      <w:marRight w:val="0"/>
      <w:marTop w:val="0"/>
      <w:marBottom w:val="0"/>
      <w:divBdr>
        <w:top w:val="none" w:sz="0" w:space="0" w:color="auto"/>
        <w:left w:val="none" w:sz="0" w:space="0" w:color="auto"/>
        <w:bottom w:val="none" w:sz="0" w:space="0" w:color="auto"/>
        <w:right w:val="none" w:sz="0" w:space="0" w:color="auto"/>
      </w:divBdr>
      <w:divsChild>
        <w:div w:id="866871658">
          <w:marLeft w:val="0"/>
          <w:marRight w:val="0"/>
          <w:marTop w:val="0"/>
          <w:marBottom w:val="0"/>
          <w:divBdr>
            <w:top w:val="none" w:sz="0" w:space="0" w:color="auto"/>
            <w:left w:val="none" w:sz="0" w:space="0" w:color="auto"/>
            <w:bottom w:val="none" w:sz="0" w:space="0" w:color="auto"/>
            <w:right w:val="none" w:sz="0" w:space="0" w:color="auto"/>
          </w:divBdr>
        </w:div>
        <w:div w:id="975645121">
          <w:marLeft w:val="0"/>
          <w:marRight w:val="0"/>
          <w:marTop w:val="0"/>
          <w:marBottom w:val="0"/>
          <w:divBdr>
            <w:top w:val="none" w:sz="0" w:space="0" w:color="auto"/>
            <w:left w:val="none" w:sz="0" w:space="0" w:color="auto"/>
            <w:bottom w:val="none" w:sz="0" w:space="0" w:color="auto"/>
            <w:right w:val="none" w:sz="0" w:space="0" w:color="auto"/>
          </w:divBdr>
        </w:div>
        <w:div w:id="1385059373">
          <w:marLeft w:val="0"/>
          <w:marRight w:val="0"/>
          <w:marTop w:val="0"/>
          <w:marBottom w:val="0"/>
          <w:divBdr>
            <w:top w:val="none" w:sz="0" w:space="0" w:color="auto"/>
            <w:left w:val="none" w:sz="0" w:space="0" w:color="auto"/>
            <w:bottom w:val="none" w:sz="0" w:space="0" w:color="auto"/>
            <w:right w:val="none" w:sz="0" w:space="0" w:color="auto"/>
          </w:divBdr>
        </w:div>
        <w:div w:id="1942909928">
          <w:marLeft w:val="0"/>
          <w:marRight w:val="0"/>
          <w:marTop w:val="0"/>
          <w:marBottom w:val="0"/>
          <w:divBdr>
            <w:top w:val="none" w:sz="0" w:space="0" w:color="auto"/>
            <w:left w:val="none" w:sz="0" w:space="0" w:color="auto"/>
            <w:bottom w:val="none" w:sz="0" w:space="0" w:color="auto"/>
            <w:right w:val="none" w:sz="0" w:space="0" w:color="auto"/>
          </w:divBdr>
        </w:div>
      </w:divsChild>
    </w:div>
    <w:div w:id="1246188303">
      <w:bodyDiv w:val="1"/>
      <w:marLeft w:val="0"/>
      <w:marRight w:val="0"/>
      <w:marTop w:val="0"/>
      <w:marBottom w:val="0"/>
      <w:divBdr>
        <w:top w:val="none" w:sz="0" w:space="0" w:color="auto"/>
        <w:left w:val="none" w:sz="0" w:space="0" w:color="auto"/>
        <w:bottom w:val="none" w:sz="0" w:space="0" w:color="auto"/>
        <w:right w:val="none" w:sz="0" w:space="0" w:color="auto"/>
      </w:divBdr>
    </w:div>
    <w:div w:id="1246723172">
      <w:bodyDiv w:val="1"/>
      <w:marLeft w:val="0"/>
      <w:marRight w:val="0"/>
      <w:marTop w:val="0"/>
      <w:marBottom w:val="0"/>
      <w:divBdr>
        <w:top w:val="none" w:sz="0" w:space="0" w:color="auto"/>
        <w:left w:val="none" w:sz="0" w:space="0" w:color="auto"/>
        <w:bottom w:val="none" w:sz="0" w:space="0" w:color="auto"/>
        <w:right w:val="none" w:sz="0" w:space="0" w:color="auto"/>
      </w:divBdr>
    </w:div>
    <w:div w:id="1312099142">
      <w:bodyDiv w:val="1"/>
      <w:marLeft w:val="0"/>
      <w:marRight w:val="0"/>
      <w:marTop w:val="0"/>
      <w:marBottom w:val="0"/>
      <w:divBdr>
        <w:top w:val="none" w:sz="0" w:space="0" w:color="auto"/>
        <w:left w:val="none" w:sz="0" w:space="0" w:color="auto"/>
        <w:bottom w:val="none" w:sz="0" w:space="0" w:color="auto"/>
        <w:right w:val="none" w:sz="0" w:space="0" w:color="auto"/>
      </w:divBdr>
      <w:divsChild>
        <w:div w:id="1170098182">
          <w:marLeft w:val="0"/>
          <w:marRight w:val="0"/>
          <w:marTop w:val="0"/>
          <w:marBottom w:val="0"/>
          <w:divBdr>
            <w:top w:val="none" w:sz="0" w:space="0" w:color="auto"/>
            <w:left w:val="none" w:sz="0" w:space="0" w:color="auto"/>
            <w:bottom w:val="none" w:sz="0" w:space="0" w:color="auto"/>
            <w:right w:val="none" w:sz="0" w:space="0" w:color="auto"/>
          </w:divBdr>
        </w:div>
        <w:div w:id="1030230634">
          <w:marLeft w:val="0"/>
          <w:marRight w:val="0"/>
          <w:marTop w:val="0"/>
          <w:marBottom w:val="0"/>
          <w:divBdr>
            <w:top w:val="none" w:sz="0" w:space="0" w:color="auto"/>
            <w:left w:val="none" w:sz="0" w:space="0" w:color="auto"/>
            <w:bottom w:val="none" w:sz="0" w:space="0" w:color="auto"/>
            <w:right w:val="none" w:sz="0" w:space="0" w:color="auto"/>
          </w:divBdr>
        </w:div>
        <w:div w:id="1744252887">
          <w:marLeft w:val="0"/>
          <w:marRight w:val="0"/>
          <w:marTop w:val="0"/>
          <w:marBottom w:val="0"/>
          <w:divBdr>
            <w:top w:val="none" w:sz="0" w:space="0" w:color="auto"/>
            <w:left w:val="none" w:sz="0" w:space="0" w:color="auto"/>
            <w:bottom w:val="none" w:sz="0" w:space="0" w:color="auto"/>
            <w:right w:val="none" w:sz="0" w:space="0" w:color="auto"/>
          </w:divBdr>
        </w:div>
      </w:divsChild>
    </w:div>
    <w:div w:id="1318150845">
      <w:bodyDiv w:val="1"/>
      <w:marLeft w:val="0"/>
      <w:marRight w:val="0"/>
      <w:marTop w:val="0"/>
      <w:marBottom w:val="0"/>
      <w:divBdr>
        <w:top w:val="none" w:sz="0" w:space="0" w:color="auto"/>
        <w:left w:val="none" w:sz="0" w:space="0" w:color="auto"/>
        <w:bottom w:val="none" w:sz="0" w:space="0" w:color="auto"/>
        <w:right w:val="none" w:sz="0" w:space="0" w:color="auto"/>
      </w:divBdr>
    </w:div>
    <w:div w:id="1344085513">
      <w:bodyDiv w:val="1"/>
      <w:marLeft w:val="0"/>
      <w:marRight w:val="0"/>
      <w:marTop w:val="0"/>
      <w:marBottom w:val="0"/>
      <w:divBdr>
        <w:top w:val="none" w:sz="0" w:space="0" w:color="auto"/>
        <w:left w:val="none" w:sz="0" w:space="0" w:color="auto"/>
        <w:bottom w:val="none" w:sz="0" w:space="0" w:color="auto"/>
        <w:right w:val="none" w:sz="0" w:space="0" w:color="auto"/>
      </w:divBdr>
      <w:divsChild>
        <w:div w:id="2085494984">
          <w:marLeft w:val="0"/>
          <w:marRight w:val="0"/>
          <w:marTop w:val="0"/>
          <w:marBottom w:val="0"/>
          <w:divBdr>
            <w:top w:val="none" w:sz="0" w:space="0" w:color="auto"/>
            <w:left w:val="none" w:sz="0" w:space="0" w:color="auto"/>
            <w:bottom w:val="none" w:sz="0" w:space="0" w:color="auto"/>
            <w:right w:val="none" w:sz="0" w:space="0" w:color="auto"/>
          </w:divBdr>
        </w:div>
        <w:div w:id="526991996">
          <w:marLeft w:val="0"/>
          <w:marRight w:val="0"/>
          <w:marTop w:val="0"/>
          <w:marBottom w:val="0"/>
          <w:divBdr>
            <w:top w:val="none" w:sz="0" w:space="0" w:color="auto"/>
            <w:left w:val="none" w:sz="0" w:space="0" w:color="auto"/>
            <w:bottom w:val="none" w:sz="0" w:space="0" w:color="auto"/>
            <w:right w:val="none" w:sz="0" w:space="0" w:color="auto"/>
          </w:divBdr>
        </w:div>
        <w:div w:id="591663441">
          <w:marLeft w:val="0"/>
          <w:marRight w:val="0"/>
          <w:marTop w:val="0"/>
          <w:marBottom w:val="0"/>
          <w:divBdr>
            <w:top w:val="none" w:sz="0" w:space="0" w:color="auto"/>
            <w:left w:val="none" w:sz="0" w:space="0" w:color="auto"/>
            <w:bottom w:val="none" w:sz="0" w:space="0" w:color="auto"/>
            <w:right w:val="none" w:sz="0" w:space="0" w:color="auto"/>
          </w:divBdr>
        </w:div>
        <w:div w:id="1303392286">
          <w:marLeft w:val="0"/>
          <w:marRight w:val="0"/>
          <w:marTop w:val="0"/>
          <w:marBottom w:val="0"/>
          <w:divBdr>
            <w:top w:val="none" w:sz="0" w:space="0" w:color="auto"/>
            <w:left w:val="none" w:sz="0" w:space="0" w:color="auto"/>
            <w:bottom w:val="none" w:sz="0" w:space="0" w:color="auto"/>
            <w:right w:val="none" w:sz="0" w:space="0" w:color="auto"/>
          </w:divBdr>
        </w:div>
        <w:div w:id="2055546274">
          <w:marLeft w:val="0"/>
          <w:marRight w:val="0"/>
          <w:marTop w:val="0"/>
          <w:marBottom w:val="0"/>
          <w:divBdr>
            <w:top w:val="none" w:sz="0" w:space="0" w:color="auto"/>
            <w:left w:val="none" w:sz="0" w:space="0" w:color="auto"/>
            <w:bottom w:val="none" w:sz="0" w:space="0" w:color="auto"/>
            <w:right w:val="none" w:sz="0" w:space="0" w:color="auto"/>
          </w:divBdr>
        </w:div>
        <w:div w:id="1360660535">
          <w:marLeft w:val="0"/>
          <w:marRight w:val="0"/>
          <w:marTop w:val="0"/>
          <w:marBottom w:val="0"/>
          <w:divBdr>
            <w:top w:val="none" w:sz="0" w:space="0" w:color="auto"/>
            <w:left w:val="none" w:sz="0" w:space="0" w:color="auto"/>
            <w:bottom w:val="none" w:sz="0" w:space="0" w:color="auto"/>
            <w:right w:val="none" w:sz="0" w:space="0" w:color="auto"/>
          </w:divBdr>
        </w:div>
        <w:div w:id="830172898">
          <w:marLeft w:val="0"/>
          <w:marRight w:val="0"/>
          <w:marTop w:val="0"/>
          <w:marBottom w:val="0"/>
          <w:divBdr>
            <w:top w:val="none" w:sz="0" w:space="0" w:color="auto"/>
            <w:left w:val="none" w:sz="0" w:space="0" w:color="auto"/>
            <w:bottom w:val="none" w:sz="0" w:space="0" w:color="auto"/>
            <w:right w:val="none" w:sz="0" w:space="0" w:color="auto"/>
          </w:divBdr>
        </w:div>
        <w:div w:id="1841462797">
          <w:marLeft w:val="0"/>
          <w:marRight w:val="0"/>
          <w:marTop w:val="0"/>
          <w:marBottom w:val="0"/>
          <w:divBdr>
            <w:top w:val="none" w:sz="0" w:space="0" w:color="auto"/>
            <w:left w:val="none" w:sz="0" w:space="0" w:color="auto"/>
            <w:bottom w:val="none" w:sz="0" w:space="0" w:color="auto"/>
            <w:right w:val="none" w:sz="0" w:space="0" w:color="auto"/>
          </w:divBdr>
        </w:div>
        <w:div w:id="1595553176">
          <w:marLeft w:val="0"/>
          <w:marRight w:val="0"/>
          <w:marTop w:val="0"/>
          <w:marBottom w:val="0"/>
          <w:divBdr>
            <w:top w:val="none" w:sz="0" w:space="0" w:color="auto"/>
            <w:left w:val="none" w:sz="0" w:space="0" w:color="auto"/>
            <w:bottom w:val="none" w:sz="0" w:space="0" w:color="auto"/>
            <w:right w:val="none" w:sz="0" w:space="0" w:color="auto"/>
          </w:divBdr>
        </w:div>
        <w:div w:id="574238841">
          <w:marLeft w:val="0"/>
          <w:marRight w:val="0"/>
          <w:marTop w:val="0"/>
          <w:marBottom w:val="0"/>
          <w:divBdr>
            <w:top w:val="none" w:sz="0" w:space="0" w:color="auto"/>
            <w:left w:val="none" w:sz="0" w:space="0" w:color="auto"/>
            <w:bottom w:val="none" w:sz="0" w:space="0" w:color="auto"/>
            <w:right w:val="none" w:sz="0" w:space="0" w:color="auto"/>
          </w:divBdr>
        </w:div>
        <w:div w:id="827746619">
          <w:marLeft w:val="0"/>
          <w:marRight w:val="0"/>
          <w:marTop w:val="0"/>
          <w:marBottom w:val="0"/>
          <w:divBdr>
            <w:top w:val="none" w:sz="0" w:space="0" w:color="auto"/>
            <w:left w:val="none" w:sz="0" w:space="0" w:color="auto"/>
            <w:bottom w:val="none" w:sz="0" w:space="0" w:color="auto"/>
            <w:right w:val="none" w:sz="0" w:space="0" w:color="auto"/>
          </w:divBdr>
        </w:div>
        <w:div w:id="868958231">
          <w:marLeft w:val="0"/>
          <w:marRight w:val="0"/>
          <w:marTop w:val="0"/>
          <w:marBottom w:val="0"/>
          <w:divBdr>
            <w:top w:val="none" w:sz="0" w:space="0" w:color="auto"/>
            <w:left w:val="none" w:sz="0" w:space="0" w:color="auto"/>
            <w:bottom w:val="none" w:sz="0" w:space="0" w:color="auto"/>
            <w:right w:val="none" w:sz="0" w:space="0" w:color="auto"/>
          </w:divBdr>
        </w:div>
        <w:div w:id="1097286356">
          <w:marLeft w:val="0"/>
          <w:marRight w:val="0"/>
          <w:marTop w:val="0"/>
          <w:marBottom w:val="0"/>
          <w:divBdr>
            <w:top w:val="none" w:sz="0" w:space="0" w:color="auto"/>
            <w:left w:val="none" w:sz="0" w:space="0" w:color="auto"/>
            <w:bottom w:val="none" w:sz="0" w:space="0" w:color="auto"/>
            <w:right w:val="none" w:sz="0" w:space="0" w:color="auto"/>
          </w:divBdr>
        </w:div>
      </w:divsChild>
    </w:div>
    <w:div w:id="1344087005">
      <w:bodyDiv w:val="1"/>
      <w:marLeft w:val="0"/>
      <w:marRight w:val="0"/>
      <w:marTop w:val="0"/>
      <w:marBottom w:val="0"/>
      <w:divBdr>
        <w:top w:val="none" w:sz="0" w:space="0" w:color="auto"/>
        <w:left w:val="none" w:sz="0" w:space="0" w:color="auto"/>
        <w:bottom w:val="none" w:sz="0" w:space="0" w:color="auto"/>
        <w:right w:val="none" w:sz="0" w:space="0" w:color="auto"/>
      </w:divBdr>
      <w:divsChild>
        <w:div w:id="481317518">
          <w:marLeft w:val="0"/>
          <w:marRight w:val="0"/>
          <w:marTop w:val="0"/>
          <w:marBottom w:val="0"/>
          <w:divBdr>
            <w:top w:val="none" w:sz="0" w:space="0" w:color="auto"/>
            <w:left w:val="none" w:sz="0" w:space="0" w:color="auto"/>
            <w:bottom w:val="none" w:sz="0" w:space="0" w:color="auto"/>
            <w:right w:val="none" w:sz="0" w:space="0" w:color="auto"/>
          </w:divBdr>
        </w:div>
        <w:div w:id="916288853">
          <w:marLeft w:val="0"/>
          <w:marRight w:val="0"/>
          <w:marTop w:val="0"/>
          <w:marBottom w:val="0"/>
          <w:divBdr>
            <w:top w:val="none" w:sz="0" w:space="0" w:color="auto"/>
            <w:left w:val="none" w:sz="0" w:space="0" w:color="auto"/>
            <w:bottom w:val="none" w:sz="0" w:space="0" w:color="auto"/>
            <w:right w:val="none" w:sz="0" w:space="0" w:color="auto"/>
          </w:divBdr>
        </w:div>
        <w:div w:id="2071296403">
          <w:marLeft w:val="0"/>
          <w:marRight w:val="0"/>
          <w:marTop w:val="0"/>
          <w:marBottom w:val="0"/>
          <w:divBdr>
            <w:top w:val="none" w:sz="0" w:space="0" w:color="auto"/>
            <w:left w:val="none" w:sz="0" w:space="0" w:color="auto"/>
            <w:bottom w:val="none" w:sz="0" w:space="0" w:color="auto"/>
            <w:right w:val="none" w:sz="0" w:space="0" w:color="auto"/>
          </w:divBdr>
        </w:div>
        <w:div w:id="657534630">
          <w:marLeft w:val="0"/>
          <w:marRight w:val="0"/>
          <w:marTop w:val="0"/>
          <w:marBottom w:val="0"/>
          <w:divBdr>
            <w:top w:val="none" w:sz="0" w:space="0" w:color="auto"/>
            <w:left w:val="none" w:sz="0" w:space="0" w:color="auto"/>
            <w:bottom w:val="none" w:sz="0" w:space="0" w:color="auto"/>
            <w:right w:val="none" w:sz="0" w:space="0" w:color="auto"/>
          </w:divBdr>
        </w:div>
        <w:div w:id="713696185">
          <w:marLeft w:val="0"/>
          <w:marRight w:val="0"/>
          <w:marTop w:val="0"/>
          <w:marBottom w:val="0"/>
          <w:divBdr>
            <w:top w:val="none" w:sz="0" w:space="0" w:color="auto"/>
            <w:left w:val="none" w:sz="0" w:space="0" w:color="auto"/>
            <w:bottom w:val="none" w:sz="0" w:space="0" w:color="auto"/>
            <w:right w:val="none" w:sz="0" w:space="0" w:color="auto"/>
          </w:divBdr>
        </w:div>
        <w:div w:id="2011785275">
          <w:marLeft w:val="0"/>
          <w:marRight w:val="0"/>
          <w:marTop w:val="0"/>
          <w:marBottom w:val="0"/>
          <w:divBdr>
            <w:top w:val="none" w:sz="0" w:space="0" w:color="auto"/>
            <w:left w:val="none" w:sz="0" w:space="0" w:color="auto"/>
            <w:bottom w:val="none" w:sz="0" w:space="0" w:color="auto"/>
            <w:right w:val="none" w:sz="0" w:space="0" w:color="auto"/>
          </w:divBdr>
        </w:div>
      </w:divsChild>
    </w:div>
    <w:div w:id="1388527130">
      <w:bodyDiv w:val="1"/>
      <w:marLeft w:val="0"/>
      <w:marRight w:val="0"/>
      <w:marTop w:val="0"/>
      <w:marBottom w:val="0"/>
      <w:divBdr>
        <w:top w:val="none" w:sz="0" w:space="0" w:color="auto"/>
        <w:left w:val="none" w:sz="0" w:space="0" w:color="auto"/>
        <w:bottom w:val="none" w:sz="0" w:space="0" w:color="auto"/>
        <w:right w:val="none" w:sz="0" w:space="0" w:color="auto"/>
      </w:divBdr>
    </w:div>
    <w:div w:id="1539315407">
      <w:bodyDiv w:val="1"/>
      <w:marLeft w:val="0"/>
      <w:marRight w:val="0"/>
      <w:marTop w:val="0"/>
      <w:marBottom w:val="0"/>
      <w:divBdr>
        <w:top w:val="none" w:sz="0" w:space="0" w:color="auto"/>
        <w:left w:val="none" w:sz="0" w:space="0" w:color="auto"/>
        <w:bottom w:val="none" w:sz="0" w:space="0" w:color="auto"/>
        <w:right w:val="none" w:sz="0" w:space="0" w:color="auto"/>
      </w:divBdr>
      <w:divsChild>
        <w:div w:id="2113501798">
          <w:marLeft w:val="0"/>
          <w:marRight w:val="0"/>
          <w:marTop w:val="0"/>
          <w:marBottom w:val="0"/>
          <w:divBdr>
            <w:top w:val="none" w:sz="0" w:space="0" w:color="auto"/>
            <w:left w:val="none" w:sz="0" w:space="0" w:color="auto"/>
            <w:bottom w:val="none" w:sz="0" w:space="0" w:color="auto"/>
            <w:right w:val="none" w:sz="0" w:space="0" w:color="auto"/>
          </w:divBdr>
        </w:div>
        <w:div w:id="1186364835">
          <w:marLeft w:val="0"/>
          <w:marRight w:val="0"/>
          <w:marTop w:val="0"/>
          <w:marBottom w:val="0"/>
          <w:divBdr>
            <w:top w:val="none" w:sz="0" w:space="0" w:color="auto"/>
            <w:left w:val="none" w:sz="0" w:space="0" w:color="auto"/>
            <w:bottom w:val="none" w:sz="0" w:space="0" w:color="auto"/>
            <w:right w:val="none" w:sz="0" w:space="0" w:color="auto"/>
          </w:divBdr>
        </w:div>
        <w:div w:id="2103867474">
          <w:marLeft w:val="0"/>
          <w:marRight w:val="0"/>
          <w:marTop w:val="0"/>
          <w:marBottom w:val="0"/>
          <w:divBdr>
            <w:top w:val="none" w:sz="0" w:space="0" w:color="auto"/>
            <w:left w:val="none" w:sz="0" w:space="0" w:color="auto"/>
            <w:bottom w:val="none" w:sz="0" w:space="0" w:color="auto"/>
            <w:right w:val="none" w:sz="0" w:space="0" w:color="auto"/>
          </w:divBdr>
        </w:div>
        <w:div w:id="495726690">
          <w:marLeft w:val="0"/>
          <w:marRight w:val="0"/>
          <w:marTop w:val="0"/>
          <w:marBottom w:val="0"/>
          <w:divBdr>
            <w:top w:val="none" w:sz="0" w:space="0" w:color="auto"/>
            <w:left w:val="none" w:sz="0" w:space="0" w:color="auto"/>
            <w:bottom w:val="none" w:sz="0" w:space="0" w:color="auto"/>
            <w:right w:val="none" w:sz="0" w:space="0" w:color="auto"/>
          </w:divBdr>
        </w:div>
        <w:div w:id="706180360">
          <w:marLeft w:val="0"/>
          <w:marRight w:val="0"/>
          <w:marTop w:val="0"/>
          <w:marBottom w:val="0"/>
          <w:divBdr>
            <w:top w:val="none" w:sz="0" w:space="0" w:color="auto"/>
            <w:left w:val="none" w:sz="0" w:space="0" w:color="auto"/>
            <w:bottom w:val="none" w:sz="0" w:space="0" w:color="auto"/>
            <w:right w:val="none" w:sz="0" w:space="0" w:color="auto"/>
          </w:divBdr>
        </w:div>
        <w:div w:id="1817065356">
          <w:marLeft w:val="0"/>
          <w:marRight w:val="0"/>
          <w:marTop w:val="0"/>
          <w:marBottom w:val="0"/>
          <w:divBdr>
            <w:top w:val="none" w:sz="0" w:space="0" w:color="auto"/>
            <w:left w:val="none" w:sz="0" w:space="0" w:color="auto"/>
            <w:bottom w:val="none" w:sz="0" w:space="0" w:color="auto"/>
            <w:right w:val="none" w:sz="0" w:space="0" w:color="auto"/>
          </w:divBdr>
        </w:div>
        <w:div w:id="552886917">
          <w:marLeft w:val="0"/>
          <w:marRight w:val="0"/>
          <w:marTop w:val="0"/>
          <w:marBottom w:val="0"/>
          <w:divBdr>
            <w:top w:val="none" w:sz="0" w:space="0" w:color="auto"/>
            <w:left w:val="none" w:sz="0" w:space="0" w:color="auto"/>
            <w:bottom w:val="none" w:sz="0" w:space="0" w:color="auto"/>
            <w:right w:val="none" w:sz="0" w:space="0" w:color="auto"/>
          </w:divBdr>
        </w:div>
        <w:div w:id="543831718">
          <w:marLeft w:val="0"/>
          <w:marRight w:val="0"/>
          <w:marTop w:val="0"/>
          <w:marBottom w:val="0"/>
          <w:divBdr>
            <w:top w:val="none" w:sz="0" w:space="0" w:color="auto"/>
            <w:left w:val="none" w:sz="0" w:space="0" w:color="auto"/>
            <w:bottom w:val="none" w:sz="0" w:space="0" w:color="auto"/>
            <w:right w:val="none" w:sz="0" w:space="0" w:color="auto"/>
          </w:divBdr>
        </w:div>
        <w:div w:id="481045274">
          <w:marLeft w:val="0"/>
          <w:marRight w:val="0"/>
          <w:marTop w:val="0"/>
          <w:marBottom w:val="0"/>
          <w:divBdr>
            <w:top w:val="none" w:sz="0" w:space="0" w:color="auto"/>
            <w:left w:val="none" w:sz="0" w:space="0" w:color="auto"/>
            <w:bottom w:val="none" w:sz="0" w:space="0" w:color="auto"/>
            <w:right w:val="none" w:sz="0" w:space="0" w:color="auto"/>
          </w:divBdr>
        </w:div>
        <w:div w:id="150413661">
          <w:marLeft w:val="0"/>
          <w:marRight w:val="0"/>
          <w:marTop w:val="0"/>
          <w:marBottom w:val="0"/>
          <w:divBdr>
            <w:top w:val="none" w:sz="0" w:space="0" w:color="auto"/>
            <w:left w:val="none" w:sz="0" w:space="0" w:color="auto"/>
            <w:bottom w:val="none" w:sz="0" w:space="0" w:color="auto"/>
            <w:right w:val="none" w:sz="0" w:space="0" w:color="auto"/>
          </w:divBdr>
        </w:div>
        <w:div w:id="265236299">
          <w:marLeft w:val="0"/>
          <w:marRight w:val="0"/>
          <w:marTop w:val="0"/>
          <w:marBottom w:val="0"/>
          <w:divBdr>
            <w:top w:val="none" w:sz="0" w:space="0" w:color="auto"/>
            <w:left w:val="none" w:sz="0" w:space="0" w:color="auto"/>
            <w:bottom w:val="none" w:sz="0" w:space="0" w:color="auto"/>
            <w:right w:val="none" w:sz="0" w:space="0" w:color="auto"/>
          </w:divBdr>
        </w:div>
      </w:divsChild>
    </w:div>
    <w:div w:id="1563516470">
      <w:bodyDiv w:val="1"/>
      <w:marLeft w:val="0"/>
      <w:marRight w:val="0"/>
      <w:marTop w:val="0"/>
      <w:marBottom w:val="0"/>
      <w:divBdr>
        <w:top w:val="none" w:sz="0" w:space="0" w:color="auto"/>
        <w:left w:val="none" w:sz="0" w:space="0" w:color="auto"/>
        <w:bottom w:val="none" w:sz="0" w:space="0" w:color="auto"/>
        <w:right w:val="none" w:sz="0" w:space="0" w:color="auto"/>
      </w:divBdr>
    </w:div>
    <w:div w:id="1595939418">
      <w:bodyDiv w:val="1"/>
      <w:marLeft w:val="0"/>
      <w:marRight w:val="0"/>
      <w:marTop w:val="0"/>
      <w:marBottom w:val="0"/>
      <w:divBdr>
        <w:top w:val="none" w:sz="0" w:space="0" w:color="auto"/>
        <w:left w:val="none" w:sz="0" w:space="0" w:color="auto"/>
        <w:bottom w:val="none" w:sz="0" w:space="0" w:color="auto"/>
        <w:right w:val="none" w:sz="0" w:space="0" w:color="auto"/>
      </w:divBdr>
    </w:div>
    <w:div w:id="1666468469">
      <w:bodyDiv w:val="1"/>
      <w:marLeft w:val="0"/>
      <w:marRight w:val="0"/>
      <w:marTop w:val="0"/>
      <w:marBottom w:val="0"/>
      <w:divBdr>
        <w:top w:val="none" w:sz="0" w:space="0" w:color="auto"/>
        <w:left w:val="none" w:sz="0" w:space="0" w:color="auto"/>
        <w:bottom w:val="none" w:sz="0" w:space="0" w:color="auto"/>
        <w:right w:val="none" w:sz="0" w:space="0" w:color="auto"/>
      </w:divBdr>
      <w:divsChild>
        <w:div w:id="716010230">
          <w:marLeft w:val="0"/>
          <w:marRight w:val="0"/>
          <w:marTop w:val="0"/>
          <w:marBottom w:val="0"/>
          <w:divBdr>
            <w:top w:val="none" w:sz="0" w:space="0" w:color="auto"/>
            <w:left w:val="none" w:sz="0" w:space="0" w:color="auto"/>
            <w:bottom w:val="none" w:sz="0" w:space="0" w:color="auto"/>
            <w:right w:val="none" w:sz="0" w:space="0" w:color="auto"/>
          </w:divBdr>
        </w:div>
        <w:div w:id="1618294009">
          <w:marLeft w:val="0"/>
          <w:marRight w:val="0"/>
          <w:marTop w:val="0"/>
          <w:marBottom w:val="0"/>
          <w:divBdr>
            <w:top w:val="none" w:sz="0" w:space="0" w:color="auto"/>
            <w:left w:val="none" w:sz="0" w:space="0" w:color="auto"/>
            <w:bottom w:val="none" w:sz="0" w:space="0" w:color="auto"/>
            <w:right w:val="none" w:sz="0" w:space="0" w:color="auto"/>
          </w:divBdr>
        </w:div>
        <w:div w:id="1149974589">
          <w:marLeft w:val="0"/>
          <w:marRight w:val="0"/>
          <w:marTop w:val="0"/>
          <w:marBottom w:val="0"/>
          <w:divBdr>
            <w:top w:val="none" w:sz="0" w:space="0" w:color="auto"/>
            <w:left w:val="none" w:sz="0" w:space="0" w:color="auto"/>
            <w:bottom w:val="none" w:sz="0" w:space="0" w:color="auto"/>
            <w:right w:val="none" w:sz="0" w:space="0" w:color="auto"/>
          </w:divBdr>
        </w:div>
        <w:div w:id="502548077">
          <w:marLeft w:val="0"/>
          <w:marRight w:val="0"/>
          <w:marTop w:val="0"/>
          <w:marBottom w:val="0"/>
          <w:divBdr>
            <w:top w:val="none" w:sz="0" w:space="0" w:color="auto"/>
            <w:left w:val="none" w:sz="0" w:space="0" w:color="auto"/>
            <w:bottom w:val="none" w:sz="0" w:space="0" w:color="auto"/>
            <w:right w:val="none" w:sz="0" w:space="0" w:color="auto"/>
          </w:divBdr>
        </w:div>
      </w:divsChild>
    </w:div>
    <w:div w:id="1693216510">
      <w:bodyDiv w:val="1"/>
      <w:marLeft w:val="0"/>
      <w:marRight w:val="0"/>
      <w:marTop w:val="0"/>
      <w:marBottom w:val="0"/>
      <w:divBdr>
        <w:top w:val="none" w:sz="0" w:space="0" w:color="auto"/>
        <w:left w:val="none" w:sz="0" w:space="0" w:color="auto"/>
        <w:bottom w:val="none" w:sz="0" w:space="0" w:color="auto"/>
        <w:right w:val="none" w:sz="0" w:space="0" w:color="auto"/>
      </w:divBdr>
      <w:divsChild>
        <w:div w:id="1359507479">
          <w:marLeft w:val="0"/>
          <w:marRight w:val="0"/>
          <w:marTop w:val="0"/>
          <w:marBottom w:val="0"/>
          <w:divBdr>
            <w:top w:val="none" w:sz="0" w:space="0" w:color="auto"/>
            <w:left w:val="none" w:sz="0" w:space="0" w:color="auto"/>
            <w:bottom w:val="none" w:sz="0" w:space="0" w:color="auto"/>
            <w:right w:val="none" w:sz="0" w:space="0" w:color="auto"/>
          </w:divBdr>
        </w:div>
        <w:div w:id="1340547671">
          <w:marLeft w:val="0"/>
          <w:marRight w:val="0"/>
          <w:marTop w:val="0"/>
          <w:marBottom w:val="0"/>
          <w:divBdr>
            <w:top w:val="none" w:sz="0" w:space="0" w:color="auto"/>
            <w:left w:val="none" w:sz="0" w:space="0" w:color="auto"/>
            <w:bottom w:val="none" w:sz="0" w:space="0" w:color="auto"/>
            <w:right w:val="none" w:sz="0" w:space="0" w:color="auto"/>
          </w:divBdr>
        </w:div>
      </w:divsChild>
    </w:div>
    <w:div w:id="1698703060">
      <w:bodyDiv w:val="1"/>
      <w:marLeft w:val="0"/>
      <w:marRight w:val="0"/>
      <w:marTop w:val="0"/>
      <w:marBottom w:val="0"/>
      <w:divBdr>
        <w:top w:val="none" w:sz="0" w:space="0" w:color="auto"/>
        <w:left w:val="none" w:sz="0" w:space="0" w:color="auto"/>
        <w:bottom w:val="none" w:sz="0" w:space="0" w:color="auto"/>
        <w:right w:val="none" w:sz="0" w:space="0" w:color="auto"/>
      </w:divBdr>
    </w:div>
    <w:div w:id="1719279286">
      <w:bodyDiv w:val="1"/>
      <w:marLeft w:val="0"/>
      <w:marRight w:val="0"/>
      <w:marTop w:val="0"/>
      <w:marBottom w:val="0"/>
      <w:divBdr>
        <w:top w:val="none" w:sz="0" w:space="0" w:color="auto"/>
        <w:left w:val="none" w:sz="0" w:space="0" w:color="auto"/>
        <w:bottom w:val="none" w:sz="0" w:space="0" w:color="auto"/>
        <w:right w:val="none" w:sz="0" w:space="0" w:color="auto"/>
      </w:divBdr>
      <w:divsChild>
        <w:div w:id="140662468">
          <w:marLeft w:val="0"/>
          <w:marRight w:val="0"/>
          <w:marTop w:val="0"/>
          <w:marBottom w:val="0"/>
          <w:divBdr>
            <w:top w:val="none" w:sz="0" w:space="0" w:color="auto"/>
            <w:left w:val="none" w:sz="0" w:space="0" w:color="auto"/>
            <w:bottom w:val="none" w:sz="0" w:space="0" w:color="auto"/>
            <w:right w:val="none" w:sz="0" w:space="0" w:color="auto"/>
          </w:divBdr>
        </w:div>
        <w:div w:id="1240168616">
          <w:marLeft w:val="0"/>
          <w:marRight w:val="0"/>
          <w:marTop w:val="0"/>
          <w:marBottom w:val="0"/>
          <w:divBdr>
            <w:top w:val="none" w:sz="0" w:space="0" w:color="auto"/>
            <w:left w:val="none" w:sz="0" w:space="0" w:color="auto"/>
            <w:bottom w:val="none" w:sz="0" w:space="0" w:color="auto"/>
            <w:right w:val="none" w:sz="0" w:space="0" w:color="auto"/>
          </w:divBdr>
        </w:div>
      </w:divsChild>
    </w:div>
    <w:div w:id="1917157260">
      <w:bodyDiv w:val="1"/>
      <w:marLeft w:val="0"/>
      <w:marRight w:val="0"/>
      <w:marTop w:val="0"/>
      <w:marBottom w:val="0"/>
      <w:divBdr>
        <w:top w:val="none" w:sz="0" w:space="0" w:color="auto"/>
        <w:left w:val="none" w:sz="0" w:space="0" w:color="auto"/>
        <w:bottom w:val="none" w:sz="0" w:space="0" w:color="auto"/>
        <w:right w:val="none" w:sz="0" w:space="0" w:color="auto"/>
      </w:divBdr>
    </w:div>
    <w:div w:id="1933508976">
      <w:bodyDiv w:val="1"/>
      <w:marLeft w:val="0"/>
      <w:marRight w:val="0"/>
      <w:marTop w:val="0"/>
      <w:marBottom w:val="0"/>
      <w:divBdr>
        <w:top w:val="none" w:sz="0" w:space="0" w:color="auto"/>
        <w:left w:val="none" w:sz="0" w:space="0" w:color="auto"/>
        <w:bottom w:val="none" w:sz="0" w:space="0" w:color="auto"/>
        <w:right w:val="none" w:sz="0" w:space="0" w:color="auto"/>
      </w:divBdr>
      <w:divsChild>
        <w:div w:id="1334144859">
          <w:marLeft w:val="0"/>
          <w:marRight w:val="0"/>
          <w:marTop w:val="0"/>
          <w:marBottom w:val="0"/>
          <w:divBdr>
            <w:top w:val="none" w:sz="0" w:space="0" w:color="auto"/>
            <w:left w:val="none" w:sz="0" w:space="0" w:color="auto"/>
            <w:bottom w:val="none" w:sz="0" w:space="0" w:color="auto"/>
            <w:right w:val="none" w:sz="0" w:space="0" w:color="auto"/>
          </w:divBdr>
        </w:div>
        <w:div w:id="840193553">
          <w:marLeft w:val="0"/>
          <w:marRight w:val="0"/>
          <w:marTop w:val="0"/>
          <w:marBottom w:val="0"/>
          <w:divBdr>
            <w:top w:val="none" w:sz="0" w:space="0" w:color="auto"/>
            <w:left w:val="none" w:sz="0" w:space="0" w:color="auto"/>
            <w:bottom w:val="none" w:sz="0" w:space="0" w:color="auto"/>
            <w:right w:val="none" w:sz="0" w:space="0" w:color="auto"/>
          </w:divBdr>
        </w:div>
        <w:div w:id="1562330355">
          <w:marLeft w:val="0"/>
          <w:marRight w:val="0"/>
          <w:marTop w:val="0"/>
          <w:marBottom w:val="0"/>
          <w:divBdr>
            <w:top w:val="none" w:sz="0" w:space="0" w:color="auto"/>
            <w:left w:val="none" w:sz="0" w:space="0" w:color="auto"/>
            <w:bottom w:val="none" w:sz="0" w:space="0" w:color="auto"/>
            <w:right w:val="none" w:sz="0" w:space="0" w:color="auto"/>
          </w:divBdr>
        </w:div>
        <w:div w:id="1280336796">
          <w:marLeft w:val="0"/>
          <w:marRight w:val="0"/>
          <w:marTop w:val="0"/>
          <w:marBottom w:val="0"/>
          <w:divBdr>
            <w:top w:val="none" w:sz="0" w:space="0" w:color="auto"/>
            <w:left w:val="none" w:sz="0" w:space="0" w:color="auto"/>
            <w:bottom w:val="none" w:sz="0" w:space="0" w:color="auto"/>
            <w:right w:val="none" w:sz="0" w:space="0" w:color="auto"/>
          </w:divBdr>
        </w:div>
      </w:divsChild>
    </w:div>
    <w:div w:id="2033064241">
      <w:bodyDiv w:val="1"/>
      <w:marLeft w:val="0"/>
      <w:marRight w:val="0"/>
      <w:marTop w:val="0"/>
      <w:marBottom w:val="0"/>
      <w:divBdr>
        <w:top w:val="none" w:sz="0" w:space="0" w:color="auto"/>
        <w:left w:val="none" w:sz="0" w:space="0" w:color="auto"/>
        <w:bottom w:val="none" w:sz="0" w:space="0" w:color="auto"/>
        <w:right w:val="none" w:sz="0" w:space="0" w:color="auto"/>
      </w:divBdr>
      <w:divsChild>
        <w:div w:id="303049098">
          <w:marLeft w:val="0"/>
          <w:marRight w:val="0"/>
          <w:marTop w:val="0"/>
          <w:marBottom w:val="0"/>
          <w:divBdr>
            <w:top w:val="none" w:sz="0" w:space="0" w:color="auto"/>
            <w:left w:val="none" w:sz="0" w:space="0" w:color="auto"/>
            <w:bottom w:val="none" w:sz="0" w:space="0" w:color="auto"/>
            <w:right w:val="none" w:sz="0" w:space="0" w:color="auto"/>
          </w:divBdr>
        </w:div>
        <w:div w:id="457990078">
          <w:marLeft w:val="0"/>
          <w:marRight w:val="0"/>
          <w:marTop w:val="0"/>
          <w:marBottom w:val="0"/>
          <w:divBdr>
            <w:top w:val="none" w:sz="0" w:space="0" w:color="auto"/>
            <w:left w:val="none" w:sz="0" w:space="0" w:color="auto"/>
            <w:bottom w:val="none" w:sz="0" w:space="0" w:color="auto"/>
            <w:right w:val="none" w:sz="0" w:space="0" w:color="auto"/>
          </w:divBdr>
        </w:div>
        <w:div w:id="298145287">
          <w:marLeft w:val="0"/>
          <w:marRight w:val="0"/>
          <w:marTop w:val="0"/>
          <w:marBottom w:val="0"/>
          <w:divBdr>
            <w:top w:val="none" w:sz="0" w:space="0" w:color="auto"/>
            <w:left w:val="none" w:sz="0" w:space="0" w:color="auto"/>
            <w:bottom w:val="none" w:sz="0" w:space="0" w:color="auto"/>
            <w:right w:val="none" w:sz="0" w:space="0" w:color="auto"/>
          </w:divBdr>
        </w:div>
        <w:div w:id="1550655012">
          <w:marLeft w:val="0"/>
          <w:marRight w:val="0"/>
          <w:marTop w:val="0"/>
          <w:marBottom w:val="0"/>
          <w:divBdr>
            <w:top w:val="none" w:sz="0" w:space="0" w:color="auto"/>
            <w:left w:val="none" w:sz="0" w:space="0" w:color="auto"/>
            <w:bottom w:val="none" w:sz="0" w:space="0" w:color="auto"/>
            <w:right w:val="none" w:sz="0" w:space="0" w:color="auto"/>
          </w:divBdr>
        </w:div>
        <w:div w:id="1682734866">
          <w:marLeft w:val="0"/>
          <w:marRight w:val="0"/>
          <w:marTop w:val="0"/>
          <w:marBottom w:val="0"/>
          <w:divBdr>
            <w:top w:val="none" w:sz="0" w:space="0" w:color="auto"/>
            <w:left w:val="none" w:sz="0" w:space="0" w:color="auto"/>
            <w:bottom w:val="none" w:sz="0" w:space="0" w:color="auto"/>
            <w:right w:val="none" w:sz="0" w:space="0" w:color="auto"/>
          </w:divBdr>
        </w:div>
        <w:div w:id="2037926370">
          <w:marLeft w:val="0"/>
          <w:marRight w:val="0"/>
          <w:marTop w:val="0"/>
          <w:marBottom w:val="0"/>
          <w:divBdr>
            <w:top w:val="none" w:sz="0" w:space="0" w:color="auto"/>
            <w:left w:val="none" w:sz="0" w:space="0" w:color="auto"/>
            <w:bottom w:val="none" w:sz="0" w:space="0" w:color="auto"/>
            <w:right w:val="none" w:sz="0" w:space="0" w:color="auto"/>
          </w:divBdr>
        </w:div>
        <w:div w:id="290982377">
          <w:marLeft w:val="0"/>
          <w:marRight w:val="0"/>
          <w:marTop w:val="0"/>
          <w:marBottom w:val="0"/>
          <w:divBdr>
            <w:top w:val="none" w:sz="0" w:space="0" w:color="auto"/>
            <w:left w:val="none" w:sz="0" w:space="0" w:color="auto"/>
            <w:bottom w:val="none" w:sz="0" w:space="0" w:color="auto"/>
            <w:right w:val="none" w:sz="0" w:space="0" w:color="auto"/>
          </w:divBdr>
        </w:div>
        <w:div w:id="926882868">
          <w:marLeft w:val="0"/>
          <w:marRight w:val="0"/>
          <w:marTop w:val="0"/>
          <w:marBottom w:val="0"/>
          <w:divBdr>
            <w:top w:val="none" w:sz="0" w:space="0" w:color="auto"/>
            <w:left w:val="none" w:sz="0" w:space="0" w:color="auto"/>
            <w:bottom w:val="none" w:sz="0" w:space="0" w:color="auto"/>
            <w:right w:val="none" w:sz="0" w:space="0" w:color="auto"/>
          </w:divBdr>
        </w:div>
        <w:div w:id="67271249">
          <w:marLeft w:val="0"/>
          <w:marRight w:val="0"/>
          <w:marTop w:val="0"/>
          <w:marBottom w:val="0"/>
          <w:divBdr>
            <w:top w:val="none" w:sz="0" w:space="0" w:color="auto"/>
            <w:left w:val="none" w:sz="0" w:space="0" w:color="auto"/>
            <w:bottom w:val="none" w:sz="0" w:space="0" w:color="auto"/>
            <w:right w:val="none" w:sz="0" w:space="0" w:color="auto"/>
          </w:divBdr>
        </w:div>
        <w:div w:id="832528107">
          <w:marLeft w:val="0"/>
          <w:marRight w:val="0"/>
          <w:marTop w:val="0"/>
          <w:marBottom w:val="0"/>
          <w:divBdr>
            <w:top w:val="none" w:sz="0" w:space="0" w:color="auto"/>
            <w:left w:val="none" w:sz="0" w:space="0" w:color="auto"/>
            <w:bottom w:val="none" w:sz="0" w:space="0" w:color="auto"/>
            <w:right w:val="none" w:sz="0" w:space="0" w:color="auto"/>
          </w:divBdr>
        </w:div>
        <w:div w:id="331959224">
          <w:marLeft w:val="0"/>
          <w:marRight w:val="0"/>
          <w:marTop w:val="0"/>
          <w:marBottom w:val="0"/>
          <w:divBdr>
            <w:top w:val="none" w:sz="0" w:space="0" w:color="auto"/>
            <w:left w:val="none" w:sz="0" w:space="0" w:color="auto"/>
            <w:bottom w:val="none" w:sz="0" w:space="0" w:color="auto"/>
            <w:right w:val="none" w:sz="0" w:space="0" w:color="auto"/>
          </w:divBdr>
        </w:div>
        <w:div w:id="1808815451">
          <w:marLeft w:val="0"/>
          <w:marRight w:val="0"/>
          <w:marTop w:val="0"/>
          <w:marBottom w:val="0"/>
          <w:divBdr>
            <w:top w:val="none" w:sz="0" w:space="0" w:color="auto"/>
            <w:left w:val="none" w:sz="0" w:space="0" w:color="auto"/>
            <w:bottom w:val="none" w:sz="0" w:space="0" w:color="auto"/>
            <w:right w:val="none" w:sz="0" w:space="0" w:color="auto"/>
          </w:divBdr>
        </w:div>
        <w:div w:id="644551986">
          <w:marLeft w:val="0"/>
          <w:marRight w:val="0"/>
          <w:marTop w:val="0"/>
          <w:marBottom w:val="0"/>
          <w:divBdr>
            <w:top w:val="none" w:sz="0" w:space="0" w:color="auto"/>
            <w:left w:val="none" w:sz="0" w:space="0" w:color="auto"/>
            <w:bottom w:val="none" w:sz="0" w:space="0" w:color="auto"/>
            <w:right w:val="none" w:sz="0" w:space="0" w:color="auto"/>
          </w:divBdr>
        </w:div>
        <w:div w:id="937176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D304A-DBE5-492C-90A2-D67E79288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88384</Words>
  <Characters>503791</Characters>
  <Application>Microsoft Office Word</Application>
  <DocSecurity>0</DocSecurity>
  <Lines>4198</Lines>
  <Paragraphs>1181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590994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Tsermpini</dc:creator>
  <cp:keywords/>
  <dc:description/>
  <cp:lastModifiedBy>Samson Oyebanjo</cp:lastModifiedBy>
  <cp:revision>59</cp:revision>
  <cp:lastPrinted>2021-12-10T16:44:00Z</cp:lastPrinted>
  <dcterms:created xsi:type="dcterms:W3CDTF">2021-12-24T00:21:00Z</dcterms:created>
  <dcterms:modified xsi:type="dcterms:W3CDTF">2021-12-31T16:52:00Z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http://www.zotero.org/styles/elsevier-harvard2</vt:lpwstr>
  </property>
  <property fmtid="{D5CDD505-2E9C-101B-9397-08002B2CF9AE}" pid="7" name="Mendeley Recent Style Name 2_1">
    <vt:lpwstr>Elsevier - Harvard 2</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http://www.zotero.org/styles/human-genetics</vt:lpwstr>
  </property>
  <property fmtid="{D5CDD505-2E9C-101B-9397-08002B2CF9AE}" pid="11" name="Mendeley Recent Style Name 4_1">
    <vt:lpwstr>Human Genetics</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http://www.zotero.org/styles/the-pharmacogenomics-journal</vt:lpwstr>
  </property>
  <property fmtid="{D5CDD505-2E9C-101B-9397-08002B2CF9AE}" pid="19" name="Mendeley Recent Style Name 8_1">
    <vt:lpwstr>The Pharmacogenomics Journal</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13b62612-c628-31ec-b64c-b561e0008221</vt:lpwstr>
  </property>
  <property fmtid="{D5CDD505-2E9C-101B-9397-08002B2CF9AE}" pid="24" name="Mendeley Citation Style_1">
    <vt:lpwstr>http://www.zotero.org/styles/human-genetics</vt:lpwstr>
  </property>
</Properties>
</file>