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9916C" w14:textId="3041931D" w:rsidR="00DC73E5" w:rsidRDefault="00F60B44" w:rsidP="00A23F90">
      <w:pPr>
        <w:bidi w:val="0"/>
        <w:spacing w:after="0" w:line="480" w:lineRule="auto"/>
        <w:rPr>
          <w:rFonts w:asciiTheme="majorBidi" w:hAnsiTheme="majorBidi" w:cstheme="majorBidi"/>
          <w:b/>
          <w:bCs/>
          <w:sz w:val="24"/>
          <w:szCs w:val="24"/>
        </w:rPr>
      </w:pPr>
      <w:r w:rsidRPr="00F60B44">
        <w:rPr>
          <w:rFonts w:asciiTheme="majorBidi" w:hAnsiTheme="majorBidi" w:cstheme="majorBidi"/>
          <w:b/>
          <w:bCs/>
          <w:sz w:val="24"/>
          <w:szCs w:val="24"/>
        </w:rPr>
        <w:t xml:space="preserve">Supplementary </w:t>
      </w:r>
      <w:r w:rsidR="00683F9D">
        <w:rPr>
          <w:rFonts w:asciiTheme="majorBidi" w:hAnsiTheme="majorBidi" w:cstheme="majorBidi"/>
          <w:b/>
          <w:bCs/>
          <w:sz w:val="24"/>
          <w:szCs w:val="24"/>
        </w:rPr>
        <w:t>Material</w:t>
      </w:r>
    </w:p>
    <w:p w14:paraId="01FAC37C" w14:textId="31887096" w:rsidR="000C73D1" w:rsidRDefault="000C73D1" w:rsidP="00A23F90">
      <w:pPr>
        <w:bidi w:val="0"/>
        <w:spacing w:after="0" w:line="480" w:lineRule="auto"/>
        <w:rPr>
          <w:rFonts w:asciiTheme="majorBidi" w:hAnsiTheme="majorBidi" w:cstheme="majorBidi"/>
          <w:b/>
          <w:bCs/>
          <w:sz w:val="24"/>
          <w:szCs w:val="24"/>
        </w:rPr>
      </w:pPr>
      <w:r w:rsidRPr="00366CA8">
        <w:rPr>
          <w:rFonts w:asciiTheme="majorBidi" w:hAnsiTheme="majorBidi" w:cstheme="majorBidi"/>
          <w:b/>
          <w:bCs/>
          <w:sz w:val="24"/>
        </w:rPr>
        <w:t xml:space="preserve">Determination </w:t>
      </w:r>
      <w:bookmarkStart w:id="0" w:name="OLE_LINK1"/>
      <w:r>
        <w:rPr>
          <w:rFonts w:asciiTheme="majorBidi" w:hAnsiTheme="majorBidi" w:cstheme="majorBidi"/>
          <w:b/>
          <w:bCs/>
          <w:sz w:val="24"/>
        </w:rPr>
        <w:t xml:space="preserve">of </w:t>
      </w:r>
      <w:bookmarkEnd w:id="0"/>
      <w:r>
        <w:rPr>
          <w:rFonts w:asciiTheme="majorBidi" w:hAnsiTheme="majorBidi" w:cstheme="majorBidi"/>
          <w:b/>
          <w:bCs/>
          <w:sz w:val="24"/>
        </w:rPr>
        <w:t xml:space="preserve">CBD in plasma </w:t>
      </w:r>
      <w:r w:rsidRPr="00366CA8">
        <w:rPr>
          <w:rFonts w:asciiTheme="majorBidi" w:hAnsiTheme="majorBidi" w:cstheme="majorBidi"/>
          <w:b/>
          <w:bCs/>
          <w:sz w:val="24"/>
        </w:rPr>
        <w:t>by LC</w:t>
      </w:r>
      <w:r>
        <w:rPr>
          <w:rFonts w:asciiTheme="majorBidi" w:hAnsiTheme="majorBidi" w:cstheme="majorBidi"/>
          <w:b/>
          <w:bCs/>
          <w:sz w:val="24"/>
        </w:rPr>
        <w:t>-</w:t>
      </w:r>
      <w:r w:rsidRPr="00366CA8">
        <w:rPr>
          <w:rFonts w:asciiTheme="majorBidi" w:hAnsiTheme="majorBidi" w:cstheme="majorBidi"/>
          <w:b/>
          <w:bCs/>
          <w:sz w:val="24"/>
        </w:rPr>
        <w:t>MS/M</w:t>
      </w:r>
      <w:r>
        <w:rPr>
          <w:rFonts w:asciiTheme="majorBidi" w:hAnsiTheme="majorBidi" w:cstheme="majorBidi"/>
          <w:b/>
          <w:bCs/>
          <w:sz w:val="24"/>
        </w:rPr>
        <w:t>S</w:t>
      </w:r>
    </w:p>
    <w:p w14:paraId="3A267E06" w14:textId="6CC2AAE4" w:rsidR="000C73D1" w:rsidRPr="000C73D1" w:rsidRDefault="005528B5" w:rsidP="00A23F90">
      <w:pPr>
        <w:bidi w:val="0"/>
        <w:spacing w:after="0" w:line="480" w:lineRule="auto"/>
        <w:rPr>
          <w:rFonts w:asciiTheme="majorBidi" w:hAnsiTheme="majorBidi" w:cstheme="majorBidi"/>
          <w:i/>
          <w:iCs/>
          <w:sz w:val="24"/>
        </w:rPr>
      </w:pPr>
      <w:r>
        <w:rPr>
          <w:rFonts w:asciiTheme="majorBidi" w:hAnsiTheme="majorBidi" w:cstheme="majorBidi"/>
          <w:i/>
          <w:iCs/>
          <w:sz w:val="24"/>
        </w:rPr>
        <w:t>LC-MS/MS</w:t>
      </w:r>
      <w:r w:rsidRPr="000C73D1">
        <w:rPr>
          <w:rFonts w:asciiTheme="majorBidi" w:hAnsiTheme="majorBidi" w:cstheme="majorBidi"/>
          <w:i/>
          <w:iCs/>
          <w:sz w:val="24"/>
        </w:rPr>
        <w:t xml:space="preserve"> </w:t>
      </w:r>
      <w:r w:rsidR="000C73D1" w:rsidRPr="000C73D1">
        <w:rPr>
          <w:rFonts w:asciiTheme="majorBidi" w:hAnsiTheme="majorBidi" w:cstheme="majorBidi"/>
          <w:i/>
          <w:iCs/>
          <w:sz w:val="24"/>
        </w:rPr>
        <w:t>instrument</w:t>
      </w:r>
    </w:p>
    <w:p w14:paraId="71BD6E6A" w14:textId="77777777" w:rsidR="000C73D1" w:rsidRPr="00E461C5" w:rsidRDefault="000C73D1" w:rsidP="00A23F90">
      <w:pPr>
        <w:shd w:val="clear" w:color="auto" w:fill="FFFFFF"/>
        <w:bidi w:val="0"/>
        <w:spacing w:after="0" w:line="480" w:lineRule="auto"/>
        <w:textAlignment w:val="baseline"/>
        <w:rPr>
          <w:rFonts w:ascii="Times New Roman" w:eastAsia="Arial Unicode MS" w:hAnsi="Times New Roman" w:cs="Times New Roman"/>
          <w:sz w:val="24"/>
          <w:szCs w:val="24"/>
        </w:rPr>
      </w:pPr>
      <w:r w:rsidRPr="00E461C5">
        <w:rPr>
          <w:rFonts w:ascii="Times New Roman" w:eastAsia="Arial Unicode MS" w:hAnsi="Times New Roman" w:cs="Times New Roman"/>
          <w:sz w:val="24"/>
          <w:szCs w:val="24"/>
        </w:rPr>
        <w:t xml:space="preserve">LC-MS/MS analyses were conducted on a </w:t>
      </w:r>
      <w:proofErr w:type="spellStart"/>
      <w:r w:rsidRPr="00E461C5">
        <w:rPr>
          <w:rFonts w:ascii="Times New Roman" w:eastAsia="Arial Unicode MS" w:hAnsi="Times New Roman" w:cs="Times New Roman"/>
          <w:sz w:val="24"/>
          <w:szCs w:val="24"/>
        </w:rPr>
        <w:t>Sciex</w:t>
      </w:r>
      <w:proofErr w:type="spellEnd"/>
      <w:r w:rsidRPr="00E461C5">
        <w:rPr>
          <w:rFonts w:ascii="Times New Roman" w:eastAsia="Arial Unicode MS" w:hAnsi="Times New Roman" w:cs="Times New Roman"/>
          <w:sz w:val="24"/>
          <w:szCs w:val="24"/>
        </w:rPr>
        <w:t xml:space="preserve"> (Framingham, MA, USA) Triple Quad™ 5500 mass spectrometer coupled with a Shimadzu (Kyoto, Japan) UHPLC System. </w:t>
      </w:r>
    </w:p>
    <w:p w14:paraId="71008349" w14:textId="77777777" w:rsidR="000074DB" w:rsidRDefault="000074DB" w:rsidP="00A23F90">
      <w:pPr>
        <w:shd w:val="clear" w:color="auto" w:fill="FFFFFF"/>
        <w:bidi w:val="0"/>
        <w:spacing w:after="0" w:line="480" w:lineRule="auto"/>
        <w:ind w:firstLine="380"/>
        <w:textAlignment w:val="baseline"/>
        <w:rPr>
          <w:rFonts w:ascii="Times New Roman" w:eastAsia="Arial Unicode MS" w:hAnsi="Times New Roman" w:cs="Times New Roman"/>
          <w:sz w:val="24"/>
          <w:szCs w:val="24"/>
        </w:rPr>
      </w:pPr>
      <w:r w:rsidRPr="000C73D1">
        <w:rPr>
          <w:rFonts w:asciiTheme="majorBidi" w:hAnsiTheme="majorBidi" w:cstheme="majorBidi"/>
          <w:i/>
          <w:iCs/>
          <w:sz w:val="24"/>
        </w:rPr>
        <w:t>UHPLC conditions</w:t>
      </w:r>
      <w:r w:rsidRPr="007B1470">
        <w:rPr>
          <w:rFonts w:ascii="Times New Roman" w:eastAsia="Arial Unicode MS" w:hAnsi="Times New Roman" w:cs="Times New Roman"/>
          <w:sz w:val="24"/>
          <w:szCs w:val="24"/>
        </w:rPr>
        <w:t xml:space="preserve"> </w:t>
      </w:r>
    </w:p>
    <w:p w14:paraId="0B41C83B" w14:textId="4B50ACC3" w:rsidR="000C73D1" w:rsidRPr="006F0E01" w:rsidRDefault="000C73D1" w:rsidP="000074DB">
      <w:pPr>
        <w:shd w:val="clear" w:color="auto" w:fill="FFFFFF"/>
        <w:bidi w:val="0"/>
        <w:spacing w:after="0" w:line="480" w:lineRule="auto"/>
        <w:ind w:firstLine="380"/>
        <w:textAlignment w:val="baseline"/>
        <w:rPr>
          <w:rFonts w:asciiTheme="majorBidi" w:eastAsia="Arial Unicode MS" w:hAnsiTheme="majorBidi" w:cstheme="majorBidi"/>
          <w:sz w:val="24"/>
          <w:szCs w:val="24"/>
        </w:rPr>
      </w:pPr>
      <w:r w:rsidRPr="007B1470">
        <w:rPr>
          <w:rFonts w:ascii="Times New Roman" w:eastAsia="Arial Unicode MS" w:hAnsi="Times New Roman" w:cs="Times New Roman"/>
          <w:sz w:val="24"/>
          <w:szCs w:val="24"/>
        </w:rPr>
        <w:t>The</w:t>
      </w:r>
      <w:r w:rsidRPr="00366CA8">
        <w:rPr>
          <w:rFonts w:ascii="Times New Roman" w:eastAsia="Arial Unicode MS" w:hAnsi="Times New Roman" w:cs="Times New Roman"/>
          <w:sz w:val="24"/>
          <w:szCs w:val="24"/>
        </w:rPr>
        <w:t xml:space="preserve"> c</w:t>
      </w:r>
      <w:r w:rsidRPr="00366CA8">
        <w:rPr>
          <w:rFonts w:ascii="Times New Roman" w:eastAsia="Arial Unicode MS" w:hAnsi="Times New Roman" w:cs="Times New Roman" w:hint="eastAsia"/>
          <w:sz w:val="24"/>
          <w:szCs w:val="24"/>
        </w:rPr>
        <w:t>hromatographic separation</w:t>
      </w:r>
      <w:r w:rsidRPr="00366CA8">
        <w:rPr>
          <w:rFonts w:ascii="Times New Roman" w:eastAsia="Arial Unicode MS" w:hAnsi="Times New Roman" w:cs="Times New Roman"/>
          <w:sz w:val="24"/>
          <w:szCs w:val="24"/>
        </w:rPr>
        <w:t>s</w:t>
      </w:r>
      <w:r w:rsidRPr="00366CA8">
        <w:rPr>
          <w:rFonts w:ascii="Times New Roman" w:eastAsia="Arial Unicode MS" w:hAnsi="Times New Roman" w:cs="Times New Roman" w:hint="eastAsia"/>
          <w:sz w:val="24"/>
          <w:szCs w:val="24"/>
        </w:rPr>
        <w:t xml:space="preserve"> w</w:t>
      </w:r>
      <w:r w:rsidRPr="00366CA8">
        <w:rPr>
          <w:rFonts w:ascii="Times New Roman" w:eastAsia="Arial Unicode MS" w:hAnsi="Times New Roman" w:cs="Times New Roman"/>
          <w:sz w:val="24"/>
          <w:szCs w:val="24"/>
        </w:rPr>
        <w:t>ere</w:t>
      </w:r>
      <w:r w:rsidRPr="00366CA8">
        <w:rPr>
          <w:rFonts w:ascii="Times New Roman" w:eastAsia="Arial Unicode MS" w:hAnsi="Times New Roman" w:cs="Times New Roman" w:hint="eastAsia"/>
          <w:sz w:val="24"/>
          <w:szCs w:val="24"/>
        </w:rPr>
        <w:t xml:space="preserve"> performed </w:t>
      </w:r>
      <w:r w:rsidRPr="00366CA8">
        <w:rPr>
          <w:rFonts w:ascii="Times New Roman" w:eastAsia="Arial Unicode MS" w:hAnsi="Times New Roman" w:cs="Times New Roman"/>
          <w:sz w:val="24"/>
          <w:szCs w:val="24"/>
        </w:rPr>
        <w:t xml:space="preserve">on </w:t>
      </w:r>
      <w:r w:rsidRPr="00366CA8">
        <w:rPr>
          <w:rFonts w:ascii="Times New Roman" w:eastAsia="Arial Unicode MS" w:hAnsi="Times New Roman" w:cs="Times New Roman" w:hint="eastAsia"/>
          <w:sz w:val="24"/>
          <w:szCs w:val="24"/>
        </w:rPr>
        <w:t xml:space="preserve">a </w:t>
      </w:r>
      <w:r w:rsidRPr="00E461C5">
        <w:rPr>
          <w:rFonts w:ascii="Times New Roman" w:eastAsia="Arial Unicode MS" w:hAnsi="Times New Roman" w:cs="Times New Roman"/>
          <w:sz w:val="24"/>
          <w:szCs w:val="24"/>
        </w:rPr>
        <w:t xml:space="preserve">CORTECS® </w:t>
      </w:r>
      <w:r w:rsidRPr="00E461C5">
        <w:rPr>
          <w:rFonts w:ascii="Times New Roman" w:eastAsia="Arial Unicode MS" w:hAnsi="Times New Roman" w:cs="Times New Roman" w:hint="eastAsia"/>
          <w:sz w:val="24"/>
          <w:szCs w:val="24"/>
        </w:rPr>
        <w:t>(</w:t>
      </w:r>
      <w:r w:rsidRPr="00E461C5">
        <w:rPr>
          <w:rFonts w:ascii="Times New Roman" w:eastAsia="Arial Unicode MS" w:hAnsi="Times New Roman" w:cs="Times New Roman"/>
          <w:sz w:val="24"/>
          <w:szCs w:val="24"/>
        </w:rPr>
        <w:t>Waters Corp.</w:t>
      </w:r>
      <w:r w:rsidRPr="00E461C5">
        <w:rPr>
          <w:rFonts w:ascii="Times New Roman" w:eastAsia="Arial Unicode MS" w:hAnsi="Times New Roman" w:cs="Times New Roman" w:hint="eastAsia"/>
          <w:sz w:val="24"/>
          <w:szCs w:val="24"/>
        </w:rPr>
        <w:t xml:space="preserve">, </w:t>
      </w:r>
      <w:r w:rsidRPr="00E461C5">
        <w:rPr>
          <w:rFonts w:ascii="Times New Roman" w:eastAsia="Arial Unicode MS" w:hAnsi="Times New Roman" w:cs="Times New Roman"/>
          <w:sz w:val="24"/>
          <w:szCs w:val="24"/>
        </w:rPr>
        <w:t>Milford, MA, USA</w:t>
      </w:r>
      <w:r w:rsidRPr="00E461C5">
        <w:rPr>
          <w:rFonts w:ascii="Times New Roman" w:eastAsia="Arial Unicode MS" w:hAnsi="Times New Roman" w:cs="Times New Roman" w:hint="eastAsia"/>
          <w:sz w:val="24"/>
          <w:szCs w:val="24"/>
        </w:rPr>
        <w:t>)</w:t>
      </w:r>
      <w:r w:rsidRPr="00E461C5">
        <w:rPr>
          <w:rFonts w:ascii="Times New Roman" w:eastAsia="Arial Unicode MS" w:hAnsi="Times New Roman" w:cs="Times New Roman"/>
          <w:sz w:val="24"/>
          <w:szCs w:val="24"/>
        </w:rPr>
        <w:t xml:space="preserve"> </w:t>
      </w:r>
      <w:r w:rsidRPr="00E461C5">
        <w:rPr>
          <w:rFonts w:ascii="Times New Roman" w:eastAsia="Arial Unicode MS" w:hAnsi="Times New Roman" w:cs="Times New Roman" w:hint="eastAsia"/>
          <w:sz w:val="24"/>
          <w:szCs w:val="24"/>
        </w:rPr>
        <w:t xml:space="preserve">column </w:t>
      </w:r>
      <w:r w:rsidRPr="00E461C5">
        <w:rPr>
          <w:rFonts w:ascii="Times New Roman" w:eastAsia="Arial Unicode MS" w:hAnsi="Times New Roman" w:cs="Times New Roman"/>
          <w:sz w:val="24"/>
          <w:szCs w:val="24"/>
        </w:rPr>
        <w:t xml:space="preserve">(C18, 2.7 µm particle size, 50 x 2.1 mm), protected by a </w:t>
      </w:r>
      <w:proofErr w:type="spellStart"/>
      <w:r w:rsidRPr="00E461C5">
        <w:rPr>
          <w:rFonts w:ascii="Times New Roman" w:eastAsia="Arial Unicode MS" w:hAnsi="Times New Roman" w:cs="Times New Roman"/>
          <w:sz w:val="24"/>
          <w:szCs w:val="24"/>
        </w:rPr>
        <w:t>VanGuard</w:t>
      </w:r>
      <w:proofErr w:type="spellEnd"/>
      <w:r w:rsidRPr="00E461C5">
        <w:rPr>
          <w:rFonts w:ascii="Times New Roman" w:eastAsia="Arial Unicode MS" w:hAnsi="Times New Roman" w:cs="Times New Roman"/>
          <w:sz w:val="24"/>
          <w:szCs w:val="24"/>
        </w:rPr>
        <w:t xml:space="preserve">® </w:t>
      </w:r>
      <w:r w:rsidRPr="00E461C5">
        <w:rPr>
          <w:rFonts w:ascii="Times New Roman" w:eastAsia="Arial Unicode MS" w:hAnsi="Times New Roman" w:cs="Times New Roman" w:hint="eastAsia"/>
          <w:sz w:val="24"/>
          <w:szCs w:val="24"/>
        </w:rPr>
        <w:t>(</w:t>
      </w:r>
      <w:r w:rsidRPr="00E461C5">
        <w:rPr>
          <w:rFonts w:ascii="Times New Roman" w:eastAsia="Arial Unicode MS" w:hAnsi="Times New Roman" w:cs="Times New Roman"/>
          <w:sz w:val="24"/>
          <w:szCs w:val="24"/>
        </w:rPr>
        <w:t>Waters Corp.</w:t>
      </w:r>
      <w:r w:rsidRPr="00E461C5">
        <w:rPr>
          <w:rFonts w:ascii="Times New Roman" w:eastAsia="Arial Unicode MS" w:hAnsi="Times New Roman" w:cs="Times New Roman" w:hint="eastAsia"/>
          <w:sz w:val="24"/>
          <w:szCs w:val="24"/>
        </w:rPr>
        <w:t xml:space="preserve">, </w:t>
      </w:r>
      <w:r w:rsidRPr="00E461C5">
        <w:rPr>
          <w:rFonts w:ascii="Times New Roman" w:eastAsia="Arial Unicode MS" w:hAnsi="Times New Roman" w:cs="Times New Roman"/>
          <w:sz w:val="24"/>
          <w:szCs w:val="24"/>
        </w:rPr>
        <w:t>Milford, MA, USA</w:t>
      </w:r>
      <w:r w:rsidRPr="00E461C5">
        <w:rPr>
          <w:rFonts w:ascii="Times New Roman" w:eastAsia="Arial Unicode MS" w:hAnsi="Times New Roman" w:cs="Times New Roman" w:hint="eastAsia"/>
          <w:sz w:val="24"/>
          <w:szCs w:val="24"/>
        </w:rPr>
        <w:t>)</w:t>
      </w:r>
      <w:r>
        <w:rPr>
          <w:rFonts w:ascii="Times New Roman" w:eastAsia="Arial Unicode MS" w:hAnsi="Times New Roman" w:cs="Times New Roman"/>
          <w:sz w:val="24"/>
          <w:szCs w:val="24"/>
        </w:rPr>
        <w:t xml:space="preserve"> pre-column. </w:t>
      </w:r>
      <w:r w:rsidRPr="006F0E01">
        <w:rPr>
          <w:rFonts w:asciiTheme="majorBidi" w:eastAsia="Arial Unicode MS" w:hAnsiTheme="majorBidi" w:cstheme="majorBidi"/>
          <w:sz w:val="24"/>
          <w:szCs w:val="24"/>
        </w:rPr>
        <w:t xml:space="preserve">The injection volume was </w:t>
      </w:r>
      <w:r>
        <w:rPr>
          <w:rFonts w:asciiTheme="majorBidi" w:eastAsia="Arial Unicode MS" w:hAnsiTheme="majorBidi" w:cstheme="majorBidi"/>
          <w:sz w:val="24"/>
          <w:szCs w:val="24"/>
        </w:rPr>
        <w:t xml:space="preserve">5 </w:t>
      </w:r>
      <w:proofErr w:type="spellStart"/>
      <w:r w:rsidRPr="006F0E01">
        <w:rPr>
          <w:rFonts w:asciiTheme="majorBidi" w:eastAsia="Arial Unicode MS" w:hAnsiTheme="majorBidi" w:cstheme="majorBidi"/>
          <w:sz w:val="24"/>
          <w:szCs w:val="24"/>
        </w:rPr>
        <w:t>μL</w:t>
      </w:r>
      <w:proofErr w:type="spellEnd"/>
      <w:r w:rsidRPr="006F0E01">
        <w:rPr>
          <w:rFonts w:asciiTheme="majorBidi" w:eastAsia="Arial Unicode MS" w:hAnsiTheme="majorBidi" w:cstheme="majorBidi"/>
          <w:sz w:val="24"/>
          <w:szCs w:val="24"/>
        </w:rPr>
        <w:t xml:space="preserve">, the oven temperature was maintained at </w:t>
      </w:r>
      <w:r>
        <w:rPr>
          <w:rFonts w:asciiTheme="majorBidi" w:eastAsia="Arial Unicode MS" w:hAnsiTheme="majorBidi" w:cstheme="majorBidi"/>
          <w:sz w:val="24"/>
          <w:szCs w:val="24"/>
        </w:rPr>
        <w:t>40</w:t>
      </w:r>
      <w:r w:rsidRPr="006F0E01">
        <w:rPr>
          <w:rFonts w:asciiTheme="majorBidi" w:eastAsia="Arial Unicode MS" w:hAnsiTheme="majorBidi" w:cstheme="majorBidi"/>
          <w:sz w:val="24"/>
          <w:szCs w:val="24"/>
        </w:rPr>
        <w:t>°C</w:t>
      </w:r>
      <w:r>
        <w:rPr>
          <w:rFonts w:asciiTheme="majorBidi" w:eastAsia="Arial Unicode MS" w:hAnsiTheme="majorBidi" w:cstheme="majorBidi"/>
          <w:sz w:val="24"/>
          <w:szCs w:val="24"/>
        </w:rPr>
        <w:t xml:space="preserve"> and</w:t>
      </w:r>
      <w:r w:rsidRPr="00B21407">
        <w:rPr>
          <w:rFonts w:ascii="Times New Roman" w:hAnsi="Times New Roman" w:cs="Times New Roman"/>
          <w:sz w:val="23"/>
          <w:szCs w:val="23"/>
        </w:rPr>
        <w:t xml:space="preserve"> </w:t>
      </w:r>
      <w:r w:rsidRPr="00B21407">
        <w:rPr>
          <w:rFonts w:asciiTheme="majorBidi" w:eastAsia="Arial Unicode MS" w:hAnsiTheme="majorBidi" w:cstheme="majorBidi"/>
          <w:sz w:val="24"/>
          <w:szCs w:val="24"/>
        </w:rPr>
        <w:t>the autosampler tray temperature was</w:t>
      </w:r>
      <w:r>
        <w:rPr>
          <w:rFonts w:asciiTheme="majorBidi" w:eastAsia="Arial Unicode MS" w:hAnsiTheme="majorBidi" w:cstheme="majorBidi"/>
          <w:sz w:val="24"/>
          <w:szCs w:val="24"/>
        </w:rPr>
        <w:t xml:space="preserve"> maintained at 5°C</w:t>
      </w:r>
      <w:r w:rsidRPr="006F0E01">
        <w:rPr>
          <w:rFonts w:asciiTheme="majorBidi" w:eastAsia="Arial Unicode MS" w:hAnsiTheme="majorBidi" w:cstheme="majorBidi"/>
          <w:sz w:val="24"/>
          <w:szCs w:val="24"/>
        </w:rPr>
        <w:t>.</w:t>
      </w:r>
    </w:p>
    <w:p w14:paraId="75AB2C50" w14:textId="0322CC11" w:rsidR="000C73D1" w:rsidRPr="000C73D1" w:rsidRDefault="000C73D1" w:rsidP="00A23F90">
      <w:pPr>
        <w:shd w:val="clear" w:color="auto" w:fill="FFFFFF"/>
        <w:bidi w:val="0"/>
        <w:spacing w:after="0" w:line="480" w:lineRule="auto"/>
        <w:textAlignment w:val="baseline"/>
        <w:rPr>
          <w:rFonts w:asciiTheme="majorBidi" w:hAnsiTheme="majorBidi" w:cstheme="majorBidi"/>
          <w:i/>
          <w:iCs/>
          <w:sz w:val="24"/>
        </w:rPr>
      </w:pPr>
    </w:p>
    <w:p w14:paraId="42CFF1B2" w14:textId="7A658266" w:rsidR="000C73D1" w:rsidRDefault="000C73D1" w:rsidP="00A23F90">
      <w:pPr>
        <w:shd w:val="clear" w:color="auto" w:fill="FFFFFF"/>
        <w:bidi w:val="0"/>
        <w:spacing w:after="0" w:line="480" w:lineRule="auto"/>
        <w:textAlignment w:val="baseline"/>
        <w:rPr>
          <w:rFonts w:ascii="Times New Roman" w:eastAsia="Arial Unicode MS" w:hAnsi="Times New Roman" w:cs="Times New Roman"/>
          <w:sz w:val="24"/>
          <w:szCs w:val="24"/>
        </w:rPr>
      </w:pPr>
      <w:r w:rsidRPr="0026348F">
        <w:rPr>
          <w:rFonts w:ascii="Times New Roman" w:eastAsia="Arial Unicode MS" w:hAnsi="Times New Roman" w:cs="Times New Roman"/>
          <w:sz w:val="24"/>
          <w:szCs w:val="24"/>
        </w:rPr>
        <w:t xml:space="preserve">The chromatographic separation was achieved using a linear gradient program at a constant flow rate of </w:t>
      </w:r>
      <w:r>
        <w:rPr>
          <w:rFonts w:ascii="Times New Roman" w:eastAsia="Arial Unicode MS" w:hAnsi="Times New Roman" w:cs="Times New Roman"/>
          <w:sz w:val="24"/>
          <w:szCs w:val="24"/>
        </w:rPr>
        <w:t>0.3</w:t>
      </w:r>
      <w:r w:rsidRPr="0026348F">
        <w:rPr>
          <w:rFonts w:ascii="Times New Roman" w:eastAsia="Arial Unicode MS" w:hAnsi="Times New Roman" w:cs="Times New Roman"/>
          <w:sz w:val="24"/>
          <w:szCs w:val="24"/>
        </w:rPr>
        <w:t xml:space="preserve"> mL/min over a total run time of </w:t>
      </w:r>
      <w:r>
        <w:rPr>
          <w:rFonts w:ascii="Times New Roman" w:eastAsia="Arial Unicode MS" w:hAnsi="Times New Roman" w:cs="Times New Roman"/>
          <w:sz w:val="24"/>
          <w:szCs w:val="24"/>
        </w:rPr>
        <w:t>15</w:t>
      </w:r>
      <w:r w:rsidRPr="0026348F">
        <w:rPr>
          <w:rFonts w:ascii="Times New Roman" w:eastAsia="Arial Unicode MS" w:hAnsi="Times New Roman" w:cs="Times New Roman"/>
          <w:sz w:val="24"/>
          <w:szCs w:val="24"/>
        </w:rPr>
        <w:t xml:space="preserve"> min. An outline of the mobile phase gradient program is summarized in </w:t>
      </w:r>
      <w:r w:rsidRPr="0075386A">
        <w:rPr>
          <w:rFonts w:ascii="Times New Roman" w:eastAsia="Arial Unicode MS" w:hAnsi="Times New Roman" w:cs="Times New Roman"/>
          <w:b/>
          <w:bCs/>
          <w:sz w:val="24"/>
          <w:szCs w:val="24"/>
        </w:rPr>
        <w:t>Table 1</w:t>
      </w:r>
      <w:r w:rsidR="00062D6B">
        <w:rPr>
          <w:rFonts w:ascii="Times New Roman" w:eastAsia="Arial Unicode MS" w:hAnsi="Times New Roman" w:cs="Times New Roman"/>
          <w:b/>
          <w:bCs/>
          <w:sz w:val="24"/>
          <w:szCs w:val="24"/>
        </w:rPr>
        <w:t>S</w:t>
      </w:r>
      <w:r w:rsidRPr="0026348F">
        <w:rPr>
          <w:rFonts w:ascii="Times New Roman" w:eastAsia="Arial Unicode MS" w:hAnsi="Times New Roman" w:cs="Times New Roman"/>
          <w:sz w:val="24"/>
          <w:szCs w:val="24"/>
        </w:rPr>
        <w:t>.</w:t>
      </w:r>
      <w:r w:rsidRPr="00850A4E">
        <w:rPr>
          <w:rFonts w:ascii="Times New Roman" w:eastAsia="Arial Unicode MS" w:hAnsi="Times New Roman" w:cs="Times New Roman"/>
          <w:sz w:val="24"/>
          <w:szCs w:val="24"/>
        </w:rPr>
        <w:t xml:space="preserve"> </w:t>
      </w:r>
    </w:p>
    <w:p w14:paraId="71F72935" w14:textId="77777777" w:rsidR="00A23F90" w:rsidRDefault="00A23F90" w:rsidP="00A23F90">
      <w:pPr>
        <w:shd w:val="clear" w:color="auto" w:fill="FFFFFF"/>
        <w:bidi w:val="0"/>
        <w:spacing w:after="0" w:line="480" w:lineRule="auto"/>
        <w:textAlignment w:val="baseline"/>
        <w:rPr>
          <w:rFonts w:ascii="Times New Roman" w:eastAsia="Arial Unicode MS" w:hAnsi="Times New Roman" w:cs="Times New Roman"/>
          <w:sz w:val="24"/>
          <w:szCs w:val="24"/>
        </w:rPr>
      </w:pPr>
    </w:p>
    <w:p w14:paraId="3E782496" w14:textId="19A12AFE" w:rsidR="000C73D1" w:rsidRPr="000E3062" w:rsidRDefault="000C73D1" w:rsidP="00A23F90">
      <w:pPr>
        <w:shd w:val="clear" w:color="auto" w:fill="FFFFFF"/>
        <w:bidi w:val="0"/>
        <w:spacing w:after="0" w:line="480" w:lineRule="auto"/>
        <w:textAlignment w:val="baseline"/>
        <w:rPr>
          <w:rFonts w:ascii="Times New Roman" w:eastAsia="Arial Unicode MS" w:hAnsi="Times New Roman" w:cs="Times New Roman"/>
          <w:sz w:val="24"/>
          <w:szCs w:val="24"/>
          <w:highlight w:val="yellow"/>
        </w:rPr>
      </w:pPr>
      <w:r w:rsidRPr="0075386A">
        <w:rPr>
          <w:rFonts w:ascii="Times New Roman" w:eastAsia="Arial Unicode MS" w:hAnsi="Times New Roman" w:cs="Times New Roman"/>
          <w:b/>
          <w:bCs/>
          <w:sz w:val="24"/>
          <w:szCs w:val="24"/>
        </w:rPr>
        <w:t>Table 1</w:t>
      </w:r>
      <w:r w:rsidR="00062D6B">
        <w:rPr>
          <w:rFonts w:ascii="Times New Roman" w:eastAsia="Arial Unicode MS" w:hAnsi="Times New Roman" w:cs="Times New Roman"/>
          <w:b/>
          <w:bCs/>
          <w:sz w:val="24"/>
          <w:szCs w:val="24"/>
        </w:rPr>
        <w:t>S</w:t>
      </w:r>
      <w:r w:rsidRPr="000757C9">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Gradient program: Solvent A is</w:t>
      </w:r>
      <w:r w:rsidRPr="000757C9">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0.1% FA in </w:t>
      </w:r>
      <w:r w:rsidRPr="000757C9">
        <w:rPr>
          <w:rFonts w:ascii="Times New Roman" w:eastAsia="Arial Unicode MS" w:hAnsi="Times New Roman" w:cs="Times New Roman"/>
          <w:sz w:val="24"/>
          <w:szCs w:val="24"/>
        </w:rPr>
        <w:t xml:space="preserve">water and solvent B is </w:t>
      </w:r>
      <w:r>
        <w:rPr>
          <w:rFonts w:ascii="Times New Roman" w:eastAsia="Arial Unicode MS" w:hAnsi="Times New Roman" w:cs="Times New Roman"/>
          <w:sz w:val="24"/>
          <w:szCs w:val="24"/>
        </w:rPr>
        <w:t xml:space="preserve">ACN. </w:t>
      </w:r>
    </w:p>
    <w:tbl>
      <w:tblPr>
        <w:tblStyle w:val="TableGrid"/>
        <w:tblW w:w="0" w:type="auto"/>
        <w:tblInd w:w="2292" w:type="dxa"/>
        <w:tblLook w:val="04A0" w:firstRow="1" w:lastRow="0" w:firstColumn="1" w:lastColumn="0" w:noHBand="0" w:noVBand="1"/>
      </w:tblPr>
      <w:tblGrid>
        <w:gridCol w:w="1316"/>
        <w:gridCol w:w="1603"/>
        <w:gridCol w:w="1590"/>
      </w:tblGrid>
      <w:tr w:rsidR="000C73D1" w:rsidRPr="000757C9" w14:paraId="2014F226" w14:textId="77777777" w:rsidTr="00497295">
        <w:tc>
          <w:tcPr>
            <w:tcW w:w="0" w:type="auto"/>
          </w:tcPr>
          <w:p w14:paraId="2220700D" w14:textId="77777777" w:rsidR="000C73D1" w:rsidRPr="000757C9" w:rsidRDefault="000C73D1" w:rsidP="00A23F90">
            <w:pPr>
              <w:shd w:val="clear" w:color="auto" w:fill="FFFFFF"/>
              <w:bidi w:val="0"/>
              <w:spacing w:line="480" w:lineRule="auto"/>
              <w:textAlignment w:val="baseline"/>
              <w:rPr>
                <w:rFonts w:ascii="Times New Roman" w:eastAsia="Arial Unicode MS" w:hAnsi="Times New Roman" w:cs="Times New Roman"/>
                <w:sz w:val="24"/>
                <w:szCs w:val="24"/>
              </w:rPr>
            </w:pPr>
            <w:r w:rsidRPr="000757C9">
              <w:rPr>
                <w:rFonts w:ascii="Times New Roman" w:eastAsia="Arial Unicode MS" w:hAnsi="Times New Roman" w:cs="Times New Roman"/>
                <w:sz w:val="24"/>
                <w:szCs w:val="24"/>
              </w:rPr>
              <w:t>Time (min)</w:t>
            </w:r>
          </w:p>
        </w:tc>
        <w:tc>
          <w:tcPr>
            <w:tcW w:w="0" w:type="auto"/>
          </w:tcPr>
          <w:p w14:paraId="5177693B" w14:textId="77777777" w:rsidR="000C73D1" w:rsidRPr="000757C9" w:rsidRDefault="000C73D1" w:rsidP="00A23F90">
            <w:pPr>
              <w:shd w:val="clear" w:color="auto" w:fill="FFFFFF"/>
              <w:bidi w:val="0"/>
              <w:spacing w:line="480" w:lineRule="auto"/>
              <w:textAlignment w:val="baseline"/>
              <w:rPr>
                <w:rFonts w:ascii="Times New Roman" w:eastAsia="Arial Unicode MS" w:hAnsi="Times New Roman" w:cs="Times New Roman"/>
                <w:sz w:val="24"/>
                <w:szCs w:val="24"/>
              </w:rPr>
            </w:pPr>
            <w:r w:rsidRPr="000757C9">
              <w:rPr>
                <w:rFonts w:ascii="Times New Roman" w:eastAsia="Arial Unicode MS" w:hAnsi="Times New Roman" w:cs="Times New Roman"/>
                <w:sz w:val="24"/>
                <w:szCs w:val="24"/>
              </w:rPr>
              <w:t xml:space="preserve">Solvent </w:t>
            </w:r>
            <w:r>
              <w:rPr>
                <w:rFonts w:ascii="Times New Roman" w:eastAsia="Arial Unicode MS" w:hAnsi="Times New Roman" w:cs="Times New Roman"/>
                <w:sz w:val="24"/>
                <w:szCs w:val="24"/>
              </w:rPr>
              <w:t>A</w:t>
            </w:r>
            <w:r w:rsidRPr="000757C9">
              <w:rPr>
                <w:rFonts w:ascii="Times New Roman" w:eastAsia="Arial Unicode MS" w:hAnsi="Times New Roman" w:cs="Times New Roman"/>
                <w:sz w:val="24"/>
                <w:szCs w:val="24"/>
              </w:rPr>
              <w:t xml:space="preserve"> (%)</w:t>
            </w:r>
          </w:p>
        </w:tc>
        <w:tc>
          <w:tcPr>
            <w:tcW w:w="0" w:type="auto"/>
          </w:tcPr>
          <w:p w14:paraId="6D0CD359" w14:textId="77777777" w:rsidR="000C73D1" w:rsidRPr="000757C9" w:rsidRDefault="000C73D1" w:rsidP="00A23F90">
            <w:pPr>
              <w:shd w:val="clear" w:color="auto" w:fill="FFFFFF"/>
              <w:bidi w:val="0"/>
              <w:spacing w:line="480" w:lineRule="auto"/>
              <w:textAlignment w:val="baseline"/>
              <w:rPr>
                <w:rFonts w:ascii="Times New Roman" w:eastAsia="Arial Unicode MS" w:hAnsi="Times New Roman" w:cs="Times New Roman"/>
                <w:sz w:val="24"/>
                <w:szCs w:val="24"/>
              </w:rPr>
            </w:pPr>
            <w:r w:rsidRPr="000757C9">
              <w:rPr>
                <w:rFonts w:ascii="Times New Roman" w:eastAsia="Arial Unicode MS" w:hAnsi="Times New Roman" w:cs="Times New Roman"/>
                <w:sz w:val="24"/>
                <w:szCs w:val="24"/>
              </w:rPr>
              <w:t xml:space="preserve">Solvent </w:t>
            </w:r>
            <w:r>
              <w:rPr>
                <w:rFonts w:ascii="Times New Roman" w:eastAsia="Arial Unicode MS" w:hAnsi="Times New Roman" w:cs="Times New Roman"/>
                <w:sz w:val="24"/>
                <w:szCs w:val="24"/>
              </w:rPr>
              <w:t>B</w:t>
            </w:r>
            <w:r w:rsidRPr="000757C9">
              <w:rPr>
                <w:rFonts w:ascii="Times New Roman" w:eastAsia="Arial Unicode MS" w:hAnsi="Times New Roman" w:cs="Times New Roman"/>
                <w:sz w:val="24"/>
                <w:szCs w:val="24"/>
              </w:rPr>
              <w:t xml:space="preserve"> (%)</w:t>
            </w:r>
          </w:p>
        </w:tc>
      </w:tr>
      <w:tr w:rsidR="000C73D1" w:rsidRPr="000757C9" w14:paraId="24E5DAAA" w14:textId="77777777" w:rsidTr="00497295">
        <w:tc>
          <w:tcPr>
            <w:tcW w:w="0" w:type="auto"/>
          </w:tcPr>
          <w:p w14:paraId="5E9A562C" w14:textId="77777777" w:rsidR="000C73D1" w:rsidRPr="000757C9"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sidRPr="000757C9">
              <w:rPr>
                <w:rFonts w:ascii="Times New Roman" w:eastAsia="Arial Unicode MS" w:hAnsi="Times New Roman" w:cs="Times New Roman"/>
                <w:sz w:val="24"/>
                <w:szCs w:val="24"/>
              </w:rPr>
              <w:t>0.0</w:t>
            </w:r>
          </w:p>
        </w:tc>
        <w:tc>
          <w:tcPr>
            <w:tcW w:w="0" w:type="auto"/>
          </w:tcPr>
          <w:p w14:paraId="61E8C2EE" w14:textId="77777777" w:rsidR="000C73D1" w:rsidRPr="000757C9"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75</w:t>
            </w:r>
          </w:p>
        </w:tc>
        <w:tc>
          <w:tcPr>
            <w:tcW w:w="0" w:type="auto"/>
          </w:tcPr>
          <w:p w14:paraId="398B0259" w14:textId="77777777" w:rsidR="000C73D1" w:rsidRPr="000757C9"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25</w:t>
            </w:r>
          </w:p>
        </w:tc>
      </w:tr>
      <w:tr w:rsidR="000C73D1" w:rsidRPr="000757C9" w14:paraId="60B20B50" w14:textId="77777777" w:rsidTr="00497295">
        <w:tc>
          <w:tcPr>
            <w:tcW w:w="0" w:type="auto"/>
          </w:tcPr>
          <w:p w14:paraId="2102666E" w14:textId="77777777" w:rsidR="000C73D1" w:rsidRPr="000757C9"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0.5</w:t>
            </w:r>
          </w:p>
        </w:tc>
        <w:tc>
          <w:tcPr>
            <w:tcW w:w="0" w:type="auto"/>
          </w:tcPr>
          <w:p w14:paraId="7420460D" w14:textId="77777777" w:rsidR="000C73D1"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75</w:t>
            </w:r>
          </w:p>
        </w:tc>
        <w:tc>
          <w:tcPr>
            <w:tcW w:w="0" w:type="auto"/>
          </w:tcPr>
          <w:p w14:paraId="152C547D" w14:textId="77777777" w:rsidR="000C73D1"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25</w:t>
            </w:r>
          </w:p>
        </w:tc>
      </w:tr>
      <w:tr w:rsidR="000C73D1" w:rsidRPr="000757C9" w14:paraId="31073151" w14:textId="77777777" w:rsidTr="00497295">
        <w:tc>
          <w:tcPr>
            <w:tcW w:w="0" w:type="auto"/>
          </w:tcPr>
          <w:p w14:paraId="2968D5FA" w14:textId="77777777" w:rsidR="000C73D1"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1.5</w:t>
            </w:r>
          </w:p>
        </w:tc>
        <w:tc>
          <w:tcPr>
            <w:tcW w:w="0" w:type="auto"/>
          </w:tcPr>
          <w:p w14:paraId="35E5B076" w14:textId="77777777" w:rsidR="000C73D1"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58</w:t>
            </w:r>
          </w:p>
        </w:tc>
        <w:tc>
          <w:tcPr>
            <w:tcW w:w="0" w:type="auto"/>
          </w:tcPr>
          <w:p w14:paraId="47AF7423" w14:textId="77777777" w:rsidR="000C73D1"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42</w:t>
            </w:r>
          </w:p>
        </w:tc>
      </w:tr>
      <w:tr w:rsidR="000C73D1" w:rsidRPr="000757C9" w14:paraId="571E8F26" w14:textId="77777777" w:rsidTr="00497295">
        <w:tc>
          <w:tcPr>
            <w:tcW w:w="0" w:type="auto"/>
          </w:tcPr>
          <w:p w14:paraId="7BFBB8A7" w14:textId="77777777" w:rsidR="000C73D1"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6.0</w:t>
            </w:r>
          </w:p>
        </w:tc>
        <w:tc>
          <w:tcPr>
            <w:tcW w:w="0" w:type="auto"/>
          </w:tcPr>
          <w:p w14:paraId="02E7E2C5" w14:textId="77777777" w:rsidR="000C73D1"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45</w:t>
            </w:r>
          </w:p>
        </w:tc>
        <w:tc>
          <w:tcPr>
            <w:tcW w:w="0" w:type="auto"/>
          </w:tcPr>
          <w:p w14:paraId="14F35C09" w14:textId="77777777" w:rsidR="000C73D1"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55</w:t>
            </w:r>
          </w:p>
        </w:tc>
      </w:tr>
      <w:tr w:rsidR="000C73D1" w:rsidRPr="000757C9" w14:paraId="14897537" w14:textId="77777777" w:rsidTr="00497295">
        <w:tc>
          <w:tcPr>
            <w:tcW w:w="0" w:type="auto"/>
          </w:tcPr>
          <w:p w14:paraId="4A669965" w14:textId="77777777" w:rsidR="000C73D1"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8.5</w:t>
            </w:r>
          </w:p>
        </w:tc>
        <w:tc>
          <w:tcPr>
            <w:tcW w:w="0" w:type="auto"/>
          </w:tcPr>
          <w:p w14:paraId="5D178371" w14:textId="77777777" w:rsidR="000C73D1"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20</w:t>
            </w:r>
          </w:p>
        </w:tc>
        <w:tc>
          <w:tcPr>
            <w:tcW w:w="0" w:type="auto"/>
          </w:tcPr>
          <w:p w14:paraId="6A1A7864" w14:textId="77777777" w:rsidR="000C73D1"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80</w:t>
            </w:r>
          </w:p>
        </w:tc>
      </w:tr>
      <w:tr w:rsidR="000C73D1" w:rsidRPr="000757C9" w14:paraId="01CC8170" w14:textId="77777777" w:rsidTr="00497295">
        <w:tc>
          <w:tcPr>
            <w:tcW w:w="0" w:type="auto"/>
          </w:tcPr>
          <w:p w14:paraId="78626D22" w14:textId="77777777" w:rsidR="000C73D1" w:rsidRPr="000757C9"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10.0</w:t>
            </w:r>
          </w:p>
        </w:tc>
        <w:tc>
          <w:tcPr>
            <w:tcW w:w="0" w:type="auto"/>
          </w:tcPr>
          <w:p w14:paraId="7301AD5B" w14:textId="77777777" w:rsidR="000C73D1" w:rsidRPr="000757C9"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0" w:type="auto"/>
          </w:tcPr>
          <w:p w14:paraId="22646D94" w14:textId="77777777" w:rsidR="000C73D1" w:rsidRPr="000757C9"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98</w:t>
            </w:r>
          </w:p>
        </w:tc>
      </w:tr>
      <w:tr w:rsidR="000C73D1" w:rsidRPr="000757C9" w14:paraId="13F6491D" w14:textId="77777777" w:rsidTr="00497295">
        <w:tc>
          <w:tcPr>
            <w:tcW w:w="0" w:type="auto"/>
          </w:tcPr>
          <w:p w14:paraId="1D8E61C8" w14:textId="77777777" w:rsidR="000C73D1" w:rsidRPr="000757C9"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12.0</w:t>
            </w:r>
          </w:p>
        </w:tc>
        <w:tc>
          <w:tcPr>
            <w:tcW w:w="0" w:type="auto"/>
          </w:tcPr>
          <w:p w14:paraId="7A4A030E" w14:textId="77777777" w:rsidR="000C73D1" w:rsidRPr="000757C9"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0" w:type="auto"/>
          </w:tcPr>
          <w:p w14:paraId="04643949" w14:textId="77777777" w:rsidR="000C73D1" w:rsidRPr="000757C9"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98</w:t>
            </w:r>
          </w:p>
        </w:tc>
      </w:tr>
      <w:tr w:rsidR="000C73D1" w:rsidRPr="000757C9" w14:paraId="146F35A8" w14:textId="77777777" w:rsidTr="00497295">
        <w:tc>
          <w:tcPr>
            <w:tcW w:w="0" w:type="auto"/>
          </w:tcPr>
          <w:p w14:paraId="6A5F9BB9" w14:textId="77777777" w:rsidR="000C73D1"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12.5</w:t>
            </w:r>
          </w:p>
        </w:tc>
        <w:tc>
          <w:tcPr>
            <w:tcW w:w="0" w:type="auto"/>
          </w:tcPr>
          <w:p w14:paraId="70E5FF44" w14:textId="77777777" w:rsidR="000C73D1" w:rsidRPr="000757C9"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75</w:t>
            </w:r>
          </w:p>
        </w:tc>
        <w:tc>
          <w:tcPr>
            <w:tcW w:w="0" w:type="auto"/>
          </w:tcPr>
          <w:p w14:paraId="427EC598" w14:textId="77777777" w:rsidR="000C73D1" w:rsidRPr="000757C9"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25</w:t>
            </w:r>
          </w:p>
        </w:tc>
      </w:tr>
      <w:tr w:rsidR="000C73D1" w:rsidRPr="000757C9" w14:paraId="7BC897A7" w14:textId="77777777" w:rsidTr="00497295">
        <w:tc>
          <w:tcPr>
            <w:tcW w:w="0" w:type="auto"/>
          </w:tcPr>
          <w:p w14:paraId="096A34EB" w14:textId="77777777" w:rsidR="000C73D1" w:rsidRDefault="000C73D1" w:rsidP="00A23F90">
            <w:pPr>
              <w:shd w:val="clear" w:color="auto" w:fill="FFFFFF"/>
              <w:tabs>
                <w:tab w:val="decimal" w:pos="56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15.0</w:t>
            </w:r>
          </w:p>
        </w:tc>
        <w:tc>
          <w:tcPr>
            <w:tcW w:w="0" w:type="auto"/>
          </w:tcPr>
          <w:p w14:paraId="4A7CC867" w14:textId="77777777" w:rsidR="000C73D1" w:rsidRPr="000757C9" w:rsidRDefault="000C73D1" w:rsidP="00A23F90">
            <w:pPr>
              <w:shd w:val="clear" w:color="auto" w:fill="FFFFFF"/>
              <w:tabs>
                <w:tab w:val="decimal" w:pos="787"/>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75</w:t>
            </w:r>
          </w:p>
        </w:tc>
        <w:tc>
          <w:tcPr>
            <w:tcW w:w="0" w:type="auto"/>
          </w:tcPr>
          <w:p w14:paraId="3020F7A1" w14:textId="77777777" w:rsidR="000C73D1" w:rsidRPr="000757C9" w:rsidRDefault="000C73D1" w:rsidP="00A23F90">
            <w:pPr>
              <w:shd w:val="clear" w:color="auto" w:fill="FFFFFF"/>
              <w:tabs>
                <w:tab w:val="decimal" w:pos="743"/>
              </w:tabs>
              <w:bidi w:val="0"/>
              <w:spacing w:line="480" w:lineRule="auto"/>
              <w:textAlignment w:val="baseline"/>
              <w:rPr>
                <w:rFonts w:ascii="Times New Roman" w:eastAsia="Arial Unicode MS" w:hAnsi="Times New Roman" w:cs="Times New Roman"/>
                <w:sz w:val="24"/>
                <w:szCs w:val="24"/>
              </w:rPr>
            </w:pPr>
            <w:r>
              <w:rPr>
                <w:rFonts w:ascii="Times New Roman" w:eastAsia="Arial Unicode MS" w:hAnsi="Times New Roman" w:cs="Times New Roman"/>
                <w:sz w:val="24"/>
                <w:szCs w:val="24"/>
              </w:rPr>
              <w:t>25</w:t>
            </w:r>
          </w:p>
        </w:tc>
      </w:tr>
    </w:tbl>
    <w:p w14:paraId="596EDC66" w14:textId="77777777" w:rsidR="000C73D1" w:rsidRPr="00280D25" w:rsidRDefault="000C73D1" w:rsidP="00A23F90">
      <w:pPr>
        <w:shd w:val="clear" w:color="auto" w:fill="FFFFFF"/>
        <w:bidi w:val="0"/>
        <w:spacing w:after="0" w:line="480" w:lineRule="auto"/>
        <w:textAlignment w:val="baseline"/>
        <w:rPr>
          <w:rFonts w:ascii="Times New Roman" w:eastAsia="Arial Unicode MS" w:hAnsi="Times New Roman" w:cs="Times New Roman"/>
          <w:sz w:val="24"/>
          <w:szCs w:val="24"/>
          <w:highlight w:val="yellow"/>
        </w:rPr>
      </w:pPr>
    </w:p>
    <w:p w14:paraId="0D0A2347" w14:textId="77777777" w:rsidR="000C73D1" w:rsidRPr="00A23F90" w:rsidRDefault="000C73D1" w:rsidP="00A23F90">
      <w:pPr>
        <w:shd w:val="clear" w:color="auto" w:fill="FFFFFF"/>
        <w:bidi w:val="0"/>
        <w:spacing w:after="0" w:line="480" w:lineRule="auto"/>
        <w:ind w:firstLine="380"/>
        <w:textAlignment w:val="baseline"/>
        <w:rPr>
          <w:rFonts w:ascii="Times New Roman" w:eastAsia="Arial Unicode MS" w:hAnsi="Times New Roman" w:cs="Times New Roman"/>
          <w:sz w:val="24"/>
          <w:szCs w:val="24"/>
        </w:rPr>
      </w:pPr>
      <w:r w:rsidRPr="00366CA8">
        <w:rPr>
          <w:rFonts w:ascii="Times New Roman" w:eastAsia="Arial Unicode MS" w:hAnsi="Times New Roman" w:cs="Times New Roman" w:hint="eastAsia"/>
          <w:sz w:val="24"/>
          <w:szCs w:val="24"/>
        </w:rPr>
        <w:t xml:space="preserve">The column effluent </w:t>
      </w:r>
      <w:r w:rsidRPr="00366CA8">
        <w:rPr>
          <w:rFonts w:ascii="Times New Roman" w:eastAsia="Arial Unicode MS" w:hAnsi="Times New Roman" w:cs="Times New Roman"/>
          <w:sz w:val="24"/>
          <w:szCs w:val="24"/>
        </w:rPr>
        <w:t>was</w:t>
      </w:r>
      <w:r w:rsidRPr="00366CA8">
        <w:rPr>
          <w:rFonts w:ascii="Times New Roman" w:eastAsia="Arial Unicode MS" w:hAnsi="Times New Roman" w:cs="Times New Roman" w:hint="eastAsia"/>
          <w:sz w:val="24"/>
          <w:szCs w:val="24"/>
        </w:rPr>
        <w:t xml:space="preserve"> diverted </w:t>
      </w:r>
      <w:r>
        <w:rPr>
          <w:rFonts w:ascii="Times New Roman" w:eastAsia="Arial Unicode MS" w:hAnsi="Times New Roman" w:cs="Times New Roman"/>
          <w:sz w:val="24"/>
          <w:szCs w:val="24"/>
        </w:rPr>
        <w:t xml:space="preserve">away from the MS during the </w:t>
      </w:r>
      <w:r w:rsidRPr="00366CA8">
        <w:rPr>
          <w:rFonts w:ascii="Times New Roman" w:eastAsia="Arial Unicode MS" w:hAnsi="Times New Roman" w:cs="Times New Roman" w:hint="eastAsia"/>
          <w:sz w:val="24"/>
          <w:szCs w:val="24"/>
        </w:rPr>
        <w:t xml:space="preserve">first </w:t>
      </w:r>
      <w:r>
        <w:rPr>
          <w:rFonts w:ascii="Times New Roman" w:eastAsia="Arial Unicode MS" w:hAnsi="Times New Roman" w:cs="Times New Roman"/>
          <w:sz w:val="24"/>
          <w:szCs w:val="24"/>
        </w:rPr>
        <w:t xml:space="preserve">1 </w:t>
      </w:r>
      <w:r>
        <w:rPr>
          <w:rFonts w:ascii="Times New Roman" w:eastAsia="Arial Unicode MS" w:hAnsi="Times New Roman" w:cs="Times New Roman" w:hint="eastAsia"/>
          <w:sz w:val="24"/>
          <w:szCs w:val="24"/>
        </w:rPr>
        <w:t xml:space="preserve">min </w:t>
      </w:r>
      <w:r>
        <w:rPr>
          <w:rFonts w:ascii="Times New Roman" w:eastAsia="Arial Unicode MS" w:hAnsi="Times New Roman" w:cs="Times New Roman"/>
          <w:sz w:val="24"/>
          <w:szCs w:val="24"/>
        </w:rPr>
        <w:t xml:space="preserve">and last 2.0 min </w:t>
      </w:r>
      <w:r>
        <w:rPr>
          <w:rFonts w:ascii="Times New Roman" w:eastAsia="Arial Unicode MS" w:hAnsi="Times New Roman" w:cs="Times New Roman" w:hint="eastAsia"/>
          <w:sz w:val="24"/>
          <w:szCs w:val="24"/>
        </w:rPr>
        <w:t xml:space="preserve">of </w:t>
      </w:r>
      <w:r>
        <w:rPr>
          <w:rFonts w:ascii="Times New Roman" w:eastAsia="Arial Unicode MS" w:hAnsi="Times New Roman" w:cs="Times New Roman"/>
          <w:sz w:val="24"/>
          <w:szCs w:val="24"/>
        </w:rPr>
        <w:t>the run</w:t>
      </w:r>
      <w:r w:rsidRPr="00366CA8">
        <w:rPr>
          <w:rFonts w:ascii="Times New Roman" w:eastAsia="Arial Unicode MS" w:hAnsi="Times New Roman" w:cs="Times New Roman" w:hint="eastAsia"/>
          <w:sz w:val="24"/>
          <w:szCs w:val="24"/>
        </w:rPr>
        <w:t xml:space="preserve">. </w:t>
      </w:r>
      <w:r>
        <w:rPr>
          <w:rFonts w:ascii="Times New Roman" w:eastAsia="Arial Unicode MS" w:hAnsi="Times New Roman" w:cs="Times New Roman"/>
          <w:sz w:val="24"/>
          <w:szCs w:val="24"/>
        </w:rPr>
        <w:t xml:space="preserve">Methanol </w:t>
      </w:r>
      <w:r w:rsidRPr="00366CA8">
        <w:rPr>
          <w:rFonts w:ascii="Times New Roman" w:eastAsia="Arial Unicode MS" w:hAnsi="Times New Roman" w:cs="Times New Roman" w:hint="eastAsia"/>
          <w:sz w:val="24"/>
          <w:szCs w:val="24"/>
        </w:rPr>
        <w:t xml:space="preserve">was used for </w:t>
      </w:r>
      <w:r>
        <w:rPr>
          <w:rFonts w:ascii="Times New Roman" w:eastAsia="Arial Unicode MS" w:hAnsi="Times New Roman" w:cs="Times New Roman"/>
          <w:sz w:val="24"/>
          <w:szCs w:val="24"/>
        </w:rPr>
        <w:t xml:space="preserve">washing the </w:t>
      </w:r>
      <w:r w:rsidRPr="00366CA8">
        <w:rPr>
          <w:rFonts w:ascii="Times New Roman" w:eastAsia="Arial Unicode MS" w:hAnsi="Times New Roman" w:cs="Times New Roman" w:hint="eastAsia"/>
          <w:sz w:val="24"/>
          <w:szCs w:val="24"/>
        </w:rPr>
        <w:t xml:space="preserve">needle </w:t>
      </w:r>
      <w:r>
        <w:rPr>
          <w:rFonts w:ascii="Times New Roman" w:eastAsia="Arial Unicode MS" w:hAnsi="Times New Roman" w:cs="Times New Roman"/>
          <w:sz w:val="24"/>
          <w:szCs w:val="24"/>
        </w:rPr>
        <w:t xml:space="preserve">prior to </w:t>
      </w:r>
      <w:r w:rsidRPr="00366CA8">
        <w:rPr>
          <w:rFonts w:ascii="Times New Roman" w:eastAsia="Arial Unicode MS" w:hAnsi="Times New Roman" w:cs="Times New Roman" w:hint="eastAsia"/>
          <w:sz w:val="24"/>
          <w:szCs w:val="24"/>
        </w:rPr>
        <w:t xml:space="preserve">each injection cycle. </w:t>
      </w:r>
      <w:r w:rsidRPr="00A23F90">
        <w:rPr>
          <w:rFonts w:ascii="Times New Roman" w:eastAsia="Arial Unicode MS" w:hAnsi="Times New Roman" w:cs="Times New Roman"/>
          <w:sz w:val="24"/>
          <w:szCs w:val="24"/>
        </w:rPr>
        <w:t>All samples were analyzed in duplicate.</w:t>
      </w:r>
    </w:p>
    <w:p w14:paraId="58F815AF" w14:textId="4BE91264" w:rsidR="000C73D1" w:rsidRPr="00E92032" w:rsidRDefault="000C73D1" w:rsidP="00A23F90">
      <w:pPr>
        <w:bidi w:val="0"/>
        <w:spacing w:after="0" w:line="480" w:lineRule="auto"/>
        <w:rPr>
          <w:rFonts w:asciiTheme="majorBidi" w:hAnsiTheme="majorBidi" w:cstheme="majorBidi"/>
          <w:i/>
          <w:iCs/>
          <w:sz w:val="24"/>
        </w:rPr>
      </w:pPr>
      <w:r w:rsidRPr="00E92032">
        <w:rPr>
          <w:rFonts w:asciiTheme="majorBidi" w:hAnsiTheme="majorBidi" w:cstheme="majorBidi"/>
          <w:i/>
          <w:iCs/>
          <w:sz w:val="24"/>
        </w:rPr>
        <w:t>MS/MS conditions</w:t>
      </w:r>
    </w:p>
    <w:p w14:paraId="4064D1EF" w14:textId="63D4FEE2" w:rsidR="000C73D1" w:rsidRPr="00D30EB6" w:rsidRDefault="000C73D1" w:rsidP="00A84FCF">
      <w:pPr>
        <w:bidi w:val="0"/>
        <w:spacing w:after="0" w:line="48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CBD and </w:t>
      </w:r>
      <w:r w:rsidR="00A84FCF">
        <w:rPr>
          <w:rFonts w:ascii="Times New Roman" w:eastAsia="Arial Unicode MS" w:hAnsi="Times New Roman" w:cs="Times New Roman"/>
          <w:sz w:val="24"/>
          <w:szCs w:val="24"/>
        </w:rPr>
        <w:t>the internal standard (</w:t>
      </w:r>
      <w:proofErr w:type="gramStart"/>
      <w:r w:rsidR="00A84FCF">
        <w:rPr>
          <w:rFonts w:ascii="Times New Roman" w:eastAsia="Arial Unicode MS" w:hAnsi="Times New Roman" w:cs="Times New Roman"/>
          <w:sz w:val="24"/>
          <w:szCs w:val="24"/>
        </w:rPr>
        <w:t>IS</w:t>
      </w:r>
      <w:proofErr w:type="gramEnd"/>
      <w:r w:rsidR="00A84FCF">
        <w:rPr>
          <w:rFonts w:ascii="Times New Roman" w:eastAsia="Arial Unicode MS" w:hAnsi="Times New Roman" w:cs="Times New Roman"/>
          <w:sz w:val="24"/>
          <w:szCs w:val="24"/>
        </w:rPr>
        <w:t xml:space="preserve">) </w:t>
      </w:r>
      <w:proofErr w:type="spellStart"/>
      <w:r w:rsidR="00A84FCF">
        <w:rPr>
          <w:rFonts w:ascii="Times New Roman" w:eastAsia="Arial Unicode MS" w:hAnsi="Times New Roman" w:cs="Times New Roman"/>
          <w:sz w:val="24"/>
          <w:szCs w:val="24"/>
        </w:rPr>
        <w:t>cannabigerol</w:t>
      </w:r>
      <w:proofErr w:type="spellEnd"/>
      <w:r w:rsidR="00A84FCF">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CBG</w:t>
      </w:r>
      <w:r w:rsidR="00A84FCF">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were detected </w:t>
      </w:r>
      <w:r w:rsidRPr="00366CA8">
        <w:rPr>
          <w:rFonts w:ascii="Times New Roman" w:eastAsia="Arial Unicode MS" w:hAnsi="Times New Roman" w:cs="Times New Roman" w:hint="eastAsia"/>
          <w:sz w:val="24"/>
          <w:szCs w:val="24"/>
        </w:rPr>
        <w:t xml:space="preserve">in </w:t>
      </w:r>
      <w:r>
        <w:rPr>
          <w:rFonts w:ascii="Times New Roman" w:eastAsia="Arial Unicode MS" w:hAnsi="Times New Roman" w:cs="Times New Roman"/>
          <w:sz w:val="24"/>
          <w:szCs w:val="24"/>
        </w:rPr>
        <w:t xml:space="preserve">positive </w:t>
      </w:r>
      <w:r w:rsidRPr="00366CA8">
        <w:rPr>
          <w:rFonts w:ascii="Times New Roman" w:eastAsia="Arial Unicode MS" w:hAnsi="Times New Roman" w:cs="Times New Roman" w:hint="eastAsia"/>
          <w:sz w:val="24"/>
          <w:szCs w:val="24"/>
        </w:rPr>
        <w:t xml:space="preserve">ion mode using </w:t>
      </w:r>
      <w:r>
        <w:rPr>
          <w:rFonts w:ascii="Times New Roman" w:eastAsia="Arial Unicode MS" w:hAnsi="Times New Roman" w:cs="Times New Roman"/>
          <w:sz w:val="24"/>
          <w:szCs w:val="24"/>
        </w:rPr>
        <w:t>electron spray ionization (ESI)</w:t>
      </w:r>
      <w:r w:rsidRPr="00366CA8">
        <w:rPr>
          <w:rFonts w:ascii="Times New Roman" w:eastAsia="Arial Unicode MS" w:hAnsi="Times New Roman" w:cs="Times New Roman" w:hint="eastAsia"/>
          <w:sz w:val="24"/>
          <w:szCs w:val="24"/>
        </w:rPr>
        <w:t xml:space="preserve"> and </w:t>
      </w:r>
      <w:r w:rsidRPr="00366CA8">
        <w:rPr>
          <w:rFonts w:ascii="Times New Roman" w:eastAsia="Arial Unicode MS" w:hAnsi="Times New Roman" w:cs="Times New Roman"/>
          <w:sz w:val="24"/>
          <w:szCs w:val="24"/>
        </w:rPr>
        <w:t>m</w:t>
      </w:r>
      <w:r w:rsidRPr="00366CA8">
        <w:rPr>
          <w:rFonts w:ascii="Times New Roman" w:eastAsia="Arial Unicode MS" w:hAnsi="Times New Roman" w:cs="Times New Roman" w:hint="eastAsia"/>
          <w:sz w:val="24"/>
          <w:szCs w:val="24"/>
        </w:rPr>
        <w:t>ultiple reaction monitoring</w:t>
      </w:r>
      <w:r w:rsidRPr="00366CA8">
        <w:rPr>
          <w:rFonts w:ascii="Times New Roman" w:eastAsia="Arial Unicode MS" w:hAnsi="Times New Roman" w:cs="Times New Roman" w:hint="eastAsia"/>
          <w:b/>
          <w:bCs/>
          <w:sz w:val="24"/>
          <w:szCs w:val="24"/>
        </w:rPr>
        <w:t xml:space="preserve"> </w:t>
      </w:r>
      <w:r w:rsidRPr="00366CA8">
        <w:rPr>
          <w:rFonts w:ascii="Times New Roman" w:eastAsia="Arial Unicode MS" w:hAnsi="Times New Roman" w:cs="Times New Roman"/>
          <w:sz w:val="24"/>
          <w:szCs w:val="24"/>
        </w:rPr>
        <w:t>(</w:t>
      </w:r>
      <w:r w:rsidRPr="00366CA8">
        <w:rPr>
          <w:rFonts w:ascii="Times New Roman" w:eastAsia="Arial Unicode MS" w:hAnsi="Times New Roman" w:cs="Times New Roman" w:hint="eastAsia"/>
          <w:sz w:val="24"/>
          <w:szCs w:val="24"/>
        </w:rPr>
        <w:t>MRM</w:t>
      </w:r>
      <w:r w:rsidRPr="00366CA8">
        <w:rPr>
          <w:rFonts w:ascii="Times New Roman" w:eastAsia="Arial Unicode MS" w:hAnsi="Times New Roman" w:cs="Times New Roman"/>
          <w:sz w:val="24"/>
          <w:szCs w:val="24"/>
        </w:rPr>
        <w:t>)</w:t>
      </w:r>
      <w:r w:rsidRPr="00366CA8">
        <w:rPr>
          <w:rFonts w:ascii="Times New Roman" w:eastAsia="Arial Unicode MS" w:hAnsi="Times New Roman" w:cs="Times New Roman" w:hint="eastAsia"/>
          <w:sz w:val="24"/>
          <w:szCs w:val="24"/>
        </w:rPr>
        <w:t xml:space="preserve"> mode of acquisition</w:t>
      </w:r>
      <w:r w:rsidRPr="002951A8">
        <w:rPr>
          <w:rFonts w:asciiTheme="majorBidi" w:eastAsia="Arial Unicode MS" w:hAnsiTheme="majorBidi" w:cstheme="majorBidi"/>
          <w:sz w:val="24"/>
          <w:szCs w:val="24"/>
        </w:rPr>
        <w:t xml:space="preserve">. </w:t>
      </w:r>
    </w:p>
    <w:p w14:paraId="76D6A539" w14:textId="4DEF54EB" w:rsidR="000C73D1" w:rsidRPr="00D34793" w:rsidRDefault="000C73D1" w:rsidP="00A23F90">
      <w:pPr>
        <w:bidi w:val="0"/>
        <w:spacing w:after="0" w:line="480" w:lineRule="auto"/>
        <w:ind w:right="74"/>
        <w:rPr>
          <w:rFonts w:ascii="Times New Roman" w:eastAsia="Arial Unicode MS" w:hAnsi="Times New Roman" w:cs="Times New Roman"/>
          <w:sz w:val="24"/>
          <w:szCs w:val="24"/>
        </w:rPr>
      </w:pPr>
      <w:r w:rsidRPr="00D30EB6">
        <w:rPr>
          <w:rFonts w:ascii="Times New Roman" w:eastAsia="Arial Unicode MS" w:hAnsi="Times New Roman" w:cs="Times New Roman"/>
          <w:sz w:val="24"/>
          <w:szCs w:val="24"/>
        </w:rPr>
        <w:t>The molecular ion</w:t>
      </w:r>
      <w:r>
        <w:rPr>
          <w:rFonts w:ascii="Times New Roman" w:eastAsia="Arial Unicode MS" w:hAnsi="Times New Roman" w:cs="Times New Roman"/>
          <w:sz w:val="24"/>
          <w:szCs w:val="24"/>
        </w:rPr>
        <w:t>s</w:t>
      </w:r>
      <w:r w:rsidRPr="00D30EB6">
        <w:rPr>
          <w:rFonts w:ascii="Times New Roman" w:eastAsia="Arial Unicode MS" w:hAnsi="Times New Roman" w:cs="Times New Roman"/>
          <w:sz w:val="24"/>
          <w:szCs w:val="24"/>
        </w:rPr>
        <w:t xml:space="preserve"> of </w:t>
      </w:r>
      <w:r>
        <w:rPr>
          <w:rFonts w:ascii="Times New Roman" w:eastAsia="Arial Unicode MS" w:hAnsi="Times New Roman" w:cs="Times New Roman"/>
          <w:sz w:val="24"/>
          <w:szCs w:val="24"/>
        </w:rPr>
        <w:t xml:space="preserve">the compounds </w:t>
      </w:r>
      <w:r w:rsidRPr="00D90B07">
        <w:rPr>
          <w:rFonts w:ascii="Times New Roman" w:eastAsia="Arial Unicode MS" w:hAnsi="Times New Roman" w:cs="Times New Roman"/>
          <w:sz w:val="24"/>
          <w:szCs w:val="24"/>
        </w:rPr>
        <w:t>[M</w:t>
      </w:r>
      <w:r>
        <w:rPr>
          <w:rFonts w:ascii="Times New Roman" w:eastAsia="Arial Unicode MS" w:hAnsi="Times New Roman" w:cs="Times New Roman"/>
          <w:sz w:val="24"/>
          <w:szCs w:val="24"/>
        </w:rPr>
        <w:t>+</w:t>
      </w:r>
      <w:proofErr w:type="gramStart"/>
      <w:r w:rsidRPr="00D90B07">
        <w:rPr>
          <w:rFonts w:ascii="Times New Roman" w:eastAsia="Arial Unicode MS" w:hAnsi="Times New Roman" w:cs="Times New Roman"/>
          <w:sz w:val="24"/>
          <w:szCs w:val="24"/>
        </w:rPr>
        <w:t>H]</w:t>
      </w:r>
      <w:r w:rsidRPr="003D097D">
        <w:rPr>
          <w:rFonts w:ascii="Times New Roman" w:eastAsia="Arial Unicode MS" w:hAnsi="Times New Roman" w:cs="Times New Roman"/>
          <w:sz w:val="24"/>
          <w:szCs w:val="24"/>
          <w:vertAlign w:val="superscript"/>
        </w:rPr>
        <w:t>+</w:t>
      </w:r>
      <w:proofErr w:type="gramEnd"/>
      <w:r w:rsidRPr="00D90B07">
        <w:rPr>
          <w:rFonts w:ascii="Times New Roman" w:eastAsia="Arial Unicode MS" w:hAnsi="Times New Roman" w:cs="Times New Roman" w:hint="eastAsia"/>
          <w:sz w:val="24"/>
          <w:szCs w:val="24"/>
        </w:rPr>
        <w:t xml:space="preserve"> </w:t>
      </w:r>
      <w:r>
        <w:rPr>
          <w:rFonts w:ascii="Times New Roman" w:eastAsia="Arial Unicode MS" w:hAnsi="Times New Roman" w:cs="Times New Roman"/>
          <w:sz w:val="24"/>
          <w:szCs w:val="24"/>
        </w:rPr>
        <w:t>were</w:t>
      </w:r>
      <w:r w:rsidRPr="00D30EB6">
        <w:rPr>
          <w:rFonts w:ascii="Times New Roman" w:eastAsia="Arial Unicode MS" w:hAnsi="Times New Roman" w:cs="Times New Roman"/>
          <w:sz w:val="24"/>
          <w:szCs w:val="24"/>
        </w:rPr>
        <w:t xml:space="preserve"> selected in the first mass analyzer and fragmented in the collision cell followed by detection of the products of fragmentation in the second analyzer. </w:t>
      </w:r>
      <w:r>
        <w:rPr>
          <w:rFonts w:asciiTheme="majorBidi" w:eastAsia="Calibri" w:hAnsiTheme="majorBidi" w:cstheme="majorBidi"/>
          <w:sz w:val="24"/>
          <w:szCs w:val="24"/>
        </w:rPr>
        <w:t>Their transitions are shown in Table 2</w:t>
      </w:r>
      <w:r w:rsidR="00062D6B">
        <w:rPr>
          <w:rFonts w:asciiTheme="majorBidi" w:eastAsia="Calibri" w:hAnsiTheme="majorBidi" w:cstheme="majorBidi"/>
          <w:sz w:val="24"/>
          <w:szCs w:val="24"/>
        </w:rPr>
        <w:t>S</w:t>
      </w:r>
      <w:r>
        <w:rPr>
          <w:rFonts w:asciiTheme="majorBidi" w:eastAsia="Calibri" w:hAnsiTheme="majorBidi" w:cstheme="majorBidi"/>
          <w:sz w:val="24"/>
          <w:szCs w:val="24"/>
        </w:rPr>
        <w:t xml:space="preserve">. </w:t>
      </w:r>
      <w:r w:rsidRPr="00DD146D">
        <w:rPr>
          <w:rFonts w:ascii="Times New Roman" w:eastAsia="Arial Unicode MS" w:hAnsi="Times New Roman" w:cs="Times New Roman"/>
          <w:sz w:val="24"/>
          <w:szCs w:val="24"/>
        </w:rPr>
        <w:t xml:space="preserve">The </w:t>
      </w:r>
      <w:proofErr w:type="spellStart"/>
      <w:r w:rsidRPr="00DD146D">
        <w:rPr>
          <w:rFonts w:ascii="Times New Roman" w:eastAsia="Arial Unicode MS" w:hAnsi="Times New Roman" w:cs="Times New Roman"/>
          <w:sz w:val="24"/>
          <w:szCs w:val="24"/>
        </w:rPr>
        <w:t>TurboIonspray</w:t>
      </w:r>
      <w:proofErr w:type="spellEnd"/>
      <w:r w:rsidRPr="00DD146D">
        <w:rPr>
          <w:rFonts w:ascii="Times New Roman" w:eastAsia="Arial Unicode MS" w:hAnsi="Times New Roman" w:cs="Times New Roman"/>
          <w:sz w:val="24"/>
          <w:szCs w:val="24"/>
          <w:vertAlign w:val="superscript"/>
        </w:rPr>
        <w:t>®</w:t>
      </w:r>
      <w:r w:rsidRPr="00DD146D">
        <w:rPr>
          <w:rFonts w:ascii="Times New Roman" w:eastAsia="Arial Unicode MS" w:hAnsi="Times New Roman" w:cs="Times New Roman"/>
          <w:sz w:val="24"/>
          <w:szCs w:val="24"/>
        </w:rPr>
        <w:t xml:space="preserve"> probe temperature was set at 500°C with the ion spray voltage at 4500 V. The curtain gas was set at 25.0 psi. The nebulizer gas (Gas 1) was set to 50 psi, the turbo heater gas (Gas 2) was set to 60 psi and the collision gas (CAD) was set to 8 psi. The entrance potential (EP) was set at 10 V. The collision energy potentials (CE), collision cell exit potentials (CXP) and </w:t>
      </w:r>
      <w:proofErr w:type="spellStart"/>
      <w:r w:rsidRPr="00DD146D">
        <w:rPr>
          <w:rFonts w:ascii="Times New Roman" w:eastAsia="Arial Unicode MS" w:hAnsi="Times New Roman" w:cs="Times New Roman"/>
          <w:sz w:val="24"/>
          <w:szCs w:val="24"/>
        </w:rPr>
        <w:t>declustering</w:t>
      </w:r>
      <w:proofErr w:type="spellEnd"/>
      <w:r w:rsidRPr="00DD146D">
        <w:rPr>
          <w:rFonts w:ascii="Times New Roman" w:eastAsia="Arial Unicode MS" w:hAnsi="Times New Roman" w:cs="Times New Roman"/>
          <w:sz w:val="24"/>
          <w:szCs w:val="24"/>
        </w:rPr>
        <w:t xml:space="preserve"> potentials (DP) for the monitored transitions are given </w:t>
      </w:r>
      <w:r w:rsidRPr="00FF6BED">
        <w:rPr>
          <w:rFonts w:asciiTheme="majorBidi" w:eastAsia="Arial Unicode MS" w:hAnsiTheme="majorBidi" w:cstheme="majorBidi"/>
          <w:sz w:val="24"/>
          <w:szCs w:val="24"/>
        </w:rPr>
        <w:t>in </w:t>
      </w:r>
      <w:hyperlink r:id="rId5" w:anchor="tbl0005" w:history="1">
        <w:r w:rsidRPr="00FF6BED">
          <w:rPr>
            <w:rFonts w:asciiTheme="majorBidi" w:hAnsiTheme="majorBidi" w:cstheme="majorBidi"/>
            <w:sz w:val="24"/>
            <w:szCs w:val="24"/>
          </w:rPr>
          <w:t>Table</w:t>
        </w:r>
        <w:r w:rsidRPr="00FF6BED">
          <w:rPr>
            <w:sz w:val="24"/>
            <w:szCs w:val="24"/>
          </w:rPr>
          <w:t xml:space="preserve"> </w:t>
        </w:r>
      </w:hyperlink>
      <w:r w:rsidRPr="00FF6BED">
        <w:rPr>
          <w:rFonts w:ascii="Times New Roman" w:eastAsia="Arial Unicode MS" w:hAnsi="Times New Roman" w:cs="Times New Roman"/>
          <w:sz w:val="24"/>
          <w:szCs w:val="24"/>
        </w:rPr>
        <w:t>2</w:t>
      </w:r>
      <w:r w:rsidR="002F78E2">
        <w:rPr>
          <w:rFonts w:ascii="Times New Roman" w:eastAsia="Arial Unicode MS" w:hAnsi="Times New Roman" w:cs="Times New Roman"/>
          <w:sz w:val="24"/>
          <w:szCs w:val="24"/>
        </w:rPr>
        <w:t>S</w:t>
      </w:r>
      <w:r w:rsidRPr="00FF6BED">
        <w:rPr>
          <w:rFonts w:ascii="Times New Roman" w:eastAsia="Arial Unicode MS" w:hAnsi="Times New Roman" w:cs="Times New Roman"/>
          <w:sz w:val="24"/>
          <w:szCs w:val="24"/>
        </w:rPr>
        <w:t xml:space="preserve">. The dwell time was 30 </w:t>
      </w:r>
      <w:proofErr w:type="spellStart"/>
      <w:r w:rsidRPr="00FF6BED">
        <w:rPr>
          <w:rFonts w:ascii="Times New Roman" w:eastAsia="Arial Unicode MS" w:hAnsi="Times New Roman" w:cs="Times New Roman"/>
          <w:sz w:val="24"/>
          <w:szCs w:val="24"/>
        </w:rPr>
        <w:t>ms.</w:t>
      </w:r>
      <w:proofErr w:type="spellEnd"/>
      <w:r w:rsidRPr="00FF6BED">
        <w:rPr>
          <w:rFonts w:ascii="Times New Roman" w:eastAsia="Arial Unicode MS" w:hAnsi="Times New Roman" w:cs="Times New Roman"/>
          <w:sz w:val="24"/>
          <w:szCs w:val="24"/>
        </w:rPr>
        <w:t xml:space="preserve"> Data acquisition </w:t>
      </w:r>
      <w:r>
        <w:rPr>
          <w:rFonts w:ascii="Times New Roman" w:eastAsia="Arial Unicode MS" w:hAnsi="Times New Roman" w:cs="Times New Roman"/>
          <w:sz w:val="24"/>
          <w:szCs w:val="24"/>
        </w:rPr>
        <w:t>was</w:t>
      </w:r>
      <w:r w:rsidRPr="00FF6BED">
        <w:rPr>
          <w:rFonts w:ascii="Times New Roman" w:eastAsia="Arial Unicode MS" w:hAnsi="Times New Roman" w:cs="Times New Roman"/>
          <w:sz w:val="24"/>
          <w:szCs w:val="24"/>
        </w:rPr>
        <w:t xml:space="preserve"> performed </w:t>
      </w:r>
      <w:r>
        <w:rPr>
          <w:rFonts w:ascii="Times New Roman" w:eastAsia="Arial Unicode MS" w:hAnsi="Times New Roman" w:cs="Times New Roman"/>
          <w:sz w:val="24"/>
          <w:szCs w:val="24"/>
        </w:rPr>
        <w:t>using</w:t>
      </w:r>
      <w:r w:rsidRPr="00DD146D">
        <w:rPr>
          <w:rFonts w:ascii="Times New Roman" w:eastAsia="Arial Unicode MS" w:hAnsi="Times New Roman" w:cs="Times New Roman"/>
          <w:sz w:val="24"/>
          <w:szCs w:val="24"/>
        </w:rPr>
        <w:t xml:space="preserve"> Analyst 1.6.3 software </w:t>
      </w:r>
      <w:r>
        <w:rPr>
          <w:rFonts w:ascii="Times New Roman" w:eastAsia="Arial Unicode MS" w:hAnsi="Times New Roman" w:cs="Times New Roman"/>
          <w:sz w:val="24"/>
          <w:szCs w:val="24"/>
        </w:rPr>
        <w:t xml:space="preserve">and data was analyzed using </w:t>
      </w:r>
      <w:proofErr w:type="spellStart"/>
      <w:r>
        <w:rPr>
          <w:rFonts w:ascii="Times New Roman" w:eastAsia="Arial Unicode MS" w:hAnsi="Times New Roman" w:cs="Times New Roman"/>
          <w:sz w:val="24"/>
          <w:szCs w:val="24"/>
        </w:rPr>
        <w:t>MutiQuant</w:t>
      </w:r>
      <w:proofErr w:type="spellEnd"/>
      <w:r>
        <w:rPr>
          <w:rFonts w:ascii="Times New Roman" w:eastAsia="Arial Unicode MS" w:hAnsi="Times New Roman" w:cs="Times New Roman"/>
          <w:sz w:val="24"/>
          <w:szCs w:val="24"/>
        </w:rPr>
        <w:t xml:space="preserve"> 2.1 software, both </w:t>
      </w:r>
      <w:r w:rsidRPr="00DD146D">
        <w:rPr>
          <w:rFonts w:ascii="Times New Roman" w:eastAsia="Arial Unicode MS" w:hAnsi="Times New Roman" w:cs="Times New Roman"/>
          <w:sz w:val="24"/>
          <w:szCs w:val="24"/>
        </w:rPr>
        <w:t xml:space="preserve">distributed by </w:t>
      </w:r>
      <w:proofErr w:type="spellStart"/>
      <w:r w:rsidRPr="00DD146D">
        <w:rPr>
          <w:rFonts w:ascii="Times New Roman" w:eastAsia="Arial Unicode MS" w:hAnsi="Times New Roman" w:cs="Times New Roman"/>
          <w:sz w:val="24"/>
          <w:szCs w:val="24"/>
        </w:rPr>
        <w:t>Sciex</w:t>
      </w:r>
      <w:proofErr w:type="spellEnd"/>
      <w:r w:rsidRPr="00DD146D">
        <w:rPr>
          <w:rFonts w:ascii="Times New Roman" w:eastAsia="Arial Unicode MS" w:hAnsi="Times New Roman" w:cs="Times New Roman"/>
          <w:sz w:val="24"/>
          <w:szCs w:val="24"/>
        </w:rPr>
        <w:t>. Quantitative calibration (0–</w:t>
      </w:r>
      <w:r>
        <w:rPr>
          <w:rFonts w:ascii="Times New Roman" w:eastAsia="Arial Unicode MS" w:hAnsi="Times New Roman" w:cs="Times New Roman"/>
          <w:sz w:val="24"/>
          <w:szCs w:val="24"/>
        </w:rPr>
        <w:t>4</w:t>
      </w:r>
      <w:r w:rsidRPr="00DD146D">
        <w:rPr>
          <w:rFonts w:ascii="Times New Roman" w:eastAsia="Arial Unicode MS" w:hAnsi="Times New Roman" w:cs="Times New Roman"/>
          <w:sz w:val="24"/>
          <w:szCs w:val="24"/>
        </w:rPr>
        <w:t>00 ng/mL) of CBD was performed before every batch of samples using peak-area ratios (compound versus internal standard). The calibration curve (</w:t>
      </w:r>
      <w:r w:rsidRPr="00DD146D">
        <w:rPr>
          <w:rFonts w:ascii="Times New Roman" w:eastAsia="Arial Unicode MS" w:hAnsi="Times New Roman" w:cs="Times New Roman"/>
          <w:i/>
          <w:iCs/>
          <w:sz w:val="24"/>
          <w:szCs w:val="24"/>
        </w:rPr>
        <w:t>y</w:t>
      </w:r>
      <w:r w:rsidRPr="00DD146D">
        <w:rPr>
          <w:rFonts w:ascii="Times New Roman" w:eastAsia="Arial Unicode MS" w:hAnsi="Times New Roman" w:cs="Times New Roman"/>
          <w:sz w:val="24"/>
          <w:szCs w:val="24"/>
        </w:rPr>
        <w:t> = </w:t>
      </w:r>
      <w:r w:rsidRPr="00DD146D">
        <w:rPr>
          <w:rFonts w:ascii="Times New Roman" w:eastAsia="Arial Unicode MS" w:hAnsi="Times New Roman" w:cs="Times New Roman"/>
          <w:i/>
          <w:iCs/>
          <w:sz w:val="24"/>
          <w:szCs w:val="24"/>
        </w:rPr>
        <w:t>a</w:t>
      </w:r>
      <w:r w:rsidRPr="00DD146D">
        <w:rPr>
          <w:rFonts w:ascii="Times New Roman" w:eastAsia="Arial Unicode MS" w:hAnsi="Times New Roman" w:cs="Times New Roman"/>
          <w:sz w:val="24"/>
          <w:szCs w:val="24"/>
        </w:rPr>
        <w:t> + </w:t>
      </w:r>
      <w:r w:rsidRPr="00DD146D">
        <w:rPr>
          <w:rFonts w:ascii="Times New Roman" w:eastAsia="Arial Unicode MS" w:hAnsi="Times New Roman" w:cs="Times New Roman"/>
          <w:i/>
          <w:iCs/>
          <w:sz w:val="24"/>
          <w:szCs w:val="24"/>
        </w:rPr>
        <w:t>bx</w:t>
      </w:r>
      <w:r w:rsidRPr="00DD146D">
        <w:rPr>
          <w:rFonts w:ascii="Times New Roman" w:eastAsia="Arial Unicode MS" w:hAnsi="Times New Roman" w:cs="Times New Roman"/>
          <w:sz w:val="24"/>
          <w:szCs w:val="24"/>
        </w:rPr>
        <w:t>) was obtained by weighted (1/y) linear least-squares regression of the measured peak-area ratio (</w:t>
      </w:r>
      <w:r w:rsidRPr="00DD146D">
        <w:rPr>
          <w:rFonts w:ascii="Times New Roman" w:eastAsia="Arial Unicode MS" w:hAnsi="Times New Roman" w:cs="Times New Roman"/>
          <w:i/>
          <w:iCs/>
          <w:sz w:val="24"/>
          <w:szCs w:val="24"/>
        </w:rPr>
        <w:t>y</w:t>
      </w:r>
      <w:r w:rsidRPr="00DD146D">
        <w:rPr>
          <w:rFonts w:ascii="Times New Roman" w:eastAsia="Arial Unicode MS" w:hAnsi="Times New Roman" w:cs="Times New Roman"/>
          <w:sz w:val="24"/>
          <w:szCs w:val="24"/>
        </w:rPr>
        <w:t xml:space="preserve">) </w:t>
      </w:r>
      <w:r w:rsidRPr="00DD146D">
        <w:rPr>
          <w:rFonts w:ascii="Times New Roman" w:eastAsia="Arial Unicode MS" w:hAnsi="Times New Roman" w:cs="Times New Roman"/>
          <w:sz w:val="24"/>
          <w:szCs w:val="24"/>
        </w:rPr>
        <w:lastRenderedPageBreak/>
        <w:t>versus the concentration added to the plasma (</w:t>
      </w:r>
      <w:r w:rsidRPr="00DD146D">
        <w:rPr>
          <w:rFonts w:ascii="Times New Roman" w:eastAsia="Arial Unicode MS" w:hAnsi="Times New Roman" w:cs="Times New Roman"/>
          <w:i/>
          <w:iCs/>
          <w:sz w:val="24"/>
          <w:szCs w:val="24"/>
        </w:rPr>
        <w:t>x</w:t>
      </w:r>
      <w:r w:rsidRPr="00DD146D">
        <w:rPr>
          <w:rFonts w:ascii="Times New Roman" w:eastAsia="Arial Unicode MS" w:hAnsi="Times New Roman" w:cs="Times New Roman"/>
          <w:sz w:val="24"/>
          <w:szCs w:val="24"/>
        </w:rPr>
        <w:t>).</w:t>
      </w:r>
      <w:r w:rsidRPr="00360C0C">
        <w:rPr>
          <w:rFonts w:ascii="Times New Roman" w:eastAsia="Arial Unicode MS" w:hAnsi="Times New Roman" w:cs="Times New Roman"/>
          <w:sz w:val="24"/>
          <w:szCs w:val="24"/>
        </w:rPr>
        <w:t xml:space="preserve"> </w:t>
      </w:r>
      <w:r w:rsidRPr="000E3062">
        <w:rPr>
          <w:rFonts w:ascii="Times New Roman" w:eastAsia="Arial Unicode MS" w:hAnsi="Times New Roman" w:cs="Times New Roman"/>
          <w:sz w:val="24"/>
          <w:szCs w:val="24"/>
        </w:rPr>
        <w:t>The limit of quantification (LOQ)</w:t>
      </w:r>
      <w:r>
        <w:rPr>
          <w:rFonts w:ascii="Times New Roman" w:eastAsia="Arial Unicode MS" w:hAnsi="Times New Roman" w:cs="Times New Roman"/>
          <w:sz w:val="24"/>
          <w:szCs w:val="24"/>
        </w:rPr>
        <w:t xml:space="preserve"> </w:t>
      </w:r>
      <w:r w:rsidRPr="000E3062">
        <w:rPr>
          <w:rFonts w:ascii="Times New Roman" w:eastAsia="Arial Unicode MS" w:hAnsi="Times New Roman" w:cs="Times New Roman"/>
          <w:sz w:val="24"/>
          <w:szCs w:val="24"/>
        </w:rPr>
        <w:t>was 0.</w:t>
      </w:r>
      <w:r>
        <w:rPr>
          <w:rFonts w:ascii="Times New Roman" w:eastAsia="Arial Unicode MS" w:hAnsi="Times New Roman" w:cs="Times New Roman"/>
          <w:sz w:val="24"/>
          <w:szCs w:val="24"/>
        </w:rPr>
        <w:t>5</w:t>
      </w:r>
      <w:r w:rsidRPr="000E3062">
        <w:rPr>
          <w:rFonts w:ascii="Times New Roman" w:eastAsia="Arial Unicode MS" w:hAnsi="Times New Roman" w:cs="Times New Roman"/>
          <w:sz w:val="24"/>
          <w:szCs w:val="24"/>
        </w:rPr>
        <w:t xml:space="preserve"> ng/mL for</w:t>
      </w:r>
      <w:r>
        <w:rPr>
          <w:rFonts w:ascii="Times New Roman" w:eastAsia="Arial Unicode MS" w:hAnsi="Times New Roman" w:cs="Times New Roman"/>
          <w:sz w:val="24"/>
          <w:szCs w:val="24"/>
        </w:rPr>
        <w:t xml:space="preserve"> CBD.</w:t>
      </w:r>
    </w:p>
    <w:p w14:paraId="01723040" w14:textId="77777777" w:rsidR="003606FD" w:rsidRDefault="003606FD" w:rsidP="00A23F90">
      <w:pPr>
        <w:bidi w:val="0"/>
        <w:spacing w:after="0" w:line="480" w:lineRule="auto"/>
        <w:ind w:right="76"/>
        <w:rPr>
          <w:rFonts w:ascii="Times New Roman" w:eastAsia="Arial Unicode MS" w:hAnsi="Times New Roman" w:cs="Times New Roman"/>
          <w:sz w:val="24"/>
          <w:szCs w:val="24"/>
        </w:rPr>
      </w:pPr>
    </w:p>
    <w:p w14:paraId="54CA362A" w14:textId="56FB1BC7" w:rsidR="000C73D1" w:rsidRDefault="000C73D1" w:rsidP="00A23F90">
      <w:pPr>
        <w:autoSpaceDE w:val="0"/>
        <w:autoSpaceDN w:val="0"/>
        <w:bidi w:val="0"/>
        <w:adjustRightInd w:val="0"/>
        <w:spacing w:after="0" w:line="480" w:lineRule="auto"/>
        <w:ind w:firstLine="360"/>
        <w:rPr>
          <w:rFonts w:asciiTheme="majorBidi" w:eastAsia="Calibri" w:hAnsiTheme="majorBidi" w:cstheme="majorBidi"/>
          <w:sz w:val="24"/>
          <w:szCs w:val="24"/>
        </w:rPr>
      </w:pPr>
      <w:bookmarkStart w:id="1" w:name="_Toc440535688"/>
      <w:bookmarkStart w:id="2" w:name="_Toc440534219"/>
      <w:r>
        <w:rPr>
          <w:rFonts w:asciiTheme="majorBidi" w:eastAsia="Arial Unicode MS" w:hAnsiTheme="majorBidi" w:cstheme="majorBidi"/>
          <w:b/>
          <w:bCs/>
          <w:sz w:val="24"/>
          <w:szCs w:val="24"/>
        </w:rPr>
        <w:t>Table 2</w:t>
      </w:r>
      <w:r w:rsidR="00062D6B">
        <w:rPr>
          <w:rFonts w:asciiTheme="majorBidi" w:eastAsia="Arial Unicode MS" w:hAnsiTheme="majorBidi" w:cstheme="majorBidi"/>
          <w:b/>
          <w:bCs/>
          <w:sz w:val="24"/>
          <w:szCs w:val="24"/>
        </w:rPr>
        <w:t>S</w:t>
      </w:r>
      <w:r>
        <w:rPr>
          <w:rFonts w:asciiTheme="majorBidi" w:eastAsia="Arial Unicode MS" w:hAnsiTheme="majorBidi" w:cstheme="majorBidi"/>
          <w:sz w:val="24"/>
          <w:szCs w:val="24"/>
        </w:rPr>
        <w:t>: Multiple reaction monitoring (MRM) transitions and parameters for CBD</w:t>
      </w:r>
      <w:r>
        <w:rPr>
          <w:rFonts w:asciiTheme="majorBidi" w:eastAsia="Arial Unicode MS" w:hAnsiTheme="majorBidi" w:cstheme="majorBidi"/>
          <w:sz w:val="24"/>
          <w:szCs w:val="24"/>
          <w:rtl/>
        </w:rPr>
        <w:t xml:space="preserve"> </w:t>
      </w:r>
      <w:r>
        <w:rPr>
          <w:rFonts w:asciiTheme="majorBidi" w:eastAsia="Arial Unicode MS" w:hAnsiTheme="majorBidi" w:cstheme="majorBidi"/>
          <w:sz w:val="24"/>
          <w:szCs w:val="24"/>
        </w:rPr>
        <w:t>and CBG (IS) in positive ion mode.</w:t>
      </w:r>
      <w:bookmarkEnd w:id="1"/>
      <w:bookmarkEnd w:id="2"/>
      <w:r>
        <w:rPr>
          <w:rFonts w:asciiTheme="majorBidi" w:eastAsia="Calibri" w:hAnsiTheme="majorBidi" w:cstheme="majorBidi"/>
          <w:sz w:val="24"/>
          <w:szCs w:val="24"/>
        </w:rPr>
        <w:t xml:space="preserve"> m/z: mass to charge ratio; DP: </w:t>
      </w:r>
      <w:proofErr w:type="spellStart"/>
      <w:r>
        <w:rPr>
          <w:rFonts w:asciiTheme="majorBidi" w:eastAsia="Calibri" w:hAnsiTheme="majorBidi" w:cstheme="majorBidi"/>
          <w:sz w:val="24"/>
          <w:szCs w:val="24"/>
        </w:rPr>
        <w:t>declustering</w:t>
      </w:r>
      <w:proofErr w:type="spellEnd"/>
      <w:r>
        <w:rPr>
          <w:rFonts w:asciiTheme="majorBidi" w:eastAsia="Calibri" w:hAnsiTheme="majorBidi" w:cstheme="majorBidi"/>
          <w:sz w:val="24"/>
          <w:szCs w:val="24"/>
        </w:rPr>
        <w:t xml:space="preserve"> potential; CE: collision energy; CXP: collision cell exit potential; V: volts; eV: </w:t>
      </w:r>
      <w:proofErr w:type="spellStart"/>
      <w:r>
        <w:rPr>
          <w:rFonts w:asciiTheme="majorBidi" w:eastAsia="Calibri" w:hAnsiTheme="majorBidi" w:cstheme="majorBidi"/>
          <w:sz w:val="24"/>
          <w:szCs w:val="24"/>
        </w:rPr>
        <w:t>electronvolts</w:t>
      </w:r>
      <w:proofErr w:type="spellEnd"/>
      <w:r>
        <w:rPr>
          <w:rFonts w:asciiTheme="majorBidi" w:eastAsia="Calibri" w:hAnsiTheme="majorBidi" w:cstheme="majorBidi"/>
          <w:sz w:val="24"/>
          <w:szCs w:val="24"/>
        </w:rPr>
        <w:t>; Rt: retention time.</w:t>
      </w:r>
    </w:p>
    <w:p w14:paraId="6C8CD3A7" w14:textId="77777777" w:rsidR="000C73D1" w:rsidRDefault="000C73D1" w:rsidP="00A23F90">
      <w:pPr>
        <w:autoSpaceDE w:val="0"/>
        <w:autoSpaceDN w:val="0"/>
        <w:bidi w:val="0"/>
        <w:adjustRightInd w:val="0"/>
        <w:spacing w:after="0" w:line="480" w:lineRule="auto"/>
        <w:ind w:firstLine="360"/>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 </w:t>
      </w:r>
    </w:p>
    <w:tbl>
      <w:tblPr>
        <w:tblStyle w:val="PlainTable2"/>
        <w:tblW w:w="9356" w:type="dxa"/>
        <w:tblInd w:w="0" w:type="dxa"/>
        <w:tblLook w:val="04A0" w:firstRow="1" w:lastRow="0" w:firstColumn="1" w:lastColumn="0" w:noHBand="0" w:noVBand="1"/>
      </w:tblPr>
      <w:tblGrid>
        <w:gridCol w:w="1100"/>
        <w:gridCol w:w="1352"/>
        <w:gridCol w:w="1381"/>
        <w:gridCol w:w="804"/>
        <w:gridCol w:w="1240"/>
        <w:gridCol w:w="77"/>
        <w:gridCol w:w="850"/>
        <w:gridCol w:w="142"/>
        <w:gridCol w:w="1149"/>
        <w:gridCol w:w="127"/>
        <w:gridCol w:w="1134"/>
      </w:tblGrid>
      <w:tr w:rsidR="000C73D1" w14:paraId="43676207" w14:textId="77777777" w:rsidTr="004972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Borders>
              <w:top w:val="single" w:sz="4" w:space="0" w:color="7F7F7F" w:themeColor="text1" w:themeTint="80"/>
              <w:left w:val="nil"/>
              <w:right w:val="nil"/>
            </w:tcBorders>
            <w:hideMark/>
          </w:tcPr>
          <w:p w14:paraId="71A0AB2C" w14:textId="77777777" w:rsidR="000C73D1" w:rsidRDefault="000C73D1" w:rsidP="00A23F90">
            <w:pPr>
              <w:autoSpaceDE w:val="0"/>
              <w:autoSpaceDN w:val="0"/>
              <w:bidi w:val="0"/>
              <w:adjustRightInd w:val="0"/>
              <w:spacing w:line="480" w:lineRule="auto"/>
              <w:ind w:firstLine="175"/>
              <w:rPr>
                <w:rFonts w:asciiTheme="majorBidi" w:eastAsia="Arial Unicode MS" w:hAnsiTheme="majorBidi" w:cstheme="majorBidi"/>
                <w:sz w:val="24"/>
                <w:szCs w:val="24"/>
              </w:rPr>
            </w:pPr>
            <w:bookmarkStart w:id="3" w:name="_Toc440534179"/>
            <w:bookmarkStart w:id="4" w:name="_Toc440535648"/>
            <w:r>
              <w:rPr>
                <w:rFonts w:asciiTheme="majorBidi" w:eastAsia="Arial Unicode MS" w:hAnsiTheme="majorBidi" w:cstheme="majorBidi"/>
                <w:sz w:val="24"/>
                <w:szCs w:val="24"/>
              </w:rPr>
              <w:t>Name</w:t>
            </w:r>
            <w:bookmarkEnd w:id="3"/>
            <w:bookmarkEnd w:id="4"/>
          </w:p>
        </w:tc>
        <w:tc>
          <w:tcPr>
            <w:tcW w:w="1352" w:type="dxa"/>
            <w:tcBorders>
              <w:top w:val="single" w:sz="4" w:space="0" w:color="7F7F7F" w:themeColor="text1" w:themeTint="80"/>
              <w:left w:val="nil"/>
              <w:right w:val="nil"/>
            </w:tcBorders>
            <w:hideMark/>
          </w:tcPr>
          <w:p w14:paraId="3BD39A6A" w14:textId="77777777" w:rsidR="000C73D1" w:rsidRDefault="000C73D1" w:rsidP="00A23F90">
            <w:pPr>
              <w:autoSpaceDE w:val="0"/>
              <w:autoSpaceDN w:val="0"/>
              <w:bidi w:val="0"/>
              <w:adjustRightInd w:val="0"/>
              <w:spacing w:line="480" w:lineRule="auto"/>
              <w:ind w:left="61" w:firstLine="10"/>
              <w:cnfStyle w:val="100000000000" w:firstRow="1"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bookmarkStart w:id="5" w:name="_Toc440534180"/>
            <w:bookmarkStart w:id="6" w:name="_Toc440535649"/>
            <w:r>
              <w:rPr>
                <w:rFonts w:asciiTheme="majorBidi" w:eastAsia="Arial Unicode MS" w:hAnsiTheme="majorBidi" w:cstheme="majorBidi"/>
                <w:sz w:val="24"/>
                <w:szCs w:val="24"/>
              </w:rPr>
              <w:t>Precursor (</w:t>
            </w:r>
            <w:r>
              <w:rPr>
                <w:rFonts w:asciiTheme="majorBidi" w:eastAsia="Arial Unicode MS" w:hAnsiTheme="majorBidi" w:cstheme="majorBidi"/>
                <w:i/>
                <w:iCs/>
                <w:sz w:val="24"/>
                <w:szCs w:val="24"/>
              </w:rPr>
              <w:t>m</w:t>
            </w:r>
            <w:r>
              <w:rPr>
                <w:rFonts w:asciiTheme="majorBidi" w:eastAsia="Arial Unicode MS" w:hAnsiTheme="majorBidi" w:cstheme="majorBidi"/>
                <w:sz w:val="24"/>
                <w:szCs w:val="24"/>
              </w:rPr>
              <w:t>/</w:t>
            </w:r>
            <w:r>
              <w:rPr>
                <w:rFonts w:asciiTheme="majorBidi" w:eastAsia="Arial Unicode MS" w:hAnsiTheme="majorBidi" w:cstheme="majorBidi"/>
                <w:i/>
                <w:iCs/>
                <w:sz w:val="24"/>
                <w:szCs w:val="24"/>
              </w:rPr>
              <w:t>z</w:t>
            </w:r>
            <w:r>
              <w:rPr>
                <w:rFonts w:asciiTheme="majorBidi" w:eastAsia="Arial Unicode MS" w:hAnsiTheme="majorBidi" w:cstheme="majorBidi"/>
                <w:sz w:val="24"/>
                <w:szCs w:val="24"/>
              </w:rPr>
              <w:t>)</w:t>
            </w:r>
            <w:bookmarkEnd w:id="5"/>
            <w:bookmarkEnd w:id="6"/>
          </w:p>
        </w:tc>
        <w:tc>
          <w:tcPr>
            <w:tcW w:w="2185" w:type="dxa"/>
            <w:gridSpan w:val="2"/>
            <w:tcBorders>
              <w:top w:val="single" w:sz="4" w:space="0" w:color="7F7F7F" w:themeColor="text1" w:themeTint="80"/>
              <w:left w:val="nil"/>
              <w:right w:val="nil"/>
            </w:tcBorders>
            <w:hideMark/>
          </w:tcPr>
          <w:p w14:paraId="3FD7AFD9" w14:textId="77777777" w:rsidR="000C73D1" w:rsidRDefault="000C73D1" w:rsidP="00A23F90">
            <w:pPr>
              <w:autoSpaceDE w:val="0"/>
              <w:autoSpaceDN w:val="0"/>
              <w:bidi w:val="0"/>
              <w:adjustRightInd w:val="0"/>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bookmarkStart w:id="7" w:name="_Toc440534181"/>
            <w:bookmarkStart w:id="8" w:name="_Toc440535650"/>
            <w:r>
              <w:rPr>
                <w:rFonts w:asciiTheme="majorBidi" w:eastAsia="Arial Unicode MS" w:hAnsiTheme="majorBidi" w:cstheme="majorBidi"/>
                <w:sz w:val="24"/>
                <w:szCs w:val="24"/>
              </w:rPr>
              <w:t xml:space="preserve">Product </w:t>
            </w:r>
          </w:p>
          <w:p w14:paraId="5081DB6B" w14:textId="77777777" w:rsidR="000C73D1" w:rsidRDefault="000C73D1" w:rsidP="00A23F90">
            <w:pPr>
              <w:autoSpaceDE w:val="0"/>
              <w:autoSpaceDN w:val="0"/>
              <w:bidi w:val="0"/>
              <w:adjustRightInd w:val="0"/>
              <w:spacing w:line="480" w:lineRule="auto"/>
              <w:ind w:left="-176" w:firstLine="90"/>
              <w:cnfStyle w:val="100000000000" w:firstRow="1"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 (</w:t>
            </w:r>
            <w:r>
              <w:rPr>
                <w:rFonts w:asciiTheme="majorBidi" w:eastAsia="Arial Unicode MS" w:hAnsiTheme="majorBidi" w:cstheme="majorBidi"/>
                <w:i/>
                <w:iCs/>
                <w:sz w:val="24"/>
                <w:szCs w:val="24"/>
              </w:rPr>
              <w:t>m</w:t>
            </w:r>
            <w:r>
              <w:rPr>
                <w:rFonts w:asciiTheme="majorBidi" w:eastAsia="Arial Unicode MS" w:hAnsiTheme="majorBidi" w:cstheme="majorBidi"/>
                <w:sz w:val="24"/>
                <w:szCs w:val="24"/>
              </w:rPr>
              <w:t>/</w:t>
            </w:r>
            <w:r>
              <w:rPr>
                <w:rFonts w:asciiTheme="majorBidi" w:eastAsia="Arial Unicode MS" w:hAnsiTheme="majorBidi" w:cstheme="majorBidi"/>
                <w:i/>
                <w:iCs/>
                <w:sz w:val="24"/>
                <w:szCs w:val="24"/>
              </w:rPr>
              <w:t>z</w:t>
            </w:r>
            <w:r>
              <w:rPr>
                <w:rFonts w:asciiTheme="majorBidi" w:eastAsia="Arial Unicode MS" w:hAnsiTheme="majorBidi" w:cstheme="majorBidi"/>
                <w:sz w:val="24"/>
                <w:szCs w:val="24"/>
              </w:rPr>
              <w:t>)</w:t>
            </w:r>
            <w:bookmarkEnd w:id="7"/>
            <w:bookmarkEnd w:id="8"/>
          </w:p>
        </w:tc>
        <w:tc>
          <w:tcPr>
            <w:tcW w:w="1240" w:type="dxa"/>
            <w:tcBorders>
              <w:top w:val="single" w:sz="4" w:space="0" w:color="7F7F7F" w:themeColor="text1" w:themeTint="80"/>
              <w:left w:val="nil"/>
              <w:right w:val="nil"/>
            </w:tcBorders>
            <w:hideMark/>
          </w:tcPr>
          <w:p w14:paraId="20CB6B91" w14:textId="77777777" w:rsidR="000C73D1" w:rsidRDefault="000C73D1" w:rsidP="00A23F90">
            <w:pPr>
              <w:autoSpaceDE w:val="0"/>
              <w:autoSpaceDN w:val="0"/>
              <w:bidi w:val="0"/>
              <w:adjustRightInd w:val="0"/>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bookmarkStart w:id="9" w:name="_Toc440534182"/>
            <w:bookmarkStart w:id="10" w:name="_Toc440535651"/>
            <w:r>
              <w:rPr>
                <w:rFonts w:asciiTheme="majorBidi" w:eastAsia="Arial Unicode MS" w:hAnsiTheme="majorBidi" w:cstheme="majorBidi"/>
                <w:sz w:val="24"/>
                <w:szCs w:val="24"/>
              </w:rPr>
              <w:t>DP (V)</w:t>
            </w:r>
            <w:bookmarkEnd w:id="9"/>
            <w:bookmarkEnd w:id="10"/>
          </w:p>
        </w:tc>
        <w:tc>
          <w:tcPr>
            <w:tcW w:w="1069" w:type="dxa"/>
            <w:gridSpan w:val="3"/>
            <w:tcBorders>
              <w:top w:val="single" w:sz="4" w:space="0" w:color="7F7F7F" w:themeColor="text1" w:themeTint="80"/>
              <w:left w:val="nil"/>
              <w:right w:val="nil"/>
            </w:tcBorders>
            <w:hideMark/>
          </w:tcPr>
          <w:p w14:paraId="36EA6F65" w14:textId="77777777" w:rsidR="000C73D1" w:rsidRDefault="000C73D1" w:rsidP="00A23F90">
            <w:pPr>
              <w:autoSpaceDE w:val="0"/>
              <w:autoSpaceDN w:val="0"/>
              <w:bidi w:val="0"/>
              <w:adjustRightInd w:val="0"/>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bookmarkStart w:id="11" w:name="_Toc440534183"/>
            <w:bookmarkStart w:id="12" w:name="_Toc440535652"/>
            <w:r>
              <w:rPr>
                <w:rFonts w:asciiTheme="majorBidi" w:eastAsia="Arial Unicode MS" w:hAnsiTheme="majorBidi" w:cstheme="majorBidi"/>
                <w:sz w:val="24"/>
                <w:szCs w:val="24"/>
              </w:rPr>
              <w:t>CE (eV)</w:t>
            </w:r>
            <w:bookmarkEnd w:id="11"/>
            <w:bookmarkEnd w:id="12"/>
          </w:p>
        </w:tc>
        <w:tc>
          <w:tcPr>
            <w:tcW w:w="1149" w:type="dxa"/>
            <w:tcBorders>
              <w:top w:val="single" w:sz="4" w:space="0" w:color="7F7F7F" w:themeColor="text1" w:themeTint="80"/>
              <w:left w:val="nil"/>
              <w:right w:val="nil"/>
            </w:tcBorders>
            <w:hideMark/>
          </w:tcPr>
          <w:p w14:paraId="5AC047BD" w14:textId="77777777" w:rsidR="000C73D1" w:rsidRDefault="000C73D1" w:rsidP="00A23F90">
            <w:pPr>
              <w:tabs>
                <w:tab w:val="left" w:pos="194"/>
              </w:tabs>
              <w:autoSpaceDE w:val="0"/>
              <w:autoSpaceDN w:val="0"/>
              <w:bidi w:val="0"/>
              <w:adjustRightInd w:val="0"/>
              <w:spacing w:line="480" w:lineRule="auto"/>
              <w:ind w:left="-7" w:hanging="79"/>
              <w:cnfStyle w:val="100000000000" w:firstRow="1"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bookmarkStart w:id="13" w:name="_Toc440534184"/>
            <w:bookmarkStart w:id="14" w:name="_Toc440535653"/>
            <w:r>
              <w:rPr>
                <w:rFonts w:asciiTheme="majorBidi" w:eastAsia="Arial Unicode MS" w:hAnsiTheme="majorBidi" w:cstheme="majorBidi"/>
                <w:sz w:val="24"/>
                <w:szCs w:val="24"/>
              </w:rPr>
              <w:t xml:space="preserve">  CXP (V)</w:t>
            </w:r>
            <w:bookmarkEnd w:id="13"/>
            <w:bookmarkEnd w:id="14"/>
          </w:p>
        </w:tc>
        <w:tc>
          <w:tcPr>
            <w:tcW w:w="1261" w:type="dxa"/>
            <w:gridSpan w:val="2"/>
            <w:tcBorders>
              <w:top w:val="single" w:sz="4" w:space="0" w:color="7F7F7F" w:themeColor="text1" w:themeTint="80"/>
              <w:left w:val="nil"/>
              <w:right w:val="nil"/>
            </w:tcBorders>
            <w:hideMark/>
          </w:tcPr>
          <w:p w14:paraId="1D8CF388" w14:textId="77777777" w:rsidR="000C73D1" w:rsidRDefault="000C73D1" w:rsidP="00A23F90">
            <w:pPr>
              <w:autoSpaceDE w:val="0"/>
              <w:autoSpaceDN w:val="0"/>
              <w:bidi w:val="0"/>
              <w:adjustRightInd w:val="0"/>
              <w:spacing w:line="480" w:lineRule="auto"/>
              <w:ind w:firstLine="81"/>
              <w:cnfStyle w:val="100000000000" w:firstRow="1"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bookmarkStart w:id="15" w:name="_Toc440534185"/>
            <w:bookmarkStart w:id="16" w:name="_Toc440535654"/>
            <w:r>
              <w:rPr>
                <w:rFonts w:asciiTheme="majorBidi" w:eastAsia="Arial Unicode MS" w:hAnsiTheme="majorBidi" w:cstheme="majorBidi"/>
                <w:sz w:val="24"/>
                <w:szCs w:val="24"/>
              </w:rPr>
              <w:t>Rt (min)</w:t>
            </w:r>
            <w:bookmarkEnd w:id="15"/>
            <w:bookmarkEnd w:id="16"/>
          </w:p>
        </w:tc>
      </w:tr>
      <w:tr w:rsidR="000C73D1" w14:paraId="1F22F172" w14:textId="77777777" w:rsidTr="00497295">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100" w:type="dxa"/>
            <w:vMerge w:val="restart"/>
            <w:tcBorders>
              <w:left w:val="nil"/>
              <w:bottom w:val="nil"/>
              <w:right w:val="nil"/>
            </w:tcBorders>
            <w:hideMark/>
          </w:tcPr>
          <w:p w14:paraId="7028742B" w14:textId="77777777" w:rsidR="000C73D1" w:rsidRDefault="000C73D1" w:rsidP="00A23F90">
            <w:pPr>
              <w:autoSpaceDE w:val="0"/>
              <w:autoSpaceDN w:val="0"/>
              <w:bidi w:val="0"/>
              <w:adjustRightInd w:val="0"/>
              <w:spacing w:line="480" w:lineRule="auto"/>
              <w:ind w:firstLine="175"/>
              <w:rPr>
                <w:rFonts w:asciiTheme="majorBidi" w:eastAsia="Arial Unicode MS" w:hAnsiTheme="majorBidi" w:cstheme="majorBidi"/>
                <w:sz w:val="24"/>
                <w:szCs w:val="24"/>
              </w:rPr>
            </w:pPr>
            <w:bookmarkStart w:id="17" w:name="_Toc440534186"/>
            <w:bookmarkStart w:id="18" w:name="_Toc440535655"/>
            <w:bookmarkStart w:id="19" w:name="_Hlk424208466"/>
            <w:r>
              <w:rPr>
                <w:rFonts w:asciiTheme="majorBidi" w:eastAsia="Arial Unicode MS" w:hAnsiTheme="majorBidi" w:cstheme="majorBidi"/>
                <w:sz w:val="24"/>
                <w:szCs w:val="24"/>
              </w:rPr>
              <w:t>CBD</w:t>
            </w:r>
            <w:bookmarkEnd w:id="17"/>
            <w:bookmarkEnd w:id="18"/>
          </w:p>
        </w:tc>
        <w:tc>
          <w:tcPr>
            <w:tcW w:w="1352" w:type="dxa"/>
            <w:vMerge w:val="restart"/>
            <w:tcBorders>
              <w:left w:val="nil"/>
              <w:bottom w:val="nil"/>
              <w:right w:val="nil"/>
            </w:tcBorders>
            <w:hideMark/>
          </w:tcPr>
          <w:p w14:paraId="5AFD765A" w14:textId="77777777" w:rsidR="000C73D1" w:rsidRDefault="000C73D1" w:rsidP="00A23F90">
            <w:pPr>
              <w:autoSpaceDE w:val="0"/>
              <w:autoSpaceDN w:val="0"/>
              <w:bidi w:val="0"/>
              <w:adjustRightInd w:val="0"/>
              <w:spacing w:line="480" w:lineRule="auto"/>
              <w:ind w:firstLine="360"/>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bookmarkStart w:id="20" w:name="_Toc440534187"/>
            <w:bookmarkStart w:id="21" w:name="_Toc440535656"/>
            <w:r>
              <w:rPr>
                <w:rFonts w:asciiTheme="majorBidi" w:eastAsia="Arial Unicode MS" w:hAnsiTheme="majorBidi" w:cstheme="majorBidi"/>
                <w:sz w:val="24"/>
                <w:szCs w:val="24"/>
              </w:rPr>
              <w:t>315.1</w:t>
            </w:r>
            <w:bookmarkEnd w:id="20"/>
            <w:bookmarkEnd w:id="21"/>
          </w:p>
        </w:tc>
        <w:tc>
          <w:tcPr>
            <w:tcW w:w="1381" w:type="dxa"/>
            <w:tcBorders>
              <w:left w:val="nil"/>
              <w:right w:val="nil"/>
            </w:tcBorders>
            <w:hideMark/>
          </w:tcPr>
          <w:p w14:paraId="48B247B7" w14:textId="77777777" w:rsidR="000C73D1" w:rsidRDefault="000C73D1" w:rsidP="00A23F90">
            <w:pPr>
              <w:autoSpaceDE w:val="0"/>
              <w:autoSpaceDN w:val="0"/>
              <w:bidi w:val="0"/>
              <w:adjustRightInd w:val="0"/>
              <w:spacing w:line="480" w:lineRule="auto"/>
              <w:ind w:right="120" w:firstLine="58"/>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Quantifier</w:t>
            </w:r>
          </w:p>
        </w:tc>
        <w:tc>
          <w:tcPr>
            <w:tcW w:w="804" w:type="dxa"/>
            <w:tcBorders>
              <w:left w:val="nil"/>
              <w:right w:val="nil"/>
            </w:tcBorders>
            <w:hideMark/>
          </w:tcPr>
          <w:p w14:paraId="7A761C55" w14:textId="77777777" w:rsidR="000C73D1" w:rsidRDefault="000C73D1" w:rsidP="00A23F90">
            <w:pPr>
              <w:autoSpaceDE w:val="0"/>
              <w:autoSpaceDN w:val="0"/>
              <w:bidi w:val="0"/>
              <w:adjustRightInd w:val="0"/>
              <w:spacing w:line="480" w:lineRule="auto"/>
              <w:ind w:firstLine="20"/>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bookmarkStart w:id="22" w:name="OLE_LINK14"/>
            <w:bookmarkStart w:id="23" w:name="OLE_LINK15"/>
            <w:bookmarkStart w:id="24" w:name="OLE_LINK16"/>
            <w:bookmarkStart w:id="25" w:name="OLE_LINK17"/>
            <w:bookmarkStart w:id="26" w:name="_Toc440534188"/>
            <w:bookmarkStart w:id="27" w:name="_Toc440535657"/>
            <w:bookmarkStart w:id="28" w:name="_Toc440534189"/>
            <w:bookmarkStart w:id="29" w:name="_Toc440535658"/>
            <w:r>
              <w:rPr>
                <w:rFonts w:asciiTheme="majorBidi" w:eastAsia="Arial Unicode MS" w:hAnsiTheme="majorBidi" w:cstheme="majorBidi"/>
                <w:sz w:val="24"/>
                <w:szCs w:val="24"/>
              </w:rPr>
              <w:t>193.0</w:t>
            </w:r>
            <w:bookmarkEnd w:id="22"/>
            <w:bookmarkEnd w:id="23"/>
            <w:bookmarkEnd w:id="24"/>
            <w:bookmarkEnd w:id="25"/>
            <w:bookmarkEnd w:id="26"/>
            <w:bookmarkEnd w:id="27"/>
            <w:bookmarkEnd w:id="28"/>
            <w:bookmarkEnd w:id="29"/>
          </w:p>
        </w:tc>
        <w:tc>
          <w:tcPr>
            <w:tcW w:w="1317" w:type="dxa"/>
            <w:gridSpan w:val="2"/>
            <w:tcBorders>
              <w:left w:val="nil"/>
              <w:right w:val="nil"/>
            </w:tcBorders>
            <w:hideMark/>
          </w:tcPr>
          <w:p w14:paraId="2029D574" w14:textId="77777777" w:rsidR="000C73D1" w:rsidRDefault="000C73D1" w:rsidP="00A23F90">
            <w:pPr>
              <w:autoSpaceDE w:val="0"/>
              <w:autoSpaceDN w:val="0"/>
              <w:bidi w:val="0"/>
              <w:adjustRightInd w:val="0"/>
              <w:spacing w:line="480" w:lineRule="auto"/>
              <w:ind w:firstLine="313"/>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40</w:t>
            </w:r>
          </w:p>
        </w:tc>
        <w:tc>
          <w:tcPr>
            <w:tcW w:w="850" w:type="dxa"/>
            <w:tcBorders>
              <w:left w:val="nil"/>
              <w:right w:val="nil"/>
            </w:tcBorders>
            <w:hideMark/>
          </w:tcPr>
          <w:p w14:paraId="7FEE7E41" w14:textId="77777777" w:rsidR="000C73D1" w:rsidRDefault="000C73D1" w:rsidP="00A23F90">
            <w:pPr>
              <w:autoSpaceDE w:val="0"/>
              <w:autoSpaceDN w:val="0"/>
              <w:bidi w:val="0"/>
              <w:adjustRightInd w:val="0"/>
              <w:spacing w:line="480" w:lineRule="auto"/>
              <w:ind w:firstLine="178"/>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34</w:t>
            </w:r>
          </w:p>
        </w:tc>
        <w:tc>
          <w:tcPr>
            <w:tcW w:w="1418" w:type="dxa"/>
            <w:gridSpan w:val="3"/>
            <w:tcBorders>
              <w:left w:val="nil"/>
              <w:right w:val="nil"/>
            </w:tcBorders>
            <w:hideMark/>
          </w:tcPr>
          <w:p w14:paraId="7B6E8FE0" w14:textId="77777777" w:rsidR="000C73D1" w:rsidRDefault="000C73D1" w:rsidP="00A23F90">
            <w:pPr>
              <w:autoSpaceDE w:val="0"/>
              <w:autoSpaceDN w:val="0"/>
              <w:bidi w:val="0"/>
              <w:adjustRightInd w:val="0"/>
              <w:spacing w:line="480" w:lineRule="auto"/>
              <w:ind w:firstLine="360"/>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20</w:t>
            </w:r>
          </w:p>
        </w:tc>
        <w:tc>
          <w:tcPr>
            <w:tcW w:w="1134" w:type="dxa"/>
            <w:vMerge w:val="restart"/>
            <w:tcBorders>
              <w:left w:val="nil"/>
              <w:bottom w:val="nil"/>
              <w:right w:val="nil"/>
            </w:tcBorders>
            <w:hideMark/>
          </w:tcPr>
          <w:p w14:paraId="5B9285C6" w14:textId="77777777" w:rsidR="000C73D1" w:rsidRDefault="000C73D1" w:rsidP="00A23F90">
            <w:pPr>
              <w:autoSpaceDE w:val="0"/>
              <w:autoSpaceDN w:val="0"/>
              <w:bidi w:val="0"/>
              <w:adjustRightInd w:val="0"/>
              <w:spacing w:line="480" w:lineRule="auto"/>
              <w:ind w:firstLine="299"/>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7.6</w:t>
            </w:r>
          </w:p>
        </w:tc>
      </w:tr>
      <w:tr w:rsidR="000C73D1" w14:paraId="020814F0" w14:textId="77777777" w:rsidTr="00497295">
        <w:trPr>
          <w:trHeight w:val="3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themeColor="text1" w:themeTint="80"/>
              <w:left w:val="nil"/>
              <w:bottom w:val="nil"/>
              <w:right w:val="nil"/>
            </w:tcBorders>
            <w:vAlign w:val="center"/>
            <w:hideMark/>
          </w:tcPr>
          <w:p w14:paraId="1A956733" w14:textId="77777777" w:rsidR="000C73D1" w:rsidRDefault="000C73D1" w:rsidP="00A23F90">
            <w:pPr>
              <w:bidi w:val="0"/>
              <w:spacing w:line="480" w:lineRule="auto"/>
              <w:ind w:firstLine="175"/>
              <w:rPr>
                <w:rFonts w:asciiTheme="majorBidi" w:eastAsia="Arial Unicode MS" w:hAnsiTheme="majorBidi" w:cstheme="majorBidi"/>
                <w:sz w:val="24"/>
                <w:szCs w:val="24"/>
              </w:rPr>
            </w:pPr>
          </w:p>
        </w:tc>
        <w:tc>
          <w:tcPr>
            <w:tcW w:w="0" w:type="auto"/>
            <w:vMerge/>
            <w:tcBorders>
              <w:top w:val="single" w:sz="4" w:space="0" w:color="7F7F7F" w:themeColor="text1" w:themeTint="80"/>
              <w:left w:val="nil"/>
              <w:bottom w:val="nil"/>
              <w:right w:val="nil"/>
            </w:tcBorders>
            <w:vAlign w:val="center"/>
            <w:hideMark/>
          </w:tcPr>
          <w:p w14:paraId="70A4DF9F" w14:textId="77777777" w:rsidR="000C73D1" w:rsidRDefault="000C73D1" w:rsidP="00A23F90">
            <w:pPr>
              <w:bidi w:val="0"/>
              <w:spacing w:line="480" w:lineRule="auto"/>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p>
        </w:tc>
        <w:tc>
          <w:tcPr>
            <w:tcW w:w="1381" w:type="dxa"/>
            <w:tcBorders>
              <w:top w:val="nil"/>
              <w:left w:val="nil"/>
              <w:bottom w:val="nil"/>
              <w:right w:val="nil"/>
            </w:tcBorders>
            <w:hideMark/>
          </w:tcPr>
          <w:p w14:paraId="0023DDA3" w14:textId="77777777" w:rsidR="000C73D1" w:rsidRDefault="000C73D1" w:rsidP="00A23F90">
            <w:pPr>
              <w:autoSpaceDE w:val="0"/>
              <w:autoSpaceDN w:val="0"/>
              <w:bidi w:val="0"/>
              <w:adjustRightInd w:val="0"/>
              <w:spacing w:line="480" w:lineRule="auto"/>
              <w:ind w:right="120" w:firstLine="58"/>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Qualifier</w:t>
            </w:r>
          </w:p>
        </w:tc>
        <w:tc>
          <w:tcPr>
            <w:tcW w:w="804" w:type="dxa"/>
            <w:tcBorders>
              <w:top w:val="nil"/>
              <w:left w:val="nil"/>
              <w:bottom w:val="nil"/>
              <w:right w:val="nil"/>
            </w:tcBorders>
            <w:hideMark/>
          </w:tcPr>
          <w:p w14:paraId="7AFA67E4" w14:textId="77777777" w:rsidR="000C73D1" w:rsidRDefault="000C73D1" w:rsidP="00A23F90">
            <w:pPr>
              <w:autoSpaceDE w:val="0"/>
              <w:autoSpaceDN w:val="0"/>
              <w:bidi w:val="0"/>
              <w:adjustRightInd w:val="0"/>
              <w:spacing w:line="480" w:lineRule="auto"/>
              <w:ind w:firstLine="20"/>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123.1</w:t>
            </w:r>
          </w:p>
        </w:tc>
        <w:tc>
          <w:tcPr>
            <w:tcW w:w="1317" w:type="dxa"/>
            <w:gridSpan w:val="2"/>
            <w:tcBorders>
              <w:top w:val="nil"/>
              <w:left w:val="nil"/>
              <w:bottom w:val="nil"/>
              <w:right w:val="nil"/>
            </w:tcBorders>
            <w:hideMark/>
          </w:tcPr>
          <w:p w14:paraId="73708013" w14:textId="77777777" w:rsidR="000C73D1" w:rsidRDefault="000C73D1" w:rsidP="00A23F90">
            <w:pPr>
              <w:autoSpaceDE w:val="0"/>
              <w:autoSpaceDN w:val="0"/>
              <w:bidi w:val="0"/>
              <w:adjustRightInd w:val="0"/>
              <w:spacing w:line="480" w:lineRule="auto"/>
              <w:ind w:firstLine="313"/>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40</w:t>
            </w:r>
          </w:p>
        </w:tc>
        <w:tc>
          <w:tcPr>
            <w:tcW w:w="850" w:type="dxa"/>
            <w:tcBorders>
              <w:top w:val="nil"/>
              <w:left w:val="nil"/>
              <w:bottom w:val="nil"/>
              <w:right w:val="nil"/>
            </w:tcBorders>
            <w:hideMark/>
          </w:tcPr>
          <w:p w14:paraId="3DEE56DB" w14:textId="77777777" w:rsidR="000C73D1" w:rsidRDefault="000C73D1" w:rsidP="00A23F90">
            <w:pPr>
              <w:autoSpaceDE w:val="0"/>
              <w:autoSpaceDN w:val="0"/>
              <w:bidi w:val="0"/>
              <w:adjustRightInd w:val="0"/>
              <w:spacing w:line="480" w:lineRule="auto"/>
              <w:ind w:firstLine="178"/>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43</w:t>
            </w:r>
          </w:p>
        </w:tc>
        <w:tc>
          <w:tcPr>
            <w:tcW w:w="1418" w:type="dxa"/>
            <w:gridSpan w:val="3"/>
            <w:tcBorders>
              <w:top w:val="nil"/>
              <w:left w:val="nil"/>
              <w:bottom w:val="nil"/>
              <w:right w:val="nil"/>
            </w:tcBorders>
            <w:hideMark/>
          </w:tcPr>
          <w:p w14:paraId="7B86F66F" w14:textId="77777777" w:rsidR="000C73D1" w:rsidRDefault="000C73D1" w:rsidP="00A23F90">
            <w:pPr>
              <w:autoSpaceDE w:val="0"/>
              <w:autoSpaceDN w:val="0"/>
              <w:bidi w:val="0"/>
              <w:adjustRightInd w:val="0"/>
              <w:spacing w:line="480" w:lineRule="auto"/>
              <w:ind w:firstLine="360"/>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18</w:t>
            </w:r>
          </w:p>
        </w:tc>
        <w:bookmarkEnd w:id="19"/>
        <w:tc>
          <w:tcPr>
            <w:tcW w:w="1134" w:type="dxa"/>
            <w:vMerge/>
            <w:tcBorders>
              <w:top w:val="single" w:sz="4" w:space="0" w:color="7F7F7F" w:themeColor="text1" w:themeTint="80"/>
              <w:left w:val="nil"/>
              <w:bottom w:val="nil"/>
              <w:right w:val="nil"/>
            </w:tcBorders>
            <w:vAlign w:val="center"/>
            <w:hideMark/>
          </w:tcPr>
          <w:p w14:paraId="03A8E93A" w14:textId="77777777" w:rsidR="000C73D1" w:rsidRDefault="000C73D1" w:rsidP="00A23F90">
            <w:pPr>
              <w:bidi w:val="0"/>
              <w:spacing w:line="480" w:lineRule="auto"/>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p>
        </w:tc>
      </w:tr>
      <w:tr w:rsidR="000C73D1" w14:paraId="24EB5B02" w14:textId="77777777" w:rsidTr="00497295">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100" w:type="dxa"/>
            <w:vMerge w:val="restart"/>
            <w:tcBorders>
              <w:left w:val="nil"/>
              <w:right w:val="nil"/>
            </w:tcBorders>
            <w:hideMark/>
          </w:tcPr>
          <w:p w14:paraId="0B17FDE1" w14:textId="77777777" w:rsidR="000C73D1" w:rsidRDefault="000C73D1" w:rsidP="00A23F90">
            <w:pPr>
              <w:autoSpaceDE w:val="0"/>
              <w:autoSpaceDN w:val="0"/>
              <w:bidi w:val="0"/>
              <w:adjustRightInd w:val="0"/>
              <w:spacing w:line="480" w:lineRule="auto"/>
              <w:ind w:firstLine="175"/>
              <w:rPr>
                <w:rFonts w:asciiTheme="majorBidi" w:eastAsia="Arial Unicode MS" w:hAnsiTheme="majorBidi" w:cstheme="majorBidi"/>
                <w:sz w:val="24"/>
                <w:szCs w:val="24"/>
              </w:rPr>
            </w:pPr>
            <w:bookmarkStart w:id="30" w:name="_Toc440534208"/>
            <w:bookmarkStart w:id="31" w:name="_Toc440535677"/>
            <w:r>
              <w:rPr>
                <w:rFonts w:asciiTheme="majorBidi" w:eastAsia="Arial Unicode MS" w:hAnsiTheme="majorBidi" w:cstheme="majorBidi"/>
                <w:sz w:val="24"/>
                <w:szCs w:val="24"/>
              </w:rPr>
              <w:t>CBG</w:t>
            </w:r>
            <w:bookmarkEnd w:id="30"/>
            <w:bookmarkEnd w:id="31"/>
          </w:p>
        </w:tc>
        <w:tc>
          <w:tcPr>
            <w:tcW w:w="1352" w:type="dxa"/>
            <w:vMerge w:val="restart"/>
            <w:tcBorders>
              <w:left w:val="nil"/>
              <w:right w:val="nil"/>
            </w:tcBorders>
            <w:hideMark/>
          </w:tcPr>
          <w:p w14:paraId="3273472E" w14:textId="77777777" w:rsidR="000C73D1" w:rsidRDefault="000C73D1" w:rsidP="00A23F90">
            <w:pPr>
              <w:autoSpaceDE w:val="0"/>
              <w:autoSpaceDN w:val="0"/>
              <w:bidi w:val="0"/>
              <w:adjustRightInd w:val="0"/>
              <w:spacing w:line="480" w:lineRule="auto"/>
              <w:ind w:firstLine="360"/>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bookmarkStart w:id="32" w:name="_Toc440534209"/>
            <w:bookmarkStart w:id="33" w:name="_Toc440535678"/>
            <w:r>
              <w:rPr>
                <w:rFonts w:asciiTheme="majorBidi" w:eastAsia="Arial Unicode MS" w:hAnsiTheme="majorBidi" w:cstheme="majorBidi"/>
                <w:sz w:val="24"/>
                <w:szCs w:val="24"/>
              </w:rPr>
              <w:t>317.1</w:t>
            </w:r>
            <w:bookmarkEnd w:id="32"/>
            <w:bookmarkEnd w:id="33"/>
          </w:p>
        </w:tc>
        <w:tc>
          <w:tcPr>
            <w:tcW w:w="1381" w:type="dxa"/>
            <w:tcBorders>
              <w:left w:val="nil"/>
              <w:right w:val="nil"/>
            </w:tcBorders>
            <w:hideMark/>
          </w:tcPr>
          <w:p w14:paraId="0B7E8127" w14:textId="77777777" w:rsidR="000C73D1" w:rsidRDefault="000C73D1" w:rsidP="00A23F90">
            <w:pPr>
              <w:autoSpaceDE w:val="0"/>
              <w:autoSpaceDN w:val="0"/>
              <w:bidi w:val="0"/>
              <w:adjustRightInd w:val="0"/>
              <w:spacing w:line="480" w:lineRule="auto"/>
              <w:ind w:right="120" w:firstLine="58"/>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Quantifier</w:t>
            </w:r>
          </w:p>
        </w:tc>
        <w:tc>
          <w:tcPr>
            <w:tcW w:w="804" w:type="dxa"/>
            <w:tcBorders>
              <w:left w:val="nil"/>
              <w:right w:val="nil"/>
            </w:tcBorders>
            <w:hideMark/>
          </w:tcPr>
          <w:p w14:paraId="0F2D6A68" w14:textId="77777777" w:rsidR="000C73D1" w:rsidRDefault="000C73D1" w:rsidP="00A23F90">
            <w:pPr>
              <w:autoSpaceDE w:val="0"/>
              <w:autoSpaceDN w:val="0"/>
              <w:bidi w:val="0"/>
              <w:adjustRightInd w:val="0"/>
              <w:spacing w:line="480" w:lineRule="auto"/>
              <w:ind w:firstLine="20"/>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bookmarkStart w:id="34" w:name="_Toc440534210"/>
            <w:bookmarkStart w:id="35" w:name="_Toc440535679"/>
            <w:r>
              <w:rPr>
                <w:rFonts w:asciiTheme="majorBidi" w:eastAsia="Arial Unicode MS" w:hAnsiTheme="majorBidi" w:cstheme="majorBidi"/>
                <w:sz w:val="24"/>
                <w:szCs w:val="24"/>
              </w:rPr>
              <w:t>193.1</w:t>
            </w:r>
            <w:bookmarkEnd w:id="34"/>
            <w:bookmarkEnd w:id="35"/>
          </w:p>
        </w:tc>
        <w:tc>
          <w:tcPr>
            <w:tcW w:w="1317" w:type="dxa"/>
            <w:gridSpan w:val="2"/>
            <w:tcBorders>
              <w:left w:val="nil"/>
              <w:right w:val="nil"/>
            </w:tcBorders>
            <w:hideMark/>
          </w:tcPr>
          <w:p w14:paraId="5C57E093" w14:textId="77777777" w:rsidR="000C73D1" w:rsidRDefault="000C73D1" w:rsidP="00A23F90">
            <w:pPr>
              <w:autoSpaceDE w:val="0"/>
              <w:autoSpaceDN w:val="0"/>
              <w:bidi w:val="0"/>
              <w:adjustRightInd w:val="0"/>
              <w:spacing w:line="480" w:lineRule="auto"/>
              <w:ind w:firstLine="313"/>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bookmarkStart w:id="36" w:name="_Toc440534212"/>
            <w:bookmarkStart w:id="37" w:name="_Toc440535681"/>
            <w:r>
              <w:rPr>
                <w:rFonts w:asciiTheme="majorBidi" w:eastAsia="Arial Unicode MS" w:hAnsiTheme="majorBidi" w:cstheme="majorBidi"/>
                <w:sz w:val="24"/>
                <w:szCs w:val="24"/>
              </w:rPr>
              <w:t>80</w:t>
            </w:r>
            <w:bookmarkEnd w:id="36"/>
            <w:bookmarkEnd w:id="37"/>
          </w:p>
        </w:tc>
        <w:tc>
          <w:tcPr>
            <w:tcW w:w="850" w:type="dxa"/>
            <w:tcBorders>
              <w:left w:val="nil"/>
              <w:right w:val="nil"/>
            </w:tcBorders>
            <w:hideMark/>
          </w:tcPr>
          <w:p w14:paraId="324F3FDB" w14:textId="77777777" w:rsidR="000C73D1" w:rsidRDefault="000C73D1" w:rsidP="00A23F90">
            <w:pPr>
              <w:autoSpaceDE w:val="0"/>
              <w:autoSpaceDN w:val="0"/>
              <w:bidi w:val="0"/>
              <w:adjustRightInd w:val="0"/>
              <w:spacing w:line="480" w:lineRule="auto"/>
              <w:ind w:firstLine="178"/>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bookmarkStart w:id="38" w:name="_Toc440534214"/>
            <w:bookmarkStart w:id="39" w:name="_Toc440535683"/>
            <w:r>
              <w:rPr>
                <w:rFonts w:asciiTheme="majorBidi" w:eastAsia="Arial Unicode MS" w:hAnsiTheme="majorBidi" w:cstheme="majorBidi"/>
                <w:sz w:val="24"/>
                <w:szCs w:val="24"/>
              </w:rPr>
              <w:t>23</w:t>
            </w:r>
            <w:bookmarkEnd w:id="38"/>
            <w:bookmarkEnd w:id="39"/>
          </w:p>
        </w:tc>
        <w:tc>
          <w:tcPr>
            <w:tcW w:w="1418" w:type="dxa"/>
            <w:gridSpan w:val="3"/>
            <w:tcBorders>
              <w:left w:val="nil"/>
              <w:right w:val="nil"/>
            </w:tcBorders>
            <w:hideMark/>
          </w:tcPr>
          <w:p w14:paraId="25518BA1" w14:textId="77777777" w:rsidR="000C73D1" w:rsidRDefault="000C73D1" w:rsidP="00A23F90">
            <w:pPr>
              <w:autoSpaceDE w:val="0"/>
              <w:autoSpaceDN w:val="0"/>
              <w:bidi w:val="0"/>
              <w:adjustRightInd w:val="0"/>
              <w:spacing w:line="480" w:lineRule="auto"/>
              <w:ind w:firstLine="360"/>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bookmarkStart w:id="40" w:name="_Toc440534216"/>
            <w:bookmarkStart w:id="41" w:name="_Toc440535685"/>
            <w:r>
              <w:rPr>
                <w:rFonts w:asciiTheme="majorBidi" w:eastAsia="Arial Unicode MS" w:hAnsiTheme="majorBidi" w:cstheme="majorBidi"/>
                <w:sz w:val="24"/>
                <w:szCs w:val="24"/>
              </w:rPr>
              <w:t>24</w:t>
            </w:r>
            <w:bookmarkEnd w:id="40"/>
            <w:bookmarkEnd w:id="41"/>
          </w:p>
        </w:tc>
        <w:tc>
          <w:tcPr>
            <w:tcW w:w="1134" w:type="dxa"/>
            <w:vMerge w:val="restart"/>
            <w:tcBorders>
              <w:left w:val="nil"/>
              <w:right w:val="nil"/>
            </w:tcBorders>
            <w:hideMark/>
          </w:tcPr>
          <w:p w14:paraId="44665583" w14:textId="77777777" w:rsidR="000C73D1" w:rsidRDefault="000C73D1" w:rsidP="00A23F90">
            <w:pPr>
              <w:autoSpaceDE w:val="0"/>
              <w:autoSpaceDN w:val="0"/>
              <w:bidi w:val="0"/>
              <w:adjustRightInd w:val="0"/>
              <w:spacing w:line="480" w:lineRule="auto"/>
              <w:ind w:firstLine="299"/>
              <w:cnfStyle w:val="000000100000" w:firstRow="0" w:lastRow="0" w:firstColumn="0" w:lastColumn="0" w:oddVBand="0" w:evenVBand="0" w:oddHBand="1"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7.7</w:t>
            </w:r>
          </w:p>
        </w:tc>
      </w:tr>
      <w:tr w:rsidR="000C73D1" w14:paraId="6C76CF0C" w14:textId="77777777" w:rsidTr="00497295">
        <w:trPr>
          <w:trHeight w:val="3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themeColor="text1" w:themeTint="80"/>
              <w:left w:val="nil"/>
              <w:bottom w:val="single" w:sz="4" w:space="0" w:color="7F7F7F" w:themeColor="text1" w:themeTint="80"/>
              <w:right w:val="nil"/>
            </w:tcBorders>
            <w:vAlign w:val="center"/>
            <w:hideMark/>
          </w:tcPr>
          <w:p w14:paraId="740F1C16" w14:textId="77777777" w:rsidR="000C73D1" w:rsidRDefault="000C73D1" w:rsidP="00A23F90">
            <w:pPr>
              <w:bidi w:val="0"/>
              <w:spacing w:line="480" w:lineRule="auto"/>
              <w:ind w:firstLine="175"/>
              <w:rPr>
                <w:rFonts w:asciiTheme="majorBidi" w:eastAsia="Arial Unicode MS" w:hAnsiTheme="majorBidi" w:cstheme="majorBidi"/>
                <w:sz w:val="24"/>
                <w:szCs w:val="24"/>
              </w:rPr>
            </w:pPr>
          </w:p>
        </w:tc>
        <w:tc>
          <w:tcPr>
            <w:tcW w:w="0" w:type="auto"/>
            <w:vMerge/>
            <w:tcBorders>
              <w:top w:val="single" w:sz="4" w:space="0" w:color="7F7F7F" w:themeColor="text1" w:themeTint="80"/>
              <w:left w:val="nil"/>
              <w:bottom w:val="single" w:sz="4" w:space="0" w:color="7F7F7F" w:themeColor="text1" w:themeTint="80"/>
              <w:right w:val="nil"/>
            </w:tcBorders>
            <w:vAlign w:val="center"/>
            <w:hideMark/>
          </w:tcPr>
          <w:p w14:paraId="02B57953" w14:textId="77777777" w:rsidR="000C73D1" w:rsidRDefault="000C73D1" w:rsidP="00A23F90">
            <w:pPr>
              <w:bidi w:val="0"/>
              <w:spacing w:line="480" w:lineRule="auto"/>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p>
        </w:tc>
        <w:tc>
          <w:tcPr>
            <w:tcW w:w="1381" w:type="dxa"/>
            <w:tcBorders>
              <w:top w:val="nil"/>
              <w:left w:val="nil"/>
              <w:bottom w:val="single" w:sz="4" w:space="0" w:color="7F7F7F" w:themeColor="text1" w:themeTint="80"/>
              <w:right w:val="nil"/>
            </w:tcBorders>
            <w:hideMark/>
          </w:tcPr>
          <w:p w14:paraId="06FC060D" w14:textId="77777777" w:rsidR="000C73D1" w:rsidRDefault="000C73D1" w:rsidP="00A23F90">
            <w:pPr>
              <w:autoSpaceDE w:val="0"/>
              <w:autoSpaceDN w:val="0"/>
              <w:bidi w:val="0"/>
              <w:adjustRightInd w:val="0"/>
              <w:spacing w:line="480" w:lineRule="auto"/>
              <w:ind w:right="120" w:firstLine="58"/>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Qualifier</w:t>
            </w:r>
          </w:p>
        </w:tc>
        <w:tc>
          <w:tcPr>
            <w:tcW w:w="804" w:type="dxa"/>
            <w:tcBorders>
              <w:top w:val="nil"/>
              <w:left w:val="nil"/>
              <w:bottom w:val="single" w:sz="4" w:space="0" w:color="7F7F7F" w:themeColor="text1" w:themeTint="80"/>
              <w:right w:val="nil"/>
            </w:tcBorders>
            <w:hideMark/>
          </w:tcPr>
          <w:p w14:paraId="0D80CA3D" w14:textId="77777777" w:rsidR="000C73D1" w:rsidRDefault="000C73D1" w:rsidP="00A23F90">
            <w:pPr>
              <w:autoSpaceDE w:val="0"/>
              <w:autoSpaceDN w:val="0"/>
              <w:bidi w:val="0"/>
              <w:adjustRightInd w:val="0"/>
              <w:spacing w:line="480" w:lineRule="auto"/>
              <w:ind w:firstLine="20"/>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bookmarkStart w:id="42" w:name="_Toc440534211"/>
            <w:bookmarkStart w:id="43" w:name="_Toc440535680"/>
            <w:r>
              <w:rPr>
                <w:rFonts w:asciiTheme="majorBidi" w:eastAsia="Arial Unicode MS" w:hAnsiTheme="majorBidi" w:cstheme="majorBidi"/>
                <w:sz w:val="24"/>
                <w:szCs w:val="24"/>
              </w:rPr>
              <w:t>123.1</w:t>
            </w:r>
            <w:bookmarkEnd w:id="42"/>
            <w:bookmarkEnd w:id="43"/>
          </w:p>
        </w:tc>
        <w:tc>
          <w:tcPr>
            <w:tcW w:w="1317" w:type="dxa"/>
            <w:gridSpan w:val="2"/>
            <w:tcBorders>
              <w:top w:val="nil"/>
              <w:left w:val="nil"/>
              <w:bottom w:val="single" w:sz="4" w:space="0" w:color="7F7F7F" w:themeColor="text1" w:themeTint="80"/>
              <w:right w:val="nil"/>
            </w:tcBorders>
            <w:hideMark/>
          </w:tcPr>
          <w:p w14:paraId="20DB4265" w14:textId="77777777" w:rsidR="000C73D1" w:rsidRDefault="000C73D1" w:rsidP="00A23F90">
            <w:pPr>
              <w:autoSpaceDE w:val="0"/>
              <w:autoSpaceDN w:val="0"/>
              <w:bidi w:val="0"/>
              <w:adjustRightInd w:val="0"/>
              <w:spacing w:line="480" w:lineRule="auto"/>
              <w:ind w:firstLine="313"/>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80</w:t>
            </w:r>
          </w:p>
        </w:tc>
        <w:tc>
          <w:tcPr>
            <w:tcW w:w="850" w:type="dxa"/>
            <w:tcBorders>
              <w:top w:val="nil"/>
              <w:left w:val="nil"/>
              <w:bottom w:val="single" w:sz="4" w:space="0" w:color="7F7F7F" w:themeColor="text1" w:themeTint="80"/>
              <w:right w:val="nil"/>
            </w:tcBorders>
            <w:hideMark/>
          </w:tcPr>
          <w:p w14:paraId="168EE8C9" w14:textId="77777777" w:rsidR="000C73D1" w:rsidRDefault="000C73D1" w:rsidP="00A23F90">
            <w:pPr>
              <w:autoSpaceDE w:val="0"/>
              <w:autoSpaceDN w:val="0"/>
              <w:bidi w:val="0"/>
              <w:adjustRightInd w:val="0"/>
              <w:spacing w:line="480" w:lineRule="auto"/>
              <w:ind w:firstLine="178"/>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43</w:t>
            </w:r>
          </w:p>
        </w:tc>
        <w:tc>
          <w:tcPr>
            <w:tcW w:w="1418" w:type="dxa"/>
            <w:gridSpan w:val="3"/>
            <w:tcBorders>
              <w:top w:val="nil"/>
              <w:left w:val="nil"/>
              <w:bottom w:val="single" w:sz="4" w:space="0" w:color="7F7F7F" w:themeColor="text1" w:themeTint="80"/>
              <w:right w:val="nil"/>
            </w:tcBorders>
            <w:hideMark/>
          </w:tcPr>
          <w:p w14:paraId="038518D0" w14:textId="77777777" w:rsidR="000C73D1" w:rsidRDefault="000C73D1" w:rsidP="00A23F90">
            <w:pPr>
              <w:autoSpaceDE w:val="0"/>
              <w:autoSpaceDN w:val="0"/>
              <w:bidi w:val="0"/>
              <w:adjustRightInd w:val="0"/>
              <w:spacing w:line="480" w:lineRule="auto"/>
              <w:ind w:firstLine="360"/>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r>
              <w:rPr>
                <w:rFonts w:asciiTheme="majorBidi" w:eastAsia="Arial Unicode MS" w:hAnsiTheme="majorBidi" w:cstheme="majorBidi"/>
                <w:sz w:val="24"/>
                <w:szCs w:val="24"/>
              </w:rPr>
              <w:t>14</w:t>
            </w:r>
          </w:p>
        </w:tc>
        <w:tc>
          <w:tcPr>
            <w:tcW w:w="1134" w:type="dxa"/>
            <w:vMerge/>
            <w:tcBorders>
              <w:top w:val="single" w:sz="4" w:space="0" w:color="7F7F7F" w:themeColor="text1" w:themeTint="80"/>
              <w:left w:val="nil"/>
              <w:bottom w:val="single" w:sz="4" w:space="0" w:color="7F7F7F" w:themeColor="text1" w:themeTint="80"/>
              <w:right w:val="nil"/>
            </w:tcBorders>
            <w:vAlign w:val="center"/>
            <w:hideMark/>
          </w:tcPr>
          <w:p w14:paraId="24159EB8" w14:textId="77777777" w:rsidR="000C73D1" w:rsidRDefault="000C73D1" w:rsidP="00A23F90">
            <w:pPr>
              <w:bidi w:val="0"/>
              <w:spacing w:line="480" w:lineRule="auto"/>
              <w:cnfStyle w:val="000000000000" w:firstRow="0" w:lastRow="0" w:firstColumn="0" w:lastColumn="0" w:oddVBand="0" w:evenVBand="0" w:oddHBand="0" w:evenHBand="0" w:firstRowFirstColumn="0" w:firstRowLastColumn="0" w:lastRowFirstColumn="0" w:lastRowLastColumn="0"/>
              <w:rPr>
                <w:rFonts w:asciiTheme="majorBidi" w:eastAsia="Arial Unicode MS" w:hAnsiTheme="majorBidi" w:cstheme="majorBidi"/>
                <w:sz w:val="24"/>
                <w:szCs w:val="24"/>
              </w:rPr>
            </w:pPr>
          </w:p>
        </w:tc>
      </w:tr>
    </w:tbl>
    <w:p w14:paraId="24F1EB85" w14:textId="77777777" w:rsidR="000C73D1" w:rsidRDefault="000C73D1" w:rsidP="00A23F90">
      <w:pPr>
        <w:bidi w:val="0"/>
        <w:spacing w:after="0" w:line="480" w:lineRule="auto"/>
        <w:rPr>
          <w:rFonts w:asciiTheme="majorBidi" w:hAnsiTheme="majorBidi" w:cstheme="majorBidi"/>
        </w:rPr>
      </w:pPr>
    </w:p>
    <w:p w14:paraId="6FE51B9D" w14:textId="69A298B8" w:rsidR="000C73D1" w:rsidRPr="003606FD" w:rsidRDefault="003606FD" w:rsidP="00A23F90">
      <w:pPr>
        <w:bidi w:val="0"/>
        <w:spacing w:after="0" w:line="480" w:lineRule="auto"/>
        <w:ind w:right="74"/>
        <w:rPr>
          <w:rFonts w:ascii="Times New Roman" w:eastAsia="Arial Unicode MS" w:hAnsi="Times New Roman" w:cs="Times New Roman"/>
          <w:i/>
          <w:iCs/>
          <w:sz w:val="24"/>
          <w:szCs w:val="24"/>
          <w:lang w:val="it-IT"/>
        </w:rPr>
      </w:pPr>
      <w:r w:rsidRPr="003606FD">
        <w:rPr>
          <w:rFonts w:ascii="Times New Roman" w:eastAsia="Arial Unicode MS" w:hAnsi="Times New Roman" w:cs="Times New Roman"/>
          <w:i/>
          <w:iCs/>
          <w:sz w:val="24"/>
          <w:szCs w:val="24"/>
          <w:lang w:val="it-IT"/>
        </w:rPr>
        <w:t xml:space="preserve">Plasma </w:t>
      </w:r>
      <w:r w:rsidRPr="00305CFD">
        <w:rPr>
          <w:rFonts w:ascii="Times New Roman" w:eastAsia="Arial Unicode MS" w:hAnsi="Times New Roman" w:cs="Times New Roman"/>
          <w:i/>
          <w:iCs/>
          <w:sz w:val="24"/>
          <w:szCs w:val="24"/>
        </w:rPr>
        <w:t>samples prepar</w:t>
      </w:r>
      <w:r w:rsidR="00305CFD" w:rsidRPr="00305CFD">
        <w:rPr>
          <w:rFonts w:ascii="Times New Roman" w:eastAsia="Arial Unicode MS" w:hAnsi="Times New Roman" w:cs="Times New Roman"/>
          <w:i/>
          <w:iCs/>
          <w:sz w:val="24"/>
          <w:szCs w:val="24"/>
        </w:rPr>
        <w:t>a</w:t>
      </w:r>
      <w:r w:rsidRPr="00305CFD">
        <w:rPr>
          <w:rFonts w:ascii="Times New Roman" w:eastAsia="Arial Unicode MS" w:hAnsi="Times New Roman" w:cs="Times New Roman"/>
          <w:i/>
          <w:iCs/>
          <w:sz w:val="24"/>
          <w:szCs w:val="24"/>
        </w:rPr>
        <w:t>tion</w:t>
      </w:r>
    </w:p>
    <w:p w14:paraId="7989B79C" w14:textId="01725C45" w:rsidR="003606FD" w:rsidRDefault="003606FD" w:rsidP="005B4477">
      <w:pPr>
        <w:bidi w:val="0"/>
        <w:spacing w:after="0" w:line="480" w:lineRule="auto"/>
        <w:rPr>
          <w:rFonts w:asciiTheme="majorBidi" w:hAnsiTheme="majorBidi" w:cstheme="majorBidi"/>
          <w:sz w:val="24"/>
          <w:szCs w:val="24"/>
        </w:rPr>
      </w:pPr>
      <w:r w:rsidRPr="003960B8">
        <w:rPr>
          <w:rFonts w:asciiTheme="majorBidi" w:hAnsiTheme="majorBidi" w:cstheme="majorBidi"/>
          <w:sz w:val="24"/>
          <w:szCs w:val="24"/>
        </w:rPr>
        <w:t>CBD was extracted from plasma samples</w:t>
      </w:r>
      <w:r>
        <w:rPr>
          <w:rFonts w:asciiTheme="majorBidi" w:hAnsiTheme="majorBidi" w:cstheme="majorBidi"/>
          <w:sz w:val="24"/>
          <w:szCs w:val="24"/>
        </w:rPr>
        <w:t xml:space="preserve"> that were spiked with </w:t>
      </w:r>
      <w:proofErr w:type="spellStart"/>
      <w:r>
        <w:rPr>
          <w:rFonts w:asciiTheme="majorBidi" w:hAnsiTheme="majorBidi" w:cstheme="majorBidi"/>
          <w:sz w:val="24"/>
          <w:szCs w:val="24"/>
        </w:rPr>
        <w:t>cannabigerol</w:t>
      </w:r>
      <w:proofErr w:type="spellEnd"/>
      <w:r>
        <w:rPr>
          <w:rFonts w:asciiTheme="majorBidi" w:hAnsiTheme="majorBidi" w:cstheme="majorBidi"/>
          <w:sz w:val="24"/>
          <w:szCs w:val="24"/>
        </w:rPr>
        <w:t xml:space="preserve"> (</w:t>
      </w:r>
      <w:r w:rsidRPr="00C551EC">
        <w:rPr>
          <w:rFonts w:asciiTheme="majorBidi" w:hAnsiTheme="majorBidi" w:cstheme="majorBidi"/>
          <w:sz w:val="24"/>
          <w:szCs w:val="24"/>
          <w:shd w:val="clear" w:color="auto" w:fill="FFFFFF"/>
        </w:rPr>
        <w:t>CBG</w:t>
      </w:r>
      <w:r>
        <w:rPr>
          <w:rFonts w:asciiTheme="majorBidi" w:hAnsiTheme="majorBidi" w:cstheme="majorBidi"/>
          <w:sz w:val="24"/>
          <w:szCs w:val="24"/>
          <w:shd w:val="clear" w:color="auto" w:fill="FFFFFF"/>
        </w:rPr>
        <w:t>,</w:t>
      </w:r>
      <w:r w:rsidRPr="00C551EC">
        <w:rPr>
          <w:rFonts w:asciiTheme="majorBidi" w:hAnsiTheme="majorBidi" w:cstheme="majorBidi"/>
          <w:sz w:val="24"/>
          <w:szCs w:val="24"/>
          <w:shd w:val="clear" w:color="auto" w:fill="FFFFFF"/>
        </w:rPr>
        <w:t xml:space="preserve"> 1 mg/ml in methanol,</w:t>
      </w:r>
      <w:r>
        <w:rPr>
          <w:rFonts w:asciiTheme="majorBidi" w:hAnsiTheme="majorBidi" w:cstheme="majorBidi"/>
          <w:sz w:val="24"/>
          <w:szCs w:val="24"/>
          <w:shd w:val="clear" w:color="auto" w:fill="FFFFFF"/>
        </w:rPr>
        <w:t xml:space="preserve"> Sigma,</w:t>
      </w:r>
      <w:r w:rsidRPr="00C551EC">
        <w:rPr>
          <w:rFonts w:asciiTheme="majorBidi" w:hAnsiTheme="majorBidi" w:cstheme="majorBidi"/>
          <w:sz w:val="24"/>
          <w:szCs w:val="24"/>
          <w:shd w:val="clear" w:color="auto" w:fill="FFFFFF"/>
        </w:rPr>
        <w:t xml:space="preserve"> Cat. C-141-1</w:t>
      </w:r>
      <w:r>
        <w:rPr>
          <w:rFonts w:asciiTheme="majorBidi" w:hAnsiTheme="majorBidi" w:cstheme="majorBidi"/>
          <w:sz w:val="24"/>
          <w:szCs w:val="24"/>
        </w:rPr>
        <w:t>) used as internal standard (IS) followed</w:t>
      </w:r>
      <w:r w:rsidRPr="003960B8">
        <w:rPr>
          <w:rFonts w:asciiTheme="majorBidi" w:hAnsiTheme="majorBidi" w:cstheme="majorBidi"/>
          <w:sz w:val="24"/>
          <w:szCs w:val="24"/>
        </w:rPr>
        <w:t xml:space="preserve"> by dilution of the plasma five-fold in acetonitrile</w:t>
      </w:r>
      <w:r>
        <w:rPr>
          <w:rFonts w:asciiTheme="majorBidi" w:hAnsiTheme="majorBidi" w:cstheme="majorBidi"/>
          <w:sz w:val="24"/>
          <w:szCs w:val="24"/>
        </w:rPr>
        <w:t xml:space="preserve">. </w:t>
      </w:r>
      <w:r w:rsidRPr="003960B8">
        <w:rPr>
          <w:rFonts w:asciiTheme="majorBidi" w:hAnsiTheme="majorBidi" w:cstheme="majorBidi"/>
          <w:sz w:val="24"/>
          <w:szCs w:val="24"/>
        </w:rPr>
        <w:t xml:space="preserve"> </w:t>
      </w:r>
      <w:r>
        <w:rPr>
          <w:rFonts w:asciiTheme="majorBidi" w:hAnsiTheme="majorBidi" w:cstheme="majorBidi"/>
          <w:sz w:val="24"/>
          <w:szCs w:val="24"/>
        </w:rPr>
        <w:t>After</w:t>
      </w:r>
      <w:r w:rsidRPr="003960B8">
        <w:rPr>
          <w:rFonts w:asciiTheme="majorBidi" w:hAnsiTheme="majorBidi" w:cstheme="majorBidi"/>
          <w:sz w:val="24"/>
          <w:szCs w:val="24"/>
        </w:rPr>
        <w:t xml:space="preserve"> vigorous vortex </w:t>
      </w:r>
      <w:r>
        <w:rPr>
          <w:rFonts w:asciiTheme="majorBidi" w:hAnsiTheme="majorBidi" w:cstheme="majorBidi"/>
          <w:sz w:val="24"/>
          <w:szCs w:val="24"/>
        </w:rPr>
        <w:t>it was centrifuged, and the upper phase was analyzed</w:t>
      </w:r>
      <w:r w:rsidRPr="003960B8">
        <w:rPr>
          <w:rFonts w:asciiTheme="majorBidi" w:hAnsiTheme="majorBidi" w:cstheme="majorBidi"/>
          <w:sz w:val="24"/>
          <w:szCs w:val="24"/>
        </w:rPr>
        <w:t>.</w:t>
      </w:r>
      <w:r>
        <w:rPr>
          <w:rFonts w:asciiTheme="majorBidi" w:hAnsiTheme="majorBidi" w:cstheme="majorBidi"/>
          <w:sz w:val="24"/>
          <w:szCs w:val="24"/>
        </w:rPr>
        <w:t xml:space="preserve"> Final IS concentration in the samples was 100 ng/ml. CBD concentrations were calculated based on a calibration curve of CBD in plasma having 100 ng/ml of IS. </w:t>
      </w:r>
      <w:r w:rsidR="00EF71ED">
        <w:rPr>
          <w:rFonts w:asciiTheme="majorBidi" w:hAnsiTheme="majorBidi" w:cstheme="majorBidi"/>
          <w:sz w:val="24"/>
          <w:szCs w:val="24"/>
        </w:rPr>
        <w:t xml:space="preserve">In case of low CBD concentrations, the upper phase after dilution in acetonitrile was evaporated to dryness and reconstituted with 100 µl of acetonitrile. In this case, CBD concentrations </w:t>
      </w:r>
      <w:r w:rsidR="005B4477">
        <w:rPr>
          <w:rFonts w:asciiTheme="majorBidi" w:hAnsiTheme="majorBidi" w:cstheme="majorBidi"/>
          <w:sz w:val="24"/>
          <w:szCs w:val="24"/>
        </w:rPr>
        <w:t xml:space="preserve">were </w:t>
      </w:r>
      <w:r w:rsidR="00EF71ED">
        <w:rPr>
          <w:rFonts w:asciiTheme="majorBidi" w:hAnsiTheme="majorBidi" w:cstheme="majorBidi"/>
          <w:sz w:val="24"/>
          <w:szCs w:val="24"/>
        </w:rPr>
        <w:t xml:space="preserve">calculated from a </w:t>
      </w:r>
      <w:r w:rsidR="00EF71ED">
        <w:rPr>
          <w:rFonts w:asciiTheme="majorBidi" w:hAnsiTheme="majorBidi" w:cstheme="majorBidi"/>
          <w:sz w:val="24"/>
          <w:szCs w:val="24"/>
        </w:rPr>
        <w:lastRenderedPageBreak/>
        <w:t>calibration curve prepared in the same way.</w:t>
      </w:r>
      <w:r>
        <w:rPr>
          <w:rFonts w:asciiTheme="majorBidi" w:hAnsiTheme="majorBidi" w:cstheme="majorBidi"/>
          <w:sz w:val="24"/>
          <w:szCs w:val="24"/>
        </w:rPr>
        <w:br/>
      </w:r>
    </w:p>
    <w:p w14:paraId="46EE4A85" w14:textId="77777777" w:rsidR="000C73D1" w:rsidRPr="00F60B44" w:rsidRDefault="000C73D1" w:rsidP="00A23F90">
      <w:pPr>
        <w:bidi w:val="0"/>
        <w:spacing w:after="0" w:line="480" w:lineRule="auto"/>
        <w:rPr>
          <w:rFonts w:asciiTheme="majorBidi" w:hAnsiTheme="majorBidi" w:cstheme="majorBidi"/>
          <w:b/>
          <w:bCs/>
          <w:sz w:val="24"/>
          <w:szCs w:val="24"/>
        </w:rPr>
      </w:pPr>
    </w:p>
    <w:sectPr w:rsidR="000C73D1" w:rsidRPr="00F60B44" w:rsidSect="000D48B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2704F"/>
    <w:multiLevelType w:val="hybridMultilevel"/>
    <w:tmpl w:val="822C5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6338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B44"/>
    <w:rsid w:val="000074DB"/>
    <w:rsid w:val="00062D6B"/>
    <w:rsid w:val="00074261"/>
    <w:rsid w:val="000C73D1"/>
    <w:rsid w:val="000D48BD"/>
    <w:rsid w:val="002F78E2"/>
    <w:rsid w:val="00305CFD"/>
    <w:rsid w:val="003606FD"/>
    <w:rsid w:val="00367FB7"/>
    <w:rsid w:val="004C2F8C"/>
    <w:rsid w:val="004E4ED3"/>
    <w:rsid w:val="005528B5"/>
    <w:rsid w:val="005B4477"/>
    <w:rsid w:val="00627B93"/>
    <w:rsid w:val="00683F9D"/>
    <w:rsid w:val="006F7996"/>
    <w:rsid w:val="00702228"/>
    <w:rsid w:val="00785FE6"/>
    <w:rsid w:val="00A23F90"/>
    <w:rsid w:val="00A84FCF"/>
    <w:rsid w:val="00DC73E5"/>
    <w:rsid w:val="00DF1A20"/>
    <w:rsid w:val="00DF3E81"/>
    <w:rsid w:val="00E21C24"/>
    <w:rsid w:val="00E92032"/>
    <w:rsid w:val="00EF71ED"/>
    <w:rsid w:val="00F60B44"/>
    <w:rsid w:val="00FD20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3479"/>
  <w15:chartTrackingRefBased/>
  <w15:docId w15:val="{A641F955-8732-414B-9F31-E36B38DF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FE6"/>
    <w:pPr>
      <w:ind w:left="720"/>
      <w:contextualSpacing/>
    </w:pPr>
  </w:style>
  <w:style w:type="table" w:styleId="TableGrid">
    <w:name w:val="Table Grid"/>
    <w:basedOn w:val="TableNormal"/>
    <w:uiPriority w:val="59"/>
    <w:rsid w:val="000C7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C73D1"/>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062D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D6B"/>
    <w:rPr>
      <w:rFonts w:ascii="Segoe UI" w:hAnsi="Segoe UI" w:cs="Segoe UI"/>
      <w:sz w:val="18"/>
      <w:szCs w:val="18"/>
    </w:rPr>
  </w:style>
  <w:style w:type="paragraph" w:styleId="Revision">
    <w:name w:val="Revision"/>
    <w:hidden/>
    <w:uiPriority w:val="99"/>
    <w:semiHidden/>
    <w:rsid w:val="004E4E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ciencedirect.com/science/article/pii/S037907381100395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Ahuva Cern</dc:creator>
  <cp:keywords/>
  <dc:description/>
  <cp:lastModifiedBy>Yael Shilo-Benja</cp:lastModifiedBy>
  <cp:revision>16</cp:revision>
  <dcterms:created xsi:type="dcterms:W3CDTF">2022-02-27T08:29:00Z</dcterms:created>
  <dcterms:modified xsi:type="dcterms:W3CDTF">2022-04-13T11:20:00Z</dcterms:modified>
</cp:coreProperties>
</file>