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rPr>
      </w:pPr>
      <w:r w:rsidDel="00000000" w:rsidR="00000000" w:rsidRPr="00000000">
        <w:rPr>
          <w:b w:val="1"/>
          <w:rtl w:val="0"/>
        </w:rPr>
        <w:t xml:space="preserve">Explanation of the differences in correlation between datasets while the same prediction algorithm (Horvath 2013) was used.</w:t>
      </w:r>
    </w:p>
    <w:p w:rsidR="00000000" w:rsidDel="00000000" w:rsidP="00000000" w:rsidRDefault="00000000" w:rsidRPr="00000000" w14:paraId="00000002">
      <w:pPr>
        <w:jc w:val="both"/>
        <w:rPr>
          <w:b w:val="1"/>
        </w:rPr>
      </w:pPr>
      <w:r w:rsidDel="00000000" w:rsidR="00000000" w:rsidRPr="00000000">
        <w:rPr>
          <w:rtl w:val="0"/>
        </w:rPr>
      </w:r>
    </w:p>
    <w:p w:rsidR="00000000" w:rsidDel="00000000" w:rsidP="00000000" w:rsidRDefault="00000000" w:rsidRPr="00000000" w14:paraId="00000003">
      <w:pPr>
        <w:jc w:val="both"/>
        <w:rPr>
          <w:b w:val="1"/>
        </w:rPr>
      </w:pPr>
      <w:r w:rsidDel="00000000" w:rsidR="00000000" w:rsidRPr="00000000">
        <w:rPr>
          <w:rtl w:val="0"/>
        </w:rPr>
        <w:t xml:space="preserve">Both Horvath (2013) and Wu and colleagues (2021) reported predictions with a similar performance (mean absolute error ~ 3.7 years) and high correlations between predicted age and real age. In our dataset, we have obtained a similar performance (mean absolute error of 3.3 years), but the correlation between predicted age and real age is much lower than in previous papers. This is due to the fact that we consider a sample of age distributed between 15 and 30 years old, while all the other samples in literature are centered on means much higher, around 40-50 years of age. In other words, the subset of a multivariate normal distribution with two highly correlated variables, can show a much smaller correlation if it is sampled on the extremes of the initial distribution.</w:t>
      </w:r>
      <w:r w:rsidDel="00000000" w:rsidR="00000000" w:rsidRPr="00000000">
        <w:rPr>
          <w:rtl w:val="0"/>
        </w:rPr>
      </w:r>
    </w:p>
    <w:p w:rsidR="00000000" w:rsidDel="00000000" w:rsidP="00000000" w:rsidRDefault="00000000" w:rsidRPr="00000000" w14:paraId="00000004">
      <w:pPr>
        <w:jc w:val="both"/>
        <w:rPr>
          <w:b w:val="1"/>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For example, if we consider the following normally distributed multivariate dataset, with 10 000 samples, and two values randomly built following a normal distribution so that each variable has a mean of 50 and both are correlated at 96 % (data in blue in the graph below). We can then consider the subset represented by all subjects between 15 and 30 years of age (N = 960) (data in orange in the graph below).</w:t>
      </w:r>
    </w:p>
    <w:p w:rsidR="00000000" w:rsidDel="00000000" w:rsidP="00000000" w:rsidRDefault="00000000" w:rsidRPr="00000000" w14:paraId="00000006">
      <w:pPr>
        <w:jc w:val="both"/>
        <w:rPr>
          <w:b w:val="1"/>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742950</wp:posOffset>
            </wp:positionH>
            <wp:positionV relativeFrom="paragraph">
              <wp:posOffset>0</wp:posOffset>
            </wp:positionV>
            <wp:extent cx="3956645" cy="2990850"/>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56645" cy="2990850"/>
                    </a:xfrm>
                    <a:prstGeom prst="rect"/>
                    <a:ln/>
                  </pic:spPr>
                </pic:pic>
              </a:graphicData>
            </a:graphic>
          </wp:anchor>
        </w:drawing>
      </w:r>
    </w:p>
    <w:p w:rsidR="00000000" w:rsidDel="00000000" w:rsidP="00000000" w:rsidRDefault="00000000" w:rsidRPr="00000000" w14:paraId="00000008">
      <w:pPr>
        <w:jc w:val="both"/>
        <w:rPr>
          <w:b w:val="1"/>
        </w:rPr>
      </w:pPr>
      <w:r w:rsidDel="00000000" w:rsidR="00000000" w:rsidRPr="00000000">
        <w:rPr>
          <w:rtl w:val="0"/>
        </w:rPr>
      </w:r>
    </w:p>
    <w:p w:rsidR="00000000" w:rsidDel="00000000" w:rsidP="00000000" w:rsidRDefault="00000000" w:rsidRPr="00000000" w14:paraId="00000009">
      <w:pPr>
        <w:jc w:val="both"/>
        <w:rPr>
          <w:b w:val="1"/>
        </w:rPr>
      </w:pPr>
      <w:r w:rsidDel="00000000" w:rsidR="00000000" w:rsidRPr="00000000">
        <w:rPr>
          <w:rtl w:val="0"/>
        </w:rPr>
      </w:r>
    </w:p>
    <w:p w:rsidR="00000000" w:rsidDel="00000000" w:rsidP="00000000" w:rsidRDefault="00000000" w:rsidRPr="00000000" w14:paraId="0000000A">
      <w:pPr>
        <w:jc w:val="both"/>
        <w:rPr>
          <w:b w:val="1"/>
        </w:rPr>
      </w:pPr>
      <w:r w:rsidDel="00000000" w:rsidR="00000000" w:rsidRPr="00000000">
        <w:rPr>
          <w:rtl w:val="0"/>
        </w:rPr>
      </w:r>
    </w:p>
    <w:p w:rsidR="00000000" w:rsidDel="00000000" w:rsidP="00000000" w:rsidRDefault="00000000" w:rsidRPr="00000000" w14:paraId="0000000B">
      <w:pPr>
        <w:jc w:val="both"/>
        <w:rPr>
          <w:b w:val="1"/>
        </w:rPr>
      </w:pPr>
      <w:r w:rsidDel="00000000" w:rsidR="00000000" w:rsidRPr="00000000">
        <w:rPr>
          <w:rtl w:val="0"/>
        </w:rPr>
      </w:r>
    </w:p>
    <w:p w:rsidR="00000000" w:rsidDel="00000000" w:rsidP="00000000" w:rsidRDefault="00000000" w:rsidRPr="00000000" w14:paraId="0000000C">
      <w:pPr>
        <w:jc w:val="both"/>
        <w:rPr>
          <w:b w:val="1"/>
        </w:rPr>
      </w:pPr>
      <w:r w:rsidDel="00000000" w:rsidR="00000000" w:rsidRPr="00000000">
        <w:rPr>
          <w:rtl w:val="0"/>
        </w:rPr>
      </w:r>
    </w:p>
    <w:p w:rsidR="00000000" w:rsidDel="00000000" w:rsidP="00000000" w:rsidRDefault="00000000" w:rsidRPr="00000000" w14:paraId="0000000D">
      <w:pPr>
        <w:jc w:val="both"/>
        <w:rPr>
          <w:b w:val="1"/>
        </w:rPr>
      </w:pPr>
      <w:r w:rsidDel="00000000" w:rsidR="00000000" w:rsidRPr="00000000">
        <w:rPr>
          <w:rtl w:val="0"/>
        </w:rPr>
      </w:r>
    </w:p>
    <w:p w:rsidR="00000000" w:rsidDel="00000000" w:rsidP="00000000" w:rsidRDefault="00000000" w:rsidRPr="00000000" w14:paraId="0000000E">
      <w:pPr>
        <w:jc w:val="both"/>
        <w:rPr>
          <w:b w:val="1"/>
        </w:rPr>
      </w:pPr>
      <w:r w:rsidDel="00000000" w:rsidR="00000000" w:rsidRPr="00000000">
        <w:rPr>
          <w:rtl w:val="0"/>
        </w:rPr>
      </w:r>
    </w:p>
    <w:p w:rsidR="00000000" w:rsidDel="00000000" w:rsidP="00000000" w:rsidRDefault="00000000" w:rsidRPr="00000000" w14:paraId="0000000F">
      <w:pPr>
        <w:jc w:val="both"/>
        <w:rPr>
          <w:b w:val="1"/>
        </w:rPr>
      </w:pPr>
      <w:r w:rsidDel="00000000" w:rsidR="00000000" w:rsidRPr="00000000">
        <w:rPr>
          <w:rtl w:val="0"/>
        </w:rPr>
      </w:r>
    </w:p>
    <w:p w:rsidR="00000000" w:rsidDel="00000000" w:rsidP="00000000" w:rsidRDefault="00000000" w:rsidRPr="00000000" w14:paraId="00000010">
      <w:pPr>
        <w:jc w:val="both"/>
        <w:rPr>
          <w:b w:val="1"/>
        </w:rPr>
      </w:pPr>
      <w:r w:rsidDel="00000000" w:rsidR="00000000" w:rsidRPr="00000000">
        <w:rPr>
          <w:rtl w:val="0"/>
        </w:rPr>
      </w:r>
    </w:p>
    <w:p w:rsidR="00000000" w:rsidDel="00000000" w:rsidP="00000000" w:rsidRDefault="00000000" w:rsidRPr="00000000" w14:paraId="00000011">
      <w:pPr>
        <w:jc w:val="both"/>
        <w:rPr>
          <w:b w:val="1"/>
        </w:rPr>
      </w:pPr>
      <w:r w:rsidDel="00000000" w:rsidR="00000000" w:rsidRPr="00000000">
        <w:rPr>
          <w:rtl w:val="0"/>
        </w:rPr>
      </w:r>
    </w:p>
    <w:p w:rsidR="00000000" w:rsidDel="00000000" w:rsidP="00000000" w:rsidRDefault="00000000" w:rsidRPr="00000000" w14:paraId="00000012">
      <w:pPr>
        <w:jc w:val="both"/>
        <w:rPr>
          <w:b w:val="1"/>
        </w:rPr>
      </w:pPr>
      <w:r w:rsidDel="00000000" w:rsidR="00000000" w:rsidRPr="00000000">
        <w:rPr>
          <w:rtl w:val="0"/>
        </w:rPr>
      </w:r>
    </w:p>
    <w:p w:rsidR="00000000" w:rsidDel="00000000" w:rsidP="00000000" w:rsidRDefault="00000000" w:rsidRPr="00000000" w14:paraId="00000013">
      <w:pPr>
        <w:jc w:val="both"/>
        <w:rPr>
          <w:b w:val="1"/>
        </w:rPr>
      </w:pPr>
      <w:r w:rsidDel="00000000" w:rsidR="00000000" w:rsidRPr="00000000">
        <w:rPr>
          <w:rtl w:val="0"/>
        </w:rPr>
      </w:r>
    </w:p>
    <w:p w:rsidR="00000000" w:rsidDel="00000000" w:rsidP="00000000" w:rsidRDefault="00000000" w:rsidRPr="00000000" w14:paraId="00000014">
      <w:pPr>
        <w:jc w:val="both"/>
        <w:rPr>
          <w:b w:val="1"/>
        </w:rPr>
      </w:pPr>
      <w:r w:rsidDel="00000000" w:rsidR="00000000" w:rsidRPr="00000000">
        <w:rPr>
          <w:rtl w:val="0"/>
        </w:rPr>
      </w:r>
    </w:p>
    <w:p w:rsidR="00000000" w:rsidDel="00000000" w:rsidP="00000000" w:rsidRDefault="00000000" w:rsidRPr="00000000" w14:paraId="00000015">
      <w:pPr>
        <w:jc w:val="both"/>
        <w:rPr>
          <w:b w:val="1"/>
        </w:rPr>
      </w:pPr>
      <w:r w:rsidDel="00000000" w:rsidR="00000000" w:rsidRPr="00000000">
        <w:rPr>
          <w:rtl w:val="0"/>
        </w:rPr>
      </w:r>
    </w:p>
    <w:p w:rsidR="00000000" w:rsidDel="00000000" w:rsidP="00000000" w:rsidRDefault="00000000" w:rsidRPr="00000000" w14:paraId="00000016">
      <w:pPr>
        <w:jc w:val="both"/>
        <w:rPr>
          <w:b w:val="1"/>
        </w:rPr>
      </w:pPr>
      <w:r w:rsidDel="00000000" w:rsidR="00000000" w:rsidRPr="00000000">
        <w:rPr>
          <w:rtl w:val="0"/>
        </w:rPr>
      </w:r>
    </w:p>
    <w:p w:rsidR="00000000" w:rsidDel="00000000" w:rsidP="00000000" w:rsidRDefault="00000000" w:rsidRPr="00000000" w14:paraId="00000017">
      <w:pPr>
        <w:jc w:val="both"/>
        <w:rPr>
          <w:b w:val="1"/>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If we measure the correlation between the two variables in this younger (orange) subset, we find a correlation of 61%, which is much lower than the 96% for the overall cohort.</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Moreover, we can compute the distribution of correlations when subsets of 76 samples, aged 15 to 30 years old, are randomly drawn 10 000 times from the normally distributed multivariate dataset (blue bell curve below). </w:t>
      </w:r>
    </w:p>
    <w:p w:rsidR="00000000" w:rsidDel="00000000" w:rsidP="00000000" w:rsidRDefault="00000000" w:rsidRPr="00000000" w14:paraId="0000001B">
      <w:pPr>
        <w:jc w:val="both"/>
        <w:rPr>
          <w:b w:val="1"/>
        </w:rPr>
      </w:pPr>
      <w:r w:rsidDel="00000000" w:rsidR="00000000" w:rsidRPr="00000000">
        <w:rPr>
          <w:rtl w:val="0"/>
        </w:rPr>
      </w:r>
    </w:p>
    <w:p w:rsidR="00000000" w:rsidDel="00000000" w:rsidP="00000000" w:rsidRDefault="00000000" w:rsidRPr="00000000" w14:paraId="0000001C">
      <w:pPr>
        <w:jc w:val="both"/>
        <w:rPr>
          <w:b w:val="1"/>
        </w:rPr>
      </w:pPr>
      <w:r w:rsidDel="00000000" w:rsidR="00000000" w:rsidRPr="00000000">
        <w:rPr>
          <w:rtl w:val="0"/>
        </w:rPr>
      </w:r>
    </w:p>
    <w:p w:rsidR="00000000" w:rsidDel="00000000" w:rsidP="00000000" w:rsidRDefault="00000000" w:rsidRPr="00000000" w14:paraId="0000001D">
      <w:pPr>
        <w:jc w:val="both"/>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828675</wp:posOffset>
            </wp:positionH>
            <wp:positionV relativeFrom="paragraph">
              <wp:posOffset>161925</wp:posOffset>
            </wp:positionV>
            <wp:extent cx="4514850" cy="2990850"/>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514850" cy="2990850"/>
                    </a:xfrm>
                    <a:prstGeom prst="rect"/>
                    <a:ln/>
                  </pic:spPr>
                </pic:pic>
              </a:graphicData>
            </a:graphic>
          </wp:anchor>
        </w:drawing>
      </w:r>
    </w:p>
    <w:p w:rsidR="00000000" w:rsidDel="00000000" w:rsidP="00000000" w:rsidRDefault="00000000" w:rsidRPr="00000000" w14:paraId="0000001E">
      <w:pPr>
        <w:jc w:val="both"/>
        <w:rPr>
          <w:b w:val="1"/>
        </w:rPr>
      </w:pPr>
      <w:r w:rsidDel="00000000" w:rsidR="00000000" w:rsidRPr="00000000">
        <w:rPr>
          <w:rtl w:val="0"/>
        </w:rPr>
      </w:r>
    </w:p>
    <w:p w:rsidR="00000000" w:rsidDel="00000000" w:rsidP="00000000" w:rsidRDefault="00000000" w:rsidRPr="00000000" w14:paraId="0000001F">
      <w:pPr>
        <w:jc w:val="both"/>
        <w:rPr>
          <w:b w:val="1"/>
        </w:rPr>
      </w:pPr>
      <w:r w:rsidDel="00000000" w:rsidR="00000000" w:rsidRPr="00000000">
        <w:rPr>
          <w:rtl w:val="0"/>
        </w:rPr>
      </w:r>
    </w:p>
    <w:p w:rsidR="00000000" w:rsidDel="00000000" w:rsidP="00000000" w:rsidRDefault="00000000" w:rsidRPr="00000000" w14:paraId="00000020">
      <w:pPr>
        <w:jc w:val="both"/>
        <w:rPr>
          <w:b w:val="1"/>
        </w:rPr>
      </w:pPr>
      <w:r w:rsidDel="00000000" w:rsidR="00000000" w:rsidRPr="00000000">
        <w:rPr>
          <w:rtl w:val="0"/>
        </w:rPr>
      </w:r>
    </w:p>
    <w:p w:rsidR="00000000" w:rsidDel="00000000" w:rsidP="00000000" w:rsidRDefault="00000000" w:rsidRPr="00000000" w14:paraId="00000021">
      <w:pPr>
        <w:jc w:val="both"/>
        <w:rPr>
          <w:b w:val="1"/>
        </w:rPr>
      </w:pPr>
      <w:r w:rsidDel="00000000" w:rsidR="00000000" w:rsidRPr="00000000">
        <w:rPr>
          <w:rtl w:val="0"/>
        </w:rPr>
      </w:r>
    </w:p>
    <w:p w:rsidR="00000000" w:rsidDel="00000000" w:rsidP="00000000" w:rsidRDefault="00000000" w:rsidRPr="00000000" w14:paraId="00000022">
      <w:pPr>
        <w:jc w:val="both"/>
        <w:rPr>
          <w:b w:val="1"/>
        </w:rPr>
      </w:pPr>
      <w:r w:rsidDel="00000000" w:rsidR="00000000" w:rsidRPr="00000000">
        <w:rPr>
          <w:rtl w:val="0"/>
        </w:rPr>
      </w:r>
    </w:p>
    <w:p w:rsidR="00000000" w:rsidDel="00000000" w:rsidP="00000000" w:rsidRDefault="00000000" w:rsidRPr="00000000" w14:paraId="00000023">
      <w:pPr>
        <w:jc w:val="both"/>
        <w:rPr>
          <w:b w:val="1"/>
        </w:rPr>
      </w:pPr>
      <w:r w:rsidDel="00000000" w:rsidR="00000000" w:rsidRPr="00000000">
        <w:rPr>
          <w:rtl w:val="0"/>
        </w:rPr>
      </w:r>
    </w:p>
    <w:p w:rsidR="00000000" w:rsidDel="00000000" w:rsidP="00000000" w:rsidRDefault="00000000" w:rsidRPr="00000000" w14:paraId="00000024">
      <w:pPr>
        <w:jc w:val="both"/>
        <w:rPr>
          <w:b w:val="1"/>
        </w:rPr>
      </w:pPr>
      <w:r w:rsidDel="00000000" w:rsidR="00000000" w:rsidRPr="00000000">
        <w:rPr>
          <w:rtl w:val="0"/>
        </w:rPr>
      </w:r>
    </w:p>
    <w:p w:rsidR="00000000" w:rsidDel="00000000" w:rsidP="00000000" w:rsidRDefault="00000000" w:rsidRPr="00000000" w14:paraId="00000025">
      <w:pPr>
        <w:jc w:val="both"/>
        <w:rPr>
          <w:b w:val="1"/>
        </w:rPr>
      </w:pPr>
      <w:r w:rsidDel="00000000" w:rsidR="00000000" w:rsidRPr="00000000">
        <w:rPr>
          <w:rtl w:val="0"/>
        </w:rPr>
      </w:r>
    </w:p>
    <w:p w:rsidR="00000000" w:rsidDel="00000000" w:rsidP="00000000" w:rsidRDefault="00000000" w:rsidRPr="00000000" w14:paraId="00000026">
      <w:pPr>
        <w:jc w:val="both"/>
        <w:rPr>
          <w:b w:val="1"/>
        </w:rPr>
      </w:pPr>
      <w:r w:rsidDel="00000000" w:rsidR="00000000" w:rsidRPr="00000000">
        <w:rPr>
          <w:rtl w:val="0"/>
        </w:rPr>
      </w:r>
    </w:p>
    <w:p w:rsidR="00000000" w:rsidDel="00000000" w:rsidP="00000000" w:rsidRDefault="00000000" w:rsidRPr="00000000" w14:paraId="00000027">
      <w:pPr>
        <w:jc w:val="both"/>
        <w:rPr>
          <w:b w:val="1"/>
        </w:rPr>
      </w:pPr>
      <w:r w:rsidDel="00000000" w:rsidR="00000000" w:rsidRPr="00000000">
        <w:rPr>
          <w:rtl w:val="0"/>
        </w:rPr>
      </w:r>
    </w:p>
    <w:p w:rsidR="00000000" w:rsidDel="00000000" w:rsidP="00000000" w:rsidRDefault="00000000" w:rsidRPr="00000000" w14:paraId="00000028">
      <w:pPr>
        <w:jc w:val="both"/>
        <w:rPr>
          <w:b w:val="1"/>
        </w:rPr>
      </w:pPr>
      <w:r w:rsidDel="00000000" w:rsidR="00000000" w:rsidRPr="00000000">
        <w:rPr>
          <w:rtl w:val="0"/>
        </w:rPr>
      </w:r>
    </w:p>
    <w:p w:rsidR="00000000" w:rsidDel="00000000" w:rsidP="00000000" w:rsidRDefault="00000000" w:rsidRPr="00000000" w14:paraId="00000029">
      <w:pPr>
        <w:jc w:val="both"/>
        <w:rPr>
          <w:b w:val="1"/>
        </w:rPr>
      </w:pPr>
      <w:r w:rsidDel="00000000" w:rsidR="00000000" w:rsidRPr="00000000">
        <w:rPr>
          <w:rtl w:val="0"/>
        </w:rPr>
      </w:r>
    </w:p>
    <w:p w:rsidR="00000000" w:rsidDel="00000000" w:rsidP="00000000" w:rsidRDefault="00000000" w:rsidRPr="00000000" w14:paraId="0000002A">
      <w:pPr>
        <w:jc w:val="both"/>
        <w:rPr>
          <w:b w:val="1"/>
        </w:rPr>
      </w:pPr>
      <w:r w:rsidDel="00000000" w:rsidR="00000000" w:rsidRPr="00000000">
        <w:rPr>
          <w:rtl w:val="0"/>
        </w:rPr>
      </w:r>
    </w:p>
    <w:p w:rsidR="00000000" w:rsidDel="00000000" w:rsidP="00000000" w:rsidRDefault="00000000" w:rsidRPr="00000000" w14:paraId="0000002B">
      <w:pPr>
        <w:jc w:val="both"/>
        <w:rPr>
          <w:b w:val="1"/>
        </w:rPr>
      </w:pPr>
      <w:r w:rsidDel="00000000" w:rsidR="00000000" w:rsidRPr="00000000">
        <w:rPr>
          <w:rtl w:val="0"/>
        </w:rPr>
      </w:r>
    </w:p>
    <w:p w:rsidR="00000000" w:rsidDel="00000000" w:rsidP="00000000" w:rsidRDefault="00000000" w:rsidRPr="00000000" w14:paraId="0000002C">
      <w:pPr>
        <w:jc w:val="both"/>
        <w:rPr>
          <w:b w:val="1"/>
        </w:rPr>
      </w:pPr>
      <w:r w:rsidDel="00000000" w:rsidR="00000000" w:rsidRPr="00000000">
        <w:rPr>
          <w:rtl w:val="0"/>
        </w:rPr>
      </w:r>
    </w:p>
    <w:p w:rsidR="00000000" w:rsidDel="00000000" w:rsidP="00000000" w:rsidRDefault="00000000" w:rsidRPr="00000000" w14:paraId="0000002D">
      <w:pPr>
        <w:jc w:val="both"/>
        <w:rPr>
          <w:b w:val="1"/>
        </w:rPr>
      </w:pPr>
      <w:r w:rsidDel="00000000" w:rsidR="00000000" w:rsidRPr="00000000">
        <w:rPr>
          <w:rtl w:val="0"/>
        </w:rPr>
      </w:r>
    </w:p>
    <w:p w:rsidR="00000000" w:rsidDel="00000000" w:rsidP="00000000" w:rsidRDefault="00000000" w:rsidRPr="00000000" w14:paraId="0000002E">
      <w:pPr>
        <w:jc w:val="both"/>
        <w:rPr>
          <w:b w:val="1"/>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This allows us to compute the non-parametric p-value of observing a correlation equal or superior to the 77% that we observed. It is 0.0015. This further demonstrates that the two variables in our dataset (real and predicted age) are even more significantly correlated than what would have been expected if they were randomly drawn from a larger multivariate normal dataset of 10 000 subjects and a correlation of 96%.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