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A46E5" w14:textId="6AA6E243"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SUPPLEMENTARY MATERIAL A: Methods</w:t>
      </w:r>
    </w:p>
    <w:p w14:paraId="3CDE9D27" w14:textId="77777777" w:rsidR="00F345D5" w:rsidRPr="00AE4D2D" w:rsidRDefault="00F345D5" w:rsidP="00F345D5">
      <w:pPr>
        <w:spacing w:after="0" w:line="240" w:lineRule="auto"/>
        <w:rPr>
          <w:rFonts w:ascii="Times New Roman" w:eastAsia="Times New Roman" w:hAnsi="Times New Roman" w:cs="Times New Roman"/>
          <w:b/>
          <w:bCs/>
          <w:sz w:val="24"/>
          <w:szCs w:val="24"/>
        </w:rPr>
      </w:pPr>
    </w:p>
    <w:p w14:paraId="433FB277" w14:textId="77777777" w:rsidR="00F345D5" w:rsidRPr="00AE4D2D" w:rsidRDefault="00F345D5" w:rsidP="00F345D5">
      <w:pPr>
        <w:spacing w:after="0" w:line="240" w:lineRule="auto"/>
        <w:rPr>
          <w:rFonts w:ascii="Times New Roman" w:eastAsia="Times New Roman" w:hAnsi="Times New Roman" w:cs="Times New Roman"/>
          <w:b/>
          <w:bCs/>
          <w:sz w:val="24"/>
          <w:szCs w:val="24"/>
        </w:rPr>
      </w:pPr>
      <w:r w:rsidRPr="00AE4D2D">
        <w:rPr>
          <w:rFonts w:ascii="Times New Roman" w:eastAsia="Times New Roman" w:hAnsi="Times New Roman" w:cs="Times New Roman"/>
          <w:b/>
          <w:bCs/>
          <w:sz w:val="24"/>
          <w:szCs w:val="24"/>
        </w:rPr>
        <w:t>Screening by DART-MS</w:t>
      </w:r>
    </w:p>
    <w:p w14:paraId="7DAE5C23" w14:textId="7ED157CD"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Screening of e-liquids was performed on a JEOL JMS T100LC Accu-TOF DART-MS operated in positive-ion mode and controlled by Mass Center software version 1.3.4 m (JEOL Inc., Tokyo, Japan) following previously published parameters </w:t>
      </w:r>
      <w:r w:rsidRPr="00AE4D2D">
        <w:rPr>
          <w:rFonts w:ascii="Times New Roman" w:eastAsia="Times New Roman" w:hAnsi="Times New Roman" w:cs="Times New Roman"/>
          <w:sz w:val="24"/>
          <w:szCs w:val="24"/>
        </w:rPr>
        <w:fldChar w:fldCharType="begin"/>
      </w:r>
      <w:r w:rsidRPr="00AE4D2D">
        <w:rPr>
          <w:rFonts w:ascii="Times New Roman" w:eastAsia="Times New Roman" w:hAnsi="Times New Roman" w:cs="Times New Roman"/>
          <w:sz w:val="24"/>
          <w:szCs w:val="24"/>
        </w:rPr>
        <w:instrText xml:space="preserve"> ADDIN ZOTERO_ITEM CSL_CITATION {"citationID":"BDiMiQ4N","properties":{"formattedCitation":"(Poklis et al., 2015)","plainCitation":"(Poklis et al., 2015)","noteIndex":0},"citationItems":[{"id":6181,"uris":["http://zotero.org/groups/2268858/items/CL7ZPX7D"],"uri":["http://zotero.org/groups/2268858/items/CL7ZPX7D"],"itemData":{"id":6181,"type":"article-journal","abstract":"In recent years, N-methoxybenzyl-methoxyphenylethylamine (NBOMe) derivatives, a class of designer hallucinogenic drugs, have become popular drugs of abuse. These drugs have been the cause of severe intoxications and even deaths. They act as 5-HT2A receptors agonists and have been reported to produce serotonin-like syndrome with bizarre behavior, severe agitation and seizures persisting for as long as 3 days. The most commonly reported derivatives are 25I-NBOMe, 25B-NBOMe and 25C-NBOMe, respectively 2-(4-iodo-2,5-dimethoxyphenyl)-N-[(2-methoxyphenyl) methyl]ethanamine, N-(2-methoxybenzyl)-2,5-dimethoxy-4-bromophenethylamine and N-(2-methoxybenzyl)-2,5-dimethoxy-4-chlorophenethylamine. Like many low dose hallucinogenic drugs these compounds are often sold on blotter paper. Three different types of commercially available blotter papers reported to contain NBOMe derivatives were obtained. These blotter papers were screened using Direct Analysis in Real Time AccuTOF(TM) mass spectrometry followed by confirmation and quantification by high-performance liquid chromatography triple quadrapole mass spectrometry. The major drug present on each of the three blotter products was different, 25I-NBOMe, 25C-NBOMe or 25B-NBOMe. The blotter papers were also found to have minute amounts of two or three NBOMe derivative impurities of 25H-NBOMe, 25I-NBOMe, 25C-NBOMe, 25B-NBOMe and/or 25D-NBOMe.","container-title":"Journal of Analytical Toxicology","DOI":"10.1093/jat/bkv073","ISSN":"1945-2403","issue":"8","journalAbbreviation":"J Anal Toxicol","language":"eng","note":"PMID: 26378135\nPMCID: PMC4570937","page":"617-623","source":"PubMed","title":"Analysis of 25I-NBOMe, 25B-NBOMe, 25C-NBOMe and Other Dimethoxyphenyl-N-[(2-Methoxyphenyl) Methyl]Ethanamine Derivatives on Blotter Paper","volume":"39","author":[{"family":"Poklis","given":"Justin L."},{"family":"Raso","given":"Stephen A."},{"family":"Alford","given":"Kylie N."},{"family":"Poklis","given":"Alphonse"},{"family":"Peace","given":"Michelle R."}],"issued":{"date-parts":[["2015",10]]}}}],"schema":"https://github.com/citation-style-language/schema/raw/master/csl-citation.json"} </w:instrText>
      </w:r>
      <w:r w:rsidRPr="00AE4D2D">
        <w:rPr>
          <w:rFonts w:ascii="Times New Roman" w:eastAsia="Times New Roman" w:hAnsi="Times New Roman" w:cs="Times New Roman"/>
          <w:sz w:val="24"/>
          <w:szCs w:val="24"/>
        </w:rPr>
        <w:fldChar w:fldCharType="separate"/>
      </w:r>
      <w:r w:rsidRPr="00AE4D2D">
        <w:rPr>
          <w:rFonts w:ascii="Times New Roman" w:eastAsia="Times New Roman" w:hAnsi="Times New Roman" w:cs="Times New Roman"/>
          <w:sz w:val="24"/>
        </w:rPr>
        <w:t>(Poklis et al., 2015)</w:t>
      </w:r>
      <w:r w:rsidRPr="00AE4D2D">
        <w:rPr>
          <w:rFonts w:ascii="Times New Roman" w:eastAsia="Times New Roman" w:hAnsi="Times New Roman" w:cs="Times New Roman"/>
          <w:sz w:val="24"/>
          <w:szCs w:val="24"/>
        </w:rPr>
        <w:fldChar w:fldCharType="end"/>
      </w:r>
      <w:r w:rsidRPr="00AE4D2D">
        <w:rPr>
          <w:rFonts w:ascii="Times New Roman" w:eastAsia="Times New Roman" w:hAnsi="Times New Roman" w:cs="Times New Roman"/>
          <w:sz w:val="24"/>
          <w:szCs w:val="24"/>
        </w:rPr>
        <w:t xml:space="preserve">. In brief, a capillary tube was dipped directly into the e-liquid and then introduced into the helium stream. The helium stream temperature was set to 300°C with a flow rate of 2.0 L/min, a discharge electrode needle voltage of 4000 V, and the grid electrode was set to 250 V. The ion guide peak voltage was 400 V, reflectron voltage was 900 V, orifice 2 was set to 5 V, and the ring lens was set to 3 V with orifice 1 operating in function switching mode at 20, 30, 60, or 90 V. The masses measured ranged from 40 to 1100 Da. The data was analyzed by creating an averaged, background subtracted, centroided mass spectra that was calibrated using PEG 600. Data was evaluated using National Institute of Standards and Technology (NIST) and Scientific Working Group for the Analysis of Seized Drugs (SWGDRUG) libraries loaded into Mass Mountaineer software (Diablo Analytical, Inc., Antioch, CA, USA). </w:t>
      </w:r>
      <w:r w:rsidR="00B00B24" w:rsidRPr="00AE4D2D">
        <w:rPr>
          <w:rFonts w:ascii="Times New Roman" w:eastAsia="Times New Roman" w:hAnsi="Times New Roman" w:cs="Times New Roman"/>
          <w:sz w:val="24"/>
          <w:szCs w:val="24"/>
        </w:rPr>
        <w:t>Presumptive i</w:t>
      </w:r>
      <w:r w:rsidRPr="00AE4D2D">
        <w:rPr>
          <w:rFonts w:ascii="Times New Roman" w:eastAsia="Times New Roman" w:hAnsi="Times New Roman" w:cs="Times New Roman"/>
          <w:sz w:val="24"/>
          <w:szCs w:val="24"/>
        </w:rPr>
        <w:t>dentifications were made when the exact mass was detected within 5 mDa of a compound’s calculated monoisotopic mass (M+H)</w:t>
      </w:r>
      <w:r w:rsidRPr="00AE4D2D">
        <w:rPr>
          <w:rFonts w:ascii="Times New Roman" w:eastAsia="Times New Roman" w:hAnsi="Times New Roman" w:cs="Times New Roman"/>
          <w:sz w:val="24"/>
          <w:szCs w:val="24"/>
          <w:vertAlign w:val="superscript"/>
        </w:rPr>
        <w:t>+</w:t>
      </w:r>
      <w:r w:rsidRPr="00AE4D2D">
        <w:rPr>
          <w:rFonts w:ascii="Times New Roman" w:eastAsia="Times New Roman" w:hAnsi="Times New Roman" w:cs="Times New Roman"/>
          <w:sz w:val="24"/>
          <w:szCs w:val="24"/>
        </w:rPr>
        <w:t>.</w:t>
      </w:r>
    </w:p>
    <w:p w14:paraId="2511B3E9" w14:textId="77777777" w:rsidR="00F345D5" w:rsidRPr="00AE4D2D" w:rsidRDefault="00F345D5" w:rsidP="00F345D5">
      <w:pPr>
        <w:spacing w:after="0" w:line="240" w:lineRule="auto"/>
        <w:rPr>
          <w:rFonts w:ascii="Times New Roman" w:eastAsia="Times New Roman" w:hAnsi="Times New Roman" w:cs="Times New Roman"/>
          <w:b/>
          <w:sz w:val="24"/>
          <w:szCs w:val="24"/>
        </w:rPr>
      </w:pPr>
    </w:p>
    <w:p w14:paraId="332FBB9A"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Screening by GC-MS</w:t>
      </w:r>
    </w:p>
    <w:p w14:paraId="493CC123" w14:textId="3B6B96E1"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E-liquids were screened by making a 1:100 dilution in methanol and analyzing using an untargeted GC-MS base screen method. Screening was performed on a Shimadzu QP-2020 GC-MS (Kyoto, Japan) controlled by GCMS Real Time Analysis version 4 (Shimadzu Corp. Kyoto, Japan). The chromatographic separation was performed on a HP-5MS column (30 m × 0.25 mm id × 0.25 μm) (Agilent, Santa Clara, CA). The GC-MS was operated in splitless mode using 1 μL sample injections. The carrier gas was helium at a linear velocity of 35 cm/s. The oven temperature was programmed to hold for 1 minute at 70°C, then ramped at 15°C per minute to 300°C and held for 10 minutes for a total run time of 26.33 minutes. The scan range for the mass spectrometer was 40–550 </w:t>
      </w:r>
      <w:r w:rsidRPr="00AE4D2D">
        <w:rPr>
          <w:rFonts w:ascii="Times New Roman" w:eastAsia="Times New Roman" w:hAnsi="Times New Roman" w:cs="Times New Roman"/>
          <w:i/>
          <w:iCs/>
          <w:sz w:val="24"/>
          <w:szCs w:val="24"/>
        </w:rPr>
        <w:t>m/z</w:t>
      </w:r>
      <w:r w:rsidRPr="00AE4D2D">
        <w:rPr>
          <w:rFonts w:ascii="Times New Roman" w:eastAsia="Times New Roman" w:hAnsi="Times New Roman" w:cs="Times New Roman"/>
          <w:sz w:val="24"/>
          <w:szCs w:val="24"/>
        </w:rPr>
        <w:t>.  A test mix containing 10 compounds was injected prior to samples. Correct retention time, peak shape, and abundance were evaluated to ensure the instrument was operating optimally. Methanol blanks were injected between samples to check for contamination or carryover. NIST and SWGDRUG libraries were used for identification</w:t>
      </w:r>
      <w:r w:rsidR="00CD0D7D" w:rsidRPr="00AE4D2D">
        <w:rPr>
          <w:rFonts w:ascii="Times New Roman" w:eastAsia="Times New Roman" w:hAnsi="Times New Roman" w:cs="Times New Roman"/>
          <w:sz w:val="24"/>
          <w:szCs w:val="24"/>
        </w:rPr>
        <w:t xml:space="preserve"> of compounds, which could be compared to DART-MS results</w:t>
      </w:r>
      <w:r w:rsidRPr="00AE4D2D">
        <w:rPr>
          <w:rFonts w:ascii="Times New Roman" w:eastAsia="Times New Roman" w:hAnsi="Times New Roman" w:cs="Times New Roman"/>
          <w:sz w:val="24"/>
          <w:szCs w:val="24"/>
        </w:rPr>
        <w:t xml:space="preserve">. </w:t>
      </w:r>
    </w:p>
    <w:p w14:paraId="3ACA2C6A" w14:textId="77777777" w:rsidR="00F345D5" w:rsidRPr="00AE4D2D" w:rsidRDefault="00F345D5" w:rsidP="00F345D5">
      <w:pPr>
        <w:spacing w:after="0" w:line="240" w:lineRule="auto"/>
        <w:rPr>
          <w:rFonts w:ascii="Times New Roman" w:eastAsia="Times New Roman" w:hAnsi="Times New Roman" w:cs="Times New Roman"/>
          <w:sz w:val="24"/>
          <w:szCs w:val="24"/>
        </w:rPr>
      </w:pPr>
    </w:p>
    <w:p w14:paraId="7916AA08"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Quantitation of Nicotine by GC-MS</w:t>
      </w:r>
    </w:p>
    <w:p w14:paraId="7585F8B4" w14:textId="64A8C65B"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Calibrators were prepared at 10, 20, 50, 100, 200, and 500 µg/mL nicotine in methanol. The limit of quantitation (LOQ)</w:t>
      </w:r>
      <w:r w:rsidR="00795AE1" w:rsidRPr="00AE4D2D">
        <w:rPr>
          <w:rFonts w:ascii="Times New Roman" w:eastAsia="Times New Roman" w:hAnsi="Times New Roman" w:cs="Times New Roman"/>
          <w:sz w:val="24"/>
          <w:szCs w:val="24"/>
        </w:rPr>
        <w:t xml:space="preserve"> was</w:t>
      </w:r>
      <w:r w:rsidR="00935A4C" w:rsidRPr="00AE4D2D">
        <w:rPr>
          <w:rFonts w:ascii="Times New Roman" w:eastAsia="Times New Roman" w:hAnsi="Times New Roman" w:cs="Times New Roman"/>
          <w:sz w:val="24"/>
          <w:szCs w:val="24"/>
        </w:rPr>
        <w:t xml:space="preserve"> </w:t>
      </w:r>
      <w:r w:rsidR="009F5C5B" w:rsidRPr="00AE4D2D">
        <w:rPr>
          <w:rFonts w:ascii="Times New Roman" w:eastAsia="Times New Roman" w:hAnsi="Times New Roman" w:cs="Times New Roman"/>
          <w:sz w:val="24"/>
          <w:szCs w:val="24"/>
        </w:rPr>
        <w:t>defined</w:t>
      </w:r>
      <w:r w:rsidR="00935A4C" w:rsidRPr="00AE4D2D">
        <w:rPr>
          <w:rFonts w:ascii="Times New Roman" w:eastAsia="Times New Roman" w:hAnsi="Times New Roman" w:cs="Times New Roman"/>
          <w:sz w:val="24"/>
          <w:szCs w:val="24"/>
        </w:rPr>
        <w:t xml:space="preserve"> as the lowest calibrator</w:t>
      </w:r>
      <w:r w:rsidR="00795AE1" w:rsidRPr="00AE4D2D">
        <w:rPr>
          <w:rFonts w:ascii="Times New Roman" w:eastAsia="Times New Roman" w:hAnsi="Times New Roman" w:cs="Times New Roman"/>
          <w:sz w:val="24"/>
          <w:szCs w:val="24"/>
        </w:rPr>
        <w:t>,</w:t>
      </w:r>
      <w:r w:rsidR="00935A4C" w:rsidRPr="00AE4D2D">
        <w:rPr>
          <w:rFonts w:ascii="Times New Roman" w:eastAsia="Times New Roman" w:hAnsi="Times New Roman" w:cs="Times New Roman"/>
          <w:sz w:val="24"/>
          <w:szCs w:val="24"/>
        </w:rPr>
        <w:t xml:space="preserve"> w</w:t>
      </w:r>
      <w:r w:rsidR="00D54DCA" w:rsidRPr="00AE4D2D">
        <w:rPr>
          <w:rFonts w:ascii="Times New Roman" w:eastAsia="Times New Roman" w:hAnsi="Times New Roman" w:cs="Times New Roman"/>
          <w:sz w:val="24"/>
          <w:szCs w:val="24"/>
        </w:rPr>
        <w:t xml:space="preserve">hich produced a </w:t>
      </w:r>
      <w:r w:rsidR="00935A4C" w:rsidRPr="00AE4D2D">
        <w:rPr>
          <w:rFonts w:ascii="Times New Roman" w:eastAsia="Times New Roman" w:hAnsi="Times New Roman" w:cs="Times New Roman"/>
          <w:sz w:val="24"/>
          <w:szCs w:val="24"/>
        </w:rPr>
        <w:t>signal-to-noise ratio greater than 10</w:t>
      </w:r>
      <w:r w:rsidR="00964CF0" w:rsidRPr="00AE4D2D">
        <w:rPr>
          <w:rFonts w:ascii="Times New Roman" w:eastAsia="Times New Roman" w:hAnsi="Times New Roman" w:cs="Times New Roman"/>
          <w:sz w:val="24"/>
          <w:szCs w:val="24"/>
        </w:rPr>
        <w:t xml:space="preserve"> and</w:t>
      </w:r>
      <w:r w:rsidR="00871BEF" w:rsidRPr="00AE4D2D">
        <w:rPr>
          <w:rFonts w:ascii="Times New Roman" w:eastAsia="Times New Roman" w:hAnsi="Times New Roman" w:cs="Times New Roman"/>
          <w:sz w:val="24"/>
          <w:szCs w:val="24"/>
        </w:rPr>
        <w:t xml:space="preserve"> ha</w:t>
      </w:r>
      <w:r w:rsidR="00391F20" w:rsidRPr="00AE4D2D">
        <w:rPr>
          <w:rFonts w:ascii="Times New Roman" w:eastAsia="Times New Roman" w:hAnsi="Times New Roman" w:cs="Times New Roman"/>
          <w:sz w:val="24"/>
          <w:szCs w:val="24"/>
        </w:rPr>
        <w:t>d</w:t>
      </w:r>
      <w:r w:rsidR="00871BEF" w:rsidRPr="00AE4D2D">
        <w:rPr>
          <w:rFonts w:ascii="Times New Roman" w:eastAsia="Times New Roman" w:hAnsi="Times New Roman" w:cs="Times New Roman"/>
          <w:sz w:val="24"/>
          <w:szCs w:val="24"/>
        </w:rPr>
        <w:t xml:space="preserve"> a concentration of</w:t>
      </w:r>
      <w:r w:rsidRPr="00AE4D2D">
        <w:rPr>
          <w:rFonts w:ascii="Times New Roman" w:eastAsia="Times New Roman" w:hAnsi="Times New Roman" w:cs="Times New Roman"/>
          <w:sz w:val="24"/>
          <w:szCs w:val="24"/>
        </w:rPr>
        <w:t xml:space="preserve"> 10 μg/mL with a linear range of 10-500 µg/mL. Lots of matrix matched </w:t>
      </w:r>
      <w:bookmarkStart w:id="0" w:name="_Hlk71549244"/>
      <w:r w:rsidRPr="00AE4D2D">
        <w:rPr>
          <w:rFonts w:ascii="Times New Roman" w:eastAsia="Times New Roman" w:hAnsi="Times New Roman" w:cs="Times New Roman"/>
          <w:sz w:val="24"/>
          <w:szCs w:val="24"/>
        </w:rPr>
        <w:t xml:space="preserve">quality controls </w:t>
      </w:r>
      <w:bookmarkStart w:id="1" w:name="_Hlk71549231"/>
      <w:r w:rsidRPr="00AE4D2D">
        <w:rPr>
          <w:rFonts w:ascii="Times New Roman" w:eastAsia="Times New Roman" w:hAnsi="Times New Roman" w:cs="Times New Roman"/>
          <w:sz w:val="24"/>
          <w:szCs w:val="24"/>
        </w:rPr>
        <w:t>(QCs)</w:t>
      </w:r>
      <w:bookmarkEnd w:id="1"/>
      <w:r w:rsidRPr="00AE4D2D">
        <w:rPr>
          <w:rFonts w:ascii="Times New Roman" w:eastAsia="Times New Roman" w:hAnsi="Times New Roman" w:cs="Times New Roman"/>
          <w:sz w:val="24"/>
          <w:szCs w:val="24"/>
        </w:rPr>
        <w:t xml:space="preserve"> were prepared </w:t>
      </w:r>
      <w:bookmarkEnd w:id="0"/>
      <w:r w:rsidRPr="00AE4D2D">
        <w:rPr>
          <w:rFonts w:ascii="Times New Roman" w:eastAsia="Times New Roman" w:hAnsi="Times New Roman" w:cs="Times New Roman"/>
          <w:sz w:val="24"/>
          <w:szCs w:val="24"/>
        </w:rPr>
        <w:t>at 30, 150, and 300 µg/mL nicotine by adding 5 µL of a 30:70 PG:VG mixture as part of the total 100 µL volume. E-cigarette liquids were diluted 1:100 in methanol.</w:t>
      </w:r>
      <w:r w:rsidR="00A42C32" w:rsidRPr="00AE4D2D">
        <w:rPr>
          <w:rFonts w:ascii="Times New Roman" w:eastAsia="Times New Roman" w:hAnsi="Times New Roman" w:cs="Times New Roman"/>
          <w:sz w:val="24"/>
          <w:szCs w:val="24"/>
        </w:rPr>
        <w:t xml:space="preserve"> </w:t>
      </w:r>
      <w:r w:rsidR="008348E2" w:rsidRPr="00AE4D2D">
        <w:rPr>
          <w:rFonts w:ascii="Times New Roman" w:eastAsia="Times New Roman" w:hAnsi="Times New Roman" w:cs="Times New Roman"/>
          <w:sz w:val="24"/>
          <w:szCs w:val="24"/>
        </w:rPr>
        <w:t xml:space="preserve">Samples that came in above the calibration curve were further diluted in methanol until they fell withing the working calibration range. </w:t>
      </w:r>
      <w:r w:rsidRPr="00AE4D2D">
        <w:rPr>
          <w:rFonts w:ascii="Times New Roman" w:eastAsia="Times New Roman" w:hAnsi="Times New Roman" w:cs="Times New Roman"/>
          <w:sz w:val="24"/>
          <w:szCs w:val="24"/>
        </w:rPr>
        <w:t>Calibrators, controls in triplicate, blank matrix with and without internal standard and samples were prepared for analysis by adding 100 µL to a vial with a glass insert with 15 µL internal standard (20</w:t>
      </w:r>
      <w:r w:rsidR="00F361A3" w:rsidRPr="00AE4D2D">
        <w:rPr>
          <w:rFonts w:ascii="Times New Roman" w:eastAsia="Times New Roman" w:hAnsi="Times New Roman" w:cs="Times New Roman"/>
          <w:sz w:val="24"/>
          <w:szCs w:val="24"/>
        </w:rPr>
        <w:t>0</w:t>
      </w:r>
      <w:r w:rsidRPr="00AE4D2D">
        <w:rPr>
          <w:rFonts w:ascii="Times New Roman" w:eastAsia="Times New Roman" w:hAnsi="Times New Roman" w:cs="Times New Roman"/>
          <w:sz w:val="24"/>
          <w:szCs w:val="24"/>
        </w:rPr>
        <w:t xml:space="preserve"> µg/mL quinoline in methanol). </w:t>
      </w:r>
    </w:p>
    <w:p w14:paraId="2FA2FEB6" w14:textId="5809A428" w:rsidR="00F345D5" w:rsidRPr="00AE4D2D" w:rsidRDefault="00F345D5" w:rsidP="00F345D5">
      <w:pPr>
        <w:spacing w:before="240"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lastRenderedPageBreak/>
        <w:t xml:space="preserve">Quantitation of nicotine was accomplished by GC-MS using a Shimadzu QP-2020 GC-MS (Kyoto, Japan) controlled by GCMS Real Time Analysis version 4 (Shimadzu Corp. Kyoto, Japan) following previously published parameters </w:t>
      </w:r>
      <w:r w:rsidRPr="00AE4D2D">
        <w:rPr>
          <w:rFonts w:ascii="Times New Roman" w:eastAsia="Times New Roman" w:hAnsi="Times New Roman" w:cs="Times New Roman"/>
          <w:sz w:val="24"/>
          <w:szCs w:val="24"/>
        </w:rPr>
        <w:fldChar w:fldCharType="begin"/>
      </w:r>
      <w:r w:rsidRPr="00AE4D2D">
        <w:rPr>
          <w:rFonts w:ascii="Times New Roman" w:eastAsia="Times New Roman" w:hAnsi="Times New Roman" w:cs="Times New Roman"/>
          <w:sz w:val="24"/>
          <w:szCs w:val="24"/>
        </w:rPr>
        <w:instrText xml:space="preserve"> ADDIN ZOTERO_ITEM CSL_CITATION {"citationID":"7QhiqOVs","properties":{"formattedCitation":"(Pagano et al., 2016)","plainCitation":"(Pagano et al., 2016)","noteIndex":0},"citationItems":[{"id":1094,"uris":["http://zotero.org/groups/2268858/items/MSJX977U"],"uri":["http://zotero.org/groups/2268858/items/MSJX977U"],"itemData":{"id":1094,"type":"article-journal","abstract":"Introduction: Electronic cigarettes (E-Cigs) are popular alternatives to conventional tobacco cigarettes. Disposable E-Cigs are single-use devices that emit aerosols from a nicotine-containing solution (e-liquid) by activating a heating coil during puffing. However, due to lack of regulations and standards, it is unclear how product claims are aligning with actual content and performance. Some analytical methods for characterizing E-Cigs are still in an exploratory phase.\nMethods: Five products of disposable E-Cigs (purchased March–April, 2014 from a local smoke shop and an on-line US distributor) were studied for nicotine content, number of puffs obtained before depletion, portion of nicotine delivered via aerosolization, and e-liquid pH. Protocols were developed to consistently extract e-liquid from puffed and unpuffed E-Cigs. An in-house mechanical puffing machine was used to consistently puff E-Cig aerosols onto filter pads. A gas chromatography-mass spectrometry method was developed that produced sensitive and repeatable nicotine determinations.\nResults: Under our experimental parameters, results showed a disparity between nicotine content and number of puffs achieved relative to what was claimed on product packaging. The portion of nicotine delivered to filter pads was often less than half that which was available, indicating much of the nicotine may be left in the E-Cig upon depletion.\nConclusions: Analyses of unpuffed E-Cigs by gas chromatography-mass spectrometry indicate the nicotine content of these products can be considerably different from manufacture’s labeling. Furthermore, a large portion of the nicotine in E-Cigs may not be transferred to the user, and that which is transferred, may often be in the less bioavailable form.","container-title":"Nicotine &amp; Tobacco Research","DOI":"10.1093/ntr/ntv120","ISSN":"1462-2203, 1469-994X","issue":"5","journalAbbreviation":"NICTOB","language":"en","page":"700-707","source":"DOI.org (Crossref)","title":"Determination of Nicotine Content and Delivery in Disposable Electronic Cigarettes Available in the United States by Gas Chromatography-Mass Spectrometry","volume":"18","author":[{"family":"Pagano","given":"Todd"},{"family":"DiFrancesco","given":"A. Gary"},{"family":"Smith","given":"Susan B."},{"family":"George","given":"Jerrin"},{"family":"Wink","given":"Gloria"},{"family":"Rahman","given":"Irfan"},{"family":"Robinson","given":"Risa J."}],"issued":{"date-parts":[["2016",5]]}}}],"schema":"https://github.com/citation-style-language/schema/raw/master/csl-citation.json"} </w:instrText>
      </w:r>
      <w:r w:rsidRPr="00AE4D2D">
        <w:rPr>
          <w:rFonts w:ascii="Times New Roman" w:eastAsia="Times New Roman" w:hAnsi="Times New Roman" w:cs="Times New Roman"/>
          <w:sz w:val="24"/>
          <w:szCs w:val="24"/>
        </w:rPr>
        <w:fldChar w:fldCharType="separate"/>
      </w:r>
      <w:r w:rsidRPr="00AE4D2D">
        <w:rPr>
          <w:rFonts w:ascii="Times New Roman" w:eastAsia="Times New Roman" w:hAnsi="Times New Roman" w:cs="Times New Roman"/>
          <w:sz w:val="24"/>
        </w:rPr>
        <w:t>(Pagano et al., 2016)</w:t>
      </w:r>
      <w:r w:rsidRPr="00AE4D2D">
        <w:rPr>
          <w:rFonts w:ascii="Times New Roman" w:eastAsia="Times New Roman" w:hAnsi="Times New Roman" w:cs="Times New Roman"/>
          <w:sz w:val="24"/>
          <w:szCs w:val="24"/>
        </w:rPr>
        <w:fldChar w:fldCharType="end"/>
      </w:r>
      <w:r w:rsidRPr="00AE4D2D">
        <w:rPr>
          <w:rFonts w:ascii="Times New Roman" w:eastAsia="Times New Roman" w:hAnsi="Times New Roman" w:cs="Times New Roman"/>
          <w:sz w:val="24"/>
          <w:szCs w:val="24"/>
        </w:rPr>
        <w:t xml:space="preserve">. The chromatographic separation was performed on a HP-5MS column (30 m × 0.25 mm id × 0.25 μm) (Agilent, Santa Clara, CA). Helium carrier gas was run through a split injector (50:1 split) at a temperature of 230°C. The injection volume was 1 µL of sample. The initial oven temperature was 80°C held for 1 min and then ramped at 25°C per minute to 245°C and held for 4.5 minutes for a total run time of 11.10 minutes. The source and transfer line were kept at 180°C and 280°C, respectively. Single-ion-monitoring (SIM) mode was used, monitoring </w:t>
      </w:r>
      <w:r w:rsidRPr="00AE4D2D">
        <w:rPr>
          <w:rFonts w:ascii="Times New Roman" w:eastAsia="Times New Roman" w:hAnsi="Times New Roman" w:cs="Times New Roman"/>
          <w:i/>
          <w:iCs/>
          <w:sz w:val="24"/>
          <w:szCs w:val="24"/>
        </w:rPr>
        <w:t>m/z</w:t>
      </w:r>
      <w:r w:rsidRPr="00AE4D2D">
        <w:rPr>
          <w:rFonts w:ascii="Times New Roman" w:eastAsia="Times New Roman" w:hAnsi="Times New Roman" w:cs="Times New Roman"/>
          <w:sz w:val="24"/>
          <w:szCs w:val="24"/>
        </w:rPr>
        <w:t xml:space="preserve"> values of 84 (quantitation), 133, and 162 for nicotine and 129 (quantitation) and 102 for quinolone. Methanol blanks were evaluated for contamination and carryover. Imprecision, accuracy, and measurement of uncertainty were determined by </w:t>
      </w:r>
      <w:bookmarkStart w:id="2" w:name="_Hlk71549306"/>
      <w:r w:rsidRPr="00AE4D2D">
        <w:rPr>
          <w:rFonts w:ascii="Times New Roman" w:eastAsia="Times New Roman" w:hAnsi="Times New Roman" w:cs="Times New Roman"/>
          <w:sz w:val="24"/>
          <w:szCs w:val="24"/>
        </w:rPr>
        <w:t>evaluating low (30 μg /mL), mid (150 μg /mL) and high (300 μg/mL) QC concentrations</w:t>
      </w:r>
      <w:bookmarkEnd w:id="2"/>
      <w:r w:rsidRPr="00AE4D2D">
        <w:rPr>
          <w:rFonts w:ascii="Times New Roman" w:eastAsia="Times New Roman" w:hAnsi="Times New Roman" w:cs="Times New Roman"/>
          <w:sz w:val="24"/>
          <w:szCs w:val="24"/>
        </w:rPr>
        <w:t>. Each was repeated three times on three different days for intraday precision. Accuracy was calculated as the percent of the target concentration and imprecision was calculated as the percent coefficient of variation (%CV). Accuracy and %CV were both within 15%. Instrument repeatability was calculated by injecting each QC 3 times and calculating the mean and standard deviation. Bias was calculated as the percent difference between the calculated values and actual values and was within ±15%. Carryover was assessed by injecting a double blank after the highest calibrator and between QC samples and product samples. Carryover was not detected.</w:t>
      </w:r>
      <w:r w:rsidR="00A442EB" w:rsidRPr="00AE4D2D">
        <w:rPr>
          <w:rFonts w:ascii="Times New Roman" w:eastAsia="Times New Roman" w:hAnsi="Times New Roman" w:cs="Times New Roman"/>
          <w:sz w:val="24"/>
          <w:szCs w:val="24"/>
        </w:rPr>
        <w:t xml:space="preserve"> </w:t>
      </w:r>
      <w:r w:rsidR="00D329F8" w:rsidRPr="00AE4D2D">
        <w:rPr>
          <w:rFonts w:ascii="Times New Roman" w:eastAsia="Times New Roman" w:hAnsi="Times New Roman" w:cs="Times New Roman"/>
          <w:sz w:val="24"/>
          <w:szCs w:val="24"/>
        </w:rPr>
        <w:t xml:space="preserve">Matrix </w:t>
      </w:r>
      <w:r w:rsidR="00CD1D58" w:rsidRPr="00AE4D2D">
        <w:rPr>
          <w:rFonts w:ascii="Times New Roman" w:eastAsia="Times New Roman" w:hAnsi="Times New Roman" w:cs="Times New Roman"/>
          <w:sz w:val="24"/>
          <w:szCs w:val="24"/>
        </w:rPr>
        <w:t>effects were not observed.</w:t>
      </w:r>
    </w:p>
    <w:p w14:paraId="1B12668F" w14:textId="77777777" w:rsidR="00F345D5" w:rsidRPr="00AE4D2D" w:rsidRDefault="00F345D5" w:rsidP="00F345D5">
      <w:pPr>
        <w:spacing w:after="0" w:line="240" w:lineRule="auto"/>
        <w:rPr>
          <w:rFonts w:ascii="Times New Roman" w:eastAsia="Times New Roman" w:hAnsi="Times New Roman" w:cs="Times New Roman"/>
          <w:sz w:val="24"/>
          <w:szCs w:val="24"/>
        </w:rPr>
      </w:pPr>
    </w:p>
    <w:p w14:paraId="2BF538A5"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Quantitation of Caffeine and Menthol by GC-MS</w:t>
      </w:r>
    </w:p>
    <w:p w14:paraId="798ACA5C" w14:textId="77777777"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Mixed caffeine and menthol calibrators were prepared at 100, 200, 500, 1000, 2000, and 5000 ng/mL in methanol. The limit of quantitation (LOQ) was 100 ng/mL with a linear range of 100-5000 ng/mL. Mixed QCs were prepared at 300, 800, and 4000 ng/mL caffeine and menthol. E-cigarette liquids were serial diluted 1:10, 1:100, 1:1000, and 1:10,000 in methanol to ensure target analytes fell within the working curve range. Calibrators, controls in triplicate, blank matrix with and without internal standard and samples were prepared for analysis by adding 100 µL to a vial with a glass insert with 10 µL mixed internal standard (10 µg/mL caffeine-(trimethyl-d9) and trans-anethole in methanol). </w:t>
      </w:r>
    </w:p>
    <w:p w14:paraId="5C822302" w14:textId="77777777" w:rsidR="00F345D5" w:rsidRPr="00AE4D2D" w:rsidRDefault="00F345D5" w:rsidP="00F345D5">
      <w:pPr>
        <w:spacing w:before="240"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Quantitation of caffeine and menthol was accomplished by GC-MS using a Shimadzu QP-2020 GC-MS (Kyoto, Japan) controlled by GCMS Real Time Analysis version 4 (Shimadzu Corp. Kyoto, Japan). The chromatographic separation was performed on a HP-5MS column (30 m × 0.25 mm id × 0.25 μm) (Agilent, Santa Clara, CA). Helium carrier gas was run through a split injector (20:1 split) at a temperature of 250°C. The injection volume was 1 µL of sample. The initial oven temperature was 70°C held for 1 min, then ramped at 15°C per minute to 220°C followed by ramping at 30°C per minute to 300°C for a total run time of 13.67 minutes. The source and transfer line were kept at 250°C and 280°C, respectively. Single-ion-monitoring (SIM) mode was used, monitoring </w:t>
      </w:r>
      <w:r w:rsidRPr="00AE4D2D">
        <w:rPr>
          <w:rFonts w:ascii="Times New Roman" w:eastAsia="Times New Roman" w:hAnsi="Times New Roman" w:cs="Times New Roman"/>
          <w:i/>
          <w:iCs/>
          <w:sz w:val="24"/>
          <w:szCs w:val="24"/>
        </w:rPr>
        <w:t>m/z</w:t>
      </w:r>
      <w:r w:rsidRPr="00AE4D2D">
        <w:rPr>
          <w:rFonts w:ascii="Times New Roman" w:eastAsia="Times New Roman" w:hAnsi="Times New Roman" w:cs="Times New Roman"/>
          <w:sz w:val="24"/>
          <w:szCs w:val="24"/>
        </w:rPr>
        <w:t xml:space="preserve"> values of 71 (quantitation), 81, 95, and 123 for menthol, 148 (quantitation), 105, 117, and 147 for trans-anethole, 203 (quantitation), 60, 70, and 115 for caffeine-(trimethyl-d9), and 194 (quantitation), 55, 67, and 109 for caffeine. Methanol blanks were evaluated for contamination and carryover. Imprecision, accuracy, and measurement of uncertainty were determined by evaluating low (300 ng/mL), mid (800 ng/mL) and high (4000 ng/mL) QC concentrations. Each was repeated three times on three different days for intraday precision. Accuracy was calculated as the percent of the target concentration and imprecision was calculated as the % CV. Accuracy was within 20% and %CV was within 20%. Instrument </w:t>
      </w:r>
      <w:r w:rsidRPr="00AE4D2D">
        <w:rPr>
          <w:rFonts w:ascii="Times New Roman" w:eastAsia="Times New Roman" w:hAnsi="Times New Roman" w:cs="Times New Roman"/>
          <w:sz w:val="24"/>
          <w:szCs w:val="24"/>
        </w:rPr>
        <w:lastRenderedPageBreak/>
        <w:t>repeatability was calculated by injecting each QC 3 times and calculating the mean and standard deviation. Bias was calculated as the percent difference between the calculated values and actual values and was within ±20%. Carryover was assessed by injecting a double blank after the highest calibrator and between QC samples and product samples. Carryover was not detected.</w:t>
      </w:r>
    </w:p>
    <w:p w14:paraId="0785D9AC" w14:textId="77777777" w:rsidR="00F345D5" w:rsidRPr="00AE4D2D" w:rsidRDefault="00F345D5" w:rsidP="00F345D5">
      <w:pPr>
        <w:spacing w:after="0" w:line="240" w:lineRule="auto"/>
        <w:rPr>
          <w:rFonts w:ascii="Times New Roman" w:eastAsia="Times New Roman" w:hAnsi="Times New Roman" w:cs="Times New Roman"/>
          <w:sz w:val="24"/>
          <w:szCs w:val="24"/>
        </w:rPr>
      </w:pPr>
    </w:p>
    <w:p w14:paraId="34FC5C13"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Quantitation of Vitamin E and Vitamin E Acetate by GC-MS</w:t>
      </w:r>
    </w:p>
    <w:p w14:paraId="50650E68" w14:textId="77777777"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Mixed Vitamin E and VEA calibrators were prepared at 10, 20, 50, 100, 200, 500, 1000, and 2000 ng/mL in methanol. The limit of quantitation (LOQ) was 10 ng/mL with a linear range of 10-2000 ng/mL. Mixed QCs were prepared at 30, 300, and 750 ng/mL Vitamin E and VEA. Samples were serial diluted in methanol to ensure target analytes fell within the working curve range. Calibrators, controls in triplicate, blank matrix with and without internal standard and samples were prepared for analysis by adding 100 µL to a vial with a glass insert with 10 µL internal standard (10 µg/mL Vitamin E-d6 in methanol). </w:t>
      </w:r>
    </w:p>
    <w:p w14:paraId="4FE68CE3" w14:textId="77777777" w:rsidR="00F345D5" w:rsidRPr="00AE4D2D" w:rsidRDefault="00F345D5" w:rsidP="00F345D5">
      <w:pPr>
        <w:spacing w:before="240"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Quantitation of Vitamin E and VEA was accomplished by GC-MS using a Shimadzu QP-2020 GC-MS (Kyoto, Japan) controlled by GCMS Real Time Analysis version 4 (Shimadzu Corp. Kyoto, Japan). The chromatographic separation was performed on a HP-5MS column (30 m × 0.25 mm id × 0.25 μm) (Agilent, Santa Clara, CA). Helium carrier gas was run through a splitless injector at a temperature of 250°C. The injection volume was 1 µL of sample. The initial oven temperature was 200°C followed by ramping 50°C per minute to 300°C with a four-minute hold for a total run time of 6.00 minutes. The source and transfer line were kept at 250°C and 280°C, respectively. Single-ion-monitoring (SIM) mode was used, monitoring </w:t>
      </w:r>
      <w:r w:rsidRPr="00AE4D2D">
        <w:rPr>
          <w:rFonts w:ascii="Times New Roman" w:eastAsia="Times New Roman" w:hAnsi="Times New Roman" w:cs="Times New Roman"/>
          <w:i/>
          <w:iCs/>
          <w:sz w:val="24"/>
          <w:szCs w:val="24"/>
        </w:rPr>
        <w:t>m/z</w:t>
      </w:r>
      <w:r w:rsidRPr="00AE4D2D">
        <w:rPr>
          <w:rFonts w:ascii="Times New Roman" w:eastAsia="Times New Roman" w:hAnsi="Times New Roman" w:cs="Times New Roman"/>
          <w:sz w:val="24"/>
          <w:szCs w:val="24"/>
        </w:rPr>
        <w:t xml:space="preserve"> values of 165 (quantitation), 430, and 205 for Vitamin E, 165 (quantitation), 430, and 205 for VEA, and 171 (quantitation), 436, and 211 for Vitamin E-d6. Methanol blanks were evaluated for contamination and carryover. Imprecision, accuracy, and measurement of uncertainty were determined by evaluating low (30 ng/mL), mid (300 ng/mL) and high (750 ng/mL) QC concentrations. Each was repeated three times on three different days for intraday precision. Accuracy was calculated as the percent of the target concentration and imprecision was calculated as the % CV. Accuracy was within 20% and %CV was within 20%. Instrument repeatability was calculated by injecting each QC 3 times and calculating the mean and standard deviation. Bias was calculated as the percent difference between the calculated values and actual values and was within ±20%. Carryover was assessed by injecting a double blank after the highest calibrator and between QC samples and product samples. Carryover was not detected.</w:t>
      </w:r>
    </w:p>
    <w:p w14:paraId="5AB7C9E3" w14:textId="77777777" w:rsidR="00F345D5" w:rsidRPr="00AE4D2D" w:rsidRDefault="00F345D5" w:rsidP="00F345D5">
      <w:pPr>
        <w:spacing w:after="0" w:line="240" w:lineRule="auto"/>
        <w:rPr>
          <w:rFonts w:ascii="Times New Roman" w:eastAsia="Times New Roman" w:hAnsi="Times New Roman" w:cs="Times New Roman"/>
          <w:b/>
          <w:sz w:val="24"/>
          <w:szCs w:val="24"/>
        </w:rPr>
      </w:pPr>
    </w:p>
    <w:p w14:paraId="57C8F91B"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Quantitation of Volatiles by HS-GC-FID</w:t>
      </w:r>
    </w:p>
    <w:p w14:paraId="54097360" w14:textId="77777777" w:rsidR="00F345D5" w:rsidRPr="00AE4D2D" w:rsidRDefault="00F345D5" w:rsidP="00F345D5">
      <w:pPr>
        <w:spacing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E-cigarette liquids were diluted 1:10 in deionized (DI) water. Mixed calibrators were prepared at 100, 300, 500, 900, 1500, and 3000 µg/mL of acetone, ethanol, isopropanol, and methanol in water. The limit of detection (LOQ) for all volatiles was 100 mg/L with a linear range of 100-3,000 mg/L. Lots of matrix matched mixed QCs were prepared at 200, 600, and 2000 µg/mL acetone, ethanol, isopropanol, and methanol in a 30:70 PG:VG mixture. Calibrators, controls in triplicate, blank matrix with and without internal standard and samples were prepared for analysis by adding 100 µL to a headspace vial with 1 mL internal standard (20 mg/L t-butanol in water). </w:t>
      </w:r>
    </w:p>
    <w:p w14:paraId="099BF94D" w14:textId="3BB9FD06"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Quantitation of acetone, ethanol, isopropanol, and methanol was accomplished using a modified previously published method for headspace gas chromatography-flame ionization detector (HS-GC-FID) and employed a Shimadzu HS-20 headspace sampler attached to a Nexis 2030 GC-dual </w:t>
      </w:r>
      <w:r w:rsidRPr="00AE4D2D">
        <w:rPr>
          <w:rFonts w:ascii="Times New Roman" w:eastAsia="Times New Roman" w:hAnsi="Times New Roman" w:cs="Times New Roman"/>
          <w:sz w:val="24"/>
          <w:szCs w:val="24"/>
        </w:rPr>
        <w:lastRenderedPageBreak/>
        <w:t xml:space="preserve">FID controlled by LabSolutions software (Shimadzu Corp., Kyoto, Japan) </w:t>
      </w:r>
      <w:r w:rsidRPr="00AE4D2D">
        <w:rPr>
          <w:rFonts w:ascii="Times New Roman" w:eastAsia="Times New Roman" w:hAnsi="Times New Roman" w:cs="Times New Roman"/>
          <w:sz w:val="24"/>
          <w:szCs w:val="24"/>
        </w:rPr>
        <w:fldChar w:fldCharType="begin"/>
      </w:r>
      <w:r w:rsidRPr="00AE4D2D">
        <w:rPr>
          <w:rFonts w:ascii="Times New Roman" w:eastAsia="Times New Roman" w:hAnsi="Times New Roman" w:cs="Times New Roman"/>
          <w:sz w:val="24"/>
          <w:szCs w:val="24"/>
        </w:rPr>
        <w:instrText xml:space="preserve"> ADDIN ZOTERO_ITEM CSL_CITATION {"citationID":"JgBgmTp9","properties":{"formattedCitation":"(Poklis et al., 2017b)","plainCitation":"(Poklis et al., 2017b)","noteIndex":0},"citationItems":[{"id":4498,"uris":["http://zotero.org/groups/2268858/items/SFJH525V"],"uri":["http://zotero.org/groups/2268858/items/SFJH525V"],"itemData":{"id":4498,"type":"article-journal","abstract":"Personal battery powered vaporizers or electronic cigarettes were developed as an alternative to traditional cigarettes. The modern electronic cigarettes were patented in 2004 by Hon Lik in China. In May 2016, the US Food and Drug Administration (FDA) imposed regulatory statutes on e-cigarettes and their liquid formulations (e-liquids); prior to that, they were unregulated. E-liquids are typically composed of propylene glycol and/or glycerin, flavoring component(s), and active ingredient(s), such as nicotine. Fifty-six commercially available e-liquids, purchased from various sources, contained a variety of flavors and active ingredients. A headspace gas chromatography with flame ionization detector HS-GC-FID method was used to analyze these e-liquids for volatiles content. Only one of the e-liquids listed ethanol as a component. A headspace gas chromatography with flame ionization detector HS-GC-FID method was used to analyze the e-liquids. The chromatographic separation of volatiles was performed on a Restek BAC-1 column. A linear calibration was generated for ethanol with limits of detection and quantification (LOD/LOQ) of 0.05 mg/mL. Ethanol concentrations in the fifty-six e-liquids ranged from none detected to 206 mg/mL. The ethanol determined in these products may have been used in flavorants or a solvent; the reason for inclusion cannot be fully ascertained. The implications of vaporizing ethanol as an e-liquid component are unknown.","container-title":"Drug testing and analysis","DOI":"10.1002/dta.2193","ISSN":"1942-7603","issue":"10","journalAbbreviation":"Drug Test Anal","note":"PMID: 28332307\nPMCID: PMC5630485","page":"1637-1640","source":"PubMed Central","title":"Ethanol Concentration in 56 Refillable Electronic Cigarettes Liquid Formulations Determined by Headspace Gas Chromatography with Flame Ionization Detector (HS-GC-FID)","volume":"9","author":[{"family":"Poklis","given":"Justin L."},{"family":"Wolf","given":"Carl E"},{"family":"Peace","given":"Michelle R."}],"issued":{"date-parts":[["2017",10]]}}}],"schema":"https://github.com/citation-style-language/schema/raw/master/csl-citation.json"} </w:instrText>
      </w:r>
      <w:r w:rsidRPr="00AE4D2D">
        <w:rPr>
          <w:rFonts w:ascii="Times New Roman" w:eastAsia="Times New Roman" w:hAnsi="Times New Roman" w:cs="Times New Roman"/>
          <w:sz w:val="24"/>
          <w:szCs w:val="24"/>
        </w:rPr>
        <w:fldChar w:fldCharType="separate"/>
      </w:r>
      <w:r w:rsidRPr="00AE4D2D">
        <w:rPr>
          <w:rFonts w:ascii="Times New Roman" w:eastAsia="Times New Roman" w:hAnsi="Times New Roman" w:cs="Times New Roman"/>
          <w:sz w:val="24"/>
        </w:rPr>
        <w:t>(Poklis et al., 2017b)</w:t>
      </w:r>
      <w:r w:rsidRPr="00AE4D2D">
        <w:rPr>
          <w:rFonts w:ascii="Times New Roman" w:eastAsia="Times New Roman" w:hAnsi="Times New Roman" w:cs="Times New Roman"/>
          <w:sz w:val="24"/>
          <w:szCs w:val="24"/>
        </w:rPr>
        <w:fldChar w:fldCharType="end"/>
      </w:r>
      <w:r w:rsidRPr="00AE4D2D">
        <w:rPr>
          <w:rFonts w:ascii="Times New Roman" w:eastAsia="Times New Roman" w:hAnsi="Times New Roman" w:cs="Times New Roman"/>
          <w:sz w:val="24"/>
          <w:szCs w:val="24"/>
        </w:rPr>
        <w:t xml:space="preserve">. The chromatographic separation was performed on RTX-BAC PLUS 1 (30 m× 0.32 mm id × 1.80 µm) and RTX-BAC PLUS 2 (30 m× 0.32 mm id × 0.6 µm) columns (Restek Corp, Bellefonte, PA, USA). The sample line and transfer line temperatures were set to 170°C, and the platen temperature was 80°C with the mixer on. The incubation time was 5 min with a sample injection time of 0.5 min. The GC oven temperature was set to 40°C with an injection temperature of 200°C run in split mode with a 1:20 ratio. The column ﬂow rate was 2.57 mL/min with purge ﬂow of 0.5 mL/min, and the detector temperature was 225°C. </w:t>
      </w:r>
      <w:r w:rsidR="00EF48CB" w:rsidRPr="00AE4D2D">
        <w:rPr>
          <w:rFonts w:ascii="Times New Roman" w:eastAsia="Times New Roman" w:hAnsi="Times New Roman" w:cs="Times New Roman"/>
          <w:sz w:val="24"/>
          <w:szCs w:val="24"/>
        </w:rPr>
        <w:t>Analyte values were averaged between the two FIDs</w:t>
      </w:r>
      <w:r w:rsidR="0082617A" w:rsidRPr="00AE4D2D">
        <w:rPr>
          <w:rFonts w:ascii="Times New Roman" w:eastAsia="Times New Roman" w:hAnsi="Times New Roman" w:cs="Times New Roman"/>
          <w:sz w:val="24"/>
          <w:szCs w:val="24"/>
        </w:rPr>
        <w:t xml:space="preserve">. </w:t>
      </w:r>
      <w:r w:rsidRPr="00AE4D2D">
        <w:rPr>
          <w:rFonts w:ascii="Times New Roman" w:eastAsia="Times New Roman" w:hAnsi="Times New Roman" w:cs="Times New Roman"/>
          <w:sz w:val="24"/>
          <w:szCs w:val="24"/>
        </w:rPr>
        <w:t>Accuracy was within 15% and %CV was within 15%. Instrument repeatability was calculated by injecting each QC 3 times and calculating the mean and standard deviation. Bias was calculated as the percent difference between the calculated values and actual values and was within ±15%. Carryover was assessed by injecting a double blank after the highest calibrator and between QC samples and product samples. Carryover was not detected.</w:t>
      </w:r>
    </w:p>
    <w:p w14:paraId="3FB7C721" w14:textId="77777777" w:rsidR="00F345D5" w:rsidRPr="00AE4D2D" w:rsidRDefault="00F345D5" w:rsidP="00F345D5">
      <w:pPr>
        <w:spacing w:after="0" w:line="240" w:lineRule="auto"/>
        <w:rPr>
          <w:rFonts w:ascii="Times New Roman" w:eastAsia="Times New Roman" w:hAnsi="Times New Roman" w:cs="Times New Roman"/>
          <w:b/>
          <w:sz w:val="24"/>
          <w:szCs w:val="24"/>
        </w:rPr>
      </w:pPr>
    </w:p>
    <w:p w14:paraId="085F13C2"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Quantitation of Olivetol by LC-MS/MS</w:t>
      </w:r>
    </w:p>
    <w:p w14:paraId="4285B9FD" w14:textId="77777777" w:rsidR="00F345D5" w:rsidRPr="00AE4D2D" w:rsidRDefault="00F345D5" w:rsidP="00F345D5">
      <w:pPr>
        <w:spacing w:after="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bCs/>
          <w:sz w:val="24"/>
          <w:szCs w:val="24"/>
        </w:rPr>
        <w:t xml:space="preserve">Due to the viscous nature of some products, most products were diluted for analysis by transferring a small amount of sample into a test tube, collecting the mass, and adding a small volume of methanol. Test tubes were capped and vortexed vigorously to dissolve and homogenize the sample. Calibrators were prepared at 100, 200, 500, 1000, 2000, and 5000 ng/mL in methanol. QCs were prepared at 300, 800, and 4000 ng/mL in methanol. </w:t>
      </w:r>
      <w:r w:rsidRPr="00AE4D2D">
        <w:rPr>
          <w:rFonts w:ascii="Times New Roman" w:eastAsia="Times New Roman" w:hAnsi="Times New Roman" w:cs="Times New Roman"/>
          <w:sz w:val="24"/>
          <w:szCs w:val="24"/>
        </w:rPr>
        <w:t xml:space="preserve">Calibrators, controls in triplicate, blank matrix with and without internal standard and samples were prepared for analysis by adding 100 µL to a vial with 10 µL internal standard (10 µg/mL olivetol-d9 in methanol). The limit of quantitation (LOQ) for olivetol was 100 ng/mL with a linear range of 100 to 5000 ng/mL.  </w:t>
      </w:r>
    </w:p>
    <w:p w14:paraId="1F3D07D0" w14:textId="61C4066F" w:rsidR="00F345D5" w:rsidRPr="00AE4D2D" w:rsidRDefault="00F345D5" w:rsidP="00F345D5">
      <w:pPr>
        <w:spacing w:before="24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sz w:val="24"/>
          <w:szCs w:val="24"/>
        </w:rPr>
        <w:t xml:space="preserve">Quantitation of olivetol was accomplished using a Shimadzu LC-MS 8050 controlled with LabSolutions software (Shimadzu Corp., Kyoto, Japan). Chromatographic separation was performed on a Zorbax Eclipse </w:t>
      </w:r>
      <w:r w:rsidRPr="00AE4D2D">
        <w:rPr>
          <w:rFonts w:ascii="Times New Roman" w:eastAsia="Times New Roman" w:hAnsi="Times New Roman" w:cs="Times New Roman"/>
          <w:bCs/>
          <w:sz w:val="24"/>
          <w:szCs w:val="24"/>
        </w:rPr>
        <w:t>XDBC18 column 4.6 × 75 mm, 3.5 micron (Agilent Technologies, Santa Clara, CA)</w:t>
      </w:r>
      <w:r w:rsidRPr="00AE4D2D">
        <w:rPr>
          <w:rFonts w:ascii="Times New Roman" w:eastAsia="Times New Roman" w:hAnsi="Times New Roman" w:cs="Times New Roman"/>
          <w:sz w:val="24"/>
          <w:szCs w:val="24"/>
        </w:rPr>
        <w:t xml:space="preserve"> held at 40°C. Five mM ammonium formate in water with 0.1% formic acid (A) and methanol (B) were used as the mobile phase. A binary gradient was used with a flow rate of 1.0 mL/min and the following programming: 0.00-0.01 min: 5% B; 0.02-9.00 min: 95% B; 9.01-9.50 min: 95% B; 9.51-10.50 min: 5% B. The source temperature was set at 650°C and had a curtain gas flow rate of 30 mL/min. The ion spray voltage was 5,000 V, with the ion source gases 1 and 2 at flow rates of 60 mL/min. The following transition ions (</w:t>
      </w:r>
      <w:r w:rsidRPr="00AE4D2D">
        <w:rPr>
          <w:rFonts w:ascii="Times New Roman" w:eastAsia="Times New Roman" w:hAnsi="Times New Roman" w:cs="Times New Roman"/>
          <w:i/>
          <w:iCs/>
          <w:sz w:val="24"/>
          <w:szCs w:val="24"/>
        </w:rPr>
        <w:t>m/z</w:t>
      </w:r>
      <w:r w:rsidRPr="00AE4D2D">
        <w:rPr>
          <w:rFonts w:ascii="Times New Roman" w:eastAsia="Times New Roman" w:hAnsi="Times New Roman" w:cs="Times New Roman"/>
          <w:sz w:val="24"/>
          <w:szCs w:val="24"/>
        </w:rPr>
        <w:t xml:space="preserve">) were monitored in multiple reaction monitoring (MRM) mode (Lens 1 Voltage, Collision Energy, Lens 3 Voltage): olivetol, </w:t>
      </w:r>
      <w:r w:rsidR="000F008C" w:rsidRPr="00AE4D2D">
        <w:rPr>
          <w:rFonts w:ascii="Times New Roman" w:eastAsia="Times New Roman" w:hAnsi="Times New Roman" w:cs="Times New Roman"/>
          <w:sz w:val="24"/>
          <w:szCs w:val="24"/>
        </w:rPr>
        <w:t>181.0&gt;111.0</w:t>
      </w:r>
      <w:r w:rsidRPr="00AE4D2D">
        <w:rPr>
          <w:rFonts w:ascii="Times New Roman" w:eastAsia="Times New Roman" w:hAnsi="Times New Roman" w:cs="Times New Roman"/>
          <w:sz w:val="24"/>
          <w:szCs w:val="24"/>
        </w:rPr>
        <w:t xml:space="preserve"> (-</w:t>
      </w:r>
      <w:r w:rsidR="00892359" w:rsidRPr="00AE4D2D">
        <w:rPr>
          <w:rFonts w:ascii="Times New Roman" w:eastAsia="Times New Roman" w:hAnsi="Times New Roman" w:cs="Times New Roman"/>
          <w:sz w:val="24"/>
          <w:szCs w:val="24"/>
        </w:rPr>
        <w:t>27.0, -14.0</w:t>
      </w:r>
      <w:r w:rsidR="00662438" w:rsidRPr="00AE4D2D">
        <w:rPr>
          <w:rFonts w:ascii="Times New Roman" w:eastAsia="Times New Roman" w:hAnsi="Times New Roman" w:cs="Times New Roman"/>
          <w:sz w:val="24"/>
          <w:szCs w:val="24"/>
        </w:rPr>
        <w:t>, -20.0</w:t>
      </w:r>
      <w:r w:rsidRPr="00AE4D2D">
        <w:rPr>
          <w:rFonts w:ascii="Times New Roman" w:eastAsia="Times New Roman" w:hAnsi="Times New Roman" w:cs="Times New Roman"/>
          <w:sz w:val="24"/>
          <w:szCs w:val="24"/>
        </w:rPr>
        <w:t>)</w:t>
      </w:r>
      <w:r w:rsidR="00431C9C" w:rsidRPr="00AE4D2D">
        <w:rPr>
          <w:rFonts w:ascii="Times New Roman" w:eastAsia="Times New Roman" w:hAnsi="Times New Roman" w:cs="Times New Roman"/>
          <w:sz w:val="24"/>
          <w:szCs w:val="24"/>
        </w:rPr>
        <w:t xml:space="preserve"> and </w:t>
      </w:r>
      <w:r w:rsidR="000F008C" w:rsidRPr="00AE4D2D">
        <w:rPr>
          <w:rFonts w:ascii="Times New Roman" w:eastAsia="Times New Roman" w:hAnsi="Times New Roman" w:cs="Times New Roman"/>
          <w:sz w:val="24"/>
          <w:szCs w:val="24"/>
        </w:rPr>
        <w:t>181.0&gt;</w:t>
      </w:r>
      <w:r w:rsidR="00431C9C" w:rsidRPr="00AE4D2D">
        <w:rPr>
          <w:rFonts w:ascii="Times New Roman" w:eastAsia="Times New Roman" w:hAnsi="Times New Roman" w:cs="Times New Roman"/>
          <w:sz w:val="24"/>
          <w:szCs w:val="24"/>
        </w:rPr>
        <w:t>71.0</w:t>
      </w:r>
      <w:r w:rsidRPr="00AE4D2D">
        <w:rPr>
          <w:rFonts w:ascii="Times New Roman" w:eastAsia="Times New Roman" w:hAnsi="Times New Roman" w:cs="Times New Roman"/>
          <w:sz w:val="24"/>
          <w:szCs w:val="24"/>
        </w:rPr>
        <w:t xml:space="preserve"> (-</w:t>
      </w:r>
      <w:r w:rsidR="00662438" w:rsidRPr="00AE4D2D">
        <w:rPr>
          <w:rFonts w:ascii="Times New Roman" w:eastAsia="Times New Roman" w:hAnsi="Times New Roman" w:cs="Times New Roman"/>
          <w:sz w:val="24"/>
          <w:szCs w:val="24"/>
        </w:rPr>
        <w:t>13.0, -13.0, -11.0</w:t>
      </w:r>
      <w:r w:rsidRPr="00AE4D2D">
        <w:rPr>
          <w:rFonts w:ascii="Times New Roman" w:eastAsia="Times New Roman" w:hAnsi="Times New Roman" w:cs="Times New Roman"/>
          <w:sz w:val="24"/>
          <w:szCs w:val="24"/>
        </w:rPr>
        <w:t>)</w:t>
      </w:r>
      <w:r w:rsidR="00431C9C" w:rsidRPr="00AE4D2D">
        <w:rPr>
          <w:rFonts w:ascii="Times New Roman" w:eastAsia="Times New Roman" w:hAnsi="Times New Roman" w:cs="Times New Roman"/>
          <w:sz w:val="24"/>
          <w:szCs w:val="24"/>
        </w:rPr>
        <w:t xml:space="preserve">; </w:t>
      </w:r>
      <w:r w:rsidR="00A1568E" w:rsidRPr="00AE4D2D">
        <w:rPr>
          <w:rFonts w:ascii="Times New Roman" w:eastAsia="Times New Roman" w:hAnsi="Times New Roman" w:cs="Times New Roman"/>
          <w:sz w:val="24"/>
          <w:szCs w:val="24"/>
        </w:rPr>
        <w:t>olivetol-</w:t>
      </w:r>
      <w:r w:rsidRPr="00AE4D2D">
        <w:rPr>
          <w:rFonts w:ascii="Times New Roman" w:eastAsia="Times New Roman" w:hAnsi="Times New Roman" w:cs="Times New Roman"/>
          <w:sz w:val="24"/>
          <w:szCs w:val="24"/>
        </w:rPr>
        <w:t>d</w:t>
      </w:r>
      <w:r w:rsidR="00A1568E" w:rsidRPr="00AE4D2D">
        <w:rPr>
          <w:rFonts w:ascii="Times New Roman" w:eastAsia="Times New Roman" w:hAnsi="Times New Roman" w:cs="Times New Roman"/>
          <w:sz w:val="24"/>
          <w:szCs w:val="24"/>
        </w:rPr>
        <w:t>9</w:t>
      </w:r>
      <w:r w:rsidRPr="00AE4D2D">
        <w:rPr>
          <w:rFonts w:ascii="Times New Roman" w:eastAsia="Times New Roman" w:hAnsi="Times New Roman" w:cs="Times New Roman"/>
          <w:sz w:val="24"/>
          <w:szCs w:val="24"/>
        </w:rPr>
        <w:t xml:space="preserve">, </w:t>
      </w:r>
      <w:r w:rsidR="00FA6D8E" w:rsidRPr="00AE4D2D">
        <w:rPr>
          <w:rFonts w:ascii="Times New Roman" w:eastAsia="Times New Roman" w:hAnsi="Times New Roman" w:cs="Times New Roman"/>
          <w:sz w:val="24"/>
          <w:szCs w:val="24"/>
        </w:rPr>
        <w:t>190.0&gt;112.0</w:t>
      </w:r>
      <w:r w:rsidRPr="00AE4D2D">
        <w:rPr>
          <w:rFonts w:ascii="Times New Roman" w:eastAsia="Times New Roman" w:hAnsi="Times New Roman" w:cs="Times New Roman"/>
          <w:sz w:val="24"/>
          <w:szCs w:val="24"/>
        </w:rPr>
        <w:t xml:space="preserve"> (-</w:t>
      </w:r>
      <w:r w:rsidR="00662438" w:rsidRPr="00AE4D2D">
        <w:rPr>
          <w:rFonts w:ascii="Times New Roman" w:eastAsia="Times New Roman" w:hAnsi="Times New Roman" w:cs="Times New Roman"/>
          <w:sz w:val="24"/>
          <w:szCs w:val="24"/>
        </w:rPr>
        <w:t>30.0, -14.0, -18.0</w:t>
      </w:r>
      <w:r w:rsidRPr="00AE4D2D">
        <w:rPr>
          <w:rFonts w:ascii="Times New Roman" w:eastAsia="Times New Roman" w:hAnsi="Times New Roman" w:cs="Times New Roman"/>
          <w:sz w:val="24"/>
          <w:szCs w:val="24"/>
        </w:rPr>
        <w:t xml:space="preserve">) and </w:t>
      </w:r>
      <w:r w:rsidR="00FA6D8E" w:rsidRPr="00AE4D2D">
        <w:rPr>
          <w:rFonts w:ascii="Times New Roman" w:eastAsia="Times New Roman" w:hAnsi="Times New Roman" w:cs="Times New Roman"/>
          <w:sz w:val="24"/>
          <w:szCs w:val="24"/>
        </w:rPr>
        <w:t>190.0&gt;80.0</w:t>
      </w:r>
      <w:r w:rsidRPr="00AE4D2D">
        <w:rPr>
          <w:rFonts w:ascii="Times New Roman" w:eastAsia="Times New Roman" w:hAnsi="Times New Roman" w:cs="Times New Roman"/>
          <w:sz w:val="24"/>
          <w:szCs w:val="24"/>
        </w:rPr>
        <w:t xml:space="preserve"> (-</w:t>
      </w:r>
      <w:r w:rsidR="00662438" w:rsidRPr="00AE4D2D">
        <w:rPr>
          <w:rFonts w:ascii="Times New Roman" w:eastAsia="Times New Roman" w:hAnsi="Times New Roman" w:cs="Times New Roman"/>
          <w:sz w:val="24"/>
          <w:szCs w:val="24"/>
        </w:rPr>
        <w:t xml:space="preserve">15.0, -15.0, </w:t>
      </w:r>
      <w:r w:rsidR="003C428C" w:rsidRPr="00AE4D2D">
        <w:rPr>
          <w:rFonts w:ascii="Times New Roman" w:eastAsia="Times New Roman" w:hAnsi="Times New Roman" w:cs="Times New Roman"/>
          <w:sz w:val="24"/>
          <w:szCs w:val="24"/>
        </w:rPr>
        <w:t>-12.0</w:t>
      </w:r>
      <w:r w:rsidRPr="00AE4D2D">
        <w:rPr>
          <w:rFonts w:ascii="Times New Roman" w:eastAsia="Times New Roman" w:hAnsi="Times New Roman" w:cs="Times New Roman"/>
          <w:sz w:val="24"/>
          <w:szCs w:val="24"/>
        </w:rPr>
        <w:t>).</w:t>
      </w:r>
    </w:p>
    <w:p w14:paraId="0361756E" w14:textId="77777777" w:rsidR="00F345D5" w:rsidRPr="00AE4D2D" w:rsidRDefault="00F345D5" w:rsidP="00F345D5">
      <w:pPr>
        <w:spacing w:after="0" w:line="240" w:lineRule="auto"/>
        <w:rPr>
          <w:rFonts w:ascii="Times New Roman" w:eastAsia="Times New Roman" w:hAnsi="Times New Roman" w:cs="Times New Roman"/>
          <w:bCs/>
          <w:sz w:val="24"/>
          <w:szCs w:val="24"/>
        </w:rPr>
      </w:pPr>
    </w:p>
    <w:p w14:paraId="4CE2BFA6" w14:textId="77777777" w:rsidR="00F345D5" w:rsidRPr="00AE4D2D" w:rsidRDefault="00F345D5" w:rsidP="00F345D5">
      <w:pPr>
        <w:spacing w:after="0" w:line="240" w:lineRule="auto"/>
        <w:rPr>
          <w:rFonts w:ascii="Times New Roman" w:eastAsia="Times New Roman" w:hAnsi="Times New Roman" w:cs="Times New Roman"/>
          <w:b/>
          <w:sz w:val="24"/>
          <w:szCs w:val="24"/>
        </w:rPr>
      </w:pPr>
      <w:r w:rsidRPr="00AE4D2D">
        <w:rPr>
          <w:rFonts w:ascii="Times New Roman" w:eastAsia="Times New Roman" w:hAnsi="Times New Roman" w:cs="Times New Roman"/>
          <w:b/>
          <w:sz w:val="24"/>
          <w:szCs w:val="24"/>
        </w:rPr>
        <w:t>Quantitation of Cannabinoids by LC-MS/MS</w:t>
      </w:r>
    </w:p>
    <w:p w14:paraId="31DF101B" w14:textId="77777777" w:rsidR="00F345D5" w:rsidRPr="00AE4D2D" w:rsidRDefault="00F345D5" w:rsidP="00F345D5">
      <w:pPr>
        <w:spacing w:before="240" w:line="240" w:lineRule="auto"/>
        <w:rPr>
          <w:rFonts w:ascii="Times New Roman" w:eastAsia="Times New Roman" w:hAnsi="Times New Roman" w:cs="Times New Roman"/>
          <w:sz w:val="24"/>
          <w:szCs w:val="24"/>
        </w:rPr>
      </w:pPr>
      <w:r w:rsidRPr="00AE4D2D">
        <w:rPr>
          <w:rFonts w:ascii="Times New Roman" w:eastAsia="Times New Roman" w:hAnsi="Times New Roman" w:cs="Times New Roman"/>
          <w:bCs/>
          <w:sz w:val="24"/>
          <w:szCs w:val="24"/>
        </w:rPr>
        <w:t>E-cigarette liquids were serial diluted in methanol to ensure analytes fell within the working calibration range. Mixed calibrators of the 9 cannabinoid analytes (</w:t>
      </w:r>
      <w:r w:rsidRPr="00AE4D2D">
        <w:rPr>
          <w:rFonts w:ascii="Times New Roman" w:eastAsia="Times New Roman" w:hAnsi="Times New Roman" w:cs="Times New Roman"/>
          <w:sz w:val="24"/>
          <w:szCs w:val="24"/>
        </w:rPr>
        <w:t xml:space="preserve">CBD, Δ9-THC, CBG, CBC, CBN, THCA, Δ8-THC, CBDA, and THCV) </w:t>
      </w:r>
      <w:r w:rsidRPr="00AE4D2D">
        <w:rPr>
          <w:rFonts w:ascii="Times New Roman" w:eastAsia="Times New Roman" w:hAnsi="Times New Roman" w:cs="Times New Roman"/>
          <w:bCs/>
          <w:sz w:val="24"/>
          <w:szCs w:val="24"/>
        </w:rPr>
        <w:t xml:space="preserve">were prepared at 10, 20, 50, 100, 200, 500, and 1000 ng/mL in methanol. Mixed QCs were prepared at 30, 300, and 750 ng/mL in methanol. </w:t>
      </w:r>
      <w:r w:rsidRPr="00AE4D2D">
        <w:rPr>
          <w:rFonts w:ascii="Times New Roman" w:eastAsia="Times New Roman" w:hAnsi="Times New Roman" w:cs="Times New Roman"/>
          <w:sz w:val="24"/>
          <w:szCs w:val="24"/>
        </w:rPr>
        <w:t xml:space="preserve">Calibrators, controls, blank matrix with and without internal standard and samples were prepared </w:t>
      </w:r>
      <w:r w:rsidRPr="00AE4D2D">
        <w:rPr>
          <w:rFonts w:ascii="Times New Roman" w:eastAsia="Times New Roman" w:hAnsi="Times New Roman" w:cs="Times New Roman"/>
          <w:sz w:val="24"/>
          <w:szCs w:val="24"/>
        </w:rPr>
        <w:lastRenderedPageBreak/>
        <w:t xml:space="preserve">for analysis by adding 100 µL to a vial with 10 µL mixed internal standard (1 µg/mL CBD-d3, Δ9-THC-d3, and CBN-d3 in methanol). The limit of detection (LOQ) for all cannabinoid analytes was 10 ng/mL with a linear range of 10-1000 ng/mL.  </w:t>
      </w:r>
    </w:p>
    <w:p w14:paraId="5579BC9D" w14:textId="77777777" w:rsidR="00F345D5" w:rsidRPr="00AE4D2D" w:rsidRDefault="00F345D5" w:rsidP="00F345D5">
      <w:pPr>
        <w:spacing w:after="0" w:line="240" w:lineRule="auto"/>
        <w:rPr>
          <w:rFonts w:ascii="Times New Roman" w:eastAsia="Times New Roman" w:hAnsi="Times New Roman" w:cs="Times New Roman"/>
          <w:sz w:val="20"/>
          <w:szCs w:val="20"/>
        </w:rPr>
      </w:pPr>
      <w:r w:rsidRPr="00AE4D2D">
        <w:rPr>
          <w:rFonts w:ascii="Times New Roman" w:eastAsia="Times New Roman" w:hAnsi="Times New Roman" w:cs="Times New Roman"/>
          <w:sz w:val="24"/>
          <w:szCs w:val="24"/>
        </w:rPr>
        <w:t xml:space="preserve">Quantitation of cannabinoids was accomplished using a Shimadzu LC-MS 8050 controlled with LabSolutions software (Shimadzu Corp., Kyoto, Japan) using a modified version of a previously published method </w:t>
      </w:r>
      <w:r w:rsidRPr="00AE4D2D">
        <w:rPr>
          <w:rFonts w:ascii="Times New Roman" w:eastAsia="Times New Roman" w:hAnsi="Times New Roman" w:cs="Times New Roman"/>
          <w:sz w:val="24"/>
          <w:szCs w:val="24"/>
        </w:rPr>
        <w:fldChar w:fldCharType="begin"/>
      </w:r>
      <w:r w:rsidRPr="00AE4D2D">
        <w:rPr>
          <w:rFonts w:ascii="Times New Roman" w:eastAsia="Times New Roman" w:hAnsi="Times New Roman" w:cs="Times New Roman"/>
          <w:sz w:val="24"/>
          <w:szCs w:val="24"/>
        </w:rPr>
        <w:instrText xml:space="preserve"> ADDIN ZOTERO_ITEM CSL_CITATION {"citationID":"APv4eSv0","properties":{"formattedCitation":"(Poklis et al., 2010)","plainCitation":"(Poklis et al., 2010)","noteIndex":0},"citationItems":[{"id":7778,"uris":["http://zotero.org/groups/2268858/items/XN29C2S7"],"uri":["http://zotero.org/groups/2268858/items/XN29C2S7"],"itemData":{"id":7778,"type":"article-journal","abstract":"A liquid chromatography–tandem mass spectrometry (LC–MS–MS) method was developed for the analysis of marijuana cannabinoids in mouse brain tissue using an Applied Biosystems 3200 Q trap with a turbo V source for TurbolonSpray attached to a Shimadzu SCL HPLC system. The method included cannabichromene (CBC), cannabidiol (CBD), D9-tetrahydrocannabinol (THC), 11-hydroxytetrahydrocannabinol (11-OH-THC), and 11-nor-D9-tetrahydrocannabinol-9-carboxylic acid (THC-COOH). These compounds were isolated by liquid-liquid extraction using cold acetonitrile. The following transition ions were monitored by multiple reaction monitoring (MRM): m/z 315&gt;193, 315&gt;259 for THC/CBD/CBC; m/z 331&gt;193, 331&gt;105 for 11-OH-THC; m/z 345&gt;299, 345&gt;193 for THC-COOH;c m/z 318&gt;196 for THC-d3; m/z 334&gt;196 for 11-OH-THC-d3, and m/z 348&gt;302 for THCCOOH-d3. Linearity for THC, 1-OH-THC, and THC-COOH was 1-200 ng/g; for CBC and CBD, it was 0.5–20 ng/g. Within-run and between-run precisions for all the analytes yielded coefficients of variation of &lt; 20%. Four C57BL6 mice were sacrificed 20 min after nose-only exposure to the smoke of 200 mg of marijuana containing 0.44 mg CBC, 0.93 mg CBD, and 8.81 mg THC. The mean brain concentrations were 3.9 ± 1.5 ng/g CBC, 21 ± 3.9 ng/g CBD, 364 ± 74 ng/g THC, and 28 ± 5.9 ng/g 11-OH-THC. THCCOOH was not detected. The relative mean brain cannabinoid concentrations correlated to the amounts of the cannabinoids in the inhaled marijuana.","container-title":"Journal of analytical toxicology","ISSN":"0146-4760","issue":"8","journalAbbreviation":"J Anal Toxicol","note":"PMID: 21258613\nPMCID: PMC3023979","page":"516-520","source":"PubMed Central","title":"Disposition of Cannabichromene, Cannabidiol, and Δ9-Tetrahydrocannabinol and its Metabolites in Mouse Brain following Marijuana Inhalation Determined by High-Performance Liquid Chromatography–Tandem Mass Spectrometry","volume":"34","author":[{"family":"Poklis","given":"Justin L."},{"family":"Thompson","given":"Candace C."},{"family":"Long","given":"Kelly A."},{"family":"Lichtman","given":"Aron H."},{"family":"Poklis","given":"Alphonse"}],"issued":{"date-parts":[["2010",10,1]]}}}],"schema":"https://github.com/citation-style-language/schema/raw/master/csl-citation.json"} </w:instrText>
      </w:r>
      <w:r w:rsidRPr="00AE4D2D">
        <w:rPr>
          <w:rFonts w:ascii="Times New Roman" w:eastAsia="Times New Roman" w:hAnsi="Times New Roman" w:cs="Times New Roman"/>
          <w:sz w:val="24"/>
          <w:szCs w:val="24"/>
        </w:rPr>
        <w:fldChar w:fldCharType="separate"/>
      </w:r>
      <w:r w:rsidRPr="00AE4D2D">
        <w:rPr>
          <w:rFonts w:ascii="Times New Roman" w:eastAsia="Times New Roman" w:hAnsi="Times New Roman" w:cs="Times New Roman"/>
          <w:sz w:val="24"/>
        </w:rPr>
        <w:t>(Poklis et al., 2010)</w:t>
      </w:r>
      <w:r w:rsidRPr="00AE4D2D">
        <w:rPr>
          <w:rFonts w:ascii="Times New Roman" w:eastAsia="Times New Roman" w:hAnsi="Times New Roman" w:cs="Times New Roman"/>
          <w:sz w:val="24"/>
          <w:szCs w:val="24"/>
        </w:rPr>
        <w:fldChar w:fldCharType="end"/>
      </w:r>
      <w:r w:rsidRPr="00AE4D2D">
        <w:rPr>
          <w:rFonts w:ascii="Times New Roman" w:eastAsia="Times New Roman" w:hAnsi="Times New Roman" w:cs="Times New Roman"/>
          <w:sz w:val="24"/>
          <w:szCs w:val="24"/>
        </w:rPr>
        <w:t xml:space="preserve">. Chromatographic separation was performed on a </w:t>
      </w:r>
      <w:r w:rsidRPr="00AE4D2D">
        <w:rPr>
          <w:rFonts w:ascii="Times New Roman" w:eastAsia="Times New Roman" w:hAnsi="Times New Roman" w:cs="Times New Roman"/>
          <w:bCs/>
          <w:sz w:val="24"/>
          <w:szCs w:val="24"/>
        </w:rPr>
        <w:t xml:space="preserve">Zorbax Eclipse XDBC18 column (4.6 × 75 mm, 3.5 micron, Agilent Technologies, Santa Clara, CA) </w:t>
      </w:r>
      <w:r w:rsidRPr="00AE4D2D">
        <w:rPr>
          <w:rFonts w:ascii="Times New Roman" w:eastAsia="Times New Roman" w:hAnsi="Times New Roman" w:cs="Times New Roman"/>
          <w:sz w:val="24"/>
          <w:szCs w:val="24"/>
        </w:rPr>
        <w:t>held at 40°C. An isocratic method was used with a flow of 0.15 mL/min for mobile phase A (10mM ammonium formate in water with 0.1% formic acid) and 0.85 mL/min for mobile phase B (methanol). The source temperature was set at 650°C and had a curtain gas flow rate of 30 mL/min. The ion spray voltage was 5,000 V, with the ion source gases 1 and 2 at flow rates of 60 mL/min. Transition ions (</w:t>
      </w:r>
      <w:r w:rsidRPr="00AE4D2D">
        <w:rPr>
          <w:rFonts w:ascii="Times New Roman" w:eastAsia="Times New Roman" w:hAnsi="Times New Roman" w:cs="Times New Roman"/>
          <w:i/>
          <w:iCs/>
          <w:sz w:val="24"/>
          <w:szCs w:val="24"/>
        </w:rPr>
        <w:t>m/z</w:t>
      </w:r>
      <w:r w:rsidRPr="00AE4D2D">
        <w:rPr>
          <w:rFonts w:ascii="Times New Roman" w:eastAsia="Times New Roman" w:hAnsi="Times New Roman" w:cs="Times New Roman"/>
          <w:sz w:val="24"/>
          <w:szCs w:val="24"/>
        </w:rPr>
        <w:t xml:space="preserve">) monitored in multiple reaction monitoring (MRM) mode can be found in Appendix B. The chromatographic method resolved analytes with identical transition ions. </w:t>
      </w:r>
    </w:p>
    <w:p w14:paraId="2D40240E" w14:textId="77777777" w:rsidR="00CB5FB9" w:rsidRPr="00AE4D2D" w:rsidRDefault="000B0145"/>
    <w:sectPr w:rsidR="00CB5FB9" w:rsidRPr="00AE4D2D" w:rsidSect="004D67CE">
      <w:headerReference w:type="default" r:id="rId6"/>
      <w:pgSz w:w="12240" w:h="15840"/>
      <w:pgMar w:top="1440" w:right="1440" w:bottom="1440" w:left="1440" w:header="720" w:footer="720" w:gutter="0"/>
      <w:lnNumType w:countBy="0"/>
      <w:pgNumType w:start="1"/>
      <w:cols w:space="720"/>
      <w:docGrid w:linePitch="299"/>
      <w:sectPrChange w:id="3" w:author="Sam Burns" w:date="2021-09-27T17:08:00Z">
        <w:sectPr w:rsidR="00CB5FB9" w:rsidRPr="00AE4D2D" w:rsidSect="004D67CE">
          <w:pgMar w:top="1440" w:right="1440" w:bottom="1440" w:left="1440" w:header="720" w:footer="720" w:gutter="0"/>
          <w:lnNumType w:countBy="1"/>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68982" w14:textId="77777777" w:rsidR="000B0145" w:rsidRDefault="000B0145">
      <w:pPr>
        <w:spacing w:after="0" w:line="240" w:lineRule="auto"/>
      </w:pPr>
      <w:r>
        <w:separator/>
      </w:r>
    </w:p>
  </w:endnote>
  <w:endnote w:type="continuationSeparator" w:id="0">
    <w:p w14:paraId="37E977CB" w14:textId="77777777" w:rsidR="000B0145" w:rsidRDefault="000B0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D1BA9" w14:textId="77777777" w:rsidR="000B0145" w:rsidRDefault="000B0145">
      <w:pPr>
        <w:spacing w:after="0" w:line="240" w:lineRule="auto"/>
      </w:pPr>
      <w:r>
        <w:separator/>
      </w:r>
    </w:p>
  </w:footnote>
  <w:footnote w:type="continuationSeparator" w:id="0">
    <w:p w14:paraId="63B52F10" w14:textId="77777777" w:rsidR="000B0145" w:rsidRDefault="000B0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5C6F3" w14:textId="77777777" w:rsidR="00D765A5" w:rsidRDefault="000B0145"/>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m Burns">
    <w15:presenceInfo w15:providerId="AD" w15:userId="S::sam.burns@frontiersin.net::574534c4-63dd-48ae-b406-cb0658363d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D5"/>
    <w:rsid w:val="000B0145"/>
    <w:rsid w:val="000F008C"/>
    <w:rsid w:val="000F5ACE"/>
    <w:rsid w:val="00143A58"/>
    <w:rsid w:val="001F0576"/>
    <w:rsid w:val="002D01AB"/>
    <w:rsid w:val="002F4D68"/>
    <w:rsid w:val="00380726"/>
    <w:rsid w:val="00391F20"/>
    <w:rsid w:val="003C428C"/>
    <w:rsid w:val="00431C9C"/>
    <w:rsid w:val="00440B49"/>
    <w:rsid w:val="00471B1A"/>
    <w:rsid w:val="004C666B"/>
    <w:rsid w:val="004D67CE"/>
    <w:rsid w:val="005171B6"/>
    <w:rsid w:val="005F43BF"/>
    <w:rsid w:val="00601C95"/>
    <w:rsid w:val="00630527"/>
    <w:rsid w:val="00662438"/>
    <w:rsid w:val="00795AE1"/>
    <w:rsid w:val="0082617A"/>
    <w:rsid w:val="008348E2"/>
    <w:rsid w:val="00870CB1"/>
    <w:rsid w:val="00871BEF"/>
    <w:rsid w:val="00892359"/>
    <w:rsid w:val="008B1415"/>
    <w:rsid w:val="008F4F4C"/>
    <w:rsid w:val="00935A4C"/>
    <w:rsid w:val="00964CF0"/>
    <w:rsid w:val="00987315"/>
    <w:rsid w:val="009F5C5B"/>
    <w:rsid w:val="00A1568E"/>
    <w:rsid w:val="00A20E9C"/>
    <w:rsid w:val="00A42C32"/>
    <w:rsid w:val="00A442EB"/>
    <w:rsid w:val="00AA3065"/>
    <w:rsid w:val="00AC75C1"/>
    <w:rsid w:val="00AE4D2D"/>
    <w:rsid w:val="00B00B24"/>
    <w:rsid w:val="00B03A6C"/>
    <w:rsid w:val="00B8761A"/>
    <w:rsid w:val="00C272E2"/>
    <w:rsid w:val="00CD0D7D"/>
    <w:rsid w:val="00CD1D58"/>
    <w:rsid w:val="00D329F8"/>
    <w:rsid w:val="00D54DCA"/>
    <w:rsid w:val="00D56C0F"/>
    <w:rsid w:val="00DD5867"/>
    <w:rsid w:val="00DE2B44"/>
    <w:rsid w:val="00EF48CB"/>
    <w:rsid w:val="00F345D5"/>
    <w:rsid w:val="00F361A3"/>
    <w:rsid w:val="00F96081"/>
    <w:rsid w:val="00FA6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84162"/>
  <w15:chartTrackingRefBased/>
  <w15:docId w15:val="{7A298248-A624-4DCE-8534-977006EF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345D5"/>
  </w:style>
  <w:style w:type="paragraph" w:styleId="Revision">
    <w:name w:val="Revision"/>
    <w:hidden/>
    <w:uiPriority w:val="99"/>
    <w:semiHidden/>
    <w:rsid w:val="00AE4D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3945</Words>
  <Characters>22487</Characters>
  <Application>Microsoft Office Word</Application>
  <DocSecurity>0</DocSecurity>
  <Lines>187</Lines>
  <Paragraphs>52</Paragraphs>
  <ScaleCrop>false</ScaleCrop>
  <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Alaina Holt</dc:creator>
  <cp:keywords/>
  <dc:description/>
  <cp:lastModifiedBy>Sam Burns</cp:lastModifiedBy>
  <cp:revision>2</cp:revision>
  <dcterms:created xsi:type="dcterms:W3CDTF">2021-09-27T16:09:00Z</dcterms:created>
  <dcterms:modified xsi:type="dcterms:W3CDTF">2021-09-27T16:09:00Z</dcterms:modified>
</cp:coreProperties>
</file>