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03E71" w14:textId="2F16D6F0" w:rsidR="00AA0515" w:rsidRDefault="00AA0515" w:rsidP="00181681">
      <w:pPr>
        <w:jc w:val="center"/>
      </w:pPr>
      <w:r w:rsidRPr="00AA0515">
        <w:t>What’s UPDOG?</w:t>
      </w:r>
      <w:r w:rsidR="00E125EA" w:rsidRPr="00E125EA">
        <w:t xml:space="preserve"> </w:t>
      </w:r>
      <w:r w:rsidR="00E125EA">
        <w:t>A novel tool for trans-ancestral polygenic score prediction</w:t>
      </w:r>
    </w:p>
    <w:p w14:paraId="2CAAD95A" w14:textId="77777777" w:rsidR="00AA0515" w:rsidRDefault="00AA0515" w:rsidP="00181681">
      <w:pPr>
        <w:jc w:val="center"/>
      </w:pPr>
    </w:p>
    <w:p w14:paraId="5EB14282" w14:textId="386DDCE6" w:rsidR="00181681" w:rsidRDefault="00181681" w:rsidP="00181681">
      <w:pPr>
        <w:jc w:val="center"/>
      </w:pPr>
      <w:r>
        <w:t>Supplementary Material</w:t>
      </w:r>
    </w:p>
    <w:p w14:paraId="6EE96B41" w14:textId="0C0118ED" w:rsidR="00181681" w:rsidRDefault="00181681" w:rsidP="00181681">
      <w:pPr>
        <w:jc w:val="both"/>
      </w:pPr>
    </w:p>
    <w:p w14:paraId="273A9649" w14:textId="25003B0C" w:rsidR="006D50C7" w:rsidRDefault="006D50C7" w:rsidP="00CE42C3">
      <w:pPr>
        <w:spacing w:line="480" w:lineRule="auto"/>
        <w:jc w:val="both"/>
      </w:pPr>
      <w:r>
        <w:t xml:space="preserve">Three different models were examined. </w:t>
      </w:r>
      <w:r w:rsidR="00AA58BC">
        <w:t>M</w:t>
      </w:r>
      <w:r>
        <w:t>odel</w:t>
      </w:r>
      <w:r w:rsidR="00AA58BC">
        <w:t xml:space="preserve"> B</w:t>
      </w:r>
      <w:r>
        <w:t xml:space="preserve"> provided the </w:t>
      </w:r>
      <w:r w:rsidRPr="006D50C7">
        <w:t>greatest number of increased predictions</w:t>
      </w:r>
      <w:r w:rsidR="00155DC5">
        <w:t xml:space="preserve"> summed</w:t>
      </w:r>
      <w:r w:rsidR="00EC1D49">
        <w:t xml:space="preserve"> across </w:t>
      </w:r>
      <w:r w:rsidR="00A05B44">
        <w:t>three ancestries</w:t>
      </w:r>
      <w:r w:rsidR="00483865">
        <w:t xml:space="preserve"> (</w:t>
      </w:r>
      <w:r w:rsidR="009E1EC3" w:rsidRPr="009E1EC3">
        <w:t>African, East Asian, and South American</w:t>
      </w:r>
      <w:r w:rsidR="00483865">
        <w:t>)</w:t>
      </w:r>
      <w:r w:rsidR="00A05B44">
        <w:t>, six phenotypes</w:t>
      </w:r>
      <w:r w:rsidR="009E1EC3">
        <w:t xml:space="preserve"> (</w:t>
      </w:r>
      <w:r w:rsidR="001B4FCC">
        <w:t xml:space="preserve">body mass index, </w:t>
      </w:r>
      <w:r w:rsidR="009213EE" w:rsidRPr="009213EE">
        <w:t>coronary artery disease,</w:t>
      </w:r>
      <w:r w:rsidR="001B4FCC">
        <w:t xml:space="preserve"> height,</w:t>
      </w:r>
      <w:r w:rsidR="009213EE" w:rsidRPr="009213EE">
        <w:t xml:space="preserve"> major depression, rheumatoid arthritis, and type 2 diabetes</w:t>
      </w:r>
      <w:r w:rsidR="009E1EC3">
        <w:t>)</w:t>
      </w:r>
      <w:r w:rsidR="00A05B44">
        <w:t xml:space="preserve"> and five state-of-the-art tools</w:t>
      </w:r>
      <w:r>
        <w:t xml:space="preserve"> </w:t>
      </w:r>
      <w:r w:rsidR="001B4FCC">
        <w:t>(</w:t>
      </w:r>
      <w:r w:rsidR="000D1A27" w:rsidRPr="000D1A27">
        <w:t>DBSLMM, lassosum, LDPred2, MegaPRS, and PRS</w:t>
      </w:r>
      <w:r w:rsidR="00D02CD8">
        <w:t>-CS</w:t>
      </w:r>
      <w:r w:rsidR="001B4FCC">
        <w:t>)</w:t>
      </w:r>
      <w:r w:rsidR="00FB70F1">
        <w:t xml:space="preserve"> and</w:t>
      </w:r>
      <w:r w:rsidR="001B4FCC">
        <w:t xml:space="preserve"> </w:t>
      </w:r>
      <w:r>
        <w:t xml:space="preserve">is reported in the main manuscript. The methods </w:t>
      </w:r>
      <w:r w:rsidR="00426568">
        <w:t>for</w:t>
      </w:r>
      <w:r>
        <w:t xml:space="preserve"> </w:t>
      </w:r>
      <w:r w:rsidR="00202D90">
        <w:t>Models A and C</w:t>
      </w:r>
      <w:r>
        <w:t xml:space="preserve"> </w:t>
      </w:r>
      <w:r w:rsidR="00426568">
        <w:t xml:space="preserve">and the </w:t>
      </w:r>
      <w:r w:rsidR="0024400D">
        <w:t xml:space="preserve">overall </w:t>
      </w:r>
      <w:r w:rsidR="00B3768F">
        <w:t>performance</w:t>
      </w:r>
      <w:r w:rsidR="00426568">
        <w:t xml:space="preserve"> from </w:t>
      </w:r>
      <w:r w:rsidR="008D45AE">
        <w:t xml:space="preserve">the three </w:t>
      </w:r>
      <w:r w:rsidR="00007F8E">
        <w:t>models</w:t>
      </w:r>
      <w:r w:rsidR="008D45AE">
        <w:t xml:space="preserve"> </w:t>
      </w:r>
      <w:r>
        <w:t>are reported below.</w:t>
      </w:r>
    </w:p>
    <w:p w14:paraId="113C6A31" w14:textId="6D404303" w:rsidR="00181681" w:rsidRDefault="001F70D1" w:rsidP="00CE42C3">
      <w:pPr>
        <w:spacing w:line="480" w:lineRule="auto"/>
        <w:jc w:val="both"/>
      </w:pPr>
      <w:r>
        <w:t>M</w:t>
      </w:r>
      <w:r w:rsidR="00E72EB5">
        <w:t xml:space="preserve">odel </w:t>
      </w:r>
      <w:r>
        <w:t>A</w:t>
      </w:r>
    </w:p>
    <w:p w14:paraId="0941CF8F" w14:textId="43458A76" w:rsidR="00E72EB5" w:rsidRDefault="00883870" w:rsidP="00CE42C3">
      <w:pPr>
        <w:spacing w:line="480" w:lineRule="auto"/>
        <w:jc w:val="both"/>
      </w:pPr>
      <w:r>
        <w:t>M</w:t>
      </w:r>
      <w:r w:rsidR="006D50C7">
        <w:t xml:space="preserve">odel </w:t>
      </w:r>
      <w:r>
        <w:t>A</w:t>
      </w:r>
      <w:r w:rsidR="006D50C7" w:rsidRPr="006D50C7">
        <w:t xml:space="preserve"> requires</w:t>
      </w:r>
      <w:r w:rsidR="006D50C7">
        <w:t xml:space="preserve"> the same</w:t>
      </w:r>
      <w:r w:rsidR="006D50C7" w:rsidRPr="006D50C7">
        <w:t xml:space="preserve"> four data inputs</w:t>
      </w:r>
      <w:r w:rsidR="006D50C7">
        <w:t xml:space="preserve"> reported in the main manuscript: </w:t>
      </w:r>
      <w:r w:rsidR="006D50C7" w:rsidRPr="006D50C7">
        <w:t>the estimated effect sizes of the lead variants for a trait</w:t>
      </w:r>
      <w:r w:rsidR="006D50C7">
        <w:t xml:space="preserve">, </w:t>
      </w:r>
      <w:r w:rsidR="006D50C7" w:rsidRPr="006D50C7">
        <w:t>the summary statistics</w:t>
      </w:r>
      <w:r w:rsidR="006D50C7">
        <w:t xml:space="preserve">, </w:t>
      </w:r>
      <w:r w:rsidR="006D50C7" w:rsidRPr="006D50C7">
        <w:t>a linkage disequilibrium (LD) reference panel matched to those summary statistics</w:t>
      </w:r>
      <w:r w:rsidR="006D50C7">
        <w:t xml:space="preserve"> and</w:t>
      </w:r>
      <w:r w:rsidR="006D50C7" w:rsidRPr="006D50C7">
        <w:t xml:space="preserve"> the test data</w:t>
      </w:r>
      <w:r w:rsidR="006D50C7">
        <w:t>.</w:t>
      </w:r>
    </w:p>
    <w:p w14:paraId="1D0CCF77" w14:textId="28DFDBA7" w:rsidR="006D50C7" w:rsidRDefault="006D50C7" w:rsidP="00CE42C3">
      <w:pPr>
        <w:spacing w:line="480" w:lineRule="auto"/>
        <w:jc w:val="both"/>
      </w:pPr>
      <w:r>
        <w:t>The upstream and downstream variants are identified using the same method reported in the main manuscript</w:t>
      </w:r>
      <w:r w:rsidR="00CE42C3">
        <w:t xml:space="preserve"> (</w:t>
      </w:r>
      <w:r w:rsidR="00CE42C3" w:rsidRPr="00CE42C3">
        <w:t>LD r</w:t>
      </w:r>
      <w:r w:rsidR="00CE42C3" w:rsidRPr="00CE42C3">
        <w:rPr>
          <w:vertAlign w:val="superscript"/>
        </w:rPr>
        <w:t>2</w:t>
      </w:r>
      <w:r w:rsidR="00CE42C3" w:rsidRPr="00CE42C3">
        <w:t xml:space="preserve"> value &gt; 0.5 and &lt; 0.75 and within 250kb of the lead variant</w:t>
      </w:r>
      <w:r w:rsidR="00CE42C3">
        <w:t xml:space="preserve">, and upstream and downstream variants with an </w:t>
      </w:r>
      <w:r w:rsidR="00CE42C3" w:rsidRPr="00CE42C3">
        <w:t>LD r</w:t>
      </w:r>
      <w:r w:rsidR="00CE42C3" w:rsidRPr="00CE42C3">
        <w:rPr>
          <w:vertAlign w:val="superscript"/>
        </w:rPr>
        <w:t>2</w:t>
      </w:r>
      <w:r w:rsidR="00CE42C3" w:rsidRPr="00CE42C3">
        <w:t xml:space="preserve"> value &lt; 0.9</w:t>
      </w:r>
      <w:r w:rsidR="00CE42C3">
        <w:t>)</w:t>
      </w:r>
      <w:r>
        <w:t>.</w:t>
      </w:r>
    </w:p>
    <w:p w14:paraId="1379D0B3" w14:textId="747CBAFF" w:rsidR="001F70D1" w:rsidRDefault="00FC1879" w:rsidP="001F70D1">
      <w:pPr>
        <w:spacing w:line="480" w:lineRule="auto"/>
        <w:jc w:val="both"/>
      </w:pPr>
      <w:r>
        <w:t xml:space="preserve">The calculation of a </w:t>
      </w:r>
      <m:oMath>
        <m:r>
          <w:rPr>
            <w:rFonts w:ascii="Cambria Math" w:hAnsi="Cambria Math"/>
          </w:rPr>
          <m:t>score</m:t>
        </m:r>
      </m:oMath>
      <w:r>
        <w:t xml:space="preserve"> for each lead genetic variant</w:t>
      </w:r>
      <w:r w:rsidR="00C03D3B">
        <w:t xml:space="preserve"> in the test data</w:t>
      </w:r>
      <w:r>
        <w:t xml:space="preserve"> follows the standard approach, multiplying the </w:t>
      </w:r>
      <m:oMath>
        <m:r>
          <w:rPr>
            <w:rFonts w:ascii="Cambria Math" w:hAnsi="Cambria Math"/>
          </w:rPr>
          <m:t>lead effect size</m:t>
        </m:r>
      </m:oMath>
      <w:r>
        <w:t xml:space="preserve"> by the number of alleles carried by an individual at that position </w:t>
      </w:r>
      <w:r>
        <w:fldChar w:fldCharType="begin"/>
      </w:r>
      <w:r w:rsidR="00451F23">
        <w:instrText xml:space="preserve"> ADDIN EN.CITE &lt;EndNote&gt;&lt;Cite&gt;&lt;Author&gt;Choi&lt;/Author&gt;&lt;Year&gt;2020&lt;/Year&gt;&lt;RecNum&gt;163&lt;/RecNum&gt;&lt;DisplayText&gt;(Choi et al., 2020)&lt;/DisplayText&gt;&lt;record&gt;&lt;rec-number&gt;163&lt;/rec-number&gt;&lt;foreign-keys&gt;&lt;key app="EN" db-id="2fa9va0dozp5wie0p9v5xts89f59025a5f9d" timestamp="1658416414"&gt;163&lt;/key&gt;&lt;/foreign-keys&gt;&lt;ref-type name="Journal Article"&gt;17&lt;/ref-type&gt;&lt;contributors&gt;&lt;authors&gt;&lt;author&gt;Choi, Shing Wan&lt;/author&gt;&lt;author&gt;Mak, Timothy Shin-Heng&lt;/author&gt;&lt;author&gt;O’Reilly, Paul F.&lt;/author&gt;&lt;/authors&gt;&lt;/contributors&gt;&lt;titles&gt;&lt;title&gt;Tutorial: a guide to performing polygenic risk score analyses&lt;/title&gt;&lt;secondary-title&gt;Nature Protocols&lt;/secondary-title&gt;&lt;/titles&gt;&lt;periodical&gt;&lt;full-title&gt;Nature Protocols&lt;/full-title&gt;&lt;/periodical&gt;&lt;pages&gt;2759-2772&lt;/pages&gt;&lt;volume&gt;15&lt;/volume&gt;&lt;number&gt;9&lt;/number&gt;&lt;dates&gt;&lt;year&gt;2020&lt;/year&gt;&lt;pub-dates&gt;&lt;date&gt;2020/09/01&lt;/date&gt;&lt;/pub-dates&gt;&lt;/dates&gt;&lt;isbn&gt;1750-2799&lt;/isbn&gt;&lt;urls&gt;&lt;related-urls&gt;&lt;url&gt;https://doi.org/10.1038/s41596-020-0353-1&lt;/url&gt;&lt;/related-urls&gt;&lt;/urls&gt;&lt;electronic-resource-num&gt;10.1038/s41596-020-0353-1&lt;/electronic-resource-num&gt;&lt;/record&gt;&lt;/Cite&gt;&lt;/EndNote&gt;</w:instrText>
      </w:r>
      <w:r>
        <w:fldChar w:fldCharType="separate"/>
      </w:r>
      <w:r w:rsidR="00451F23">
        <w:rPr>
          <w:noProof/>
        </w:rPr>
        <w:t>(Choi et al., 2020)</w:t>
      </w:r>
      <w:r>
        <w:fldChar w:fldCharType="end"/>
      </w:r>
      <w:r>
        <w:t xml:space="preserve">. </w:t>
      </w:r>
      <w:r w:rsidR="001F70D1">
        <w:t xml:space="preserve">This </w:t>
      </w:r>
      <m:oMath>
        <m:r>
          <w:rPr>
            <w:rFonts w:ascii="Cambria Math" w:hAnsi="Cambria Math"/>
          </w:rPr>
          <m:t>score</m:t>
        </m:r>
      </m:oMath>
      <w:r w:rsidR="001F70D1">
        <w:t xml:space="preserve"> is then adjusted by examining the number of </w:t>
      </w:r>
      <m:oMath>
        <m:r>
          <w:rPr>
            <w:rFonts w:ascii="Cambria Math" w:hAnsi="Cambria Math"/>
          </w:rPr>
          <m:t>alleles carried</m:t>
        </m:r>
      </m:oMath>
      <w:r w:rsidR="001F70D1">
        <w:t xml:space="preserve"> at the </w:t>
      </w:r>
      <m:oMath>
        <m:r>
          <w:rPr>
            <w:rFonts w:ascii="Cambria Math" w:hAnsi="Cambria Math"/>
          </w:rPr>
          <m:t>down</m:t>
        </m:r>
      </m:oMath>
      <w:r w:rsidR="001F70D1">
        <w:t xml:space="preserve"> and </w:t>
      </w:r>
      <m:oMath>
        <m:r>
          <w:rPr>
            <w:rFonts w:ascii="Cambria Math" w:hAnsi="Cambria Math"/>
          </w:rPr>
          <m:t>up</m:t>
        </m:r>
      </m:oMath>
      <w:r w:rsidR="001F70D1">
        <w:t xml:space="preserve"> stream positions that have the same direction of effect as the lead variant to produce an UPDDOG score such that:</w:t>
      </w:r>
    </w:p>
    <w:p w14:paraId="43482A5C" w14:textId="77777777" w:rsidR="001F70D1" w:rsidRDefault="001F70D1" w:rsidP="001F70D1">
      <w:pPr>
        <w:spacing w:line="480" w:lineRule="auto"/>
        <w:jc w:val="both"/>
      </w:pPr>
      <m:oMathPara>
        <m:oMath>
          <m:r>
            <w:rPr>
              <w:rFonts w:ascii="Cambria Math" w:hAnsi="Cambria Math"/>
            </w:rPr>
            <m:t>UPDOG score = score + λ (downstream score + upstream score)</m:t>
          </m:r>
        </m:oMath>
      </m:oMathPara>
    </w:p>
    <w:p w14:paraId="428DE244" w14:textId="77777777" w:rsidR="001F70D1" w:rsidRDefault="001F70D1" w:rsidP="001F70D1">
      <w:pPr>
        <w:spacing w:line="480" w:lineRule="auto"/>
        <w:jc w:val="both"/>
      </w:pPr>
      <w:r>
        <w:t>with</w:t>
      </w:r>
    </w:p>
    <w:p w14:paraId="582E122F" w14:textId="77777777" w:rsidR="001F70D1" w:rsidRDefault="001F70D1" w:rsidP="001F70D1">
      <w:pPr>
        <w:spacing w:line="480" w:lineRule="auto"/>
        <w:jc w:val="both"/>
      </w:pPr>
      <w:r>
        <w:tab/>
      </w:r>
      <m:oMath>
        <m:r>
          <w:rPr>
            <w:rFonts w:ascii="Cambria Math" w:hAnsi="Cambria Math"/>
          </w:rPr>
          <m:t>downstream score=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alleles carried</m:t>
            </m:r>
          </m:e>
          <m:sub>
            <m:r>
              <w:rPr>
                <w:rFonts w:ascii="Cambria Math" w:hAnsi="Cambria Math"/>
              </w:rPr>
              <m:t>down</m:t>
            </m:r>
          </m:sub>
        </m:sSub>
        <m:r>
          <w:rPr>
            <w:rFonts w:ascii="Cambria Math" w:hAnsi="Cambria Math"/>
          </w:rPr>
          <m:t>*lead effect size*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LD</m:t>
            </m:r>
          </m:e>
          <m:sub>
            <m:r>
              <w:rPr>
                <w:rFonts w:ascii="Cambria Math" w:hAnsi="Cambria Math"/>
              </w:rPr>
              <m:t>Lead_Down</m:t>
            </m:r>
          </m:sub>
        </m:sSub>
        <m:r>
          <w:rPr>
            <w:rFonts w:ascii="Cambria Math" w:hAnsi="Cambria Math"/>
          </w:rPr>
          <m:t xml:space="preserve"> </m:t>
        </m:r>
      </m:oMath>
    </w:p>
    <w:p w14:paraId="7A7C79D9" w14:textId="77777777" w:rsidR="001F70D1" w:rsidRDefault="001F70D1" w:rsidP="001F70D1">
      <w:pPr>
        <w:spacing w:line="480" w:lineRule="auto"/>
        <w:jc w:val="both"/>
      </w:pPr>
      <w:r>
        <w:lastRenderedPageBreak/>
        <w:t xml:space="preserve">and </w:t>
      </w:r>
      <w:r>
        <w:tab/>
      </w:r>
    </w:p>
    <w:p w14:paraId="145B85CD" w14:textId="77777777" w:rsidR="001F70D1" w:rsidRDefault="001F70D1" w:rsidP="001F70D1">
      <w:pPr>
        <w:spacing w:line="480" w:lineRule="auto"/>
        <w:jc w:val="both"/>
      </w:pPr>
      <w:r>
        <w:tab/>
      </w:r>
      <m:oMath>
        <m:r>
          <w:rPr>
            <w:rFonts w:ascii="Cambria Math" w:hAnsi="Cambria Math"/>
          </w:rPr>
          <m:t>upstream score=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alleles carried</m:t>
            </m:r>
          </m:e>
          <m:sub>
            <m:r>
              <w:rPr>
                <w:rFonts w:ascii="Cambria Math" w:hAnsi="Cambria Math"/>
              </w:rPr>
              <m:t>up</m:t>
            </m:r>
          </m:sub>
        </m:sSub>
        <m:r>
          <w:rPr>
            <w:rFonts w:ascii="Cambria Math" w:hAnsi="Cambria Math"/>
          </w:rPr>
          <m:t>*lead effect size*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LD</m:t>
            </m:r>
          </m:e>
          <m:sub>
            <m:r>
              <w:rPr>
                <w:rFonts w:ascii="Cambria Math" w:hAnsi="Cambria Math"/>
              </w:rPr>
              <m:t>Lead_Up</m:t>
            </m:r>
          </m:sub>
        </m:sSub>
        <m:r>
          <w:rPr>
            <w:rFonts w:ascii="Cambria Math" w:hAnsi="Cambria Math"/>
          </w:rPr>
          <m:t xml:space="preserve"> </m:t>
        </m:r>
      </m:oMath>
    </w:p>
    <w:p w14:paraId="1D9B5ADC" w14:textId="1628C8A4" w:rsidR="00492360" w:rsidRDefault="001F70D1" w:rsidP="001F70D1">
      <w:pPr>
        <w:spacing w:line="480" w:lineRule="auto"/>
        <w:jc w:val="both"/>
      </w:pPr>
      <w:r>
        <w:t xml:space="preserve">Where </w:t>
      </w:r>
      <m:oMath>
        <m:r>
          <w:rPr>
            <w:rFonts w:ascii="Cambria Math" w:hAnsi="Cambria Math"/>
          </w:rPr>
          <m:t>λ</m:t>
        </m:r>
      </m:oMath>
      <w:r>
        <w:rPr>
          <w:rFonts w:eastAsiaTheme="minorEastAsia"/>
        </w:rPr>
        <w:t xml:space="preserve"> is a scaling factor,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LD</m:t>
            </m:r>
          </m:e>
          <m:sub>
            <m:r>
              <w:rPr>
                <w:rFonts w:ascii="Cambria Math" w:hAnsi="Cambria Math"/>
              </w:rPr>
              <m:t>Lead_Down</m:t>
            </m:r>
          </m:sub>
        </m:sSub>
      </m:oMath>
      <w:r>
        <w:rPr>
          <w:rFonts w:eastAsiaTheme="minorEastAsia"/>
        </w:rPr>
        <w:t xml:space="preserve"> is the linkage disequilibrium between the lead variant and the downstream variant,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LD</m:t>
            </m:r>
          </m:e>
          <m:sub>
            <m:r>
              <w:rPr>
                <w:rFonts w:ascii="Cambria Math" w:hAnsi="Cambria Math"/>
              </w:rPr>
              <m:t>Lead_Up</m:t>
            </m:r>
          </m:sub>
        </m:sSub>
      </m:oMath>
      <w:r>
        <w:rPr>
          <w:rFonts w:eastAsiaTheme="minorEastAsia"/>
        </w:rPr>
        <w:t xml:space="preserve"> is the linkage disequilibrium between the lead variant and the upstream variant. The linkage disequilibrium observed in the </w:t>
      </w:r>
      <w:r>
        <w:t xml:space="preserve">LD reference panel matched to those summary statistics is used 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LD</m:t>
            </m:r>
          </m:e>
          <m:sub>
            <m:r>
              <w:rPr>
                <w:rFonts w:ascii="Cambria Math" w:hAnsi="Cambria Math"/>
              </w:rPr>
              <m:t>Lead_Down</m:t>
            </m:r>
          </m:sub>
        </m:sSub>
      </m:oMath>
      <w:r>
        <w:rPr>
          <w:rFonts w:eastAsiaTheme="minorEastAsia"/>
        </w:rPr>
        <w:t xml:space="preserve"> and 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LD</m:t>
            </m:r>
          </m:e>
          <m:sub>
            <m:r>
              <w:rPr>
                <w:rFonts w:ascii="Cambria Math" w:hAnsi="Cambria Math"/>
              </w:rPr>
              <m:t>Lead_Up</m:t>
            </m:r>
          </m:sub>
        </m:sSub>
      </m:oMath>
      <w:r>
        <w:t>.</w:t>
      </w:r>
      <w:r>
        <w:rPr>
          <w:rFonts w:eastAsiaTheme="minorEastAsia"/>
        </w:rPr>
        <w:t xml:space="preserve"> </w:t>
      </w:r>
      <w:r>
        <w:t xml:space="preserve">The </w:t>
      </w:r>
      <m:oMath>
        <m:r>
          <w:rPr>
            <w:rFonts w:ascii="Cambria Math" w:hAnsi="Cambria Math"/>
          </w:rPr>
          <m:t>UPDOG scores</m:t>
        </m:r>
      </m:oMath>
      <w:r>
        <w:t xml:space="preserve"> are then summed across all lead genetic variants to produce a PGS for </w:t>
      </w:r>
      <w:proofErr w:type="gramStart"/>
      <w:r>
        <w:t>each individual</w:t>
      </w:r>
      <w:proofErr w:type="gramEnd"/>
      <w:r>
        <w:t xml:space="preserve"> with the output from UPDOG being a vector of PGS for the individuals in the test data.</w:t>
      </w:r>
    </w:p>
    <w:p w14:paraId="2B3F99A0" w14:textId="2D84E03C" w:rsidR="00C44FCE" w:rsidRDefault="00883870" w:rsidP="00C44FCE">
      <w:pPr>
        <w:spacing w:line="480" w:lineRule="auto"/>
        <w:jc w:val="both"/>
      </w:pPr>
      <w:r>
        <w:t>Model C</w:t>
      </w:r>
    </w:p>
    <w:p w14:paraId="170F0FE0" w14:textId="03A4884F" w:rsidR="00C44FCE" w:rsidRDefault="00883870" w:rsidP="00C44FCE">
      <w:pPr>
        <w:spacing w:line="480" w:lineRule="auto"/>
        <w:jc w:val="both"/>
      </w:pPr>
      <w:r>
        <w:t>Model C</w:t>
      </w:r>
      <w:r w:rsidR="00C44FCE" w:rsidRPr="006D50C7">
        <w:t xml:space="preserve"> requires</w:t>
      </w:r>
      <w:r w:rsidR="00C44FCE">
        <w:t xml:space="preserve"> the same</w:t>
      </w:r>
      <w:r w:rsidR="00C44FCE" w:rsidRPr="006D50C7">
        <w:t xml:space="preserve"> four </w:t>
      </w:r>
      <w:r w:rsidR="00C44FCE">
        <w:t xml:space="preserve">data </w:t>
      </w:r>
      <w:r w:rsidR="00C44FCE" w:rsidRPr="006D50C7">
        <w:t>inputs</w:t>
      </w:r>
      <w:r w:rsidR="00C44FCE">
        <w:t xml:space="preserve"> reported in the main manuscript: </w:t>
      </w:r>
      <w:r w:rsidR="00C44FCE" w:rsidRPr="006D50C7">
        <w:t>the estimated effect sizes of the lead variants for a trait</w:t>
      </w:r>
      <w:r w:rsidR="00C44FCE">
        <w:t xml:space="preserve">, </w:t>
      </w:r>
      <w:r w:rsidR="00C44FCE" w:rsidRPr="006D50C7">
        <w:t>the summary statistics</w:t>
      </w:r>
      <w:r w:rsidR="00C44FCE">
        <w:t xml:space="preserve">, </w:t>
      </w:r>
      <w:r w:rsidR="00C44FCE" w:rsidRPr="006D50C7">
        <w:t>a linkage disequilibrium (LD) reference panel matched to those summary statistics</w:t>
      </w:r>
      <w:r w:rsidR="00C44FCE">
        <w:t xml:space="preserve"> and</w:t>
      </w:r>
      <w:r w:rsidR="00C44FCE" w:rsidRPr="006D50C7">
        <w:t xml:space="preserve"> the test data</w:t>
      </w:r>
      <w:r w:rsidR="00C44FCE">
        <w:t>.</w:t>
      </w:r>
    </w:p>
    <w:p w14:paraId="37E0BB9A" w14:textId="77777777" w:rsidR="00C44FCE" w:rsidRDefault="00C44FCE" w:rsidP="00C44FCE">
      <w:pPr>
        <w:spacing w:line="480" w:lineRule="auto"/>
        <w:jc w:val="both"/>
      </w:pPr>
      <w:r>
        <w:t>The upstream and downstream variants are identified using the same method reported in the main manuscript (</w:t>
      </w:r>
      <w:r w:rsidRPr="00CE42C3">
        <w:t>LD r</w:t>
      </w:r>
      <w:r w:rsidRPr="00CE42C3">
        <w:rPr>
          <w:vertAlign w:val="superscript"/>
        </w:rPr>
        <w:t>2</w:t>
      </w:r>
      <w:r w:rsidRPr="00CE42C3">
        <w:t xml:space="preserve"> value &gt; 0.5 and &lt; 0.75 and within 250kb of the lead variant</w:t>
      </w:r>
      <w:r>
        <w:t xml:space="preserve">, and upstream and downstream variants with an </w:t>
      </w:r>
      <w:r w:rsidRPr="00CE42C3">
        <w:t>LD r</w:t>
      </w:r>
      <w:r w:rsidRPr="00CE42C3">
        <w:rPr>
          <w:vertAlign w:val="superscript"/>
        </w:rPr>
        <w:t>2</w:t>
      </w:r>
      <w:r w:rsidRPr="00CE42C3">
        <w:t xml:space="preserve"> value &lt; 0.9</w:t>
      </w:r>
      <w:r>
        <w:t>).</w:t>
      </w:r>
    </w:p>
    <w:p w14:paraId="082BDE93" w14:textId="18BBD5AA" w:rsidR="00FC1879" w:rsidRDefault="009C7EB9" w:rsidP="00FC1879">
      <w:pPr>
        <w:spacing w:line="480" w:lineRule="auto"/>
        <w:jc w:val="both"/>
      </w:pPr>
      <w:r>
        <w:t>Model C</w:t>
      </w:r>
      <w:r w:rsidR="001A6090">
        <w:t xml:space="preserve"> </w:t>
      </w:r>
      <w:r w:rsidR="005E2263">
        <w:t xml:space="preserve">concurrently examines the alleles at the </w:t>
      </w:r>
      <w:r w:rsidR="00653E42">
        <w:t>downstream, lead, and upstream positions</w:t>
      </w:r>
      <w:r w:rsidR="00556B02">
        <w:t xml:space="preserve"> to ensure</w:t>
      </w:r>
      <w:r w:rsidR="007516ED">
        <w:t xml:space="preserve"> the</w:t>
      </w:r>
      <w:r w:rsidR="00556B02">
        <w:t xml:space="preserve"> c</w:t>
      </w:r>
      <w:r w:rsidR="00DC3693">
        <w:t>ausal alleles are carried at each position.</w:t>
      </w:r>
      <w:r w:rsidR="00F42D0F">
        <w:t xml:space="preserve"> Across the three positions th</w:t>
      </w:r>
      <w:r w:rsidR="000C1692">
        <w:t>e</w:t>
      </w:r>
      <w:r w:rsidR="00F42D0F">
        <w:t xml:space="preserve"> </w:t>
      </w:r>
      <w:r w:rsidR="001771F2">
        <w:t xml:space="preserve">minimum number of causal </w:t>
      </w:r>
      <m:oMath>
        <m:r>
          <w:rPr>
            <w:rFonts w:ascii="Cambria Math" w:hAnsi="Cambria Math"/>
          </w:rPr>
          <m:t>alleles carried</m:t>
        </m:r>
      </m:oMath>
      <w:r w:rsidR="001771F2">
        <w:t xml:space="preserve"> are multiplied by the </w:t>
      </w:r>
      <m:oMath>
        <m:r>
          <w:rPr>
            <w:rFonts w:ascii="Cambria Math" w:hAnsi="Cambria Math"/>
          </w:rPr>
          <m:t>lead effect size</m:t>
        </m:r>
      </m:oMath>
      <w:r w:rsidR="001771F2">
        <w:rPr>
          <w:rFonts w:eastAsiaTheme="minorEastAsia"/>
        </w:rPr>
        <w:t xml:space="preserve"> to calculate an </w:t>
      </w:r>
      <m:oMath>
        <m:r>
          <w:rPr>
            <w:rFonts w:ascii="Cambria Math" w:eastAsiaTheme="minorEastAsia" w:hAnsi="Cambria Math"/>
          </w:rPr>
          <m:t>UPDOG score</m:t>
        </m:r>
      </m:oMath>
      <w:r w:rsidR="001771F2">
        <w:rPr>
          <w:rFonts w:eastAsiaTheme="minorEastAsia"/>
        </w:rPr>
        <w:t xml:space="preserve"> </w:t>
      </w:r>
      <w:r w:rsidR="001771F2">
        <w:t>for each lead genetic variant in the test data</w:t>
      </w:r>
      <w:r w:rsidR="00B74286">
        <w:t>:</w:t>
      </w:r>
    </w:p>
    <w:p w14:paraId="6890C468" w14:textId="7357A2AC" w:rsidR="00C44FCE" w:rsidRDefault="00B12D9F" w:rsidP="00FC1879">
      <w:pPr>
        <w:spacing w:line="480" w:lineRule="auto"/>
        <w:jc w:val="both"/>
      </w:pPr>
      <m:oMathPara>
        <m:oMath>
          <m:r>
            <w:rPr>
              <w:rFonts w:ascii="Cambria Math" w:hAnsi="Cambria Math"/>
            </w:rPr>
            <m:t xml:space="preserve">UPDOG score 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min⁡</m:t>
              </m:r>
              <m:r>
                <w:rPr>
                  <w:rFonts w:ascii="Cambria Math" w:hAnsi="Cambria Math"/>
                </w:rPr>
                <m:t>{alleles carried</m:t>
              </m:r>
            </m:e>
            <m:sub>
              <m:r>
                <w:rPr>
                  <w:rFonts w:ascii="Cambria Math" w:hAnsi="Cambria Math"/>
                </w:rPr>
                <m:t>down</m:t>
              </m:r>
            </m:sub>
          </m:sSub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alleles carried</m:t>
              </m:r>
            </m:e>
            <m:sub>
              <m:r>
                <w:rPr>
                  <w:rFonts w:ascii="Cambria Math" w:hAnsi="Cambria Math"/>
                </w:rPr>
                <m:t>lead</m:t>
              </m:r>
            </m:sub>
          </m:sSub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alleles carried</m:t>
              </m:r>
            </m:e>
            <m:sub>
              <m:r>
                <w:rPr>
                  <w:rFonts w:ascii="Cambria Math" w:hAnsi="Cambria Math"/>
                </w:rPr>
                <m:t>up</m:t>
              </m:r>
            </m:sub>
          </m:sSub>
          <m:r>
            <w:rPr>
              <w:rFonts w:ascii="Cambria Math" w:hAnsi="Cambria Math"/>
            </w:rPr>
            <m:t>}*lead effect size</m:t>
          </m:r>
        </m:oMath>
      </m:oMathPara>
    </w:p>
    <w:p w14:paraId="1B395D02" w14:textId="77777777" w:rsidR="0085050D" w:rsidRDefault="0085050D" w:rsidP="0085050D">
      <w:pPr>
        <w:spacing w:line="480" w:lineRule="auto"/>
        <w:jc w:val="both"/>
      </w:pPr>
      <w:r>
        <w:t xml:space="preserve">The </w:t>
      </w:r>
      <m:oMath>
        <m:r>
          <w:rPr>
            <w:rFonts w:ascii="Cambria Math" w:hAnsi="Cambria Math"/>
          </w:rPr>
          <m:t>UPDOG scores</m:t>
        </m:r>
      </m:oMath>
      <w:r>
        <w:t xml:space="preserve"> are then summed across all lead genetic variants to produce a PGS for </w:t>
      </w:r>
      <w:proofErr w:type="gramStart"/>
      <w:r>
        <w:t>each individual</w:t>
      </w:r>
      <w:proofErr w:type="gramEnd"/>
      <w:r>
        <w:t xml:space="preserve"> with the output from UPDOG being a vector of PGS for the individuals in the test data.</w:t>
      </w:r>
    </w:p>
    <w:p w14:paraId="69137A16" w14:textId="2F32911B" w:rsidR="00C44FCE" w:rsidRDefault="00202D90" w:rsidP="00FC1879">
      <w:pPr>
        <w:spacing w:line="480" w:lineRule="auto"/>
        <w:jc w:val="both"/>
      </w:pPr>
      <w:r>
        <w:lastRenderedPageBreak/>
        <w:t>M</w:t>
      </w:r>
      <w:r w:rsidR="00852E90">
        <w:t>odel results</w:t>
      </w:r>
    </w:p>
    <w:p w14:paraId="2001F77F" w14:textId="407E6A26" w:rsidR="00193BA0" w:rsidRDefault="00D932D7" w:rsidP="00FC1879">
      <w:pPr>
        <w:spacing w:line="480" w:lineRule="auto"/>
        <w:jc w:val="both"/>
      </w:pPr>
      <w:r>
        <w:t xml:space="preserve">The performance of the </w:t>
      </w:r>
      <w:r w:rsidR="003B41D3">
        <w:t>three</w:t>
      </w:r>
      <w:r w:rsidR="00DC2615">
        <w:t xml:space="preserve"> models w</w:t>
      </w:r>
      <w:r w:rsidR="00E625A3">
        <w:t>ere</w:t>
      </w:r>
      <w:r w:rsidR="00DC2615">
        <w:t xml:space="preserve"> assessed based on the number of improvements in predictions observed across 90 </w:t>
      </w:r>
      <w:r w:rsidR="003E2B8E">
        <w:t>test</w:t>
      </w:r>
      <w:r w:rsidR="002C5DEB">
        <w:t>s</w:t>
      </w:r>
      <w:r w:rsidR="00535F72">
        <w:t xml:space="preserve"> using European summary statistics to </w:t>
      </w:r>
      <w:r w:rsidR="00FB7B6D">
        <w:t xml:space="preserve">predict in to </w:t>
      </w:r>
      <w:r w:rsidR="00FB7B6D" w:rsidRPr="009E1EC3">
        <w:t>African, East Asian, and South American</w:t>
      </w:r>
      <w:r w:rsidR="00FB7B6D">
        <w:t xml:space="preserve"> ancestry subgroups in the UK Biobank</w:t>
      </w:r>
      <w:r w:rsidR="00E625A3">
        <w:t xml:space="preserve"> (Supplementary Figure 1)</w:t>
      </w:r>
      <w:r w:rsidR="00FB7B6D">
        <w:t>.</w:t>
      </w:r>
      <w:r w:rsidR="002522E6">
        <w:t xml:space="preserve"> </w:t>
      </w:r>
      <w:r w:rsidR="00201A71">
        <w:t>Model B</w:t>
      </w:r>
      <w:r w:rsidR="002522E6">
        <w:t xml:space="preserve"> with a scaling factor (</w:t>
      </w:r>
      <w:r w:rsidR="002522E6">
        <w:rPr>
          <w:rFonts w:cstheme="minorHAnsi"/>
        </w:rPr>
        <w:t>λ</w:t>
      </w:r>
      <w:r w:rsidR="002522E6">
        <w:t xml:space="preserve">) of 0.025 </w:t>
      </w:r>
      <w:r w:rsidR="0020795B">
        <w:t xml:space="preserve">produced </w:t>
      </w:r>
      <w:r w:rsidR="00201A71">
        <w:t>62</w:t>
      </w:r>
      <w:r w:rsidR="0020795B">
        <w:t xml:space="preserve"> improvements in prediction out of a possible 90 tests</w:t>
      </w:r>
      <w:r w:rsidR="0006745A">
        <w:t xml:space="preserve"> and was</w:t>
      </w:r>
      <w:r w:rsidR="00FB1D4D">
        <w:t xml:space="preserve"> identified as</w:t>
      </w:r>
      <w:r w:rsidR="0006745A">
        <w:t xml:space="preserve"> the </w:t>
      </w:r>
      <w:r w:rsidR="00D210BC">
        <w:t>optimum</w:t>
      </w:r>
      <w:r w:rsidR="0006745A">
        <w:t xml:space="preserve"> model with further analysis provided in the main manuscript.</w:t>
      </w:r>
      <w:r w:rsidR="00862619">
        <w:rPr>
          <w:rFonts w:cstheme="minorHAnsi"/>
        </w:rPr>
        <w:t xml:space="preserve"> </w:t>
      </w:r>
    </w:p>
    <w:p w14:paraId="0C33159A" w14:textId="0221A2AC" w:rsidR="00193BA0" w:rsidRDefault="00205E39" w:rsidP="00FC1879">
      <w:pPr>
        <w:spacing w:line="480" w:lineRule="auto"/>
        <w:jc w:val="both"/>
      </w:pPr>
      <w:r>
        <w:rPr>
          <w:noProof/>
        </w:rPr>
        <w:drawing>
          <wp:inline distT="0" distB="0" distL="0" distR="0" wp14:anchorId="5F6A451F" wp14:editId="77077F8D">
            <wp:extent cx="5731510" cy="30714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B4D6B" w14:textId="22A25F97" w:rsidR="002C5DEB" w:rsidRDefault="000D3C42" w:rsidP="00E555D9">
      <w:pPr>
        <w:spacing w:line="240" w:lineRule="auto"/>
        <w:jc w:val="both"/>
      </w:pPr>
      <w:r>
        <w:t xml:space="preserve">Supplementary Figure 1. </w:t>
      </w:r>
      <w:r w:rsidR="00585FCD">
        <w:t xml:space="preserve">The number of predictions that </w:t>
      </w:r>
      <w:r w:rsidR="000B5848">
        <w:t>increased</w:t>
      </w:r>
      <w:r w:rsidR="00585FCD">
        <w:t xml:space="preserve"> after </w:t>
      </w:r>
      <w:r w:rsidR="00056167">
        <w:t>applying the three models</w:t>
      </w:r>
      <w:r w:rsidR="00FA4010">
        <w:t xml:space="preserve">. </w:t>
      </w:r>
      <w:r w:rsidR="00056167">
        <w:t xml:space="preserve">Models A and B </w:t>
      </w:r>
      <w:r w:rsidR="007C6362">
        <w:t>use</w:t>
      </w:r>
      <w:r w:rsidR="00A81032">
        <w:t xml:space="preserve"> a scaling factor (</w:t>
      </w:r>
      <w:r w:rsidR="00FE63D6">
        <w:rPr>
          <w:rFonts w:cstheme="minorHAnsi"/>
        </w:rPr>
        <w:t>λ</w:t>
      </w:r>
      <w:r w:rsidR="00A81032">
        <w:t xml:space="preserve">). </w:t>
      </w:r>
      <w:r w:rsidR="00FA4010">
        <w:t>The</w:t>
      </w:r>
      <w:r w:rsidR="00BF5B20">
        <w:t xml:space="preserve">re were 90 tests conducted and the solid horizontal line represents the expected number of </w:t>
      </w:r>
      <w:r w:rsidR="00613D43">
        <w:t>increased predicted</w:t>
      </w:r>
      <w:r w:rsidR="00BF5B20">
        <w:t xml:space="preserve"> by random chance</w:t>
      </w:r>
      <w:r w:rsidR="00613D43">
        <w:t xml:space="preserve"> (</w:t>
      </w:r>
      <w:r w:rsidR="00BF5B20">
        <w:t>45 test</w:t>
      </w:r>
      <w:r w:rsidR="00613D43">
        <w:t>s)</w:t>
      </w:r>
      <w:r w:rsidR="00BF5B20">
        <w:t>.</w:t>
      </w:r>
      <w:r w:rsidR="00FE63D6">
        <w:t xml:space="preserve"> Where the number of increased predictions exceeds t</w:t>
      </w:r>
      <w:r w:rsidR="00FB53F8">
        <w:t xml:space="preserve">he </w:t>
      </w:r>
      <w:r w:rsidR="00E555D9">
        <w:t>expectation,</w:t>
      </w:r>
      <w:r w:rsidR="00FB53F8">
        <w:t xml:space="preserve"> the bar is coloured blue, else where the number of increased predictions is below that expected the bar is coloured orange.</w:t>
      </w:r>
    </w:p>
    <w:p w14:paraId="133C3D09" w14:textId="77777777" w:rsidR="00E555D9" w:rsidRDefault="00E555D9" w:rsidP="00FC1879">
      <w:pPr>
        <w:spacing w:line="480" w:lineRule="auto"/>
        <w:jc w:val="both"/>
      </w:pPr>
    </w:p>
    <w:p w14:paraId="2899D766" w14:textId="77777777" w:rsidR="00D932D7" w:rsidRDefault="00D932D7" w:rsidP="00FC1879">
      <w:pPr>
        <w:spacing w:line="480" w:lineRule="auto"/>
        <w:jc w:val="both"/>
      </w:pPr>
    </w:p>
    <w:p w14:paraId="76CB7616" w14:textId="6A2450FF" w:rsidR="00FC1879" w:rsidRDefault="00FC1879" w:rsidP="00FC1879">
      <w:pPr>
        <w:spacing w:line="480" w:lineRule="auto"/>
        <w:jc w:val="both"/>
      </w:pPr>
      <w:r>
        <w:t>References</w:t>
      </w:r>
    </w:p>
    <w:p w14:paraId="786D1294" w14:textId="77777777" w:rsidR="00451F23" w:rsidRPr="00451F23" w:rsidRDefault="00FC1879" w:rsidP="00451F23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451F23" w:rsidRPr="00451F23">
        <w:t xml:space="preserve">Choi, S.W., Mak, T.S.-H., and O’Reilly, P.F. (2020). Tutorial: a guide to performing polygenic risk score analyses. Nature Protocols </w:t>
      </w:r>
      <w:r w:rsidR="00451F23" w:rsidRPr="00451F23">
        <w:rPr>
          <w:i/>
        </w:rPr>
        <w:t>15</w:t>
      </w:r>
      <w:r w:rsidR="00451F23" w:rsidRPr="00451F23">
        <w:t>, 2759-2772. 10.1038/s41596-020-0353-1.</w:t>
      </w:r>
    </w:p>
    <w:p w14:paraId="2EFA714E" w14:textId="31BB45AF" w:rsidR="00CE42C3" w:rsidRDefault="00FC1879" w:rsidP="00FC1879">
      <w:pPr>
        <w:spacing w:line="480" w:lineRule="auto"/>
        <w:jc w:val="both"/>
      </w:pPr>
      <w:r>
        <w:fldChar w:fldCharType="end"/>
      </w:r>
    </w:p>
    <w:sectPr w:rsidR="00CE42C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CA023" w14:textId="77777777" w:rsidR="006263C8" w:rsidRDefault="006263C8" w:rsidP="00181681">
      <w:pPr>
        <w:spacing w:after="0" w:line="240" w:lineRule="auto"/>
      </w:pPr>
      <w:r>
        <w:separator/>
      </w:r>
    </w:p>
  </w:endnote>
  <w:endnote w:type="continuationSeparator" w:id="0">
    <w:p w14:paraId="046AB9BE" w14:textId="77777777" w:rsidR="006263C8" w:rsidRDefault="006263C8" w:rsidP="00181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48032" w14:textId="77777777" w:rsidR="00181681" w:rsidRDefault="00181681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FB8122C" w14:textId="77777777" w:rsidR="00181681" w:rsidRDefault="001816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B3224" w14:textId="77777777" w:rsidR="006263C8" w:rsidRDefault="006263C8" w:rsidP="00181681">
      <w:pPr>
        <w:spacing w:after="0" w:line="240" w:lineRule="auto"/>
      </w:pPr>
      <w:r>
        <w:separator/>
      </w:r>
    </w:p>
  </w:footnote>
  <w:footnote w:type="continuationSeparator" w:id="0">
    <w:p w14:paraId="1C3F8FB2" w14:textId="77777777" w:rsidR="006263C8" w:rsidRDefault="006263C8" w:rsidP="001816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el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81681"/>
    <w:rsid w:val="00007F8E"/>
    <w:rsid w:val="00056167"/>
    <w:rsid w:val="0006745A"/>
    <w:rsid w:val="000804E5"/>
    <w:rsid w:val="000B5848"/>
    <w:rsid w:val="000C1692"/>
    <w:rsid w:val="000D1A27"/>
    <w:rsid w:val="000D3C42"/>
    <w:rsid w:val="00155DC5"/>
    <w:rsid w:val="001771F2"/>
    <w:rsid w:val="00181681"/>
    <w:rsid w:val="00193BA0"/>
    <w:rsid w:val="001A6090"/>
    <w:rsid w:val="001B4FCC"/>
    <w:rsid w:val="001F70D1"/>
    <w:rsid w:val="00201A71"/>
    <w:rsid w:val="00202D90"/>
    <w:rsid w:val="00205E39"/>
    <w:rsid w:val="0020795B"/>
    <w:rsid w:val="0024400D"/>
    <w:rsid w:val="002522E6"/>
    <w:rsid w:val="002C03EC"/>
    <w:rsid w:val="002C5DEB"/>
    <w:rsid w:val="00306DC5"/>
    <w:rsid w:val="003B41D3"/>
    <w:rsid w:val="003E2B8E"/>
    <w:rsid w:val="0042247B"/>
    <w:rsid w:val="00426568"/>
    <w:rsid w:val="00451F23"/>
    <w:rsid w:val="00483865"/>
    <w:rsid w:val="00492360"/>
    <w:rsid w:val="00535F72"/>
    <w:rsid w:val="00556B02"/>
    <w:rsid w:val="00585FCD"/>
    <w:rsid w:val="00591825"/>
    <w:rsid w:val="0059329F"/>
    <w:rsid w:val="005E2263"/>
    <w:rsid w:val="00613D43"/>
    <w:rsid w:val="006263C8"/>
    <w:rsid w:val="00653E42"/>
    <w:rsid w:val="006D50C7"/>
    <w:rsid w:val="007516ED"/>
    <w:rsid w:val="007C6362"/>
    <w:rsid w:val="0085050D"/>
    <w:rsid w:val="00852E90"/>
    <w:rsid w:val="00862619"/>
    <w:rsid w:val="00883870"/>
    <w:rsid w:val="008D45AE"/>
    <w:rsid w:val="009213EE"/>
    <w:rsid w:val="009C7EB9"/>
    <w:rsid w:val="009E1EC3"/>
    <w:rsid w:val="009F0024"/>
    <w:rsid w:val="00A05B44"/>
    <w:rsid w:val="00A35F09"/>
    <w:rsid w:val="00A81032"/>
    <w:rsid w:val="00AA0515"/>
    <w:rsid w:val="00AA58BC"/>
    <w:rsid w:val="00B12D9F"/>
    <w:rsid w:val="00B3768F"/>
    <w:rsid w:val="00B74286"/>
    <w:rsid w:val="00BA0B29"/>
    <w:rsid w:val="00BF5B20"/>
    <w:rsid w:val="00C03D3B"/>
    <w:rsid w:val="00C106B2"/>
    <w:rsid w:val="00C44FCE"/>
    <w:rsid w:val="00C6652C"/>
    <w:rsid w:val="00C82A73"/>
    <w:rsid w:val="00CE42C3"/>
    <w:rsid w:val="00D02CD8"/>
    <w:rsid w:val="00D210BC"/>
    <w:rsid w:val="00D932D7"/>
    <w:rsid w:val="00DC2615"/>
    <w:rsid w:val="00DC3693"/>
    <w:rsid w:val="00E125EA"/>
    <w:rsid w:val="00E555D9"/>
    <w:rsid w:val="00E625A3"/>
    <w:rsid w:val="00E72EB5"/>
    <w:rsid w:val="00EC1D49"/>
    <w:rsid w:val="00F10EA8"/>
    <w:rsid w:val="00F42D0F"/>
    <w:rsid w:val="00FA4010"/>
    <w:rsid w:val="00FB1D4D"/>
    <w:rsid w:val="00FB53F8"/>
    <w:rsid w:val="00FB70F1"/>
    <w:rsid w:val="00FB7B6D"/>
    <w:rsid w:val="00FC1879"/>
    <w:rsid w:val="00FE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28E51"/>
  <w15:chartTrackingRefBased/>
  <w15:docId w15:val="{81E90144-AECB-4659-B43A-9DAFF497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16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681"/>
  </w:style>
  <w:style w:type="paragraph" w:styleId="Footer">
    <w:name w:val="footer"/>
    <w:basedOn w:val="Normal"/>
    <w:link w:val="FooterChar"/>
    <w:uiPriority w:val="99"/>
    <w:unhideWhenUsed/>
    <w:rsid w:val="001816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681"/>
  </w:style>
  <w:style w:type="paragraph" w:customStyle="1" w:styleId="EndNoteBibliographyTitle">
    <w:name w:val="EndNote Bibliography Title"/>
    <w:basedOn w:val="Normal"/>
    <w:link w:val="EndNoteBibliographyTitleChar"/>
    <w:rsid w:val="00FC187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C187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C1879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C1879"/>
    <w:rPr>
      <w:rFonts w:ascii="Calibri" w:hAnsi="Calibri" w:cs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C44F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Howard, David</dc:creator>
  <cp:keywords/>
  <dc:description/>
  <cp:lastModifiedBy>David Howard</cp:lastModifiedBy>
  <cp:revision>75</cp:revision>
  <dcterms:created xsi:type="dcterms:W3CDTF">2022-10-17T10:26:00Z</dcterms:created>
  <dcterms:modified xsi:type="dcterms:W3CDTF">2023-05-15T09:49:00Z</dcterms:modified>
</cp:coreProperties>
</file>