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tion"/>
        <w:keepNext w:val="true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Figure S</w:t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</w:rPr>
        <w:fldChar w:fldCharType="begin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instrText xml:space="preserve"> SEQ Figure \* ARABIC </w:instrTex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separate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t>1</w: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.</w:t>
      </w:r>
      <w:r>
        <w:rPr>
          <w:rFonts w:cs="Times New Roman" w:ascii="Times New Roman" w:hAnsi="Times New Roman"/>
          <w:i w:val="false"/>
          <w:iCs w:val="false"/>
          <w:color w:val="auto"/>
          <w:sz w:val="22"/>
          <w:szCs w:val="22"/>
          <w:lang w:val="en-GB"/>
        </w:rPr>
        <w:t xml:space="preserve"> Directed Acyclic Graph representing hypothesized relationships between ADHD and Risky Sexual Behaviours (RSB).</w:t>
      </w:r>
    </w:p>
    <w:p>
      <w:pPr>
        <w:pStyle w:val="Normal"/>
        <w:rPr/>
      </w:pPr>
      <w:r>
        <w:rPr/>
        <w:drawing>
          <wp:inline distT="0" distB="0" distL="0" distR="0">
            <wp:extent cx="5760720" cy="4404360"/>
            <wp:effectExtent l="0" t="0" r="0" b="0"/>
            <wp:docPr id="1" name="Image 1" descr="Une image contenant lign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ligne, diagramm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0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b/>
          <w:bCs/>
          <w:lang w:val="en-GB"/>
        </w:rPr>
        <w:t>Note:</w:t>
      </w:r>
      <w:r>
        <w:rPr>
          <w:rFonts w:cs="Times New Roman" w:ascii="Times New Roman" w:hAnsi="Times New Roman"/>
          <w:lang w:val="en-GB"/>
        </w:rPr>
        <w:t xml:space="preserve"> This DAG illustrates the assumed causal relationships between ADHD (exposure) and Risky Sexual Behaviour (RSB, outcome).</w:t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  <w:t>The minimal sufficient adjustment set to estimate the total effect of ADHD on RSB includes Age, Sex, and Family socio-economic situation during childhood.</w:t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Caption"/>
        <w:keepNext w:val="true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Figure S</w:t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</w:rPr>
        <w:fldChar w:fldCharType="begin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instrText xml:space="preserve"> SEQ Figure \* ARABIC </w:instrTex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separate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t>2</w: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 xml:space="preserve">. </w:t>
      </w:r>
      <w:r>
        <w:rPr>
          <w:rFonts w:cs="Times New Roman" w:ascii="Times New Roman" w:hAnsi="Times New Roman"/>
          <w:i w:val="false"/>
          <w:iCs w:val="false"/>
          <w:color w:val="auto"/>
          <w:sz w:val="22"/>
          <w:szCs w:val="22"/>
          <w:lang w:val="en-GB"/>
        </w:rPr>
        <w:t>Flowchart of the Study Population Selection: the i-Share study</w:t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3627120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27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Caption"/>
        <w:keepNext w:val="true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i w:val="false"/>
          <w:iCs w:val="false"/>
          <w:color w:themeColor="text2" w:val="auto"/>
          <w:sz w:val="22"/>
          <w:szCs w:val="22"/>
          <w:lang w:val="en-GB"/>
        </w:rPr>
      </w:r>
    </w:p>
    <w:p>
      <w:pPr>
        <w:pStyle w:val="Caption"/>
        <w:rPr>
          <w:rFonts w:ascii="Times New Roman" w:hAnsi="Times New Roman" w:cs="Times New Roman"/>
          <w:i w:val="false"/>
          <w:i w:val="false"/>
          <w:iCs w:val="false"/>
          <w:color w:val="auto"/>
          <w:sz w:val="22"/>
          <w:szCs w:val="22"/>
          <w:lang w:val="en-GB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Table S</w:t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</w:rPr>
        <w:fldChar w:fldCharType="begin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instrText xml:space="preserve"> SEQ Tableau \* ARABIC </w:instrTex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separate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t>1</w: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.</w:t>
      </w:r>
      <w:r>
        <w:rPr>
          <w:rFonts w:cs="Times New Roman" w:ascii="Times New Roman" w:hAnsi="Times New Roman"/>
          <w:i w:val="false"/>
          <w:iCs w:val="false"/>
          <w:color w:val="auto"/>
          <w:sz w:val="22"/>
          <w:szCs w:val="22"/>
          <w:lang w:val="en-GB"/>
        </w:rPr>
        <w:t xml:space="preserve"> Characteristics of the study population (including those without sexual intercourse): the i-Share study</w:t>
      </w:r>
    </w:p>
    <w:tbl>
      <w:tblPr>
        <w:tblW w:w="5000" w:type="pct"/>
        <w:jc w:val="left"/>
        <w:tblInd w:w="-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noVBand="1" w:noHBand="0" w:lastColumn="0" w:firstColumn="1" w:lastRow="0" w:firstRow="1"/>
      </w:tblPr>
      <w:tblGrid>
        <w:gridCol w:w="49"/>
        <w:gridCol w:w="2117"/>
        <w:gridCol w:w="1974"/>
        <w:gridCol w:w="2114"/>
        <w:gridCol w:w="2048"/>
        <w:gridCol w:w="769"/>
      </w:tblGrid>
      <w:tr>
        <w:trPr>
          <w:tblHeader w:val="true"/>
        </w:trPr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7" w:type="dxa"/>
            <w:tcBorders>
              <w:top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1974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  <w:t>Total sample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  <w:t>(N=16,184)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4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ADHD Symptoms: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Low level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  <w:t>(n=15,328)</w:t>
            </w:r>
          </w:p>
        </w:tc>
        <w:tc>
          <w:tcPr>
            <w:tcW w:w="2048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ADHD Symptoms: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US"/>
              </w:rPr>
              <w:t>High level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  <w:t>(n=856)</w:t>
            </w:r>
          </w:p>
        </w:tc>
        <w:tc>
          <w:tcPr>
            <w:tcW w:w="769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eastAsia="Aptos" w:cs="Times New Roman"/>
                <w:b/>
                <w:bCs/>
                <w:i/>
                <w:i/>
                <w:i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i/>
                <w:iCs/>
                <w:lang w:val="en-GB"/>
              </w:rPr>
              <w:t>p-value</w:t>
            </w:r>
          </w:p>
        </w:tc>
      </w:tr>
      <w:tr>
        <w:trPr>
          <w:tblHeader w:val="true"/>
        </w:trPr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7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1974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n (%) or mean (SD)</w:t>
            </w:r>
          </w:p>
        </w:tc>
        <w:tc>
          <w:tcPr>
            <w:tcW w:w="2114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n (%) or mean (SD)</w:t>
            </w:r>
          </w:p>
        </w:tc>
        <w:tc>
          <w:tcPr>
            <w:tcW w:w="2048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n (%) or mean (SD)</w:t>
            </w:r>
          </w:p>
        </w:tc>
        <w:tc>
          <w:tcPr>
            <w:tcW w:w="769" w:type="dxa"/>
            <w:tcBorders>
              <w:top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Aptos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>
              <w:top w:val="single" w:sz="4" w:space="0" w:color="000000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</w:rPr>
              <w:t>Sex</w:t>
            </w:r>
          </w:p>
        </w:tc>
        <w:tc>
          <w:tcPr>
            <w:tcW w:w="1974" w:type="dxa"/>
            <w:tcBorders>
              <w:top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4" w:type="dxa"/>
            <w:tcBorders>
              <w:top w:val="single" w:sz="4" w:space="0" w:color="000000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048" w:type="dxa"/>
            <w:tcBorders>
              <w:top w:val="single" w:sz="4" w:space="0" w:color="000000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Aptos" w:cs="Times New Roman" w:ascii="Times New Roman" w:hAnsi="Times New Roman"/>
                <w:color w:val="000000"/>
              </w:rPr>
            </w:r>
          </w:p>
        </w:tc>
        <w:tc>
          <w:tcPr>
            <w:tcW w:w="769" w:type="dxa"/>
            <w:tcBorders>
              <w:top w:val="single" w:sz="4" w:space="0" w:color="000000"/>
            </w:tcBorders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</w:rPr>
              <w:t>0.282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Calibri" w:cs="Times New Roman" w:ascii="Times New Roman" w:hAnsi="Times New Roman"/>
              </w:rPr>
              <w:t>Men</w:t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Calibri" w:cs="Times New Roman" w:ascii="Times New Roman" w:hAnsi="Times New Roman"/>
              </w:rPr>
              <w:t>3,893 (24.1%)</w:t>
            </w:r>
          </w:p>
        </w:tc>
        <w:tc>
          <w:tcPr>
            <w:tcW w:w="2114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Calibri" w:cs="Times New Roman" w:ascii="Times New Roman" w:hAnsi="Times New Roman"/>
              </w:rPr>
              <w:t>3,674 (24.0%)</w:t>
            </w:r>
          </w:p>
        </w:tc>
        <w:tc>
          <w:tcPr>
            <w:tcW w:w="2048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</w:rPr>
              <w:t>219 (25.6%)</w:t>
            </w:r>
          </w:p>
        </w:tc>
        <w:tc>
          <w:tcPr>
            <w:tcW w:w="769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Aptos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Calibri" w:cs="Times New Roman" w:ascii="Times New Roman" w:hAnsi="Times New Roman"/>
              </w:rPr>
              <w:t>Women</w:t>
            </w:r>
          </w:p>
        </w:tc>
        <w:tc>
          <w:tcPr>
            <w:tcW w:w="1974" w:type="dxa"/>
            <w:tcBorders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Calibri" w:cs="Times New Roman" w:ascii="Times New Roman" w:hAnsi="Times New Roman"/>
              </w:rPr>
              <w:t>12,291 (75.9%)</w:t>
            </w:r>
          </w:p>
        </w:tc>
        <w:tc>
          <w:tcPr>
            <w:tcW w:w="2114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FF0000"/>
              </w:rPr>
            </w:pPr>
            <w:r>
              <w:rPr>
                <w:rFonts w:eastAsia="Calibri" w:cs="Times New Roman" w:ascii="Times New Roman" w:hAnsi="Times New Roman"/>
              </w:rPr>
              <w:t>11,654 (76.0%)</w:t>
            </w:r>
          </w:p>
        </w:tc>
        <w:tc>
          <w:tcPr>
            <w:tcW w:w="2048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</w:rPr>
              <w:t>637 (74.4%)</w:t>
            </w:r>
          </w:p>
        </w:tc>
        <w:tc>
          <w:tcPr>
            <w:tcW w:w="769" w:type="dxa"/>
            <w:tcBorders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color w:val="000000"/>
              </w:rPr>
            </w:pPr>
            <w:r>
              <w:rPr>
                <w:rFonts w:eastAsia="Aptos" w:cs="Times New Roman" w:ascii="Times New Roman" w:hAnsi="Times New Roman"/>
                <w:color w:val="000000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  <w:t>Age*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20.38 (2.31)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20.38 (2.31)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20.33 (2.30)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0.464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SES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&lt;0.001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Low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1,506 (9.3%)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1,386 (9.0%)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120 (14.0%)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Moderate to high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14,675 (90.7%)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13,939 (91.0%)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736 (86.0%)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Study level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0.291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First year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6,112 (37.9%)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5,778 (37.8%)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334 (39.1%)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Second year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3,162 (19.6%)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2,977 (19.5%)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185 (21.7%)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Third year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2,479 (15.4%)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2,359 (15.4%)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120 (14.1%)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Four or more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2,546 (15.8%)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2,416 (15.8%)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130 (15.2%)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Other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1,824 (11.3%)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1,739 (11.4%)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85 (10.0%)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  <w:t>Alcohol use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0.236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&lt;</w:t>
            </w:r>
            <w:r>
              <w:rPr>
                <w:rFonts w:eastAsia="Times New Roman" w:cs="Times New Roman" w:ascii="Times New Roman" w:hAnsi="Times New Roman"/>
                <w:color w:val="000000"/>
                <w:sz w:val="23"/>
                <w:szCs w:val="24"/>
                <w:lang w:val="en-GB" w:eastAsia="fr-FR"/>
              </w:rPr>
              <w:t xml:space="preserve"> 1/ week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7,389 (45.7%)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7,015 (45.8%)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374 (43.7%)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3"/>
                <w:szCs w:val="24"/>
                <w:lang w:val="en-GB" w:eastAsia="fr-FR"/>
              </w:rPr>
              <w:t xml:space="preserve">≥ </w:t>
            </w:r>
            <w:r>
              <w:rPr>
                <w:rFonts w:eastAsia="Times New Roman" w:cs="Times New Roman" w:ascii="Times New Roman" w:hAnsi="Times New Roman"/>
                <w:color w:val="000000"/>
                <w:sz w:val="23"/>
                <w:szCs w:val="24"/>
                <w:lang w:val="en-GB" w:eastAsia="fr-FR"/>
              </w:rPr>
              <w:t>1/ week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8,795 (54.3%)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8,313 (54.2%)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482 (56.3%)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Cannabis use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&lt;0.001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No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10 367 (65,2%)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9 917 (65,9%)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450 (53,5%)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≤</w:t>
            </w:r>
            <w:r>
              <w:rPr>
                <w:rFonts w:eastAsia="Aptos" w:cs="Times New Roman" w:ascii="Times New Roman" w:hAnsi="Times New Roman"/>
              </w:rPr>
              <w:t>once/month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4 052 (25,5%)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3 807 (25,3%)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245 (29,1%)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&gt; once/month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1 481 (9,3%)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1 335 (8,9%)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146 (17,4%)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</w:rPr>
              <w:t>Risk Sexual  Behaviours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Inconsistent condoms use (last 12 months)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&lt;0.001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No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11,886 (80.3%)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11,304 (80.6%)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582 (74.5%)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Yes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2,921 (19.7%)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2,722 (19.4%)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199 (25.5%)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Diagnosis of sexually transmitted infection (last 12 months)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0.004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No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15,077 (96.6%)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14,284 (96.7%)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793 (94.6%)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Yes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530 (3.4%)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</w:rPr>
              <w:t>487 (3.3%)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43 (5.1%)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Number of sexual partners (last 12 months)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  <w:t>1.61 (2.88)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  <w:t>1.59 (2.69)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  <w:t>2.07 (5.24)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0.002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Any form of contraception (current)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&lt;0.001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No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4,026 (32.8%)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3,753 (32.2%)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273 (42.9%)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Yes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8,255 (67.2%)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7,891 (67.8%)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364 (57.1%)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History of emergency contraception (ever)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0.040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No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7,550 (62.2%)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7,182 (62.4%)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368 (58.3%)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Yes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4,591 (37.8%)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4,328 (37.6%)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263 (41.7%)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eastAsia="Aptos" w:cs="Times New Roman" w:ascii="Times New Roman" w:hAnsi="Times New Roman"/>
                <w:b/>
                <w:bCs/>
                <w:lang w:val="en-GB"/>
              </w:rPr>
              <w:t>History of abortion (ever)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lang w:val="en-GB"/>
              </w:rPr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0.003</w:t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No</w:t>
            </w:r>
          </w:p>
        </w:tc>
        <w:tc>
          <w:tcPr>
            <w:tcW w:w="1974" w:type="dxa"/>
            <w:tcBorders/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11,798 (96.8%)</w:t>
            </w:r>
          </w:p>
        </w:tc>
        <w:tc>
          <w:tcPr>
            <w:tcW w:w="2114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11,196 (96.9%)</w:t>
            </w:r>
          </w:p>
        </w:tc>
        <w:tc>
          <w:tcPr>
            <w:tcW w:w="2048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602 (94.8%)</w:t>
            </w:r>
          </w:p>
        </w:tc>
        <w:tc>
          <w:tcPr>
            <w:tcW w:w="769" w:type="dxa"/>
            <w:tcBorders/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  <w:tr>
        <w:trPr/>
        <w:tc>
          <w:tcPr>
            <w:tcW w:w="49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  <w:tc>
          <w:tcPr>
            <w:tcW w:w="2117" w:type="dxa"/>
            <w:tcBorders>
              <w:bottom w:val="single" w:sz="4" w:space="0" w:color="000000"/>
            </w:tcBorders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Yes</w:t>
            </w:r>
          </w:p>
        </w:tc>
        <w:tc>
          <w:tcPr>
            <w:tcW w:w="1974" w:type="dxa"/>
            <w:tcBorders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391 (3.2%)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358 (3.1%)</w:t>
            </w:r>
          </w:p>
        </w:tc>
        <w:tc>
          <w:tcPr>
            <w:tcW w:w="2048" w:type="dxa"/>
            <w:tcBorders>
              <w:bottom w:val="single" w:sz="4" w:space="0" w:color="000000"/>
            </w:tcBorders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  <w:t>33 (5.2%)</w:t>
            </w:r>
          </w:p>
        </w:tc>
        <w:tc>
          <w:tcPr>
            <w:tcW w:w="769" w:type="dxa"/>
            <w:tcBorders>
              <w:bottom w:val="single" w:sz="4" w:space="0" w:color="000000"/>
            </w:tcBorders>
            <w:shd w:color="auto" w:fill="FFFFFF" w:val="clear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eastAsia="Aptos" w:cs="Times New Roman"/>
              </w:rPr>
            </w:pPr>
            <w:r>
              <w:rPr>
                <w:rFonts w:eastAsia="Aptos" w:cs="Times New Roman" w:ascii="Times New Roman" w:hAnsi="Times New Roman"/>
              </w:rPr>
            </w:r>
          </w:p>
        </w:tc>
      </w:tr>
    </w:tbl>
    <w:p>
      <w:pPr>
        <w:pStyle w:val="Normal"/>
        <w:pBdr>
          <w:bottom w:val="single" w:sz="4" w:space="1" w:color="000000"/>
        </w:pBdr>
        <w:rPr>
          <w:rFonts w:ascii="Times New Roman" w:hAnsi="Times New Roman" w:eastAsia="Aptos" w:cs="Aptos"/>
          <w:lang w:val="en-GB"/>
        </w:rPr>
      </w:pPr>
      <w:r>
        <w:rPr>
          <w:rFonts w:eastAsia="Times New Roman" w:cs="Times New Roman" w:ascii="Times New Roman" w:hAnsi="Times New Roman"/>
          <w:color w:val="000000"/>
          <w:lang w:val="en-GB" w:eastAsia="fr-FR"/>
        </w:rPr>
        <w:t>*</w:t>
      </w:r>
      <w:r>
        <w:rPr>
          <w:rFonts w:eastAsia="Aptos" w:cs="Aptos" w:ascii="Times New Roman" w:hAnsi="Times New Roman"/>
          <w:lang w:val="en-GB"/>
        </w:rPr>
        <w:t xml:space="preserve"> </w:t>
      </w:r>
      <w:r>
        <w:rPr>
          <w:rFonts w:eastAsia="Times New Roman" w:cs="Times New Roman" w:ascii="Times New Roman" w:hAnsi="Times New Roman"/>
          <w:color w:val="000000"/>
          <w:lang w:val="en-GB" w:eastAsia="fr-FR"/>
        </w:rPr>
        <w:t>Age is shown as the mean (SD = standard deviation).</w:t>
      </w:r>
    </w:p>
    <w:p>
      <w:pPr>
        <w:pStyle w:val="Normal"/>
        <w:pBdr>
          <w:bottom w:val="single" w:sz="4" w:space="1" w:color="000000"/>
        </w:pBdr>
        <w:rPr>
          <w:rFonts w:ascii="Times New Roman" w:hAnsi="Times New Roman" w:eastAsia="Aptos" w:cs="Times New Roman"/>
          <w:lang w:val="en-GB"/>
        </w:rPr>
      </w:pPr>
      <w:r>
        <w:rPr>
          <w:rFonts w:eastAsia="Aptos" w:cs="Times New Roman" w:ascii="Times New Roman" w:hAnsi="Times New Roman"/>
          <w:lang w:val="en-GB"/>
        </w:rPr>
        <w:t>p-values from Chi2 tests (all variables except for age and multiple sexual partners), Mann-Whitney test (for age) and Wilcoxon test (for multiple sexual partners).</w:t>
      </w:r>
    </w:p>
    <w:p>
      <w:pPr>
        <w:pStyle w:val="Normal"/>
        <w:pBdr>
          <w:bottom w:val="single" w:sz="4" w:space="1" w:color="000000"/>
        </w:pBdr>
        <w:rPr>
          <w:rFonts w:ascii="Times New Roman" w:hAnsi="Times New Roman" w:eastAsia="Aptos" w:cs="Aptos"/>
          <w:lang w:val="en-GB"/>
        </w:rPr>
      </w:pPr>
      <w:r>
        <w:rPr>
          <w:rFonts w:eastAsia="Aptos" w:cs="Aptos" w:ascii="Times New Roman" w:hAnsi="Times New Roman"/>
          <w:lang w:val="en-GB"/>
        </w:rPr>
        <w:t>Abbreviations: ADHD = Attention Deficit Hyperactivity Disorder, SES = Socio Economic Status.</w:t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sectPr>
          <w:type w:val="nextPage"/>
          <w:pgSz w:w="11906" w:h="16838"/>
          <w:pgMar w:left="1417" w:right="1417" w:gutter="0" w:header="0" w:top="1417" w:footer="0" w:bottom="1417"/>
          <w:pgNumType w:fmt="decimal"/>
          <w:formProt w:val="false"/>
          <w:textDirection w:val="lrTb"/>
          <w:docGrid w:type="default" w:linePitch="360" w:charSpace="12288"/>
        </w:sectPr>
        <w:pStyle w:val="Normal"/>
        <w:rPr>
          <w:rFonts w:ascii="Times New Roman" w:hAnsi="Times New Roman" w:cs="Times New Roman"/>
          <w:lang w:val="en-GB"/>
        </w:rPr>
      </w:pPr>
      <w:r>
        <w:rPr>
          <w:rFonts w:cs="Times New Roman" w:ascii="Times New Roman" w:hAnsi="Times New Roman"/>
          <w:lang w:val="en-GB"/>
        </w:rPr>
      </w:r>
    </w:p>
    <w:p>
      <w:pPr>
        <w:pStyle w:val="Caption"/>
        <w:rPr>
          <w:lang w:val="en-GB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Table S</w:t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</w:rPr>
        <w:fldChar w:fldCharType="begin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instrText xml:space="preserve"> SEQ Tableau \* ARABIC </w:instrTex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separate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t>2</w: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.</w:t>
      </w:r>
      <w:r>
        <w:rPr>
          <w:color w:val="auto"/>
          <w:lang w:val="en-GB"/>
        </w:rPr>
        <w:t xml:space="preserve"> </w:t>
      </w:r>
      <w:r>
        <w:rPr>
          <w:rFonts w:eastAsia="Aptos" w:cs="Times New Roman" w:ascii="Times New Roman" w:hAnsi="Times New Roman"/>
          <w:i w:val="false"/>
          <w:iCs w:val="false"/>
          <w:color w:val="auto"/>
          <w:sz w:val="22"/>
          <w:szCs w:val="22"/>
          <w:lang w:val="en-GB"/>
        </w:rPr>
        <w:t>Multivariable associations between ADHD symptoms and Risky Sexual Behaviours (including those without sexual intercourse): the i-Share study</w:t>
      </w:r>
    </w:p>
    <w:tbl>
      <w:tblPr>
        <w:tblStyle w:val="Grilledutableau"/>
        <w:tblW w:w="14387" w:type="dxa"/>
        <w:jc w:val="lef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844"/>
        <w:gridCol w:w="1841"/>
        <w:gridCol w:w="1843"/>
        <w:gridCol w:w="1871"/>
        <w:gridCol w:w="1746"/>
        <w:gridCol w:w="1753"/>
        <w:gridCol w:w="1752"/>
        <w:gridCol w:w="1735"/>
      </w:tblGrid>
      <w:tr>
        <w:trPr/>
        <w:tc>
          <w:tcPr>
            <w:tcW w:w="184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841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Early first sexual intercourse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(≤ 15 years)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14,732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Inconsistent condom use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(last 12 months)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14,807</w:t>
            </w:r>
          </w:p>
        </w:tc>
        <w:tc>
          <w:tcPr>
            <w:tcW w:w="1871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Diagnosis of a sexually transmitted infection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(last 12 months)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Aptos" w:hAnsi="Aptos" w:eastAsia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15,607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Multiple sexual partners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(last 12 months)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13,926</w:t>
            </w:r>
          </w:p>
        </w:tc>
        <w:tc>
          <w:tcPr>
            <w:tcW w:w="175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Any form of contraception*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(current)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12,281</w:t>
            </w:r>
          </w:p>
        </w:tc>
        <w:tc>
          <w:tcPr>
            <w:tcW w:w="1752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History of emergency contraception* (ever)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12,141</w:t>
            </w:r>
          </w:p>
        </w:tc>
        <w:tc>
          <w:tcPr>
            <w:tcW w:w="1735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History of abortion*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(ever)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12,189</w:t>
            </w:r>
          </w:p>
        </w:tc>
      </w:tr>
      <w:tr>
        <w:trPr>
          <w:trHeight w:val="454" w:hRule="atLeast"/>
        </w:trPr>
        <w:tc>
          <w:tcPr>
            <w:tcW w:w="184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1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871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746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IRR (95% CI)</w:t>
            </w:r>
          </w:p>
        </w:tc>
        <w:tc>
          <w:tcPr>
            <w:tcW w:w="175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752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735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</w:tr>
      <w:tr>
        <w:trPr>
          <w:trHeight w:val="567" w:hRule="atLeast"/>
        </w:trPr>
        <w:tc>
          <w:tcPr>
            <w:tcW w:w="184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ADHD unadjusted</w:t>
            </w:r>
          </w:p>
        </w:tc>
        <w:tc>
          <w:tcPr>
            <w:tcW w:w="18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1.27(1.07 – 1.51)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1.42(1.20 – 1.68)</w:t>
            </w:r>
          </w:p>
        </w:tc>
        <w:tc>
          <w:tcPr>
            <w:tcW w:w="187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1.59(1.15 – 2.19)</w:t>
            </w:r>
          </w:p>
        </w:tc>
        <w:tc>
          <w:tcPr>
            <w:tcW w:w="1746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1.31(1.24 – 1.37)</w:t>
            </w:r>
          </w:p>
        </w:tc>
        <w:tc>
          <w:tcPr>
            <w:tcW w:w="175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0.63(0.54 – 0.75)</w:t>
            </w:r>
          </w:p>
        </w:tc>
        <w:tc>
          <w:tcPr>
            <w:tcW w:w="1752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1.19(1.01 – 1.40)</w:t>
            </w:r>
          </w:p>
        </w:tc>
        <w:tc>
          <w:tcPr>
            <w:tcW w:w="173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1.71(1.19 – 2.47)</w:t>
            </w:r>
          </w:p>
        </w:tc>
      </w:tr>
      <w:tr>
        <w:trPr>
          <w:trHeight w:val="567" w:hRule="atLeast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ADHD and gender, age, SES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1.25(1.06 – 1.48)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1.42(1.20 – 1.68)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1.61(1.16 – 2.22)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1.30(1.24 – 1.37)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0.64(0.54 – 0.75)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1.20(1.02 – 1.42)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1.77(1.22 – 2.58)</w:t>
            </w:r>
          </w:p>
        </w:tc>
      </w:tr>
      <w:tr>
        <w:trPr>
          <w:trHeight w:val="567" w:hRule="atLeast"/>
        </w:trPr>
        <w:tc>
          <w:tcPr>
            <w:tcW w:w="184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ADHD and gender, age, SES, alcohol, cannabis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1.26(1.06 – 1.50)</w:t>
            </w:r>
          </w:p>
        </w:tc>
        <w:tc>
          <w:tcPr>
            <w:tcW w:w="187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Aptos" w:hAnsi="Aptos" w:eastAsia="Aptos" w:cs=""/>
                <w:color w:val="000000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Times New Roman" w:ascii="Times New Roman" w:hAnsi="Times New Roman"/>
                <w:color w:val="000000"/>
                <w:kern w:val="2"/>
                <w:sz w:val="22"/>
                <w:szCs w:val="22"/>
                <w:lang w:val="en-US" w:eastAsia="en-US" w:bidi="ar-SA"/>
              </w:rPr>
              <w:t xml:space="preserve">1.49(1.08 </w:t>
            </w:r>
            <w:r>
              <w:rPr>
                <w:rFonts w:eastAsia="Aptos" w:cs="Times New Roman" w:ascii="Times New Roman" w:hAnsi="Times New Roman"/>
                <w:color w:val="000000"/>
                <w:kern w:val="2"/>
                <w:sz w:val="22"/>
                <w:szCs w:val="22"/>
                <w:lang w:val="en-US" w:eastAsia="en-US" w:bidi="ar-SA"/>
              </w:rPr>
              <w:t xml:space="preserve">– </w:t>
            </w:r>
            <w:r>
              <w:rPr>
                <w:rFonts w:eastAsia="Aptos" w:cs="Times New Roman" w:ascii="Times New Roman" w:hAnsi="Times New Roman"/>
                <w:color w:val="000000"/>
                <w:kern w:val="2"/>
                <w:sz w:val="22"/>
                <w:szCs w:val="22"/>
                <w:lang w:val="en-US" w:eastAsia="en-US" w:bidi="ar-SA"/>
              </w:rPr>
              <w:t>2.06)</w:t>
            </w: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1.21(1.14 – 1.27)</w:t>
            </w:r>
          </w:p>
        </w:tc>
        <w:tc>
          <w:tcPr>
            <w:tcW w:w="175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0.61(0.52 – 0.73)</w:t>
            </w:r>
          </w:p>
        </w:tc>
        <w:tc>
          <w:tcPr>
            <w:tcW w:w="175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73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-</w:t>
            </w:r>
          </w:p>
        </w:tc>
      </w:tr>
    </w:tbl>
    <w:p>
      <w:pPr>
        <w:pStyle w:val="Normal"/>
        <w:pBdr>
          <w:bottom w:val="single" w:sz="4" w:space="1" w:color="000000"/>
        </w:pBdr>
        <w:jc w:val="both"/>
        <w:rPr>
          <w:rFonts w:ascii="Times New Roman" w:hAnsi="Times New Roman" w:eastAsia="Aptos" w:cs="Aptos"/>
          <w:i/>
          <w:i/>
          <w:iCs/>
        </w:rPr>
      </w:pPr>
      <w:r>
        <w:rPr>
          <w:rFonts w:eastAsia="Aptos" w:cs="Aptos" w:ascii="Times New Roman" w:hAnsi="Times New Roman"/>
          <w:lang w:val="en-GB"/>
        </w:rPr>
        <w:t>* Female sample</w:t>
      </w:r>
    </w:p>
    <w:p>
      <w:pPr>
        <w:pStyle w:val="Normal"/>
        <w:pBdr>
          <w:bottom w:val="single" w:sz="4" w:space="1" w:color="000000"/>
        </w:pBdr>
        <w:jc w:val="both"/>
        <w:rPr>
          <w:rFonts w:ascii="Times New Roman" w:hAnsi="Times New Roman" w:eastAsia="Aptos" w:cs="Aptos"/>
          <w:lang w:val="en-GB"/>
        </w:rPr>
      </w:pPr>
      <w:r>
        <w:rPr>
          <w:rFonts w:eastAsia="Aptos" w:cs="Aptos" w:ascii="Times New Roman" w:hAnsi="Times New Roman"/>
          <w:lang w:val="en-GB"/>
        </w:rPr>
        <w:t xml:space="preserve">   </w:t>
      </w:r>
      <w:r>
        <w:rPr>
          <w:rFonts w:eastAsia="Aptos" w:cs="Aptos" w:ascii="Times New Roman" w:hAnsi="Times New Roman"/>
          <w:lang w:val="en-GB"/>
        </w:rPr>
        <w:t>Early first sexual intercourse is not adjusted for age.</w:t>
      </w:r>
    </w:p>
    <w:p>
      <w:pPr>
        <w:pStyle w:val="Normal"/>
        <w:pBdr>
          <w:bottom w:val="single" w:sz="4" w:space="1" w:color="000000"/>
        </w:pBdr>
        <w:jc w:val="both"/>
        <w:rPr>
          <w:rFonts w:ascii="Times New Roman" w:hAnsi="Times New Roman" w:eastAsia="Aptos" w:cs="Aptos"/>
          <w:lang w:val="en-GB"/>
        </w:rPr>
      </w:pPr>
      <w:r>
        <w:rPr>
          <w:rFonts w:eastAsia="Aptos" w:cs="Aptos" w:ascii="Times New Roman" w:hAnsi="Times New Roman"/>
          <w:lang w:val="en-GB"/>
        </w:rPr>
        <w:t xml:space="preserve">   </w:t>
      </w:r>
      <w:r>
        <w:rPr>
          <w:rFonts w:eastAsia="Aptos" w:cs="Times New Roman" w:ascii="Times New Roman" w:hAnsi="Times New Roman"/>
          <w:lang w:val="en-GB"/>
        </w:rPr>
        <w:t>Sensitivity</w:t>
      </w:r>
      <w:r>
        <w:rPr>
          <w:rFonts w:eastAsia="Aptos" w:cs="Aptos" w:ascii="Times New Roman" w:hAnsi="Times New Roman"/>
          <w:lang w:val="en-GB"/>
        </w:rPr>
        <w:t xml:space="preserve"> analysis (</w:t>
      </w:r>
      <w:r>
        <w:rPr>
          <w:rFonts w:eastAsia="Aptos" w:cs="Times New Roman" w:ascii="Times New Roman" w:hAnsi="Times New Roman"/>
          <w:lang w:val="en-GB"/>
        </w:rPr>
        <w:t>including</w:t>
      </w:r>
      <w:r>
        <w:rPr>
          <w:rFonts w:eastAsia="Aptos" w:cs="Aptos" w:ascii="Times New Roman" w:hAnsi="Times New Roman"/>
          <w:lang w:val="en-GB"/>
        </w:rPr>
        <w:t xml:space="preserve"> participants without sexual intercourse).</w:t>
      </w:r>
    </w:p>
    <w:p>
      <w:pPr>
        <w:pStyle w:val="Normal"/>
        <w:pBdr>
          <w:bottom w:val="single" w:sz="4" w:space="1" w:color="000000"/>
        </w:pBdr>
        <w:jc w:val="both"/>
        <w:rPr>
          <w:lang w:val="en-GB"/>
        </w:rPr>
      </w:pPr>
      <w:r>
        <w:rPr>
          <w:rFonts w:eastAsia="Aptos" w:cs="Aptos" w:ascii="Times New Roman" w:hAnsi="Times New Roman"/>
          <w:lang w:val="en-GB"/>
        </w:rPr>
        <w:t xml:space="preserve">  </w:t>
      </w:r>
      <w:r>
        <w:rPr>
          <w:rFonts w:eastAsia="Aptos" w:cs="Aptos" w:ascii="Times New Roman" w:hAnsi="Times New Roman"/>
          <w:lang w:val="en-GB"/>
        </w:rPr>
        <w:t>Abbreviations: ADHD = Attention Deficit Hyperactivity Disorder, SES = Socio Economic Status, OR: odds ratio, IRR: Incidence Rate Ratio, CI: confidence interval.</w:t>
      </w:r>
      <w:r>
        <w:br w:type="page"/>
      </w:r>
    </w:p>
    <w:p>
      <w:pPr>
        <w:pStyle w:val="Caption"/>
        <w:spacing w:before="0" w:after="200"/>
        <w:rPr>
          <w:lang w:val="en-GB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Table S</w:t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</w:rPr>
        <w:fldChar w:fldCharType="begin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instrText xml:space="preserve"> SEQ Tableau \* ARABIC </w:instrTex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separate"/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t>3</w:t>
      </w:r>
      <w:r>
        <w:rPr>
          <w:sz w:val="22"/>
          <w:i w:val="false"/>
          <w:b/>
          <w:szCs w:val="22"/>
          <w:iCs w:val="false"/>
          <w:bCs/>
          <w:rFonts w:cs="Times New Roman" w:ascii="Times New Roman" w:hAnsi="Times New Roman"/>
          <w:color w:val="auto"/>
        </w:rPr>
        <w:fldChar w:fldCharType="end"/>
      </w:r>
      <w:r>
        <w:rPr>
          <w:rFonts w:cs="Times New Roman" w:ascii="Times New Roman" w:hAnsi="Times New Roman"/>
          <w:b/>
          <w:bCs/>
          <w:i w:val="false"/>
          <w:iCs w:val="false"/>
          <w:color w:val="auto"/>
          <w:sz w:val="22"/>
          <w:szCs w:val="22"/>
          <w:lang w:val="en-GB"/>
        </w:rPr>
        <w:t>.</w:t>
      </w:r>
      <w:r>
        <w:rPr>
          <w:color w:val="auto"/>
          <w:lang w:val="en-GB"/>
        </w:rPr>
        <w:t xml:space="preserve"> </w:t>
      </w:r>
      <w:r>
        <w:rPr>
          <w:rFonts w:eastAsia="Aptos" w:cs="Times New Roman" w:ascii="Times New Roman" w:hAnsi="Times New Roman"/>
          <w:i w:val="false"/>
          <w:iCs w:val="false"/>
          <w:color w:val="auto"/>
          <w:sz w:val="22"/>
          <w:szCs w:val="22"/>
          <w:lang w:val="en-GB"/>
        </w:rPr>
        <w:t xml:space="preserve">Multivariable associations between ADHD symptoms and Risky Sexual Behaviours, </w:t>
      </w:r>
      <w:r>
        <w:rPr>
          <w:rStyle w:val="Strong"/>
          <w:rFonts w:eastAsia="Aptos" w:cs="Times New Roman" w:ascii="Times New Roman" w:hAnsi="Times New Roman"/>
          <w:b w:val="false"/>
          <w:bCs w:val="false"/>
          <w:i w:val="false"/>
          <w:iCs w:val="false"/>
          <w:color w:val="auto"/>
          <w:sz w:val="22"/>
          <w:szCs w:val="22"/>
          <w:lang w:val="en-GB"/>
        </w:rPr>
        <w:t>treating ADHD symptoms as a standardized continuous variable: the i-Share study</w:t>
      </w:r>
    </w:p>
    <w:tbl>
      <w:tblPr>
        <w:tblStyle w:val="Grilledutableau"/>
        <w:tblW w:w="1474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01"/>
        <w:gridCol w:w="1847"/>
        <w:gridCol w:w="1843"/>
        <w:gridCol w:w="1841"/>
        <w:gridCol w:w="1845"/>
        <w:gridCol w:w="1843"/>
        <w:gridCol w:w="1987"/>
        <w:gridCol w:w="1834"/>
      </w:tblGrid>
      <w:tr>
        <w:trPr/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lang w:val="en-GB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GB" w:eastAsia="en-US" w:bidi="ar-SA"/>
              </w:rPr>
            </w:r>
          </w:p>
        </w:tc>
        <w:tc>
          <w:tcPr>
            <w:tcW w:w="1847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Early first sexual intercourse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(≤ 15 years)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11,633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Inconsistent condom use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(last 12 months)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11,708</w:t>
            </w:r>
          </w:p>
        </w:tc>
        <w:tc>
          <w:tcPr>
            <w:tcW w:w="1841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Diagnosis of a sexually transmitted infection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(last 12 months)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12,508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Multiple sexual partners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(last 12 months)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10,827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Any form of contraception*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(current)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9,885</w:t>
            </w:r>
          </w:p>
        </w:tc>
        <w:tc>
          <w:tcPr>
            <w:tcW w:w="1987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History of emergency contraception* (ever)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9,776</w:t>
            </w:r>
          </w:p>
        </w:tc>
        <w:tc>
          <w:tcPr>
            <w:tcW w:w="1834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History of abortion*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GB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(ever)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N = 9,799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1847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841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IRR (95% CI)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Times New Roman"/>
                <w:b/>
                <w:bCs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987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  <w:tc>
          <w:tcPr>
            <w:tcW w:w="1834" w:type="dxa"/>
            <w:tcBorders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b/>
                <w:bCs/>
                <w:kern w:val="2"/>
                <w:sz w:val="22"/>
                <w:szCs w:val="22"/>
                <w:lang w:val="en-US" w:eastAsia="en-US" w:bidi="ar-SA"/>
              </w:rPr>
              <w:t>OR (95% CI)</w:t>
            </w:r>
          </w:p>
        </w:tc>
      </w:tr>
      <w:tr>
        <w:trPr>
          <w:trHeight w:val="567" w:hRule="atLeast"/>
        </w:trPr>
        <w:tc>
          <w:tcPr>
            <w:tcW w:w="170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ADHD unadjusted</w:t>
            </w:r>
          </w:p>
        </w:tc>
        <w:tc>
          <w:tcPr>
            <w:tcW w:w="184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color w:val="FF0000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1.07 (1.02– 1.11)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1.22 (1.17 – 1.27)</w:t>
            </w:r>
          </w:p>
        </w:tc>
        <w:tc>
          <w:tcPr>
            <w:tcW w:w="1841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1.12 (1.03 – 1.23)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1.10 (1.09 – 1.12)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0.80 (0.76 – 0.84)</w:t>
            </w:r>
          </w:p>
        </w:tc>
        <w:tc>
          <w:tcPr>
            <w:tcW w:w="1987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1.13 (1.08 – 1.17)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1.20 (1.09 – 1.33)</w:t>
            </w: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ADHD and gender, age, SES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1.06 (1.02 – 1.10)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1.22 (1.16 – 1.27)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1.13 (1.04 – 1.23)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1.10 (1.08 – 1.11)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0.80 (0.76 – 0.84)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1.14 (1.09 – 1.18)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1.21 (1.10 – 1.34)</w:t>
            </w:r>
          </w:p>
        </w:tc>
      </w:tr>
      <w:tr>
        <w:trPr>
          <w:trHeight w:val="567" w:hRule="atLeast"/>
        </w:trPr>
        <w:tc>
          <w:tcPr>
            <w:tcW w:w="170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ADHD and gender, age, SES, alcohol, cannabis</w:t>
            </w:r>
          </w:p>
        </w:tc>
        <w:tc>
          <w:tcPr>
            <w:tcW w:w="184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Aptos" w:hAnsi="Aptos" w:eastAsia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1.13 (1.08 – 1.18)</w:t>
            </w:r>
          </w:p>
        </w:tc>
        <w:tc>
          <w:tcPr>
            <w:tcW w:w="184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Aptos" w:hAnsi="Aptos" w:eastAsia="Aptos" w:cs=""/>
                <w:color w:val="000000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eastAsia="Aptos" w:cs="Times New Roman" w:ascii="Times New Roman" w:hAnsi="Times New Roman"/>
                <w:color w:val="000000"/>
                <w:kern w:val="2"/>
                <w:sz w:val="22"/>
                <w:szCs w:val="22"/>
                <w:lang w:val="en-US" w:eastAsia="en-US" w:bidi="ar-SA"/>
              </w:rPr>
              <w:t xml:space="preserve">1.12 (1.01 – </w:t>
            </w:r>
            <w:r>
              <w:rPr>
                <w:rFonts w:eastAsia="Aptos" w:cs="Times New Roman" w:ascii="Times New Roman" w:hAnsi="Times New Roman"/>
                <w:color w:val="000000"/>
                <w:kern w:val="2"/>
                <w:sz w:val="22"/>
                <w:szCs w:val="22"/>
                <w:lang w:val="en-US" w:eastAsia="en-US" w:bidi="ar-SA"/>
              </w:rPr>
              <w:t>1</w:t>
            </w:r>
            <w:r>
              <w:rPr>
                <w:rFonts w:eastAsia="Aptos" w:cs="Times New Roman" w:ascii="Times New Roman" w:hAnsi="Times New Roman"/>
                <w:color w:val="000000"/>
                <w:kern w:val="2"/>
                <w:sz w:val="22"/>
                <w:szCs w:val="22"/>
                <w:lang w:val="en-US" w:eastAsia="en-US" w:bidi="ar-SA"/>
              </w:rPr>
              <w:t>.23)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1.06 (1.04 – 1.07)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left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0.80 (0.76 – 0.84)</w:t>
            </w:r>
          </w:p>
        </w:tc>
        <w:tc>
          <w:tcPr>
            <w:tcW w:w="1987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-</w:t>
            </w:r>
          </w:p>
        </w:tc>
        <w:tc>
          <w:tcPr>
            <w:tcW w:w="183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240" w:after="0"/>
              <w:jc w:val="center"/>
              <w:rPr>
                <w:rFonts w:ascii="Times New Roman" w:hAnsi="Times New Roman" w:eastAsia="Aptos" w:cs="Aptos"/>
                <w:lang w:val="en-US"/>
              </w:rPr>
            </w:pPr>
            <w:r>
              <w:rPr>
                <w:rFonts w:eastAsia="Aptos" w:cs="Times New Roman" w:ascii="Times New Roman" w:hAnsi="Times New Roman"/>
                <w:kern w:val="2"/>
                <w:sz w:val="22"/>
                <w:szCs w:val="22"/>
                <w:lang w:val="en-US" w:eastAsia="en-US" w:bidi="ar-SA"/>
              </w:rPr>
              <w:t>-</w:t>
            </w:r>
          </w:p>
        </w:tc>
      </w:tr>
    </w:tbl>
    <w:p>
      <w:pPr>
        <w:pStyle w:val="Normal"/>
        <w:pBdr>
          <w:bottom w:val="single" w:sz="4" w:space="1" w:color="000000"/>
        </w:pBdr>
        <w:jc w:val="both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lang w:val="en-GB"/>
        </w:rPr>
        <w:t>* Female sample</w:t>
      </w:r>
    </w:p>
    <w:p>
      <w:pPr>
        <w:pStyle w:val="Normal"/>
        <w:pBdr>
          <w:bottom w:val="single" w:sz="4" w:space="1" w:color="000000"/>
        </w:pBdr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   </w:t>
      </w:r>
      <w:r>
        <w:rPr>
          <w:rFonts w:ascii="Times New Roman" w:hAnsi="Times New Roman"/>
          <w:lang w:val="en-GB"/>
        </w:rPr>
        <w:t>Early first sexual intercourse is not adjusted for age.</w:t>
      </w:r>
    </w:p>
    <w:p>
      <w:pPr>
        <w:pStyle w:val="Normal"/>
        <w:pBdr>
          <w:bottom w:val="single" w:sz="4" w:space="1" w:color="000000"/>
        </w:pBdr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  </w:t>
      </w:r>
      <w:r>
        <w:rPr>
          <w:rFonts w:ascii="Times New Roman" w:hAnsi="Times New Roman"/>
          <w:lang w:val="en-GB"/>
        </w:rPr>
        <w:t>Abbreviations: ADHD = Attention Deficit Hyperactivity Disorder, SES = Socio Economic Status, OR: odds ratio, IRR: Incidence Rate Ratio, CI: confidence interval.</w:t>
      </w:r>
    </w:p>
    <w:p>
      <w:pPr>
        <w:pStyle w:val="Normal"/>
        <w:spacing w:before="0" w:after="160"/>
        <w:rPr>
          <w:lang w:val="en-GB"/>
        </w:rPr>
      </w:pPr>
      <w:r>
        <w:rPr>
          <w:lang w:val="en-GB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re1Car"/>
    <w:uiPriority w:val="9"/>
    <w:qFormat/>
    <w:rsid w:val="00514cc8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itre2Car"/>
    <w:uiPriority w:val="9"/>
    <w:semiHidden/>
    <w:unhideWhenUsed/>
    <w:qFormat/>
    <w:rsid w:val="00514cc8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itre3Car"/>
    <w:uiPriority w:val="9"/>
    <w:semiHidden/>
    <w:unhideWhenUsed/>
    <w:qFormat/>
    <w:rsid w:val="00514cc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514cc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itre5Car"/>
    <w:uiPriority w:val="9"/>
    <w:semiHidden/>
    <w:unhideWhenUsed/>
    <w:qFormat/>
    <w:rsid w:val="00514cc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itre6Car"/>
    <w:uiPriority w:val="9"/>
    <w:semiHidden/>
    <w:unhideWhenUsed/>
    <w:qFormat/>
    <w:rsid w:val="00514cc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re7Car"/>
    <w:uiPriority w:val="9"/>
    <w:semiHidden/>
    <w:unhideWhenUsed/>
    <w:qFormat/>
    <w:rsid w:val="00514cc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re8Car"/>
    <w:uiPriority w:val="9"/>
    <w:semiHidden/>
    <w:unhideWhenUsed/>
    <w:qFormat/>
    <w:rsid w:val="00514cc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re9Car"/>
    <w:uiPriority w:val="9"/>
    <w:semiHidden/>
    <w:unhideWhenUsed/>
    <w:qFormat/>
    <w:rsid w:val="00514cc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sid w:val="00514cc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itre2Car" w:customStyle="1">
    <w:name w:val="Titre 2 Car"/>
    <w:basedOn w:val="DefaultParagraphFont"/>
    <w:uiPriority w:val="9"/>
    <w:semiHidden/>
    <w:qFormat/>
    <w:rsid w:val="00514cc8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itre3Car" w:customStyle="1">
    <w:name w:val="Titre 3 Car"/>
    <w:basedOn w:val="DefaultParagraphFont"/>
    <w:uiPriority w:val="9"/>
    <w:semiHidden/>
    <w:qFormat/>
    <w:rsid w:val="00514cc8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itre4Car" w:customStyle="1">
    <w:name w:val="Titre 4 Car"/>
    <w:basedOn w:val="DefaultParagraphFont"/>
    <w:uiPriority w:val="9"/>
    <w:semiHidden/>
    <w:qFormat/>
    <w:rsid w:val="00514cc8"/>
    <w:rPr>
      <w:rFonts w:eastAsia="" w:cs="" w:cstheme="majorBidi" w:eastAsiaTheme="majorEastAsia"/>
      <w:i/>
      <w:iCs/>
      <w:color w:themeColor="accent1" w:themeShade="bf" w:val="0F4761"/>
    </w:rPr>
  </w:style>
  <w:style w:type="character" w:styleId="Titre5Car" w:customStyle="1">
    <w:name w:val="Titre 5 Car"/>
    <w:basedOn w:val="DefaultParagraphFont"/>
    <w:uiPriority w:val="9"/>
    <w:semiHidden/>
    <w:qFormat/>
    <w:rsid w:val="00514cc8"/>
    <w:rPr>
      <w:rFonts w:eastAsia="" w:cs="" w:cstheme="majorBidi" w:eastAsiaTheme="majorEastAsia"/>
      <w:color w:themeColor="accent1" w:themeShade="bf" w:val="0F4761"/>
    </w:rPr>
  </w:style>
  <w:style w:type="character" w:styleId="Titre6Car" w:customStyle="1">
    <w:name w:val="Titre 6 Car"/>
    <w:basedOn w:val="DefaultParagraphFont"/>
    <w:uiPriority w:val="9"/>
    <w:semiHidden/>
    <w:qFormat/>
    <w:rsid w:val="00514cc8"/>
    <w:rPr>
      <w:rFonts w:eastAsia="" w:cs="" w:cstheme="majorBidi" w:eastAsiaTheme="majorEastAsia"/>
      <w:i/>
      <w:iCs/>
      <w:color w:themeColor="text1" w:themeTint="a6" w:val="595959"/>
    </w:rPr>
  </w:style>
  <w:style w:type="character" w:styleId="Titre7Car" w:customStyle="1">
    <w:name w:val="Titre 7 Car"/>
    <w:basedOn w:val="DefaultParagraphFont"/>
    <w:uiPriority w:val="9"/>
    <w:semiHidden/>
    <w:qFormat/>
    <w:rsid w:val="00514cc8"/>
    <w:rPr>
      <w:rFonts w:eastAsia="" w:cs="" w:cstheme="majorBidi" w:eastAsiaTheme="majorEastAsia"/>
      <w:color w:themeColor="text1" w:themeTint="a6" w:val="595959"/>
    </w:rPr>
  </w:style>
  <w:style w:type="character" w:styleId="Titre8Car" w:customStyle="1">
    <w:name w:val="Titre 8 Car"/>
    <w:basedOn w:val="DefaultParagraphFont"/>
    <w:uiPriority w:val="9"/>
    <w:semiHidden/>
    <w:qFormat/>
    <w:rsid w:val="00514cc8"/>
    <w:rPr>
      <w:rFonts w:eastAsia="" w:cs="" w:cstheme="majorBidi" w:eastAsiaTheme="majorEastAsia"/>
      <w:i/>
      <w:iCs/>
      <w:color w:themeColor="text1" w:themeTint="d8" w:val="272727"/>
    </w:rPr>
  </w:style>
  <w:style w:type="character" w:styleId="Titre9Car" w:customStyle="1">
    <w:name w:val="Titre 9 Car"/>
    <w:basedOn w:val="DefaultParagraphFont"/>
    <w:uiPriority w:val="9"/>
    <w:semiHidden/>
    <w:qFormat/>
    <w:rsid w:val="00514cc8"/>
    <w:rPr>
      <w:rFonts w:eastAsia="" w:cs="" w:cstheme="majorBidi" w:eastAsiaTheme="majorEastAsia"/>
      <w:color w:themeColor="text1" w:themeTint="d8" w:val="272727"/>
    </w:rPr>
  </w:style>
  <w:style w:type="character" w:styleId="TitreCar" w:customStyle="1">
    <w:name w:val="Titre Car"/>
    <w:basedOn w:val="DefaultParagraphFont"/>
    <w:uiPriority w:val="10"/>
    <w:qFormat/>
    <w:rsid w:val="00514cc8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us-titreCar" w:customStyle="1">
    <w:name w:val="Sous-titre Car"/>
    <w:basedOn w:val="DefaultParagraphFont"/>
    <w:uiPriority w:val="11"/>
    <w:qFormat/>
    <w:rsid w:val="00514cc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tionCar" w:customStyle="1">
    <w:name w:val="Citation Car"/>
    <w:basedOn w:val="DefaultParagraphFont"/>
    <w:link w:val="Quote"/>
    <w:uiPriority w:val="29"/>
    <w:qFormat/>
    <w:rsid w:val="00514cc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14cc8"/>
    <w:rPr>
      <w:i/>
      <w:iCs/>
      <w:color w:themeColor="accent1" w:themeShade="bf" w:val="0F4761"/>
    </w:rPr>
  </w:style>
  <w:style w:type="character" w:styleId="CitationintenseCar" w:customStyle="1">
    <w:name w:val="Citation intense Car"/>
    <w:basedOn w:val="DefaultParagraphFont"/>
    <w:link w:val="IntenseQuote"/>
    <w:uiPriority w:val="30"/>
    <w:qFormat/>
    <w:rsid w:val="00514cc8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14cc8"/>
    <w:rPr>
      <w:b/>
      <w:bCs/>
      <w:smallCaps/>
      <w:color w:themeColor="accent1" w:themeShade="bf" w:val="0F4761"/>
      <w:spacing w:val="5"/>
    </w:rPr>
  </w:style>
  <w:style w:type="character" w:styleId="Strong">
    <w:name w:val="Strong"/>
    <w:qFormat/>
    <w:rPr>
      <w:b/>
      <w:bCs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next w:val="Normal"/>
    <w:uiPriority w:val="35"/>
    <w:unhideWhenUsed/>
    <w:qFormat/>
    <w:rsid w:val="00fe0523"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Index" w:customStyle="1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TitreCar"/>
    <w:uiPriority w:val="10"/>
    <w:qFormat/>
    <w:rsid w:val="00514cc8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ous-titreCar"/>
    <w:uiPriority w:val="11"/>
    <w:qFormat/>
    <w:rsid w:val="00514cc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tionCar"/>
    <w:uiPriority w:val="29"/>
    <w:qFormat/>
    <w:rsid w:val="00514cc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14cc8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tionintenseCar"/>
    <w:uiPriority w:val="30"/>
    <w:qFormat/>
    <w:rsid w:val="00514c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ommentText">
    <w:name w:val="annotation text"/>
    <w:basedOn w:val="Normal"/>
    <w:qFormat/>
    <w:pPr>
      <w:spacing w:before="56" w:after="0"/>
      <w:ind w:left="56" w:right="56"/>
    </w:pPr>
    <w:rPr>
      <w:sz w:val="20"/>
      <w:szCs w:val="20"/>
    </w:rPr>
  </w:style>
  <w:style w:type="paragraph" w:styleId="Contenudetableau" w:customStyle="1">
    <w:name w:val="Contenu de tableau"/>
    <w:basedOn w:val="Normal"/>
    <w:qFormat/>
    <w:pPr>
      <w:widowControl w:val="false"/>
      <w:suppressLineNumbers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numbering" w:styleId="Pasdeliste" w:customStyle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804896"/>
    <w:rPr>
      <w:lang w:val="e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Application>LibreOffice/24.8.2.1$MacOSX_X86_64 LibreOffice_project/0f794b6e29741098670a3b95d60478a65d05ef13</Application>
  <AppVersion>15.0000</AppVersion>
  <Pages>7</Pages>
  <Words>822</Words>
  <Characters>4424</Characters>
  <CharactersWithSpaces>5041</CharactersWithSpaces>
  <Paragraphs>259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2025-10-06T17:03:00Z</dcterms:created>
  <dc:creator>Claudine Offranc</dc:creator>
  <dc:description/>
  <dc:language>fr-FR</dc:language>
  <cp:lastModifiedBy/>
  <dcterms:modified xsi:type="dcterms:W3CDTF">2025-12-17T16:26:31Z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