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29889" w14:textId="67AD7038" w:rsidR="00590034" w:rsidRPr="00590034" w:rsidRDefault="00590034" w:rsidP="00590034">
      <w:pPr>
        <w:spacing w:after="0" w:line="276" w:lineRule="auto"/>
        <w:jc w:val="center"/>
        <w:rPr>
          <w:rFonts w:ascii="Times New Roman" w:eastAsia="Yu Mincho" w:hAnsi="Times New Roman" w:cs="Times New Roman"/>
          <w:color w:val="auto"/>
          <w:sz w:val="26"/>
          <w:szCs w:val="26"/>
        </w:rPr>
      </w:pPr>
      <w:r w:rsidRPr="00590034">
        <w:rPr>
          <w:rFonts w:ascii="Times New Roman" w:eastAsia="Yu Mincho" w:hAnsi="Times New Roman" w:cs="Times New Roman"/>
          <w:b/>
          <w:color w:val="auto"/>
          <w:sz w:val="26"/>
          <w:szCs w:val="26"/>
        </w:rPr>
        <w:t>Changes in disability status and oral healthcare unaffordability among working age Australians</w:t>
      </w:r>
    </w:p>
    <w:p w14:paraId="63AEDC42" w14:textId="2C03FE78" w:rsidR="000B69FF" w:rsidRPr="00085E00" w:rsidRDefault="00000000" w:rsidP="00590034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b/>
          <w:color w:val="0B2545"/>
          <w:sz w:val="24"/>
          <w:szCs w:val="24"/>
        </w:rPr>
        <w:t xml:space="preserve">Supplementary </w:t>
      </w:r>
      <w:r w:rsidR="00590034">
        <w:rPr>
          <w:rFonts w:ascii="Times New Roman" w:hAnsi="Times New Roman" w:cs="Times New Roman"/>
          <w:b/>
          <w:color w:val="0B2545"/>
          <w:sz w:val="24"/>
          <w:szCs w:val="24"/>
        </w:rPr>
        <w:t>m</w:t>
      </w:r>
      <w:r w:rsidRPr="00085E00">
        <w:rPr>
          <w:rFonts w:ascii="Times New Roman" w:hAnsi="Times New Roman" w:cs="Times New Roman"/>
          <w:b/>
          <w:color w:val="0B2545"/>
          <w:sz w:val="24"/>
          <w:szCs w:val="24"/>
        </w:rPr>
        <w:t>aterial</w:t>
      </w:r>
    </w:p>
    <w:p w14:paraId="4644CDEE" w14:textId="77777777" w:rsidR="000B69FF" w:rsidRPr="00085E00" w:rsidRDefault="00000000">
      <w:pPr>
        <w:spacing w:before="40"/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b/>
          <w:sz w:val="24"/>
          <w:szCs w:val="24"/>
        </w:rPr>
        <w:t>eFigure S1. Observed and shifted disability trajectories in a random sample of participants, under the natural course and the 50% and 25% odds-reduction (IPSI) policies.</w:t>
      </w:r>
    </w:p>
    <w:p w14:paraId="589D0A43" w14:textId="77777777" w:rsidR="000B69FF" w:rsidRPr="00085E00" w:rsidRDefault="0000000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E0EB90" wp14:editId="4A063B31">
            <wp:extent cx="4769962" cy="5906897"/>
            <wp:effectExtent l="0" t="0" r="5715" b="0"/>
            <wp:docPr id="1" name="Picture 1" descr="Faceted tile plot showing natural-course and shifted disability trajectories across waves 18 to 21." title="disability_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ability_plo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0148" cy="599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F8E46" w14:textId="4CD4B8B0" w:rsidR="000B69FF" w:rsidRPr="00DD19AB" w:rsidRDefault="00000000">
      <w:pPr>
        <w:spacing w:before="80" w:after="200" w:line="252" w:lineRule="auto"/>
        <w:rPr>
          <w:rFonts w:ascii="Times New Roman" w:hAnsi="Times New Roman" w:cs="Times New Roman"/>
          <w:i/>
          <w:sz w:val="24"/>
          <w:szCs w:val="24"/>
        </w:rPr>
      </w:pPr>
      <w:r w:rsidRPr="00DD19AB">
        <w:rPr>
          <w:rFonts w:ascii="Times New Roman" w:hAnsi="Times New Roman" w:cs="Times New Roman"/>
          <w:i/>
          <w:color w:val="555555"/>
          <w:sz w:val="24"/>
          <w:szCs w:val="24"/>
        </w:rPr>
        <w:t>Note</w:t>
      </w:r>
      <w:r w:rsidR="00DD19AB">
        <w:rPr>
          <w:rFonts w:ascii="Times New Roman" w:hAnsi="Times New Roman" w:cs="Times New Roman"/>
          <w:i/>
          <w:color w:val="555555"/>
          <w:sz w:val="24"/>
          <w:szCs w:val="24"/>
        </w:rPr>
        <w:t>:</w:t>
      </w:r>
      <w:r w:rsidRPr="00DD19AB">
        <w:rPr>
          <w:rFonts w:ascii="Times New Roman" w:hAnsi="Times New Roman" w:cs="Times New Roman"/>
          <w:i/>
          <w:color w:val="555555"/>
          <w:sz w:val="24"/>
          <w:szCs w:val="24"/>
        </w:rPr>
        <w:t xml:space="preserve"> IPSI indicates incremental propensity score intervention. Dark tiles indicate disability; light tiles indicate no disability.</w:t>
      </w:r>
    </w:p>
    <w:p w14:paraId="5321D66A" w14:textId="77777777" w:rsidR="000B69FF" w:rsidRPr="00085E00" w:rsidRDefault="00000000">
      <w:pPr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sz w:val="24"/>
          <w:szCs w:val="24"/>
        </w:rPr>
        <w:br w:type="page"/>
      </w:r>
    </w:p>
    <w:p w14:paraId="542B892F" w14:textId="77777777" w:rsidR="000B69FF" w:rsidRPr="00085E00" w:rsidRDefault="00000000">
      <w:pPr>
        <w:spacing w:before="40"/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b/>
          <w:sz w:val="24"/>
          <w:szCs w:val="24"/>
        </w:rPr>
        <w:lastRenderedPageBreak/>
        <w:t>eTable S1. Flow of participant numbers after each follow-up wave in the main wave 18 to 22 analysis.</w:t>
      </w:r>
    </w:p>
    <w:tbl>
      <w:tblPr>
        <w:tblStyle w:val="TableGrid"/>
        <w:tblW w:w="9360" w:type="dxa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500"/>
        <w:gridCol w:w="1500"/>
        <w:gridCol w:w="2760"/>
        <w:gridCol w:w="2700"/>
      </w:tblGrid>
      <w:tr w:rsidR="000B69FF" w:rsidRPr="00085E00" w14:paraId="65C40085" w14:textId="77777777" w:rsidTr="00085E00"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AA066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Wave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28381A" w14:textId="28715507" w:rsidR="000B69FF" w:rsidRPr="00085E00" w:rsidRDefault="00DD19AB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Retained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Pr="00085E00">
              <w:rPr>
                <w:rFonts w:ascii="Times New Roman" w:hAnsi="Times New Roman" w:cs="Times New Roman"/>
                <w:b/>
              </w:rPr>
              <w:t xml:space="preserve"> </w:t>
            </w:r>
            <w:r w:rsidR="00000000" w:rsidRPr="00085E00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D2F7D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Retained, %</w:t>
            </w: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3936B" w14:textId="14FC6926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Censored since previous wave, n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0B54E0" w14:textId="325A8303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Censored since previous wave, %</w:t>
            </w:r>
          </w:p>
        </w:tc>
      </w:tr>
      <w:tr w:rsidR="000B69FF" w:rsidRPr="00085E00" w14:paraId="67E4E22F" w14:textId="77777777" w:rsidTr="00085E00">
        <w:tc>
          <w:tcPr>
            <w:tcW w:w="90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4E4C8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986CC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9,635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153E84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276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0C11EA" w14:textId="1A530754" w:rsidR="000B69FF" w:rsidRPr="00085E00" w:rsidRDefault="00085E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180E2E" w14:textId="647FC6D9" w:rsidR="000B69FF" w:rsidRPr="00085E00" w:rsidRDefault="00085E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-</w:t>
            </w:r>
          </w:p>
        </w:tc>
      </w:tr>
      <w:tr w:rsidR="000B69FF" w:rsidRPr="00085E00" w14:paraId="07DFF621" w14:textId="77777777" w:rsidTr="00085E00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C61F5B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DD0AF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9,570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2B8F42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99.3</w:t>
            </w:r>
          </w:p>
        </w:tc>
        <w:tc>
          <w:tcPr>
            <w:tcW w:w="2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23ADF8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D5D883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0.7</w:t>
            </w:r>
          </w:p>
        </w:tc>
      </w:tr>
      <w:tr w:rsidR="000B69FF" w:rsidRPr="00085E00" w14:paraId="558C338C" w14:textId="77777777" w:rsidTr="00085E00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20FFA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BC84F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9,519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0340D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98.8</w:t>
            </w:r>
          </w:p>
        </w:tc>
        <w:tc>
          <w:tcPr>
            <w:tcW w:w="2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7996CA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A8279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0.5</w:t>
            </w:r>
          </w:p>
        </w:tc>
      </w:tr>
      <w:tr w:rsidR="000B69FF" w:rsidRPr="00085E00" w14:paraId="0C13D4BD" w14:textId="77777777" w:rsidTr="00085E00"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268A8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5FD54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9,479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44294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98.4</w:t>
            </w:r>
          </w:p>
        </w:tc>
        <w:tc>
          <w:tcPr>
            <w:tcW w:w="2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1AF10B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9E258F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0.4</w:t>
            </w:r>
          </w:p>
        </w:tc>
      </w:tr>
      <w:tr w:rsidR="000B69FF" w:rsidRPr="00085E00" w14:paraId="2E122D97" w14:textId="77777777" w:rsidTr="00085E00">
        <w:tc>
          <w:tcPr>
            <w:tcW w:w="90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D51ED0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C0EB1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9,426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C832E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97.8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13E40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9DDC1D" w14:textId="77777777" w:rsidR="000B69FF" w:rsidRPr="00085E00" w:rsidRDefault="00000000" w:rsidP="00085E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0.6</w:t>
            </w:r>
          </w:p>
        </w:tc>
      </w:tr>
    </w:tbl>
    <w:p w14:paraId="0A6BB74D" w14:textId="77777777" w:rsidR="000B69FF" w:rsidRPr="00DD19AB" w:rsidRDefault="00000000">
      <w:pPr>
        <w:spacing w:before="80" w:after="200" w:line="252" w:lineRule="auto"/>
        <w:rPr>
          <w:rFonts w:ascii="Times New Roman" w:hAnsi="Times New Roman" w:cs="Times New Roman"/>
          <w:i/>
          <w:sz w:val="24"/>
          <w:szCs w:val="24"/>
        </w:rPr>
      </w:pPr>
      <w:r w:rsidRPr="00DD19AB">
        <w:rPr>
          <w:rFonts w:ascii="Times New Roman" w:hAnsi="Times New Roman" w:cs="Times New Roman"/>
          <w:i/>
          <w:color w:val="555555"/>
          <w:sz w:val="24"/>
          <w:szCs w:val="24"/>
        </w:rPr>
        <w:t>Note. n indicates number of participants. Wave 18 is the baseline wave; not applicable indicates no previous wave for calculating censoring or loss to follow-up.</w:t>
      </w:r>
    </w:p>
    <w:p w14:paraId="6163B659" w14:textId="77777777" w:rsidR="000B69FF" w:rsidRPr="00085E00" w:rsidRDefault="00000000">
      <w:pPr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sz w:val="24"/>
          <w:szCs w:val="24"/>
        </w:rPr>
        <w:br w:type="page"/>
      </w:r>
    </w:p>
    <w:p w14:paraId="49576912" w14:textId="77777777" w:rsidR="000B69FF" w:rsidRPr="00085E00" w:rsidRDefault="00000000">
      <w:pPr>
        <w:spacing w:before="40"/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b/>
          <w:sz w:val="24"/>
          <w:szCs w:val="24"/>
        </w:rPr>
        <w:lastRenderedPageBreak/>
        <w:t>eFigure S2. Distribution of missingness across study variables by covariate and wave before multiple imputation.</w:t>
      </w:r>
    </w:p>
    <w:p w14:paraId="3966B13B" w14:textId="77777777" w:rsidR="000B69FF" w:rsidRPr="00085E00" w:rsidRDefault="0000000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D83BAB" wp14:editId="4C76007D">
            <wp:extent cx="5760720" cy="3934151"/>
            <wp:effectExtent l="0" t="0" r="0" b="0"/>
            <wp:docPr id="2" name="Picture 2" descr="Heatmap showing counts and percentages of missing data by study variable and wave." title="missingness_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ssingness_plot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3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9E82B" w14:textId="13B1A464" w:rsidR="000B69FF" w:rsidRPr="00DD19AB" w:rsidRDefault="00DD19AB">
      <w:pPr>
        <w:spacing w:before="80" w:after="200" w:line="252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19AB">
        <w:rPr>
          <w:rFonts w:ascii="Times New Roman" w:hAnsi="Times New Roman" w:cs="Times New Roman"/>
          <w:i/>
          <w:iCs/>
          <w:color w:val="555555"/>
          <w:sz w:val="24"/>
          <w:szCs w:val="24"/>
        </w:rPr>
        <w:t xml:space="preserve">Note: </w:t>
      </w:r>
      <w:r w:rsidR="00000000" w:rsidRPr="00DD19AB">
        <w:rPr>
          <w:rFonts w:ascii="Times New Roman" w:hAnsi="Times New Roman" w:cs="Times New Roman"/>
          <w:i/>
          <w:iCs/>
          <w:color w:val="555555"/>
          <w:sz w:val="24"/>
          <w:szCs w:val="24"/>
        </w:rPr>
        <w:t>Values are n</w:t>
      </w:r>
      <w:r w:rsidR="00085E00" w:rsidRPr="00DD19AB">
        <w:rPr>
          <w:rFonts w:ascii="Times New Roman" w:hAnsi="Times New Roman" w:cs="Times New Roman"/>
          <w:i/>
          <w:iCs/>
          <w:color w:val="555555"/>
          <w:sz w:val="24"/>
          <w:szCs w:val="24"/>
        </w:rPr>
        <w:t>umber</w:t>
      </w:r>
      <w:r w:rsidR="00000000" w:rsidRPr="00DD19AB">
        <w:rPr>
          <w:rFonts w:ascii="Times New Roman" w:hAnsi="Times New Roman" w:cs="Times New Roman"/>
          <w:i/>
          <w:iCs/>
          <w:color w:val="555555"/>
          <w:sz w:val="24"/>
          <w:szCs w:val="24"/>
        </w:rPr>
        <w:t xml:space="preserve"> missing and percentage missing among main analytic participants before imputation; blank cells indicate variables not included at that wave.</w:t>
      </w:r>
    </w:p>
    <w:p w14:paraId="183C9B41" w14:textId="77777777" w:rsidR="000B69FF" w:rsidRPr="00085E00" w:rsidRDefault="00000000">
      <w:pPr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sz w:val="24"/>
          <w:szCs w:val="24"/>
        </w:rPr>
        <w:br w:type="page"/>
      </w:r>
    </w:p>
    <w:p w14:paraId="681CDA16" w14:textId="353B0FFA" w:rsidR="000B69FF" w:rsidRPr="00085E00" w:rsidRDefault="00000000">
      <w:pPr>
        <w:spacing w:before="40"/>
        <w:rPr>
          <w:rFonts w:ascii="Times New Roman" w:hAnsi="Times New Roman" w:cs="Times New Roman"/>
          <w:sz w:val="24"/>
          <w:szCs w:val="24"/>
        </w:rPr>
      </w:pPr>
      <w:r w:rsidRPr="00085E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eTable S2. </w:t>
      </w:r>
      <w:r w:rsidR="00085E00">
        <w:rPr>
          <w:rFonts w:ascii="Times New Roman" w:hAnsi="Times New Roman" w:cs="Times New Roman"/>
          <w:b/>
          <w:sz w:val="24"/>
          <w:szCs w:val="24"/>
        </w:rPr>
        <w:t>R</w:t>
      </w:r>
      <w:r w:rsidRPr="00085E00">
        <w:rPr>
          <w:rFonts w:ascii="Times New Roman" w:hAnsi="Times New Roman" w:cs="Times New Roman"/>
          <w:b/>
          <w:sz w:val="24"/>
          <w:szCs w:val="24"/>
        </w:rPr>
        <w:t>esults of the incidence</w:t>
      </w:r>
      <w:r w:rsidR="00085E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5E00">
        <w:rPr>
          <w:rFonts w:ascii="Times New Roman" w:hAnsi="Times New Roman" w:cs="Times New Roman"/>
          <w:b/>
          <w:sz w:val="24"/>
          <w:szCs w:val="24"/>
        </w:rPr>
        <w:t>cohort analysis restricted to participants without baseline oral healthcare unaffordability.</w:t>
      </w:r>
    </w:p>
    <w:tbl>
      <w:tblPr>
        <w:tblStyle w:val="TableGrid"/>
        <w:tblW w:w="9360" w:type="dxa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0"/>
        <w:gridCol w:w="2400"/>
        <w:gridCol w:w="2400"/>
      </w:tblGrid>
      <w:tr w:rsidR="000B69FF" w:rsidRPr="00085E00" w14:paraId="637A4F84" w14:textId="77777777" w:rsidTr="00085E00">
        <w:tc>
          <w:tcPr>
            <w:tcW w:w="456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E77727" w14:textId="77777777" w:rsidR="000B69FF" w:rsidRPr="00085E00" w:rsidRDefault="0000000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Intervention scenario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D2E1FF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RR (95% CI)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4AA69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RD (95% CI)</w:t>
            </w:r>
          </w:p>
        </w:tc>
      </w:tr>
      <w:tr w:rsidR="000B69FF" w:rsidRPr="00085E00" w14:paraId="411D76BC" w14:textId="77777777" w:rsidTr="00085E00">
        <w:tc>
          <w:tcPr>
            <w:tcW w:w="456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95ED5" w14:textId="77777777" w:rsidR="000B69FF" w:rsidRPr="00085E00" w:rsidRDefault="0000000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Sustained disability at every exposure wave</w:t>
            </w:r>
          </w:p>
        </w:tc>
        <w:tc>
          <w:tcPr>
            <w:tcW w:w="240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7F017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1.43 (0.89, 2.30)</w:t>
            </w:r>
          </w:p>
        </w:tc>
        <w:tc>
          <w:tcPr>
            <w:tcW w:w="240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26C9C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0.014 (-0.009, 0.037)</w:t>
            </w:r>
          </w:p>
        </w:tc>
      </w:tr>
      <w:tr w:rsidR="000B69FF" w:rsidRPr="00085E00" w14:paraId="11D34AD5" w14:textId="77777777" w:rsidTr="00085E00">
        <w:tc>
          <w:tcPr>
            <w:tcW w:w="4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0F0E0" w14:textId="77777777" w:rsidR="000B69FF" w:rsidRPr="00085E00" w:rsidRDefault="0000000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No disability at any exposure wave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58E66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0.52 (0.40, 0.67)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34D4C4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-0.016 (-0.021, -0.011)</w:t>
            </w:r>
          </w:p>
        </w:tc>
      </w:tr>
      <w:tr w:rsidR="000B69FF" w:rsidRPr="00085E00" w14:paraId="211FADC7" w14:textId="77777777" w:rsidTr="00085E00">
        <w:tc>
          <w:tcPr>
            <w:tcW w:w="4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EA88F2" w14:textId="77777777" w:rsidR="000B69FF" w:rsidRPr="00085E00" w:rsidRDefault="0000000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50% reduction in odds of disability (IPSI)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949543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0.71 (0.63, 0.81)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F1403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-0.009 (-0.013, -0.006)</w:t>
            </w:r>
          </w:p>
        </w:tc>
      </w:tr>
      <w:tr w:rsidR="000B69FF" w:rsidRPr="00085E00" w14:paraId="3B0D4811" w14:textId="77777777" w:rsidTr="00085E00">
        <w:tc>
          <w:tcPr>
            <w:tcW w:w="456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5A7A57" w14:textId="77777777" w:rsidR="000B69FF" w:rsidRPr="00085E00" w:rsidRDefault="00000000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25% reduction in odds of disability (IPSI)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44DA5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0.85 (0.79, 0.91)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F39E51" w14:textId="77777777" w:rsidR="000B69FF" w:rsidRPr="00085E00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-0.005 (-0.007, -0.003)</w:t>
            </w:r>
          </w:p>
        </w:tc>
      </w:tr>
    </w:tbl>
    <w:p w14:paraId="07928853" w14:textId="5EF19879" w:rsidR="000B69FF" w:rsidRPr="00085E00" w:rsidRDefault="00000000" w:rsidP="00DD19AB">
      <w:pPr>
        <w:spacing w:before="80" w:after="200" w:line="252" w:lineRule="auto"/>
        <w:jc w:val="both"/>
        <w:rPr>
          <w:rFonts w:ascii="Times New Roman" w:hAnsi="Times New Roman" w:cs="Times New Roman"/>
          <w:i/>
          <w:color w:val="555555"/>
        </w:rPr>
      </w:pPr>
      <w:r w:rsidRPr="00085E00">
        <w:rPr>
          <w:rFonts w:ascii="Times New Roman" w:hAnsi="Times New Roman" w:cs="Times New Roman"/>
          <w:i/>
          <w:color w:val="555555"/>
        </w:rPr>
        <w:t>Note</w:t>
      </w:r>
      <w:r w:rsidR="00085E00" w:rsidRPr="00085E00">
        <w:rPr>
          <w:rFonts w:ascii="Times New Roman" w:hAnsi="Times New Roman" w:cs="Times New Roman"/>
          <w:i/>
          <w:color w:val="555555"/>
        </w:rPr>
        <w:t>:</w:t>
      </w:r>
      <w:r w:rsidRPr="00085E00">
        <w:rPr>
          <w:rFonts w:ascii="Times New Roman" w:hAnsi="Times New Roman" w:cs="Times New Roman"/>
          <w:i/>
          <w:color w:val="555555"/>
        </w:rPr>
        <w:t xml:space="preserve"> CI indicates confidence interval; IPSI, incremental propensity score intervention; RD, risk difference; RR, risk ratio. Estimates are contrasts with the natural course. The incidence cohort excludes participants who reported oral healthcare unaffordability at baseline.</w:t>
      </w:r>
    </w:p>
    <w:p w14:paraId="383584A1" w14:textId="77777777" w:rsidR="00085E00" w:rsidRDefault="00085E00">
      <w:pPr>
        <w:spacing w:before="80" w:after="200" w:line="252" w:lineRule="auto"/>
        <w:rPr>
          <w:rFonts w:ascii="Times New Roman" w:hAnsi="Times New Roman" w:cs="Times New Roman"/>
          <w:color w:val="555555"/>
          <w:sz w:val="24"/>
          <w:szCs w:val="24"/>
        </w:rPr>
      </w:pPr>
    </w:p>
    <w:p w14:paraId="74BF2E4D" w14:textId="77777777" w:rsidR="00DD19AB" w:rsidRDefault="00DD19AB">
      <w:pPr>
        <w:spacing w:before="80" w:after="200" w:line="252" w:lineRule="auto"/>
        <w:rPr>
          <w:rFonts w:ascii="Times New Roman" w:hAnsi="Times New Roman" w:cs="Times New Roman"/>
          <w:color w:val="555555"/>
          <w:sz w:val="24"/>
          <w:szCs w:val="24"/>
        </w:rPr>
      </w:pPr>
    </w:p>
    <w:p w14:paraId="39B002E7" w14:textId="77777777" w:rsidR="00DD19AB" w:rsidRDefault="00DD19AB">
      <w:pPr>
        <w:spacing w:before="80" w:after="200" w:line="252" w:lineRule="auto"/>
        <w:rPr>
          <w:rFonts w:ascii="Times New Roman" w:hAnsi="Times New Roman" w:cs="Times New Roman"/>
          <w:color w:val="555555"/>
          <w:sz w:val="24"/>
          <w:szCs w:val="24"/>
        </w:rPr>
      </w:pPr>
    </w:p>
    <w:p w14:paraId="42F7030D" w14:textId="77777777" w:rsidR="00DD19AB" w:rsidRPr="00085E00" w:rsidRDefault="00DD19AB">
      <w:pPr>
        <w:spacing w:before="80" w:after="200" w:line="252" w:lineRule="auto"/>
        <w:rPr>
          <w:rFonts w:ascii="Times New Roman" w:hAnsi="Times New Roman" w:cs="Times New Roman"/>
          <w:color w:val="555555"/>
          <w:sz w:val="24"/>
          <w:szCs w:val="24"/>
        </w:rPr>
      </w:pPr>
    </w:p>
    <w:p w14:paraId="302BE1D7" w14:textId="3B0355BA" w:rsidR="00085E00" w:rsidRPr="00085E00" w:rsidRDefault="00085E00" w:rsidP="00085E00">
      <w:pPr>
        <w:spacing w:before="40"/>
        <w:rPr>
          <w:rFonts w:ascii="Times New Roman" w:hAnsi="Times New Roman" w:cs="Times New Roman"/>
          <w:sz w:val="24"/>
          <w:szCs w:val="24"/>
        </w:rPr>
      </w:pPr>
      <w:proofErr w:type="spellStart"/>
      <w:r w:rsidRPr="00085E00">
        <w:rPr>
          <w:rFonts w:ascii="Times New Roman" w:hAnsi="Times New Roman" w:cs="Times New Roman"/>
          <w:b/>
          <w:sz w:val="24"/>
          <w:szCs w:val="24"/>
        </w:rPr>
        <w:t>eTable</w:t>
      </w:r>
      <w:proofErr w:type="spellEnd"/>
      <w:r w:rsidRPr="00085E00">
        <w:rPr>
          <w:rFonts w:ascii="Times New Roman" w:hAnsi="Times New Roman" w:cs="Times New Roman"/>
          <w:b/>
          <w:sz w:val="24"/>
          <w:szCs w:val="24"/>
        </w:rPr>
        <w:t xml:space="preserve"> S3.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085E00">
        <w:rPr>
          <w:rFonts w:ascii="Times New Roman" w:hAnsi="Times New Roman" w:cs="Times New Roman"/>
          <w:b/>
          <w:sz w:val="24"/>
          <w:szCs w:val="24"/>
        </w:rPr>
        <w:t>esults of the pre-pandemic waves 14 to 18 analysis.</w:t>
      </w:r>
    </w:p>
    <w:tbl>
      <w:tblPr>
        <w:tblStyle w:val="TableGrid"/>
        <w:tblW w:w="9360" w:type="dxa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0"/>
        <w:gridCol w:w="2400"/>
        <w:gridCol w:w="2400"/>
      </w:tblGrid>
      <w:tr w:rsidR="00085E00" w:rsidRPr="00085E00" w14:paraId="3253DCC7" w14:textId="77777777" w:rsidTr="00085E00">
        <w:tc>
          <w:tcPr>
            <w:tcW w:w="456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3C582" w14:textId="77777777" w:rsidR="00085E00" w:rsidRPr="00085E00" w:rsidRDefault="00085E00" w:rsidP="0091219D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Intervention scenario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CBBE2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RR (95% CI)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0094A8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  <w:b/>
              </w:rPr>
              <w:t>RD (95% CI)</w:t>
            </w:r>
          </w:p>
        </w:tc>
      </w:tr>
      <w:tr w:rsidR="00085E00" w:rsidRPr="00085E00" w14:paraId="50E5B8F2" w14:textId="77777777" w:rsidTr="00085E00">
        <w:tc>
          <w:tcPr>
            <w:tcW w:w="456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99FC6" w14:textId="77777777" w:rsidR="00085E00" w:rsidRPr="00085E00" w:rsidRDefault="00085E00" w:rsidP="0091219D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Sustained disability at every exposure wave</w:t>
            </w:r>
          </w:p>
        </w:tc>
        <w:tc>
          <w:tcPr>
            <w:tcW w:w="240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8354D5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1.98 (1.51, 2.60)</w:t>
            </w:r>
          </w:p>
        </w:tc>
        <w:tc>
          <w:tcPr>
            <w:tcW w:w="240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A4A6C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0.058 (0.025, 0.092)</w:t>
            </w:r>
          </w:p>
        </w:tc>
      </w:tr>
      <w:tr w:rsidR="00085E00" w:rsidRPr="00085E00" w14:paraId="0F2B0C5B" w14:textId="77777777" w:rsidTr="00085E00">
        <w:tc>
          <w:tcPr>
            <w:tcW w:w="4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F50019" w14:textId="77777777" w:rsidR="00085E00" w:rsidRPr="00085E00" w:rsidRDefault="00085E00" w:rsidP="0091219D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No disability at any exposure wave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116CF1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0.70 (0.60, 0.82)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D1353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-0.018 (-0.025, -0.011)</w:t>
            </w:r>
          </w:p>
        </w:tc>
      </w:tr>
      <w:tr w:rsidR="00085E00" w:rsidRPr="00085E00" w14:paraId="28D22821" w14:textId="77777777" w:rsidTr="00085E00">
        <w:tc>
          <w:tcPr>
            <w:tcW w:w="4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5B131" w14:textId="77777777" w:rsidR="00085E00" w:rsidRPr="00085E00" w:rsidRDefault="00085E00" w:rsidP="0091219D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50% reduction in odds of disability (IPSI)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B45C6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0.78 (0.72, 0.85)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06D68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-0.013 (-0.017, -0.009)</w:t>
            </w:r>
          </w:p>
        </w:tc>
      </w:tr>
      <w:tr w:rsidR="00085E00" w:rsidRPr="00085E00" w14:paraId="70F90E05" w14:textId="77777777" w:rsidTr="00085E00">
        <w:tc>
          <w:tcPr>
            <w:tcW w:w="456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A3017" w14:textId="77777777" w:rsidR="00085E00" w:rsidRPr="00085E00" w:rsidRDefault="00085E00" w:rsidP="0091219D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25% reduction in odds of disability (IPSI)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F39B61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0.86 (0.82, 0.91)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C947A" w14:textId="77777777" w:rsidR="00085E00" w:rsidRPr="00085E00" w:rsidRDefault="00085E00" w:rsidP="0091219D">
            <w:pPr>
              <w:spacing w:after="0" w:line="252" w:lineRule="auto"/>
              <w:jc w:val="center"/>
              <w:rPr>
                <w:rFonts w:ascii="Times New Roman" w:hAnsi="Times New Roman" w:cs="Times New Roman"/>
              </w:rPr>
            </w:pPr>
            <w:r w:rsidRPr="00085E00">
              <w:rPr>
                <w:rFonts w:ascii="Times New Roman" w:hAnsi="Times New Roman" w:cs="Times New Roman"/>
              </w:rPr>
              <w:t>-0.008 (-0.011, -0.005)</w:t>
            </w:r>
          </w:p>
        </w:tc>
      </w:tr>
    </w:tbl>
    <w:p w14:paraId="1D9BBFD8" w14:textId="2CA8F84C" w:rsidR="00085E00" w:rsidRPr="00085E00" w:rsidRDefault="00085E00" w:rsidP="00085E00">
      <w:pPr>
        <w:spacing w:before="80" w:after="200" w:line="252" w:lineRule="auto"/>
        <w:jc w:val="both"/>
        <w:rPr>
          <w:rFonts w:ascii="Times New Roman" w:hAnsi="Times New Roman" w:cs="Times New Roman"/>
          <w:i/>
        </w:rPr>
      </w:pPr>
      <w:r w:rsidRPr="00085E00">
        <w:rPr>
          <w:rFonts w:ascii="Times New Roman" w:hAnsi="Times New Roman" w:cs="Times New Roman"/>
          <w:i/>
          <w:color w:val="555555"/>
        </w:rPr>
        <w:t>Note</w:t>
      </w:r>
      <w:r>
        <w:rPr>
          <w:rFonts w:ascii="Times New Roman" w:hAnsi="Times New Roman" w:cs="Times New Roman"/>
          <w:i/>
          <w:color w:val="555555"/>
        </w:rPr>
        <w:t>:</w:t>
      </w:r>
      <w:r w:rsidRPr="00085E00">
        <w:rPr>
          <w:rFonts w:ascii="Times New Roman" w:hAnsi="Times New Roman" w:cs="Times New Roman"/>
          <w:i/>
          <w:color w:val="555555"/>
        </w:rPr>
        <w:t xml:space="preserve"> CI indicates confidence interval; IPSI, incremental propensity score intervention; RD, risk difference; RR, risk ratio. Estimates are contrasts with the natural course. The pre-pandemic analysis uses waves 14 to 18.</w:t>
      </w:r>
    </w:p>
    <w:p w14:paraId="1B848AF5" w14:textId="7B1B75D7" w:rsidR="000B69FF" w:rsidRPr="00085E00" w:rsidRDefault="000B69FF">
      <w:pPr>
        <w:rPr>
          <w:rFonts w:ascii="Times New Roman" w:hAnsi="Times New Roman" w:cs="Times New Roman"/>
          <w:sz w:val="24"/>
          <w:szCs w:val="24"/>
        </w:rPr>
      </w:pPr>
    </w:p>
    <w:sectPr w:rsidR="000B69FF" w:rsidRPr="00085E00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Iskoola Pota">
    <w:panose1 w:val="020B0502040204020203"/>
    <w:charset w:val="4D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0732519">
    <w:abstractNumId w:val="8"/>
  </w:num>
  <w:num w:numId="2" w16cid:durableId="769817159">
    <w:abstractNumId w:val="6"/>
  </w:num>
  <w:num w:numId="3" w16cid:durableId="271669697">
    <w:abstractNumId w:val="5"/>
  </w:num>
  <w:num w:numId="4" w16cid:durableId="381487289">
    <w:abstractNumId w:val="4"/>
  </w:num>
  <w:num w:numId="5" w16cid:durableId="1870333265">
    <w:abstractNumId w:val="7"/>
  </w:num>
  <w:num w:numId="6" w16cid:durableId="597836657">
    <w:abstractNumId w:val="3"/>
  </w:num>
  <w:num w:numId="7" w16cid:durableId="536702223">
    <w:abstractNumId w:val="2"/>
  </w:num>
  <w:num w:numId="8" w16cid:durableId="1238710084">
    <w:abstractNumId w:val="1"/>
  </w:num>
  <w:num w:numId="9" w16cid:durableId="155873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E00"/>
    <w:rsid w:val="000B69FF"/>
    <w:rsid w:val="0015074B"/>
    <w:rsid w:val="0029639D"/>
    <w:rsid w:val="00326F90"/>
    <w:rsid w:val="00590034"/>
    <w:rsid w:val="007155C6"/>
    <w:rsid w:val="00AA1D8D"/>
    <w:rsid w:val="00B47730"/>
    <w:rsid w:val="00CB0664"/>
    <w:rsid w:val="00DD19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5AA366"/>
  <w14:defaultImageDpi w14:val="300"/>
  <w15:docId w15:val="{9034641A-7389-704B-8483-C9C0B598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366</Words>
  <Characters>2266</Characters>
  <Application>Microsoft Office Word</Application>
  <DocSecurity>0</DocSecurity>
  <Lines>55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 Material</vt:lpstr>
    </vt:vector>
  </TitlesOfParts>
  <Manager/>
  <Company/>
  <LinksUpToDate>false</LinksUpToDate>
  <CharactersWithSpaces>2602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</dc:title>
  <dc:subject>Supplementary figures and tables</dc:subject>
  <dc:creator>python-docx</dc:creator>
  <cp:keywords/>
  <dc:description>generated by python-docx</dc:description>
  <cp:lastModifiedBy>Upul Cooray</cp:lastModifiedBy>
  <cp:revision>3</cp:revision>
  <dcterms:created xsi:type="dcterms:W3CDTF">2013-12-23T23:15:00Z</dcterms:created>
  <dcterms:modified xsi:type="dcterms:W3CDTF">2026-06-23T23:37:00Z</dcterms:modified>
  <cp:category/>
</cp:coreProperties>
</file>