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57215" w14:textId="77777777" w:rsidR="006C41E6" w:rsidRPr="006C41E6" w:rsidRDefault="006C41E6" w:rsidP="006C41E6">
      <w:pPr>
        <w:jc w:val="both"/>
        <w:rPr>
          <w:b/>
          <w:bCs/>
          <w:sz w:val="28"/>
          <w:szCs w:val="28"/>
        </w:rPr>
      </w:pPr>
      <w:r w:rsidRPr="006C41E6">
        <w:rPr>
          <w:b/>
          <w:bCs/>
          <w:sz w:val="28"/>
          <w:szCs w:val="28"/>
        </w:rPr>
        <w:t>Supplementary Information</w:t>
      </w:r>
    </w:p>
    <w:p w14:paraId="5AC64401" w14:textId="77777777" w:rsidR="006C41E6" w:rsidRPr="006C41E6" w:rsidRDefault="006C41E6" w:rsidP="006C41E6">
      <w:pPr>
        <w:jc w:val="both"/>
        <w:rPr>
          <w:b/>
          <w:bCs/>
          <w:szCs w:val="24"/>
        </w:rPr>
      </w:pPr>
    </w:p>
    <w:p w14:paraId="032BB2EF" w14:textId="77777777" w:rsidR="006C41E6" w:rsidRPr="006C41E6" w:rsidRDefault="006C41E6" w:rsidP="006C41E6">
      <w:pPr>
        <w:jc w:val="both"/>
        <w:rPr>
          <w:b/>
          <w:bCs/>
          <w:szCs w:val="24"/>
        </w:rPr>
      </w:pPr>
    </w:p>
    <w:p w14:paraId="3E7C22C3" w14:textId="77777777" w:rsidR="006C41E6" w:rsidRPr="006C41E6" w:rsidRDefault="006C41E6" w:rsidP="006C41E6">
      <w:pPr>
        <w:jc w:val="both"/>
        <w:rPr>
          <w:szCs w:val="24"/>
          <w:lang w:val="en-GB"/>
        </w:rPr>
      </w:pPr>
      <w:r w:rsidRPr="006C41E6">
        <w:rPr>
          <w:szCs w:val="24"/>
          <w:lang w:val="en-GB"/>
        </w:rPr>
        <w:t>Substance abuse and the risk of severe COVID-19: Mendelian randomization confirms the causal role of opioids but hints a negative causal effect for cannabinoids.</w:t>
      </w:r>
    </w:p>
    <w:p w14:paraId="3B4E6590" w14:textId="77777777" w:rsidR="006C41E6" w:rsidRPr="006C41E6" w:rsidRDefault="006C41E6" w:rsidP="006C41E6">
      <w:pPr>
        <w:jc w:val="both"/>
        <w:rPr>
          <w:szCs w:val="24"/>
          <w:lang w:val="en-GB"/>
        </w:rPr>
      </w:pPr>
    </w:p>
    <w:p w14:paraId="499B242C" w14:textId="77777777" w:rsidR="006C41E6" w:rsidRPr="006C41E6" w:rsidRDefault="006C41E6" w:rsidP="006C41E6">
      <w:pPr>
        <w:jc w:val="both"/>
        <w:rPr>
          <w:szCs w:val="24"/>
          <w:lang w:val="en-GB"/>
        </w:rPr>
      </w:pPr>
    </w:p>
    <w:p w14:paraId="330BAB91" w14:textId="77777777" w:rsidR="006C41E6" w:rsidRDefault="006C41E6" w:rsidP="006C41E6">
      <w:pPr>
        <w:jc w:val="both"/>
        <w:rPr>
          <w:szCs w:val="24"/>
          <w:lang w:val="en-GB"/>
        </w:rPr>
        <w:sectPr w:rsidR="006C41E6" w:rsidSect="00834715">
          <w:headerReference w:type="even" r:id="rId8"/>
          <w:headerReference w:type="default" r:id="rId9"/>
          <w:footerReference w:type="even" r:id="rId10"/>
          <w:footerReference w:type="default" r:id="rId11"/>
          <w:headerReference w:type="first" r:id="rId12"/>
          <w:type w:val="continuous"/>
          <w:pgSz w:w="12240" w:h="15840"/>
          <w:pgMar w:top="1138" w:right="1181" w:bottom="1138" w:left="1282" w:header="283" w:footer="510" w:gutter="0"/>
          <w:cols w:space="720"/>
          <w:titlePg/>
          <w:docGrid w:linePitch="360"/>
        </w:sectPr>
      </w:pPr>
      <w:proofErr w:type="spellStart"/>
      <w:r w:rsidRPr="006C41E6">
        <w:rPr>
          <w:szCs w:val="24"/>
          <w:lang w:val="en-GB"/>
        </w:rPr>
        <w:t>Jabalameli</w:t>
      </w:r>
      <w:proofErr w:type="spellEnd"/>
      <w:r w:rsidRPr="006C41E6">
        <w:rPr>
          <w:szCs w:val="24"/>
          <w:lang w:val="en-GB"/>
        </w:rPr>
        <w:t xml:space="preserve"> and Zhang</w:t>
      </w:r>
    </w:p>
    <w:p w14:paraId="484256DD" w14:textId="0794D334" w:rsidR="006C41E6" w:rsidRDefault="006C41E6" w:rsidP="006C41E6">
      <w:pPr>
        <w:jc w:val="both"/>
        <w:rPr>
          <w:b/>
          <w:bCs/>
        </w:rPr>
      </w:pPr>
      <w:r w:rsidRPr="00E447B6">
        <w:rPr>
          <w:b/>
          <w:bCs/>
        </w:rPr>
        <w:t>Supplementary note</w:t>
      </w:r>
    </w:p>
    <w:p w14:paraId="5FC7842C" w14:textId="0138BA62" w:rsidR="006C41E6" w:rsidRPr="00000AF5" w:rsidRDefault="006C41E6" w:rsidP="006C41E6">
      <w:pPr>
        <w:jc w:val="both"/>
      </w:pPr>
      <w:r w:rsidRPr="000A1969">
        <w:t xml:space="preserve">To infer the causal relationship between SUD and COVID-19 adverse outcomes (Hospitalization and severe respiratory symptom), we </w:t>
      </w:r>
      <w:r w:rsidR="008935E2">
        <w:t>conducted</w:t>
      </w:r>
      <w:r w:rsidRPr="000A1969">
        <w:t xml:space="preserve"> a Mendelian Randomization (MR) analysis. Unlike randomized trials that are costly, time prohibitive and, in the case of SUD, unethical to carry out, MR offers an amenable alternative for inferring causal relationships in a timely manner and efficiently. Furthermore, the application of MR in inferring causality also circumvent</w:t>
      </w:r>
      <w:r w:rsidR="008935E2">
        <w:t>s</w:t>
      </w:r>
      <w:r w:rsidRPr="000A1969">
        <w:t xml:space="preserve"> the biased conclusions occasionally associated with observational studies due to confounding and reverse causality</w:t>
      </w:r>
      <w:r w:rsidR="00000AF5">
        <w:t xml:space="preserve"> </w:t>
      </w:r>
      <w:r w:rsidR="00000AF5" w:rsidRPr="000A1969">
        <w:t>(</w:t>
      </w:r>
      <w:r w:rsidR="00000AF5" w:rsidRPr="000A1969">
        <w:rPr>
          <w:b/>
          <w:bCs/>
        </w:rPr>
        <w:t>Figure S1</w:t>
      </w:r>
      <w:r w:rsidR="00000AF5" w:rsidRPr="000A1969">
        <w:t>)</w:t>
      </w:r>
      <w:r w:rsidRPr="000A1969">
        <w:t>.</w:t>
      </w:r>
    </w:p>
    <w:p w14:paraId="37680421" w14:textId="77777777" w:rsidR="006979BC" w:rsidRDefault="006979BC" w:rsidP="006979BC">
      <w:pPr>
        <w:jc w:val="both"/>
      </w:pPr>
      <w:r w:rsidRPr="006826A4">
        <w:rPr>
          <w:b/>
          <w:bCs/>
        </w:rPr>
        <w:t>Figure S1:</w:t>
      </w:r>
      <w:r>
        <w:t xml:space="preserve"> Schematic representation of assumptions underlying MR analysis.</w:t>
      </w:r>
    </w:p>
    <w:p w14:paraId="2C732D19" w14:textId="77777777" w:rsidR="006979BC" w:rsidRDefault="006979BC" w:rsidP="006979BC">
      <w:pPr>
        <w:jc w:val="both"/>
      </w:pPr>
    </w:p>
    <w:p w14:paraId="5995DA05" w14:textId="77777777" w:rsidR="006979BC" w:rsidRDefault="006979BC" w:rsidP="006979BC">
      <w:pPr>
        <w:jc w:val="center"/>
      </w:pPr>
      <w:r>
        <w:rPr>
          <w:noProof/>
        </w:rPr>
        <w:drawing>
          <wp:inline distT="0" distB="0" distL="0" distR="0" wp14:anchorId="14876488" wp14:editId="292865A9">
            <wp:extent cx="5889073" cy="27432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lPsych.png"/>
                    <pic:cNvPicPr/>
                  </pic:nvPicPr>
                  <pic:blipFill>
                    <a:blip r:embed="rId13">
                      <a:extLst>
                        <a:ext uri="{28A0092B-C50C-407E-A947-70E740481C1C}">
                          <a14:useLocalDpi xmlns:a14="http://schemas.microsoft.com/office/drawing/2010/main" val="0"/>
                        </a:ext>
                      </a:extLst>
                    </a:blip>
                    <a:stretch>
                      <a:fillRect/>
                    </a:stretch>
                  </pic:blipFill>
                  <pic:spPr>
                    <a:xfrm>
                      <a:off x="0" y="0"/>
                      <a:ext cx="5897239" cy="2747004"/>
                    </a:xfrm>
                    <a:prstGeom prst="rect">
                      <a:avLst/>
                    </a:prstGeom>
                  </pic:spPr>
                </pic:pic>
              </a:graphicData>
            </a:graphic>
          </wp:inline>
        </w:drawing>
      </w:r>
    </w:p>
    <w:p w14:paraId="64D9C5A9" w14:textId="77777777" w:rsidR="006979BC" w:rsidRDefault="006979BC" w:rsidP="006979BC">
      <w:pPr>
        <w:jc w:val="both"/>
      </w:pPr>
    </w:p>
    <w:p w14:paraId="1180C80D" w14:textId="0454F8E4" w:rsidR="006979BC" w:rsidRPr="00352C7C" w:rsidRDefault="006979BC" w:rsidP="0082398B">
      <w:pPr>
        <w:jc w:val="both"/>
        <w:rPr>
          <w:rFonts w:asciiTheme="majorBidi" w:hAnsiTheme="majorBidi" w:cstheme="majorBidi"/>
          <w:sz w:val="22"/>
        </w:rPr>
      </w:pPr>
      <w:r w:rsidRPr="00352C7C">
        <w:rPr>
          <w:rFonts w:asciiTheme="majorBidi" w:hAnsiTheme="majorBidi" w:cstheme="majorBidi"/>
          <w:sz w:val="22"/>
        </w:rPr>
        <w:lastRenderedPageBreak/>
        <w:t xml:space="preserve">The target of inference in MR analysis is </w:t>
      </w:r>
      <m:oMath>
        <m:sSub>
          <m:sSubPr>
            <m:ctrlPr>
              <w:rPr>
                <w:rFonts w:ascii="Cambria Math" w:hAnsi="Cambria Math" w:cstheme="majorBidi"/>
                <w:i/>
                <w:sz w:val="22"/>
              </w:rPr>
            </m:ctrlPr>
          </m:sSubPr>
          <m:e>
            <m:r>
              <w:rPr>
                <w:rFonts w:ascii="Cambria Math" w:hAnsi="Cambria Math" w:cstheme="majorBidi"/>
                <w:sz w:val="22"/>
              </w:rPr>
              <m:t>β</m:t>
            </m:r>
          </m:e>
          <m:sub>
            <m:r>
              <w:rPr>
                <w:rFonts w:ascii="Cambria Math" w:hAnsi="Cambria Math" w:cstheme="majorBidi"/>
                <w:sz w:val="22"/>
              </w:rPr>
              <m:t>EO</m:t>
            </m:r>
          </m:sub>
        </m:sSub>
      </m:oMath>
      <w:r w:rsidRPr="00352C7C">
        <w:rPr>
          <w:rFonts w:asciiTheme="majorBidi" w:eastAsiaTheme="minorEastAsia" w:hAnsiTheme="majorBidi" w:cstheme="majorBidi"/>
          <w:sz w:val="22"/>
        </w:rPr>
        <w:t xml:space="preserve"> (i.e. the causal effect of the exposure trait on the outcome). To circumvent the confounding effect of unmeasured traits (such as cardiovascular disorders and hypertension) that may be correlated with both the exposure and outcome (identified by grey arrows), we use genetic variants </w:t>
      </w:r>
      <w:r w:rsidR="0082398B" w:rsidRPr="0082398B">
        <w:rPr>
          <w:rFonts w:asciiTheme="majorBidi" w:eastAsiaTheme="minorEastAsia" w:hAnsiTheme="majorBidi" w:cstheme="majorBidi"/>
          <w:sz w:val="22"/>
        </w:rPr>
        <w:t>associated with exposure but are not associated with outcome, except through their effect on exposure.</w:t>
      </w:r>
      <w:r w:rsidRPr="00352C7C">
        <w:rPr>
          <w:rFonts w:asciiTheme="majorBidi" w:eastAsiaTheme="minorEastAsia" w:hAnsiTheme="majorBidi" w:cstheme="majorBidi"/>
          <w:sz w:val="22"/>
        </w:rPr>
        <w:t xml:space="preserve"> In this causal diagram, </w:t>
      </w:r>
      <m:oMath>
        <m:sSub>
          <m:sSubPr>
            <m:ctrlPr>
              <w:rPr>
                <w:rFonts w:ascii="Cambria Math" w:hAnsi="Cambria Math" w:cstheme="majorBidi"/>
                <w:i/>
                <w:sz w:val="22"/>
              </w:rPr>
            </m:ctrlPr>
          </m:sSubPr>
          <m:e>
            <m:r>
              <w:rPr>
                <w:rFonts w:ascii="Cambria Math" w:hAnsi="Cambria Math" w:cstheme="majorBidi"/>
                <w:sz w:val="22"/>
              </w:rPr>
              <m:t>β</m:t>
            </m:r>
          </m:e>
          <m:sub>
            <m:r>
              <w:rPr>
                <w:rFonts w:ascii="Cambria Math" w:hAnsi="Cambria Math" w:cstheme="majorBidi"/>
                <w:sz w:val="22"/>
              </w:rPr>
              <m:t>E</m:t>
            </m:r>
            <m:sSub>
              <m:sSubPr>
                <m:ctrlPr>
                  <w:rPr>
                    <w:rFonts w:ascii="Cambria Math" w:hAnsi="Cambria Math" w:cstheme="majorBidi"/>
                    <w:i/>
                    <w:sz w:val="22"/>
                  </w:rPr>
                </m:ctrlPr>
              </m:sSubPr>
              <m:e>
                <m:r>
                  <w:rPr>
                    <w:rFonts w:ascii="Cambria Math" w:hAnsi="Cambria Math" w:cstheme="majorBidi"/>
                    <w:sz w:val="22"/>
                  </w:rPr>
                  <m:t>G</m:t>
                </m:r>
              </m:e>
              <m:sub>
                <m:r>
                  <w:rPr>
                    <w:rFonts w:ascii="Cambria Math" w:hAnsi="Cambria Math" w:cstheme="majorBidi"/>
                    <w:sz w:val="22"/>
                  </w:rPr>
                  <m:t>j</m:t>
                </m:r>
              </m:sub>
            </m:sSub>
          </m:sub>
        </m:sSub>
      </m:oMath>
      <w:r w:rsidRPr="00352C7C">
        <w:rPr>
          <w:rFonts w:asciiTheme="majorBidi" w:eastAsiaTheme="minorEastAsia" w:hAnsiTheme="majorBidi" w:cstheme="majorBidi"/>
          <w:sz w:val="22"/>
        </w:rPr>
        <w:t xml:space="preserve"> is the measure of association between the genetic variant </w:t>
      </w:r>
      <m:oMath>
        <m:sSub>
          <m:sSubPr>
            <m:ctrlPr>
              <w:rPr>
                <w:rFonts w:ascii="Cambria Math" w:eastAsiaTheme="minorEastAsia" w:hAnsi="Cambria Math" w:cstheme="majorBidi"/>
                <w:i/>
                <w:sz w:val="22"/>
              </w:rPr>
            </m:ctrlPr>
          </m:sSubPr>
          <m:e>
            <m:r>
              <w:rPr>
                <w:rFonts w:ascii="Cambria Math" w:eastAsiaTheme="minorEastAsia" w:hAnsi="Cambria Math" w:cstheme="majorBidi"/>
                <w:sz w:val="22"/>
              </w:rPr>
              <m:t>G</m:t>
            </m:r>
          </m:e>
          <m:sub>
            <m:r>
              <w:rPr>
                <w:rFonts w:ascii="Cambria Math" w:eastAsiaTheme="minorEastAsia" w:hAnsi="Cambria Math" w:cstheme="majorBidi"/>
                <w:sz w:val="22"/>
              </w:rPr>
              <m:t>j</m:t>
            </m:r>
          </m:sub>
        </m:sSub>
      </m:oMath>
      <w:r w:rsidRPr="00352C7C">
        <w:rPr>
          <w:rFonts w:asciiTheme="majorBidi" w:eastAsiaTheme="minorEastAsia" w:hAnsiTheme="majorBidi" w:cstheme="majorBidi"/>
          <w:sz w:val="22"/>
        </w:rPr>
        <w:t xml:space="preserve"> and the exposure trait (SUD in our analysis), </w:t>
      </w:r>
      <m:oMath>
        <m:sSub>
          <m:sSubPr>
            <m:ctrlPr>
              <w:rPr>
                <w:rFonts w:ascii="Cambria Math" w:hAnsi="Cambria Math" w:cstheme="majorBidi"/>
                <w:i/>
                <w:sz w:val="22"/>
              </w:rPr>
            </m:ctrlPr>
          </m:sSubPr>
          <m:e>
            <m:r>
              <w:rPr>
                <w:rFonts w:ascii="Cambria Math" w:hAnsi="Cambria Math" w:cstheme="majorBidi"/>
                <w:sz w:val="22"/>
              </w:rPr>
              <m:t>β</m:t>
            </m:r>
          </m:e>
          <m:sub>
            <m:r>
              <w:rPr>
                <w:rFonts w:ascii="Cambria Math" w:hAnsi="Cambria Math" w:cstheme="majorBidi"/>
                <w:sz w:val="22"/>
              </w:rPr>
              <m:t>O</m:t>
            </m:r>
            <m:sSub>
              <m:sSubPr>
                <m:ctrlPr>
                  <w:rPr>
                    <w:rFonts w:ascii="Cambria Math" w:hAnsi="Cambria Math" w:cstheme="majorBidi"/>
                    <w:i/>
                    <w:sz w:val="22"/>
                  </w:rPr>
                </m:ctrlPr>
              </m:sSubPr>
              <m:e>
                <m:r>
                  <w:rPr>
                    <w:rFonts w:ascii="Cambria Math" w:hAnsi="Cambria Math" w:cstheme="majorBidi"/>
                    <w:sz w:val="22"/>
                  </w:rPr>
                  <m:t>G</m:t>
                </m:r>
              </m:e>
              <m:sub>
                <m:r>
                  <w:rPr>
                    <w:rFonts w:ascii="Cambria Math" w:hAnsi="Cambria Math" w:cstheme="majorBidi"/>
                    <w:sz w:val="22"/>
                  </w:rPr>
                  <m:t>j</m:t>
                </m:r>
              </m:sub>
            </m:sSub>
          </m:sub>
        </m:sSub>
      </m:oMath>
      <w:r w:rsidRPr="00352C7C">
        <w:rPr>
          <w:rFonts w:asciiTheme="majorBidi" w:eastAsiaTheme="minorEastAsia" w:hAnsiTheme="majorBidi" w:cstheme="majorBidi"/>
          <w:sz w:val="22"/>
        </w:rPr>
        <w:t xml:space="preserve"> is the association of </w:t>
      </w:r>
      <m:oMath>
        <m:sSub>
          <m:sSubPr>
            <m:ctrlPr>
              <w:rPr>
                <w:rFonts w:ascii="Cambria Math" w:eastAsiaTheme="minorEastAsia" w:hAnsi="Cambria Math" w:cstheme="majorBidi"/>
                <w:i/>
                <w:sz w:val="22"/>
              </w:rPr>
            </m:ctrlPr>
          </m:sSubPr>
          <m:e>
            <m:r>
              <w:rPr>
                <w:rFonts w:ascii="Cambria Math" w:eastAsiaTheme="minorEastAsia" w:hAnsi="Cambria Math" w:cstheme="majorBidi"/>
                <w:sz w:val="22"/>
              </w:rPr>
              <m:t>G</m:t>
            </m:r>
          </m:e>
          <m:sub>
            <m:r>
              <w:rPr>
                <w:rFonts w:ascii="Cambria Math" w:eastAsiaTheme="minorEastAsia" w:hAnsi="Cambria Math" w:cstheme="majorBidi"/>
                <w:sz w:val="22"/>
              </w:rPr>
              <m:t>j</m:t>
            </m:r>
          </m:sub>
        </m:sSub>
      </m:oMath>
      <w:r w:rsidRPr="00352C7C">
        <w:rPr>
          <w:rFonts w:asciiTheme="majorBidi" w:eastAsiaTheme="minorEastAsia" w:hAnsiTheme="majorBidi" w:cstheme="majorBidi"/>
          <w:sz w:val="22"/>
        </w:rPr>
        <w:t xml:space="preserve"> with the outcome (i.e. COVID-19 </w:t>
      </w:r>
      <w:r w:rsidR="00F8569B" w:rsidRPr="00352C7C">
        <w:rPr>
          <w:rFonts w:asciiTheme="majorBidi" w:eastAsiaTheme="minorEastAsia" w:hAnsiTheme="majorBidi" w:cstheme="majorBidi"/>
          <w:sz w:val="22"/>
        </w:rPr>
        <w:t>hospitalization</w:t>
      </w:r>
      <w:r w:rsidRPr="00352C7C">
        <w:rPr>
          <w:rFonts w:asciiTheme="majorBidi" w:eastAsiaTheme="minorEastAsia" w:hAnsiTheme="majorBidi" w:cstheme="majorBidi"/>
          <w:sz w:val="22"/>
        </w:rPr>
        <w:t xml:space="preserve"> or severe respiratory symptom) and </w:t>
      </w:r>
      <m:oMath>
        <m:sSub>
          <m:sSubPr>
            <m:ctrlPr>
              <w:rPr>
                <w:rFonts w:ascii="Cambria Math" w:hAnsi="Cambria Math" w:cstheme="majorBidi"/>
                <w:i/>
                <w:sz w:val="22"/>
              </w:rPr>
            </m:ctrlPr>
          </m:sSubPr>
          <m:e>
            <m:r>
              <w:rPr>
                <w:rFonts w:ascii="Cambria Math" w:hAnsi="Cambria Math" w:cstheme="majorBidi"/>
                <w:sz w:val="22"/>
              </w:rPr>
              <m:t>β</m:t>
            </m:r>
          </m:e>
          <m:sub>
            <m:r>
              <w:rPr>
                <w:rFonts w:ascii="Cambria Math" w:hAnsi="Cambria Math" w:cstheme="majorBidi"/>
                <w:sz w:val="22"/>
              </w:rPr>
              <m:t>EO</m:t>
            </m:r>
          </m:sub>
        </m:sSub>
      </m:oMath>
      <w:r w:rsidRPr="00352C7C">
        <w:rPr>
          <w:rFonts w:asciiTheme="majorBidi" w:eastAsiaTheme="minorEastAsia" w:hAnsiTheme="majorBidi" w:cstheme="majorBidi"/>
          <w:sz w:val="22"/>
        </w:rPr>
        <w:t xml:space="preserve"> is the causal effect of exposure trait on the outcome. In our analysis, we make two important assumptions; 1) we assume that genetic variant </w:t>
      </w:r>
      <m:oMath>
        <m:sSub>
          <m:sSubPr>
            <m:ctrlPr>
              <w:rPr>
                <w:rFonts w:ascii="Cambria Math" w:eastAsiaTheme="minorEastAsia" w:hAnsi="Cambria Math" w:cstheme="majorBidi"/>
                <w:i/>
                <w:sz w:val="22"/>
              </w:rPr>
            </m:ctrlPr>
          </m:sSubPr>
          <m:e>
            <m:r>
              <w:rPr>
                <w:rFonts w:ascii="Cambria Math" w:eastAsiaTheme="minorEastAsia" w:hAnsi="Cambria Math" w:cstheme="majorBidi"/>
                <w:sz w:val="22"/>
              </w:rPr>
              <m:t>G</m:t>
            </m:r>
          </m:e>
          <m:sub>
            <m:r>
              <w:rPr>
                <w:rFonts w:ascii="Cambria Math" w:eastAsiaTheme="minorEastAsia" w:hAnsi="Cambria Math" w:cstheme="majorBidi"/>
                <w:sz w:val="22"/>
              </w:rPr>
              <m:t>j</m:t>
            </m:r>
          </m:sub>
        </m:sSub>
      </m:oMath>
      <w:r w:rsidRPr="00352C7C">
        <w:rPr>
          <w:rFonts w:asciiTheme="majorBidi" w:eastAsiaTheme="minorEastAsia" w:hAnsiTheme="majorBidi" w:cstheme="majorBidi"/>
          <w:sz w:val="22"/>
        </w:rPr>
        <w:t xml:space="preserve"> affects both the exposure and outcome through the same causal pathway, and 2) our </w:t>
      </w:r>
      <w:r w:rsidR="00F8569B" w:rsidRPr="00352C7C">
        <w:rPr>
          <w:rFonts w:asciiTheme="majorBidi" w:eastAsiaTheme="minorEastAsia" w:hAnsiTheme="majorBidi" w:cstheme="majorBidi"/>
          <w:sz w:val="22"/>
        </w:rPr>
        <w:t>randomized</w:t>
      </w:r>
      <w:r w:rsidRPr="00352C7C">
        <w:rPr>
          <w:rFonts w:asciiTheme="majorBidi" w:eastAsiaTheme="minorEastAsia" w:hAnsiTheme="majorBidi" w:cstheme="majorBidi"/>
          <w:sz w:val="22"/>
        </w:rPr>
        <w:t xml:space="preserve"> instrument </w:t>
      </w:r>
      <m:oMath>
        <m:sSub>
          <m:sSubPr>
            <m:ctrlPr>
              <w:rPr>
                <w:rFonts w:ascii="Cambria Math" w:eastAsiaTheme="minorEastAsia" w:hAnsi="Cambria Math" w:cstheme="majorBidi"/>
                <w:i/>
                <w:sz w:val="22"/>
              </w:rPr>
            </m:ctrlPr>
          </m:sSubPr>
          <m:e>
            <m:r>
              <w:rPr>
                <w:rFonts w:ascii="Cambria Math" w:eastAsiaTheme="minorEastAsia" w:hAnsi="Cambria Math" w:cstheme="majorBidi"/>
                <w:sz w:val="22"/>
              </w:rPr>
              <m:t>G</m:t>
            </m:r>
          </m:e>
          <m:sub>
            <m:r>
              <w:rPr>
                <w:rFonts w:ascii="Cambria Math" w:eastAsiaTheme="minorEastAsia" w:hAnsi="Cambria Math" w:cstheme="majorBidi"/>
                <w:sz w:val="22"/>
              </w:rPr>
              <m:t>j</m:t>
            </m:r>
          </m:sub>
        </m:sSub>
      </m:oMath>
      <w:r w:rsidRPr="00352C7C">
        <w:rPr>
          <w:rFonts w:asciiTheme="majorBidi" w:eastAsiaTheme="minorEastAsia" w:hAnsiTheme="majorBidi" w:cstheme="majorBidi"/>
          <w:sz w:val="22"/>
        </w:rPr>
        <w:t xml:space="preserve"> is not associated with any unmeasured confounder (i.e. there is no correlated pleiotropy).</w:t>
      </w:r>
    </w:p>
    <w:p w14:paraId="17569709" w14:textId="77777777" w:rsidR="00BD4554" w:rsidRDefault="00BD4554" w:rsidP="006979BC">
      <w:pPr>
        <w:jc w:val="both"/>
        <w:rPr>
          <w:b/>
          <w:bCs/>
        </w:rPr>
        <w:sectPr w:rsidR="00BD4554" w:rsidSect="00834715">
          <w:type w:val="continuous"/>
          <w:pgSz w:w="12240" w:h="15840"/>
          <w:pgMar w:top="1138" w:right="1181" w:bottom="1138" w:left="1282" w:header="283" w:footer="510" w:gutter="0"/>
          <w:cols w:space="720"/>
          <w:titlePg/>
          <w:docGrid w:linePitch="360"/>
        </w:sectPr>
      </w:pPr>
    </w:p>
    <w:p w14:paraId="0363301A" w14:textId="15F5F221" w:rsidR="006979BC" w:rsidRDefault="006979BC" w:rsidP="006979BC">
      <w:pPr>
        <w:jc w:val="both"/>
        <w:rPr>
          <w:b/>
          <w:bCs/>
        </w:rPr>
      </w:pPr>
      <w:r w:rsidRPr="00556A53">
        <w:rPr>
          <w:b/>
          <w:bCs/>
        </w:rPr>
        <w:t xml:space="preserve">Mendelian </w:t>
      </w:r>
      <w:r w:rsidR="00F8569B" w:rsidRPr="00556A53">
        <w:rPr>
          <w:b/>
          <w:bCs/>
        </w:rPr>
        <w:t>Randomization</w:t>
      </w:r>
      <w:r w:rsidRPr="00556A53">
        <w:rPr>
          <w:b/>
          <w:bCs/>
        </w:rPr>
        <w:t xml:space="preserve"> methods</w:t>
      </w:r>
    </w:p>
    <w:p w14:paraId="1885A984" w14:textId="6A404C76" w:rsidR="006979BC" w:rsidRDefault="006979BC" w:rsidP="006979BC">
      <w:pPr>
        <w:jc w:val="both"/>
      </w:pPr>
      <w:r w:rsidRPr="00071470">
        <w:t xml:space="preserve">In an MR analysis, in principle, we derive the causal effect (for any one SNP) as the ratio of </w:t>
      </w:r>
      <w:r w:rsidR="00986451">
        <w:t xml:space="preserve">the </w:t>
      </w:r>
      <w:r w:rsidRPr="00071470">
        <w:t xml:space="preserve">SNP-outcome association to </w:t>
      </w:r>
      <w:r w:rsidR="00986451">
        <w:t xml:space="preserve">the </w:t>
      </w:r>
      <w:r w:rsidRPr="00071470">
        <w:t>SNP-exposure association. Specifically, the hypothesized relationship between the exposure and outcome for each instrumental variable j (out of J) is given by:</w:t>
      </w:r>
    </w:p>
    <w:p w14:paraId="3FC24C6B" w14:textId="77777777" w:rsidR="00F45C32" w:rsidRDefault="00F45C32" w:rsidP="006979BC">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830"/>
        <w:gridCol w:w="805"/>
      </w:tblGrid>
      <w:tr w:rsidR="006979BC" w14:paraId="3C31F096" w14:textId="77777777" w:rsidTr="00672240">
        <w:tc>
          <w:tcPr>
            <w:tcW w:w="715" w:type="dxa"/>
            <w:vAlign w:val="center"/>
          </w:tcPr>
          <w:p w14:paraId="5AC4E17A" w14:textId="77777777" w:rsidR="006979BC" w:rsidRDefault="006979BC" w:rsidP="00672240">
            <w:pPr>
              <w:jc w:val="both"/>
            </w:pPr>
          </w:p>
        </w:tc>
        <w:tc>
          <w:tcPr>
            <w:tcW w:w="7830" w:type="dxa"/>
            <w:vAlign w:val="center"/>
          </w:tcPr>
          <w:p w14:paraId="4E0AEBD2" w14:textId="77777777" w:rsidR="006979BC" w:rsidRDefault="00000000" w:rsidP="00672240">
            <w:pPr>
              <w:jc w:val="both"/>
            </w:pPr>
            <m:oMathPara>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OG</m:t>
                        </m:r>
                      </m:e>
                      <m:sub>
                        <m:r>
                          <w:rPr>
                            <w:rFonts w:ascii="Cambria Math" w:hAnsi="Cambria Math"/>
                          </w:rPr>
                          <m:t>j</m:t>
                        </m:r>
                      </m:sub>
                    </m:sSub>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OE</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EG</m:t>
                        </m:r>
                      </m:e>
                      <m:sub>
                        <m:r>
                          <w:rPr>
                            <w:rFonts w:ascii="Cambria Math" w:hAnsi="Cambria Math"/>
                          </w:rPr>
                          <m:t>j</m:t>
                        </m:r>
                      </m:sub>
                    </m:sSub>
                  </m:sub>
                </m:sSub>
              </m:oMath>
            </m:oMathPara>
          </w:p>
        </w:tc>
        <w:tc>
          <w:tcPr>
            <w:tcW w:w="805" w:type="dxa"/>
            <w:vAlign w:val="center"/>
          </w:tcPr>
          <w:p w14:paraId="1405C3B7" w14:textId="77777777" w:rsidR="006979BC" w:rsidRDefault="006979BC" w:rsidP="00672240">
            <w:pPr>
              <w:jc w:val="both"/>
            </w:pPr>
            <w:r>
              <w:t>(</w:t>
            </w:r>
            <w:fldSimple w:instr=" SEQ Eq \* MERGEFORMAT ">
              <w:r>
                <w:rPr>
                  <w:noProof/>
                </w:rPr>
                <w:t>1</w:t>
              </w:r>
            </w:fldSimple>
            <w:r>
              <w:t>)</w:t>
            </w:r>
          </w:p>
        </w:tc>
      </w:tr>
    </w:tbl>
    <w:p w14:paraId="68CC2B87" w14:textId="16AB9F1F" w:rsidR="006979BC" w:rsidRDefault="006979BC" w:rsidP="006979BC">
      <w:pPr>
        <w:jc w:val="both"/>
      </w:pPr>
      <w:r>
        <w:t xml:space="preserve">where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OG</m:t>
                </m:r>
              </m:e>
              <m:sub>
                <m:r>
                  <w:rPr>
                    <w:rFonts w:ascii="Cambria Math" w:hAnsi="Cambria Math"/>
                  </w:rPr>
                  <m:t>j</m:t>
                </m:r>
              </m:sub>
            </m:sSub>
          </m:sub>
        </m:sSub>
        <m:r>
          <w:rPr>
            <w:rFonts w:ascii="Cambria Math" w:hAnsi="Cambria Math"/>
          </w:rPr>
          <m:t xml:space="preserve"> </m:t>
        </m:r>
      </m:oMath>
      <w:r w:rsidRPr="00B1775A">
        <w:t xml:space="preserve">is the effect size of </w:t>
      </w:r>
      <w:r w:rsidR="00942892">
        <w:t xml:space="preserve">the </w:t>
      </w:r>
      <w:r w:rsidRPr="00B1775A">
        <w:t>instrumental variable (</w:t>
      </w:r>
      <m:oMath>
        <m:sSub>
          <m:sSubPr>
            <m:ctrlPr>
              <w:rPr>
                <w:rFonts w:ascii="Cambria Math" w:hAnsi="Cambria Math"/>
                <w:i/>
              </w:rPr>
            </m:ctrlPr>
          </m:sSubPr>
          <m:e>
            <m:r>
              <w:rPr>
                <w:rFonts w:ascii="Cambria Math" w:hAnsi="Cambria Math"/>
              </w:rPr>
              <m:t>SNP</m:t>
            </m:r>
          </m:e>
          <m:sub>
            <m:r>
              <w:rPr>
                <w:rFonts w:ascii="Cambria Math" w:hAnsi="Cambria Math"/>
              </w:rPr>
              <m:t>j</m:t>
            </m:r>
          </m:sub>
        </m:sSub>
      </m:oMath>
      <w:r w:rsidRPr="00B1775A">
        <w:t>) association with the outcome (in the case of our analysis</w:t>
      </w:r>
      <w:r w:rsidR="000927D8">
        <w:t>,</w:t>
      </w:r>
      <w:r w:rsidRPr="00B1775A">
        <w:t xml:space="preserve"> covid-19 hospitalization or</w:t>
      </w:r>
      <w:r>
        <w:t xml:space="preserve"> severe respiratory outcome),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EG</m:t>
                </m:r>
              </m:e>
              <m:sub>
                <m:r>
                  <w:rPr>
                    <w:rFonts w:ascii="Cambria Math" w:hAnsi="Cambria Math"/>
                  </w:rPr>
                  <m:t>j</m:t>
                </m:r>
              </m:sub>
            </m:sSub>
          </m:sub>
        </m:sSub>
      </m:oMath>
      <w:r>
        <w:t xml:space="preserve"> </w:t>
      </w:r>
      <w:r w:rsidRPr="00B1775A">
        <w:t>is the effect size of the association between</w:t>
      </w:r>
      <w:r>
        <w:t xml:space="preserve"> the instrumental variable (</w:t>
      </w:r>
      <m:oMath>
        <m:sSub>
          <m:sSubPr>
            <m:ctrlPr>
              <w:rPr>
                <w:rFonts w:ascii="Cambria Math" w:hAnsi="Cambria Math"/>
                <w:i/>
              </w:rPr>
            </m:ctrlPr>
          </m:sSubPr>
          <m:e>
            <m:r>
              <w:rPr>
                <w:rFonts w:ascii="Cambria Math" w:hAnsi="Cambria Math"/>
              </w:rPr>
              <m:t>SNP</m:t>
            </m:r>
          </m:e>
          <m:sub>
            <m:r>
              <w:rPr>
                <w:rFonts w:ascii="Cambria Math" w:hAnsi="Cambria Math"/>
              </w:rPr>
              <m:t>j</m:t>
            </m:r>
          </m:sub>
        </m:sSub>
      </m:oMath>
      <w:r w:rsidRPr="00B1775A">
        <w:t>) and the exposure (for example OUD</w:t>
      </w:r>
      <w:r>
        <w:t xml:space="preserve"> or CUD in our analysis), and </w:t>
      </w:r>
      <m:oMath>
        <m:sSub>
          <m:sSubPr>
            <m:ctrlPr>
              <w:rPr>
                <w:rFonts w:ascii="Cambria Math" w:hAnsi="Cambria Math"/>
                <w:i/>
              </w:rPr>
            </m:ctrlPr>
          </m:sSubPr>
          <m:e>
            <m:r>
              <w:rPr>
                <w:rFonts w:ascii="Cambria Math" w:hAnsi="Cambria Math"/>
              </w:rPr>
              <m:t>β</m:t>
            </m:r>
          </m:e>
          <m:sub>
            <m:r>
              <w:rPr>
                <w:rFonts w:ascii="Cambria Math" w:hAnsi="Cambria Math"/>
              </w:rPr>
              <m:t>OE</m:t>
            </m:r>
          </m:sub>
        </m:sSub>
      </m:oMath>
      <w:r>
        <w:rPr>
          <w:rFonts w:eastAsiaTheme="minorEastAsia"/>
        </w:rPr>
        <w:t xml:space="preserve"> </w:t>
      </w:r>
      <w:r w:rsidRPr="00B1775A">
        <w:t>is the causal effect of E (exposure) on O (outcome).</w:t>
      </w:r>
      <w:r>
        <w:t xml:space="preserve"> In GWAS summary statistics, all variants have been coded to reflect the positive SNP-exposure association</w:t>
      </w:r>
      <w:r w:rsidR="004F5EDC">
        <w:t>;</w:t>
      </w:r>
      <w:r>
        <w:t xml:space="preserve"> hence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OG</m:t>
                </m:r>
              </m:e>
              <m:sub>
                <m:r>
                  <w:rPr>
                    <w:rFonts w:ascii="Cambria Math" w:hAnsi="Cambria Math"/>
                  </w:rPr>
                  <m:t>j</m:t>
                </m:r>
              </m:sub>
            </m:sSub>
          </m:sub>
        </m:sSub>
      </m:oMath>
      <w:r>
        <w:rPr>
          <w:rFonts w:eastAsiaTheme="minorEastAsia"/>
        </w:rPr>
        <w:t xml:space="preserve"> is always non-zero. Derivation of causal effect </w:t>
      </w:r>
      <m:oMath>
        <m:sSub>
          <m:sSubPr>
            <m:ctrlPr>
              <w:rPr>
                <w:rFonts w:ascii="Cambria Math" w:hAnsi="Cambria Math"/>
                <w:i/>
              </w:rPr>
            </m:ctrlPr>
          </m:sSubPr>
          <m:e>
            <m:r>
              <w:rPr>
                <w:rFonts w:ascii="Cambria Math" w:hAnsi="Cambria Math"/>
              </w:rPr>
              <m:t>β</m:t>
            </m:r>
          </m:e>
          <m:sub>
            <m:r>
              <w:rPr>
                <w:rFonts w:ascii="Cambria Math" w:hAnsi="Cambria Math"/>
              </w:rPr>
              <m:t>OE</m:t>
            </m:r>
          </m:sub>
        </m:sSub>
      </m:oMath>
      <w:r>
        <w:t xml:space="preserve"> motivates the use of ratio so that for each instrumental variable j, the causal effect can be estimated by:</w:t>
      </w:r>
    </w:p>
    <w:p w14:paraId="7BAED526" w14:textId="77777777" w:rsidR="006979BC" w:rsidRDefault="006979BC" w:rsidP="006979BC">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830"/>
        <w:gridCol w:w="805"/>
      </w:tblGrid>
      <w:tr w:rsidR="006979BC" w14:paraId="5D1A53B1" w14:textId="77777777" w:rsidTr="00672240">
        <w:tc>
          <w:tcPr>
            <w:tcW w:w="715" w:type="dxa"/>
            <w:vAlign w:val="center"/>
          </w:tcPr>
          <w:p w14:paraId="7D33FD59" w14:textId="77777777" w:rsidR="006979BC" w:rsidRDefault="006979BC" w:rsidP="00672240">
            <w:pPr>
              <w:jc w:val="both"/>
            </w:pPr>
          </w:p>
        </w:tc>
        <w:tc>
          <w:tcPr>
            <w:tcW w:w="7830" w:type="dxa"/>
            <w:vAlign w:val="center"/>
          </w:tcPr>
          <w:p w14:paraId="4E8B4AEC" w14:textId="77777777" w:rsidR="006979BC" w:rsidRDefault="00000000" w:rsidP="00672240">
            <w:pPr>
              <w:jc w:val="both"/>
            </w:pPr>
            <m:oMathPara>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OE</m:t>
                        </m:r>
                      </m:e>
                      <m:sub>
                        <m:r>
                          <w:rPr>
                            <w:rFonts w:ascii="Cambria Math" w:hAnsi="Cambria Math"/>
                          </w:rPr>
                          <m:t>j</m:t>
                        </m:r>
                      </m:sub>
                    </m:sSub>
                  </m:sub>
                </m:sSub>
                <m:r>
                  <w:rPr>
                    <w:rFonts w:ascii="Cambria Math" w:hAnsi="Cambria Math"/>
                  </w:rPr>
                  <m:t xml:space="preserve">= </m:t>
                </m:r>
                <m:f>
                  <m:fPr>
                    <m:type m:val="lin"/>
                    <m:ctrlPr>
                      <w:rPr>
                        <w:rFonts w:ascii="Cambria Math" w:hAnsi="Cambria Math"/>
                        <w:i/>
                      </w:rPr>
                    </m:ctrlPr>
                  </m:fPr>
                  <m:num>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OG</m:t>
                            </m:r>
                          </m:e>
                          <m:sub>
                            <m:r>
                              <w:rPr>
                                <w:rFonts w:ascii="Cambria Math" w:hAnsi="Cambria Math"/>
                              </w:rPr>
                              <m:t>j</m:t>
                            </m:r>
                          </m:sub>
                        </m:sSub>
                      </m:sub>
                    </m:sSub>
                  </m:num>
                  <m:den>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EG</m:t>
                            </m:r>
                          </m:e>
                          <m:sub>
                            <m:r>
                              <w:rPr>
                                <w:rFonts w:ascii="Cambria Math" w:hAnsi="Cambria Math"/>
                              </w:rPr>
                              <m:t>j</m:t>
                            </m:r>
                          </m:sub>
                        </m:sSub>
                      </m:sub>
                    </m:sSub>
                  </m:den>
                </m:f>
              </m:oMath>
            </m:oMathPara>
          </w:p>
        </w:tc>
        <w:tc>
          <w:tcPr>
            <w:tcW w:w="805" w:type="dxa"/>
            <w:vAlign w:val="center"/>
          </w:tcPr>
          <w:p w14:paraId="50C628DC" w14:textId="77777777" w:rsidR="006979BC" w:rsidRDefault="006979BC" w:rsidP="00672240">
            <w:pPr>
              <w:jc w:val="both"/>
            </w:pPr>
            <w:r>
              <w:t>(</w:t>
            </w:r>
            <w:fldSimple w:instr=" SEQ Eq \* MERGEFORMAT ">
              <w:r>
                <w:rPr>
                  <w:noProof/>
                </w:rPr>
                <w:t>2</w:t>
              </w:r>
            </w:fldSimple>
            <w:r>
              <w:t>)</w:t>
            </w:r>
          </w:p>
        </w:tc>
      </w:tr>
    </w:tbl>
    <w:p w14:paraId="560989FC" w14:textId="77777777" w:rsidR="006979BC" w:rsidRDefault="006979BC" w:rsidP="006979BC">
      <w:pPr>
        <w:jc w:val="both"/>
      </w:pPr>
    </w:p>
    <w:p w14:paraId="5264F3FC" w14:textId="0C8C515E" w:rsidR="006979BC" w:rsidRDefault="006979BC" w:rsidP="006979BC">
      <w:pPr>
        <w:jc w:val="both"/>
      </w:pPr>
      <w:r>
        <w:t>The WM (or IVW) method estimates the causal effect simply as a variance weighted (or an inverse variance</w:t>
      </w:r>
      <w:r w:rsidR="004F5EDC">
        <w:t>-</w:t>
      </w:r>
      <w:r>
        <w:t>weighted) average of all instrumental variable ratios (</w:t>
      </w:r>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OE</m:t>
                </m:r>
              </m:e>
              <m:sub>
                <m:r>
                  <w:rPr>
                    <w:rFonts w:ascii="Cambria Math" w:hAnsi="Cambria Math"/>
                  </w:rPr>
                  <m:t>j1</m:t>
                </m:r>
              </m:sub>
            </m:sSub>
          </m:sub>
        </m:sSub>
        <m:r>
          <w:rPr>
            <w:rFonts w:ascii="Cambria Math" w:hAnsi="Cambria Math"/>
          </w:rPr>
          <m:t xml:space="preserve">, </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OE</m:t>
                </m:r>
              </m:e>
              <m:sub>
                <m:r>
                  <w:rPr>
                    <w:rFonts w:ascii="Cambria Math" w:hAnsi="Cambria Math"/>
                  </w:rPr>
                  <m:t>j2</m:t>
                </m:r>
              </m:sub>
            </m:sSub>
          </m:sub>
        </m:sSub>
        <m:r>
          <w:rPr>
            <w:rFonts w:ascii="Cambria Math" w:hAnsi="Cambria Math"/>
          </w:rPr>
          <m:t xml:space="preserve">, </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OE</m:t>
                </m:r>
              </m:e>
              <m:sub>
                <m:r>
                  <w:rPr>
                    <w:rFonts w:ascii="Cambria Math" w:hAnsi="Cambria Math"/>
                  </w:rPr>
                  <m:t>j3</m:t>
                </m:r>
              </m:sub>
            </m:sSub>
          </m:sub>
        </m:sSub>
        <m:r>
          <w:rPr>
            <w:rFonts w:ascii="Cambria Math" w:hAnsi="Cambria Math"/>
          </w:rPr>
          <m:t>, …;j ∈J</m:t>
        </m:r>
      </m:oMath>
      <w:r>
        <w:rPr>
          <w:rFonts w:eastAsiaTheme="minorEastAsia"/>
        </w:rPr>
        <w:t xml:space="preserve">). </w:t>
      </w:r>
      <w:r w:rsidRPr="00E3415C">
        <w:t>The Egger method extends this basic principle of MR to allow all variants to exert a pleiotropic effect on the outcome via the regression model based on</w:t>
      </w:r>
      <w:r w:rsidR="00B546F4">
        <w:t xml:space="preserve"> the following</w:t>
      </w:r>
      <w:r>
        <w:t>:</w:t>
      </w:r>
    </w:p>
    <w:p w14:paraId="1F51EA41" w14:textId="77777777" w:rsidR="003E5BF2" w:rsidRDefault="003E5BF2" w:rsidP="006979BC">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830"/>
        <w:gridCol w:w="805"/>
      </w:tblGrid>
      <w:tr w:rsidR="006979BC" w14:paraId="7B5700A1" w14:textId="77777777" w:rsidTr="00672240">
        <w:tc>
          <w:tcPr>
            <w:tcW w:w="715" w:type="dxa"/>
            <w:vAlign w:val="center"/>
          </w:tcPr>
          <w:p w14:paraId="05F0E703" w14:textId="77777777" w:rsidR="006979BC" w:rsidRDefault="006979BC" w:rsidP="00672240">
            <w:pPr>
              <w:jc w:val="both"/>
            </w:pPr>
          </w:p>
        </w:tc>
        <w:tc>
          <w:tcPr>
            <w:tcW w:w="7830" w:type="dxa"/>
            <w:vAlign w:val="center"/>
          </w:tcPr>
          <w:p w14:paraId="05DB171D" w14:textId="77777777" w:rsidR="006979BC" w:rsidRDefault="00000000" w:rsidP="00672240">
            <w:pPr>
              <w:jc w:val="both"/>
            </w:pPr>
            <m:oMathPara>
              <m:oMath>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OG</m:t>
                        </m:r>
                      </m:e>
                      <m:sub>
                        <m:r>
                          <w:rPr>
                            <w:rFonts w:ascii="Cambria Math" w:hAnsi="Cambria Math"/>
                          </w:rPr>
                          <m:t>j</m:t>
                        </m:r>
                      </m:sub>
                    </m:sSub>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j</m:t>
                        </m:r>
                      </m:sub>
                    </m:sSub>
                    <m:r>
                      <w:rPr>
                        <w:rFonts w:ascii="Cambria Math" w:hAnsi="Cambria Math"/>
                      </w:rPr>
                      <m:t>+ β</m:t>
                    </m:r>
                  </m:e>
                  <m:sub>
                    <m:r>
                      <w:rPr>
                        <w:rFonts w:ascii="Cambria Math" w:hAnsi="Cambria Math"/>
                      </w:rPr>
                      <m:t>OE</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EG</m:t>
                        </m:r>
                      </m:e>
                      <m:sub>
                        <m:r>
                          <w:rPr>
                            <w:rFonts w:ascii="Cambria Math" w:hAnsi="Cambria Math"/>
                          </w:rPr>
                          <m:t>j</m:t>
                        </m:r>
                      </m:sub>
                    </m:sSub>
                  </m:sub>
                </m:sSub>
              </m:oMath>
            </m:oMathPara>
          </w:p>
        </w:tc>
        <w:tc>
          <w:tcPr>
            <w:tcW w:w="805" w:type="dxa"/>
            <w:vAlign w:val="center"/>
          </w:tcPr>
          <w:p w14:paraId="41126FC7" w14:textId="77777777" w:rsidR="006979BC" w:rsidRDefault="006979BC" w:rsidP="00672240">
            <w:pPr>
              <w:jc w:val="both"/>
            </w:pPr>
            <w:r>
              <w:t>(</w:t>
            </w:r>
            <w:fldSimple w:instr=" SEQ Eq \* MERGEFORMAT ">
              <w:r>
                <w:rPr>
                  <w:noProof/>
                </w:rPr>
                <w:t>3</w:t>
              </w:r>
            </w:fldSimple>
            <w:r>
              <w:t>)</w:t>
            </w:r>
          </w:p>
        </w:tc>
      </w:tr>
    </w:tbl>
    <w:p w14:paraId="095D3E89" w14:textId="77777777" w:rsidR="006979BC" w:rsidRDefault="006979BC" w:rsidP="006979BC">
      <w:pPr>
        <w:jc w:val="both"/>
        <w:rPr>
          <w:rFonts w:eastAsiaTheme="minorEastAsia"/>
        </w:rPr>
      </w:pPr>
      <w:r>
        <w:t xml:space="preserve">where </w:t>
      </w:r>
      <m:oMath>
        <m:sSub>
          <m:sSubPr>
            <m:ctrlPr>
              <w:rPr>
                <w:rFonts w:ascii="Cambria Math" w:hAnsi="Cambria Math"/>
                <w:i/>
              </w:rPr>
            </m:ctrlPr>
          </m:sSubPr>
          <m:e>
            <m:r>
              <w:rPr>
                <w:rFonts w:ascii="Cambria Math" w:hAnsi="Cambria Math"/>
              </w:rPr>
              <m:t>α</m:t>
            </m:r>
          </m:e>
          <m:sub>
            <m:r>
              <w:rPr>
                <w:rFonts w:ascii="Cambria Math" w:hAnsi="Cambria Math"/>
              </w:rPr>
              <m:t>j</m:t>
            </m:r>
          </m:sub>
        </m:sSub>
      </m:oMath>
      <w:r>
        <w:rPr>
          <w:rFonts w:eastAsiaTheme="minorEastAsia"/>
        </w:rPr>
        <w:t xml:space="preserve"> is the pleiotropic effect of instrumental variable SNP </w:t>
      </w:r>
      <m:oMath>
        <m:r>
          <w:rPr>
            <w:rFonts w:ascii="Cambria Math" w:eastAsiaTheme="minorEastAsia" w:hAnsi="Cambria Math"/>
          </w:rPr>
          <m:t>j</m:t>
        </m:r>
      </m:oMath>
      <w:r>
        <w:rPr>
          <w:rFonts w:eastAsiaTheme="minorEastAsia"/>
        </w:rPr>
        <w:t xml:space="preserve">. </w:t>
      </w:r>
    </w:p>
    <w:p w14:paraId="113F5C8E" w14:textId="5F0C46DC" w:rsidR="006979BC" w:rsidRDefault="006979BC" w:rsidP="005B06D5">
      <w:pPr>
        <w:jc w:val="both"/>
        <w:sectPr w:rsidR="006979BC" w:rsidSect="00834715">
          <w:type w:val="continuous"/>
          <w:pgSz w:w="12240" w:h="15840"/>
          <w:pgMar w:top="1138" w:right="1181" w:bottom="1138" w:left="1282" w:header="283" w:footer="510" w:gutter="0"/>
          <w:cols w:space="720"/>
          <w:titlePg/>
          <w:docGrid w:linePitch="360"/>
        </w:sectPr>
      </w:pPr>
      <w:r>
        <w:rPr>
          <w:rFonts w:eastAsiaTheme="minorEastAsia"/>
        </w:rPr>
        <w:lastRenderedPageBreak/>
        <w:t>The LCV method principally follows a similar framework as the Egger regression, but it is more mathematically involved and relies on the estimation of the Latent Causal Variable (LCV) that mediates the genetic correlation (</w:t>
      </w:r>
      <w:proofErr w:type="spellStart"/>
      <w:r>
        <w:rPr>
          <w:rFonts w:eastAsiaTheme="minorEastAsia"/>
        </w:rPr>
        <w:t>r</w:t>
      </w:r>
      <w:r w:rsidRPr="008D050C">
        <w:rPr>
          <w:rFonts w:eastAsiaTheme="minorEastAsia"/>
          <w:vertAlign w:val="subscript"/>
        </w:rPr>
        <w:t>g</w:t>
      </w:r>
      <w:proofErr w:type="spellEnd"/>
      <w:r>
        <w:rPr>
          <w:rFonts w:eastAsiaTheme="minorEastAsia"/>
        </w:rPr>
        <w:t xml:space="preserve">) between the E and O traits. Under the LCV model, the relative proportion of heritability (between the exposure and outcome) that is attributable to the shared factor is calculated. To quantify the magnitude of heritability explained by the shared factor, </w:t>
      </w:r>
      <w:r>
        <w:t xml:space="preserve">O’Connor and </w:t>
      </w:r>
      <w:proofErr w:type="spellStart"/>
      <w:r>
        <w:t>Pric</w:t>
      </w:r>
      <w:proofErr w:type="spellEnd"/>
      <w:r>
        <w:t xml:space="preserve"> </w:t>
      </w:r>
      <w:r>
        <w:fldChar w:fldCharType="begin" w:fldLock="1"/>
      </w:r>
      <w:r>
        <w:instrText>ADDIN CSL_CITATION {"citationItems":[{"id":"ITEM-1","itemData":{"DOI":"10.1038/s41588-018-0255-0","ISSN":"15461718","PMID":"30374074","abstract":"Mendelian randomization, a method to infer causal relationships, is confounded by genetic correlations reflecting shared etiology. We developed a model in which a latent causal variable mediates the genetic correlation; trait 1 is partially genetically causal for trait 2 if it is strongly genetically correlated with the latent causal variable, quantified using the genetic causality proportion. We fit this model using mixed fourth moments E(α12α1α2) and E(α22α1α2) of marginal effect sizes for each trait; if trait 1 is causal for trait 2, then SNPs affecting trait 1 (large α12) will have correlated effects on trait 2 (large α 1 α 2 ), but not vice versa. In simulations, our method avoided false positives due to genetic correlations, unlike Mendelian randomization. Across 52 traits (average n = 331,000), we identified 30 causal relationships with high genetic causality proportion estimates. Novel findings included a causal effect of low-density lipoprotein on bone mineral density, consistent with clinical trials of statins in osteoporosis.","author":[{"dropping-particle":"","family":"O’Connor","given":"Luke J.","non-dropping-particle":"","parse-names":false,"suffix":""},{"dropping-particle":"","family":"Price","given":"Alkes L.","non-dropping-particle":"","parse-names":false,"suffix":""}],"container-title":"Nature Genetics","id":"ITEM-1","issued":{"date-parts":[["2018"]]},"title":"Distinguishing genetic correlation from causation across 52 diseases and complex traits","type":"article-journal"},"uris":["http://www.mendeley.com/documents/?uuid=d2450b19-892f-4d6a-a043-8ce5fcf39452"]}],"mendeley":{"formattedCitation":"&lt;sup&gt;1&lt;/sup&gt;","plainTextFormattedCitation":"1","previouslyFormattedCitation":"&lt;sup&gt;1&lt;/sup&gt;"},"properties":{"noteIndex":0},"schema":"https://github.com/citation-style-language/schema/raw/master/csl-citation.json"}</w:instrText>
      </w:r>
      <w:r>
        <w:fldChar w:fldCharType="separate"/>
      </w:r>
      <w:r w:rsidRPr="00E12EF3">
        <w:rPr>
          <w:noProof/>
          <w:vertAlign w:val="superscript"/>
        </w:rPr>
        <w:t>1</w:t>
      </w:r>
      <w:r>
        <w:fldChar w:fldCharType="end"/>
      </w:r>
      <w:r>
        <w:t xml:space="preserve">, introduce the “genetic causality proportion (GCP)” that ranges from -1 to 1 depending on the direction of causality. Under this model, a fully genetically causal relationship (defined as </w:t>
      </w:r>
      <m:oMath>
        <m:acc>
          <m:accPr>
            <m:ctrlPr>
              <w:rPr>
                <w:rFonts w:ascii="Cambria Math" w:hAnsi="Cambria Math"/>
                <w:i/>
              </w:rPr>
            </m:ctrlPr>
          </m:accPr>
          <m:e>
            <m:r>
              <w:rPr>
                <w:rFonts w:ascii="Cambria Math" w:hAnsi="Cambria Math"/>
              </w:rPr>
              <m:t>|GCP|</m:t>
            </m:r>
          </m:e>
        </m:acc>
        <m:r>
          <w:rPr>
            <w:rFonts w:ascii="Cambria Math" w:hAnsi="Cambria Math"/>
          </w:rPr>
          <m:t>=1</m:t>
        </m:r>
      </m:oMath>
      <w:r>
        <w:t>) is inferred when the entire effect of the exposure trait on the outcome is derived from the genetic component underlying the shared factor (</w:t>
      </w:r>
      <m:oMath>
        <m:sSub>
          <m:sSubPr>
            <m:ctrlPr>
              <w:rPr>
                <w:rFonts w:ascii="Cambria Math" w:hAnsi="Cambria Math"/>
                <w:i/>
              </w:rPr>
            </m:ctrlPr>
          </m:sSubPr>
          <m:e>
            <m:r>
              <w:rPr>
                <w:rFonts w:ascii="Cambria Math" w:hAnsi="Cambria Math"/>
              </w:rPr>
              <m:t>β</m:t>
            </m:r>
          </m:e>
          <m:sub>
            <m:r>
              <w:rPr>
                <w:rFonts w:ascii="Cambria Math" w:hAnsi="Cambria Math"/>
              </w:rPr>
              <m:t>OE</m:t>
            </m:r>
          </m:sub>
        </m:sSub>
        <m:r>
          <w:rPr>
            <w:rFonts w:ascii="Cambria Math" w:hAnsi="Cambria Math"/>
          </w:rPr>
          <m:t xml:space="preserve"> </m:t>
        </m:r>
      </m:oMath>
      <w:r>
        <w:t xml:space="preserve">= </w:t>
      </w: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β</m:t>
                </m:r>
              </m:e>
              <m:sub>
                <m:sSub>
                  <m:sSubPr>
                    <m:ctrlPr>
                      <w:rPr>
                        <w:rFonts w:ascii="Cambria Math" w:hAnsi="Cambria Math"/>
                        <w:i/>
                      </w:rPr>
                    </m:ctrlPr>
                  </m:sSubPr>
                  <m:e>
                    <m:r>
                      <w:rPr>
                        <w:rFonts w:ascii="Cambria Math" w:hAnsi="Cambria Math"/>
                      </w:rPr>
                      <m:t>OE</m:t>
                    </m:r>
                  </m:e>
                  <m:sub>
                    <m:r>
                      <w:rPr>
                        <w:rFonts w:ascii="Cambria Math" w:hAnsi="Cambria Math"/>
                      </w:rPr>
                      <m:t>j</m:t>
                    </m:r>
                  </m:sub>
                </m:sSub>
              </m:sub>
            </m:sSub>
          </m:e>
        </m:nary>
        <m:r>
          <w:rPr>
            <w:rFonts w:ascii="Cambria Math" w:hAnsi="Cambria Math"/>
          </w:rPr>
          <m:t>)</m:t>
        </m:r>
      </m:oMath>
      <w:r>
        <w:t xml:space="preserve">. The LCV method computes the significance of GCP against the null hypothesis where </w:t>
      </w:r>
      <m:oMath>
        <m:acc>
          <m:accPr>
            <m:ctrlPr>
              <w:rPr>
                <w:rFonts w:ascii="Cambria Math" w:hAnsi="Cambria Math"/>
                <w:i/>
              </w:rPr>
            </m:ctrlPr>
          </m:accPr>
          <m:e>
            <m:r>
              <w:rPr>
                <w:rFonts w:ascii="Cambria Math" w:hAnsi="Cambria Math"/>
              </w:rPr>
              <m:t>GCP</m:t>
            </m:r>
          </m:e>
        </m:acc>
        <m:r>
          <w:rPr>
            <w:rFonts w:ascii="Cambria Math" w:hAnsi="Cambria Math"/>
          </w:rPr>
          <m:t>=0.</m:t>
        </m:r>
      </m:oMath>
      <w:r>
        <w:t xml:space="preserve"> According to O’Connor and </w:t>
      </w:r>
      <w:proofErr w:type="spellStart"/>
      <w:r>
        <w:t>Pric</w:t>
      </w:r>
      <w:proofErr w:type="spellEnd"/>
      <w:r>
        <w:t xml:space="preserve"> </w:t>
      </w:r>
      <w:r>
        <w:fldChar w:fldCharType="begin" w:fldLock="1"/>
      </w:r>
      <w:r>
        <w:instrText>ADDIN CSL_CITATION {"citationItems":[{"id":"ITEM-1","itemData":{"DOI":"10.1038/s41588-018-0255-0","ISSN":"15461718","PMID":"30374074","abstract":"Mendelian randomization, a method to infer causal relationships, is confounded by genetic correlations reflecting shared etiology. We developed a model in which a latent causal variable mediates the genetic correlation; trait 1 is partially genetically causal for trait 2 if it is strongly genetically correlated with the latent causal variable, quantified using the genetic causality proportion. We fit this model using mixed fourth moments E(α12α1α2) and E(α22α1α2) of marginal effect sizes for each trait; if trait 1 is causal for trait 2, then SNPs affecting trait 1 (large α12) will have correlated effects on trait 2 (large α 1 α 2 ), but not vice versa. In simulations, our method avoided false positives due to genetic correlations, unlike Mendelian randomization. Across 52 traits (average n = 331,000), we identified 30 causal relationships with high genetic causality proportion estimates. Novel findings included a causal effect of low-density lipoprotein on bone mineral density, consistent with clinical trials of statins in osteoporosis.","author":[{"dropping-particle":"","family":"O’Connor","given":"Luke J.","non-dropping-particle":"","parse-names":false,"suffix":""},{"dropping-particle":"","family":"Price","given":"Alkes L.","non-dropping-particle":"","parse-names":false,"suffix":""}],"container-title":"Nature Genetics","id":"ITEM-1","issued":{"date-parts":[["2018"]]},"title":"Distinguishing genetic correlation from causation across 52 diseases and complex traits","type":"article-journal"},"uris":["http://www.mendeley.com/documents/?uuid=d2450b19-892f-4d6a-a043-8ce5fcf39452"]}],"mendeley":{"formattedCitation":"&lt;sup&gt;1&lt;/sup&gt;","plainTextFormattedCitation":"1","previouslyFormattedCitation":"&lt;sup&gt;1&lt;/sup&gt;"},"properties":{"noteIndex":0},"schema":"https://github.com/citation-style-language/schema/raw/master/csl-citation.json"}</w:instrText>
      </w:r>
      <w:r>
        <w:fldChar w:fldCharType="separate"/>
      </w:r>
      <w:r w:rsidRPr="00E12EF3">
        <w:rPr>
          <w:noProof/>
          <w:vertAlign w:val="superscript"/>
        </w:rPr>
        <w:t>1</w:t>
      </w:r>
      <w:r>
        <w:fldChar w:fldCharType="end"/>
      </w:r>
      <w:r>
        <w:t>, GCP estimates larger than 0.6 (</w:t>
      </w:r>
      <m:oMath>
        <m:acc>
          <m:accPr>
            <m:ctrlPr>
              <w:rPr>
                <w:rFonts w:ascii="Cambria Math" w:hAnsi="Cambria Math"/>
                <w:i/>
              </w:rPr>
            </m:ctrlPr>
          </m:accPr>
          <m:e>
            <m:r>
              <w:rPr>
                <w:rFonts w:ascii="Cambria Math" w:hAnsi="Cambria Math"/>
              </w:rPr>
              <m:t>|GCP|</m:t>
            </m:r>
          </m:e>
        </m:acc>
        <m:r>
          <w:rPr>
            <w:rFonts w:ascii="Cambria Math" w:hAnsi="Cambria Math"/>
          </w:rPr>
          <m:t>&gt;0.6</m:t>
        </m:r>
      </m:oMath>
      <w:r>
        <w:t>) suggest a plausible causal relationship.</w:t>
      </w:r>
    </w:p>
    <w:p w14:paraId="07AD2242" w14:textId="77777777" w:rsidR="006979BC" w:rsidRPr="006979BC" w:rsidRDefault="006979BC" w:rsidP="006979BC">
      <w:pPr>
        <w:spacing w:before="0" w:after="0"/>
        <w:contextualSpacing/>
        <w:rPr>
          <w:rFonts w:eastAsia="Times New Roman" w:cs="Times New Roman"/>
          <w:szCs w:val="24"/>
        </w:rPr>
      </w:pPr>
      <w:r w:rsidRPr="006979BC">
        <w:rPr>
          <w:rFonts w:eastAsia="Times New Roman" w:cs="Times New Roman"/>
          <w:b/>
          <w:bCs/>
          <w:szCs w:val="24"/>
        </w:rPr>
        <w:lastRenderedPageBreak/>
        <w:t>Table S1:</w:t>
      </w:r>
      <w:r w:rsidRPr="006979BC">
        <w:rPr>
          <w:rFonts w:eastAsia="Times New Roman" w:cs="Times New Roman"/>
          <w:szCs w:val="24"/>
        </w:rPr>
        <w:t xml:space="preserve"> Summary of medication-use GWAS.</w:t>
      </w:r>
    </w:p>
    <w:tbl>
      <w:tblPr>
        <w:tblStyle w:val="TableGrid1"/>
        <w:tblW w:w="12960" w:type="dxa"/>
        <w:tblInd w:w="-5" w:type="dxa"/>
        <w:tblLook w:val="04A0" w:firstRow="1" w:lastRow="0" w:firstColumn="1" w:lastColumn="0" w:noHBand="0" w:noVBand="1"/>
      </w:tblPr>
      <w:tblGrid>
        <w:gridCol w:w="1755"/>
        <w:gridCol w:w="3368"/>
        <w:gridCol w:w="1149"/>
        <w:gridCol w:w="1331"/>
        <w:gridCol w:w="1558"/>
        <w:gridCol w:w="1389"/>
        <w:gridCol w:w="2410"/>
      </w:tblGrid>
      <w:tr w:rsidR="006979BC" w:rsidRPr="006979BC" w14:paraId="70F16EC8" w14:textId="77777777" w:rsidTr="00672240">
        <w:trPr>
          <w:trHeight w:val="741"/>
        </w:trPr>
        <w:tc>
          <w:tcPr>
            <w:tcW w:w="1755" w:type="dxa"/>
            <w:tcBorders>
              <w:bottom w:val="single" w:sz="18" w:space="0" w:color="000000"/>
            </w:tcBorders>
          </w:tcPr>
          <w:p w14:paraId="1807ECF6" w14:textId="77777777" w:rsidR="006979BC" w:rsidRPr="006979BC" w:rsidRDefault="006979BC" w:rsidP="006979BC">
            <w:pPr>
              <w:spacing w:before="0" w:after="0"/>
              <w:contextualSpacing/>
              <w:rPr>
                <w:rFonts w:eastAsia="Times New Roman" w:cs="Times New Roman"/>
              </w:rPr>
            </w:pPr>
            <w:r w:rsidRPr="006979BC">
              <w:rPr>
                <w:rFonts w:eastAsia="Times New Roman" w:cs="Times New Roman"/>
              </w:rPr>
              <w:t>Data Source</w:t>
            </w:r>
          </w:p>
        </w:tc>
        <w:tc>
          <w:tcPr>
            <w:tcW w:w="3368" w:type="dxa"/>
            <w:tcBorders>
              <w:bottom w:val="single" w:sz="18" w:space="0" w:color="000000"/>
            </w:tcBorders>
          </w:tcPr>
          <w:p w14:paraId="031A4893"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Trait</w:t>
            </w:r>
          </w:p>
        </w:tc>
        <w:tc>
          <w:tcPr>
            <w:tcW w:w="1149" w:type="dxa"/>
            <w:tcBorders>
              <w:bottom w:val="single" w:sz="18" w:space="0" w:color="000000"/>
            </w:tcBorders>
          </w:tcPr>
          <w:p w14:paraId="225EF384"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No. of cases</w:t>
            </w:r>
          </w:p>
        </w:tc>
        <w:tc>
          <w:tcPr>
            <w:tcW w:w="1331" w:type="dxa"/>
            <w:tcBorders>
              <w:bottom w:val="single" w:sz="18" w:space="0" w:color="000000"/>
            </w:tcBorders>
          </w:tcPr>
          <w:p w14:paraId="2FB0C6B4"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No. of controls</w:t>
            </w:r>
          </w:p>
        </w:tc>
        <w:tc>
          <w:tcPr>
            <w:tcW w:w="1558" w:type="dxa"/>
            <w:tcBorders>
              <w:bottom w:val="single" w:sz="18" w:space="0" w:color="000000"/>
            </w:tcBorders>
          </w:tcPr>
          <w:p w14:paraId="2BC3B744"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No. of total tested GWAS variants</w:t>
            </w:r>
          </w:p>
        </w:tc>
        <w:tc>
          <w:tcPr>
            <w:tcW w:w="1389" w:type="dxa"/>
            <w:tcBorders>
              <w:bottom w:val="single" w:sz="18" w:space="0" w:color="000000"/>
            </w:tcBorders>
          </w:tcPr>
          <w:p w14:paraId="0E5A774F" w14:textId="77777777" w:rsidR="006979BC" w:rsidRPr="006979BC" w:rsidRDefault="006979BC" w:rsidP="006979BC">
            <w:pPr>
              <w:tabs>
                <w:tab w:val="left" w:pos="516"/>
              </w:tabs>
              <w:spacing w:before="0" w:after="0"/>
              <w:jc w:val="center"/>
              <w:rPr>
                <w:rFonts w:eastAsia="Times New Roman" w:cs="Times New Roman"/>
              </w:rPr>
            </w:pPr>
            <w:r w:rsidRPr="006979BC">
              <w:rPr>
                <w:rFonts w:eastAsia="Times New Roman" w:cs="Times New Roman"/>
              </w:rPr>
              <w:t>No. independent GWAS hit (P ≤ 5E-8)</w:t>
            </w:r>
          </w:p>
        </w:tc>
        <w:tc>
          <w:tcPr>
            <w:tcW w:w="2410" w:type="dxa"/>
            <w:tcBorders>
              <w:bottom w:val="single" w:sz="18" w:space="0" w:color="000000"/>
            </w:tcBorders>
          </w:tcPr>
          <w:p w14:paraId="3F9FCFBD" w14:textId="77777777" w:rsidR="006979BC" w:rsidRPr="006979BC" w:rsidRDefault="006979BC" w:rsidP="006979BC">
            <w:pPr>
              <w:tabs>
                <w:tab w:val="left" w:pos="516"/>
              </w:tabs>
              <w:spacing w:before="0" w:after="0"/>
              <w:jc w:val="center"/>
              <w:rPr>
                <w:rFonts w:eastAsia="Times New Roman" w:cs="Times New Roman"/>
              </w:rPr>
            </w:pPr>
            <w:r w:rsidRPr="006979BC">
              <w:rPr>
                <w:rFonts w:eastAsia="Times New Roman" w:cs="Times New Roman"/>
              </w:rPr>
              <w:t>Reference</w:t>
            </w:r>
          </w:p>
        </w:tc>
      </w:tr>
      <w:tr w:rsidR="006979BC" w:rsidRPr="006979BC" w14:paraId="10CAAFE7" w14:textId="77777777" w:rsidTr="00672240">
        <w:trPr>
          <w:trHeight w:val="370"/>
        </w:trPr>
        <w:tc>
          <w:tcPr>
            <w:tcW w:w="1755" w:type="dxa"/>
            <w:vMerge w:val="restart"/>
            <w:tcBorders>
              <w:top w:val="single" w:sz="18" w:space="0" w:color="000000"/>
            </w:tcBorders>
          </w:tcPr>
          <w:p w14:paraId="7933E8C9"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HGI</w:t>
            </w:r>
          </w:p>
        </w:tc>
        <w:tc>
          <w:tcPr>
            <w:tcW w:w="3368" w:type="dxa"/>
            <w:tcBorders>
              <w:top w:val="single" w:sz="18" w:space="0" w:color="000000"/>
            </w:tcBorders>
            <w:vAlign w:val="center"/>
          </w:tcPr>
          <w:p w14:paraId="57766A38"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lang w:val="en-GB"/>
              </w:rPr>
              <w:t>Hospitalised COVID-19 cases vs. not hospitalised</w:t>
            </w:r>
          </w:p>
        </w:tc>
        <w:tc>
          <w:tcPr>
            <w:tcW w:w="1149" w:type="dxa"/>
            <w:tcBorders>
              <w:top w:val="single" w:sz="18" w:space="0" w:color="000000"/>
            </w:tcBorders>
          </w:tcPr>
          <w:p w14:paraId="74D5C247"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rPr>
              <w:t>2,430</w:t>
            </w:r>
          </w:p>
        </w:tc>
        <w:tc>
          <w:tcPr>
            <w:tcW w:w="1331" w:type="dxa"/>
            <w:tcBorders>
              <w:top w:val="single" w:sz="18" w:space="0" w:color="000000"/>
            </w:tcBorders>
          </w:tcPr>
          <w:p w14:paraId="478B1920"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lang w:val="en-GB"/>
              </w:rPr>
              <w:t>8,8478</w:t>
            </w:r>
          </w:p>
        </w:tc>
        <w:tc>
          <w:tcPr>
            <w:tcW w:w="1558" w:type="dxa"/>
            <w:tcBorders>
              <w:top w:val="single" w:sz="18" w:space="0" w:color="000000"/>
            </w:tcBorders>
            <w:vAlign w:val="center"/>
          </w:tcPr>
          <w:p w14:paraId="3E4FB9DD"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14,901,153</w:t>
            </w:r>
          </w:p>
        </w:tc>
        <w:tc>
          <w:tcPr>
            <w:tcW w:w="1389" w:type="dxa"/>
            <w:tcBorders>
              <w:top w:val="single" w:sz="18" w:space="0" w:color="000000"/>
            </w:tcBorders>
          </w:tcPr>
          <w:p w14:paraId="139A39F1"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14</w:t>
            </w:r>
          </w:p>
        </w:tc>
        <w:tc>
          <w:tcPr>
            <w:tcW w:w="2410" w:type="dxa"/>
            <w:vMerge w:val="restart"/>
            <w:tcBorders>
              <w:top w:val="single" w:sz="18" w:space="0" w:color="000000"/>
            </w:tcBorders>
          </w:tcPr>
          <w:p w14:paraId="1EAD802F" w14:textId="77777777" w:rsidR="006979BC" w:rsidRPr="006979BC" w:rsidRDefault="00000000" w:rsidP="006979BC">
            <w:pPr>
              <w:spacing w:before="0" w:after="0"/>
              <w:contextualSpacing/>
              <w:rPr>
                <w:rFonts w:eastAsia="Times New Roman" w:cs="Times New Roman"/>
                <w:lang w:val="en-GB"/>
              </w:rPr>
            </w:pPr>
            <w:hyperlink r:id="rId14" w:history="1">
              <w:r w:rsidR="006979BC" w:rsidRPr="006979BC">
                <w:rPr>
                  <w:rFonts w:eastAsia="Times New Roman" w:cs="Times New Roman"/>
                  <w:color w:val="0563C1"/>
                  <w:u w:val="single"/>
                  <w:lang w:val="en-GB"/>
                </w:rPr>
                <w:t>www.covid19hg.org</w:t>
              </w:r>
            </w:hyperlink>
          </w:p>
          <w:p w14:paraId="011B564E" w14:textId="77777777" w:rsidR="006979BC" w:rsidRPr="006979BC" w:rsidRDefault="006979BC" w:rsidP="006979BC">
            <w:pPr>
              <w:spacing w:before="0" w:after="0"/>
              <w:contextualSpacing/>
              <w:rPr>
                <w:rFonts w:eastAsia="Times New Roman" w:cs="Times New Roman"/>
                <w:lang w:val="en-GB"/>
              </w:rPr>
            </w:pPr>
          </w:p>
        </w:tc>
      </w:tr>
      <w:tr w:rsidR="006979BC" w:rsidRPr="006979BC" w14:paraId="193BF72D" w14:textId="77777777" w:rsidTr="00672240">
        <w:trPr>
          <w:trHeight w:val="370"/>
        </w:trPr>
        <w:tc>
          <w:tcPr>
            <w:tcW w:w="1755" w:type="dxa"/>
            <w:vMerge/>
            <w:tcBorders>
              <w:bottom w:val="single" w:sz="18" w:space="0" w:color="000000"/>
            </w:tcBorders>
          </w:tcPr>
          <w:p w14:paraId="4ACAE1EC" w14:textId="77777777" w:rsidR="006979BC" w:rsidRPr="006979BC" w:rsidRDefault="006979BC" w:rsidP="006979BC">
            <w:pPr>
              <w:spacing w:before="0" w:after="0"/>
              <w:rPr>
                <w:rFonts w:eastAsia="Times New Roman" w:cs="Times New Roman"/>
                <w:color w:val="000000"/>
                <w:lang w:val="en-GB"/>
              </w:rPr>
            </w:pPr>
          </w:p>
        </w:tc>
        <w:tc>
          <w:tcPr>
            <w:tcW w:w="3368" w:type="dxa"/>
            <w:tcBorders>
              <w:bottom w:val="single" w:sz="18" w:space="0" w:color="000000"/>
            </w:tcBorders>
            <w:vAlign w:val="center"/>
          </w:tcPr>
          <w:p w14:paraId="6449F821"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lang w:val="en-GB"/>
              </w:rPr>
              <w:t>Very severe respiratory confirmed COVID-19 cases vs. population</w:t>
            </w:r>
          </w:p>
        </w:tc>
        <w:tc>
          <w:tcPr>
            <w:tcW w:w="1149" w:type="dxa"/>
            <w:tcBorders>
              <w:bottom w:val="single" w:sz="18" w:space="0" w:color="000000"/>
            </w:tcBorders>
          </w:tcPr>
          <w:p w14:paraId="04C106F9"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lang w:val="en-GB"/>
              </w:rPr>
              <w:t>4,933</w:t>
            </w:r>
          </w:p>
        </w:tc>
        <w:tc>
          <w:tcPr>
            <w:tcW w:w="1331" w:type="dxa"/>
            <w:tcBorders>
              <w:bottom w:val="single" w:sz="18" w:space="0" w:color="000000"/>
            </w:tcBorders>
          </w:tcPr>
          <w:p w14:paraId="7C353108"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lang w:val="en-GB"/>
              </w:rPr>
              <w:t>1,398,672</w:t>
            </w:r>
          </w:p>
        </w:tc>
        <w:tc>
          <w:tcPr>
            <w:tcW w:w="1558" w:type="dxa"/>
            <w:tcBorders>
              <w:bottom w:val="single" w:sz="18" w:space="0" w:color="000000"/>
            </w:tcBorders>
            <w:vAlign w:val="center"/>
          </w:tcPr>
          <w:p w14:paraId="1FA6F10D"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lang w:val="en-GB"/>
              </w:rPr>
              <w:t>11,830,413</w:t>
            </w:r>
          </w:p>
        </w:tc>
        <w:tc>
          <w:tcPr>
            <w:tcW w:w="1389" w:type="dxa"/>
            <w:tcBorders>
              <w:bottom w:val="single" w:sz="18" w:space="0" w:color="000000"/>
            </w:tcBorders>
          </w:tcPr>
          <w:p w14:paraId="627A3DFC"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542</w:t>
            </w:r>
          </w:p>
        </w:tc>
        <w:tc>
          <w:tcPr>
            <w:tcW w:w="2410" w:type="dxa"/>
            <w:vMerge/>
            <w:tcBorders>
              <w:bottom w:val="single" w:sz="18" w:space="0" w:color="000000"/>
            </w:tcBorders>
          </w:tcPr>
          <w:p w14:paraId="06A8EA95" w14:textId="77777777" w:rsidR="006979BC" w:rsidRPr="006979BC" w:rsidRDefault="006979BC" w:rsidP="006979BC">
            <w:pPr>
              <w:spacing w:before="0" w:after="0"/>
              <w:contextualSpacing/>
              <w:rPr>
                <w:rFonts w:eastAsia="Times New Roman" w:cs="Times New Roman"/>
              </w:rPr>
            </w:pPr>
          </w:p>
        </w:tc>
      </w:tr>
      <w:tr w:rsidR="006979BC" w:rsidRPr="006979BC" w14:paraId="2785C4A4" w14:textId="77777777" w:rsidTr="00672240">
        <w:trPr>
          <w:trHeight w:val="370"/>
        </w:trPr>
        <w:tc>
          <w:tcPr>
            <w:tcW w:w="1755" w:type="dxa"/>
            <w:vMerge w:val="restart"/>
            <w:tcBorders>
              <w:top w:val="single" w:sz="18" w:space="0" w:color="000000"/>
            </w:tcBorders>
          </w:tcPr>
          <w:p w14:paraId="2C8630CC"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PGC</w:t>
            </w:r>
          </w:p>
        </w:tc>
        <w:tc>
          <w:tcPr>
            <w:tcW w:w="3368" w:type="dxa"/>
            <w:tcBorders>
              <w:top w:val="single" w:sz="18" w:space="0" w:color="000000"/>
            </w:tcBorders>
            <w:vAlign w:val="center"/>
          </w:tcPr>
          <w:p w14:paraId="330AC579"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Opioid use disorder (OUD)</w:t>
            </w:r>
          </w:p>
        </w:tc>
        <w:tc>
          <w:tcPr>
            <w:tcW w:w="1149" w:type="dxa"/>
            <w:tcBorders>
              <w:top w:val="single" w:sz="18" w:space="0" w:color="000000"/>
            </w:tcBorders>
          </w:tcPr>
          <w:p w14:paraId="3F4671BF"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lang w:val="en-GB"/>
              </w:rPr>
              <w:t>8,676</w:t>
            </w:r>
          </w:p>
        </w:tc>
        <w:tc>
          <w:tcPr>
            <w:tcW w:w="1331" w:type="dxa"/>
            <w:tcBorders>
              <w:top w:val="single" w:sz="18" w:space="0" w:color="000000"/>
            </w:tcBorders>
          </w:tcPr>
          <w:p w14:paraId="0C868E79"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rPr>
              <w:t>32,500</w:t>
            </w:r>
          </w:p>
        </w:tc>
        <w:tc>
          <w:tcPr>
            <w:tcW w:w="1558" w:type="dxa"/>
            <w:tcBorders>
              <w:top w:val="single" w:sz="18" w:space="0" w:color="000000"/>
            </w:tcBorders>
            <w:vAlign w:val="center"/>
          </w:tcPr>
          <w:p w14:paraId="21146285"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5,986,961</w:t>
            </w:r>
          </w:p>
        </w:tc>
        <w:tc>
          <w:tcPr>
            <w:tcW w:w="1389" w:type="dxa"/>
            <w:tcBorders>
              <w:top w:val="single" w:sz="18" w:space="0" w:color="000000"/>
            </w:tcBorders>
          </w:tcPr>
          <w:p w14:paraId="26144263" w14:textId="77777777" w:rsidR="006979BC" w:rsidRPr="006979BC" w:rsidRDefault="006979BC" w:rsidP="006979BC">
            <w:pPr>
              <w:spacing w:before="0" w:after="0"/>
              <w:contextualSpacing/>
              <w:jc w:val="center"/>
              <w:rPr>
                <w:rFonts w:eastAsia="Times New Roman" w:cs="Times New Roman"/>
                <w:vertAlign w:val="superscript"/>
              </w:rPr>
            </w:pPr>
            <w:r w:rsidRPr="006979BC">
              <w:rPr>
                <w:rFonts w:eastAsia="Times New Roman" w:cs="Times New Roman"/>
              </w:rPr>
              <w:t>20</w:t>
            </w:r>
            <w:r w:rsidRPr="006979BC">
              <w:rPr>
                <w:rFonts w:eastAsia="Times New Roman" w:cs="Times New Roman"/>
                <w:vertAlign w:val="superscript"/>
              </w:rPr>
              <w:sym w:font="Symbol" w:char="F0AA"/>
            </w:r>
          </w:p>
        </w:tc>
        <w:tc>
          <w:tcPr>
            <w:tcW w:w="2410" w:type="dxa"/>
            <w:tcBorders>
              <w:top w:val="single" w:sz="18" w:space="0" w:color="000000"/>
            </w:tcBorders>
          </w:tcPr>
          <w:p w14:paraId="7243A109" w14:textId="77777777" w:rsidR="006979BC" w:rsidRPr="006979BC" w:rsidRDefault="006979BC" w:rsidP="006979BC">
            <w:pPr>
              <w:spacing w:before="0" w:after="0"/>
              <w:contextualSpacing/>
              <w:rPr>
                <w:rFonts w:eastAsia="Times New Roman" w:cs="Times New Roman"/>
              </w:rPr>
            </w:pPr>
            <w:proofErr w:type="spellStart"/>
            <w:r w:rsidRPr="006979BC">
              <w:rPr>
                <w:rFonts w:eastAsia="Times New Roman" w:cs="Times New Roman"/>
              </w:rPr>
              <w:t>Polimanti</w:t>
            </w:r>
            <w:proofErr w:type="spellEnd"/>
            <w:r w:rsidRPr="006979BC">
              <w:rPr>
                <w:rFonts w:eastAsia="Times New Roman" w:cs="Times New Roman"/>
              </w:rPr>
              <w:t xml:space="preserve"> </w:t>
            </w:r>
            <w:r w:rsidRPr="006979BC">
              <w:rPr>
                <w:rFonts w:eastAsia="Times New Roman" w:cs="Times New Roman"/>
                <w:i/>
                <w:iCs/>
              </w:rPr>
              <w:t>et al.</w:t>
            </w:r>
            <w:r w:rsidRPr="006979BC">
              <w:rPr>
                <w:rFonts w:eastAsia="Times New Roman" w:cs="Times New Roman"/>
              </w:rPr>
              <w:fldChar w:fldCharType="begin" w:fldLock="1"/>
            </w:r>
            <w:r w:rsidRPr="006979BC">
              <w:rPr>
                <w:rFonts w:eastAsia="Times New Roman" w:cs="Times New Roman"/>
              </w:rPr>
              <w:instrText>ADDIN CSL_CITATION {"citationItems":[{"id":"ITEM-1","itemData":{"DOI":"10.1038/s41380-020-0677-9","ISSN":"14765578","PMID":"32099098","abstract":"To provide insights into the biology of opioid dependence (OD) and opioid use (i.e., exposure, OE), we completed a genome-wide analysis comparing 4503 OD cases, 4173 opioid-exposed controls, and 32,500 opioid-unexposed controls, including participants of European and African descent (EUR and AFR, respectively). Among the variants identified, rs9291211 was associated with OE (exposed vs. unexposed controls; EUR z = −5.39, p = 7.2 × 10–8). This variant regulates the transcriptomic profiles of SLC30A9 and BEND4 in multiple brain tissues and was previously associated with depression, alcohol consumption, and neuroticism. A phenome-wide scan of rs9291211 in the UK Biobank (N &gt; 360,000) found association of this variant with propensity to use dietary supplements (p = 1.68 × 10–8). With respect to the same OE phenotype in the gene-based analysis, we identified SDCCAG8 (EUR + AFR z = 4.69, p = 10–6), which was previously associated with educational attainment, risk-taking behaviors, and schizophrenia. In addition, rs201123820 showed a genome-wide significant difference between OD cases and unexposed controls (AFR z = 5.55, p = 2.9 × 10–8) and a significant association with musculoskeletal disorders in the UK Biobank (p = 4.88 × 10–7). A polygenic risk score (PRS) based on a GWAS of risk-tolerance (n = 466,571) was positively associated with OD (OD vs. unexposed controls, p = 8.1 × 10–5; OD cases vs. exposed controls, p = 0.054) and OE (exposed vs. unexposed controls, p = 3.6 × 10–5). A PRS based on a GWAS of neuroticism (n = 390,278) was positively associated with OD (OD vs. unexposed controls, p = 3.2 × 10–5; OD vs. exposed controls, p = 0.002) but not with OE (p = 0.67). Our analyses highlight the difference between dependence and exposure and the importance of considering the definition of controls in studies of addiction.","author":[{"dropping-particle":"","family":"Polimanti","given":"Renato","non-dropping-particle":"","parse-names":false,"suffix":""},{"dropping-particle":"","family":"Walters","given":"Raymond K.","non-dropping-particle":"","parse-names":false,"suffix":""},{"dropping-particle":"","family":"Johnson","given":"Emma C.","non-dropping-particle":"","parse-names":false,"suffix":""},{"dropping-particle":"","family":"McClintick","given":"Jeanette N.","non-dropping-particle":"","parse-names":false,"suffix":""},{"dropping-particle":"","family":"Adkins","given":"Amy E.","non-dropping-particle":"","parse-names":false,"suffix":""},{"dropping-particle":"","family":"Adkins","given":"Daniel E.","non-dropping-particle":"","parse-names":false,"suffix":""},{"dropping-particle":"","family":"Bacanu","given":"Silviu Alin","non-dropping-particle":"","parse-names":false,"suffix":""},{"dropping-particle":"","family":"Bierut","given":"Laura J.","non-dropping-particle":"","parse-names":false,"suffix":""},{"dropping-particle":"","family":"Bigdeli","given":"Tim B.","non-dropping-particle":"","parse-names":false,"suffix":""},{"dropping-particle":"","family":"Brown","given":"Sandra","non-dropping-particle":"","parse-names":false,"suffix":""},{"dropping-particle":"","family":"Bucholz","given":"Kathleen K.","non-dropping-particle":"","parse-names":false,"suffix":""},{"dropping-particle":"","family":"Copeland","given":"William E.","non-dropping-particle":"","parse-names":false,"suffix":""},{"dropping-particle":"","family":"Costello","given":"E. Jane","non-dropping-particle":"","parse-names":false,"suffix":""},{"dropping-particle":"","family":"Degenhardt","given":"Louisa","non-dropping-particle":"","parse-names":false,"suffix":""},{"dropping-particle":"","family":"Farrer","given":"Lindsay A.","non-dropping-particle":"","parse-names":false,"suffix":""},{"dropping-particle":"","family":"Foroud","given":"Tatiana M.","non-dropping-particle":"","parse-names":false,"suffix":""},{"dropping-particle":"","family":"Fox","given":"Louis","non-dropping-particle":"","parse-names":false,"suffix":""},{"dropping-particle":"","family":"Goate","given":"Alison M.","non-dropping-particle":"","parse-names":false,"suffix":""},{"dropping-particle":"","family":"Grucza","given":"Richard","non-dropping-particle":"","parse-names":false,"suffix":""},{"dropping-particle":"","family":"Hack","given":"Laura M.","non-dropping-particle":"","parse-names":false,"suffix":""},{"dropping-particle":"","family":"Hancock","given":"Dana B.","non-dropping-particle":"","parse-names":false,"suffix":""},{"dropping-particle":"","family":"Hartz","given":"Sarah M.","non-dropping-particle":"","parse-names":false,"suffix":""},{"dropping-particle":"","family":"Heath","given":"Andrew C.","non-dropping-particle":"","parse-names":false,"suffix":""},{"dropping-particle":"","family":"Hewitt","given":"John K.","non-dropping-particle":"","parse-names":false,"suffix":""},{"dropping-particle":"","family":"Hopfer","given":"Christian J.","non-dropping-particle":"","parse-names":false,"suffix":""},{"dropping-particle":"","family":"Johnson","given":"Eric O.","non-dropping-particle":"","parse-names":false,"suffix":""},{"dropping-particle":"","family":"Kendler","given":"Kenneth S.","non-dropping-particle":"","parse-names":false,"suffix":""},{"dropping-particle":"","family":"Kranzler","given":"Henry R.","non-dropping-particle":"","parse-names":false,"suffix":""},{"dropping-particle":"","family":"Krauter","given":"Kenneth","non-dropping-particle":"","parse-names":false,"suffix":""},{"dropping-particle":"","family":"Lai","given":"Dongbing","non-dropping-particle":"","parse-names":false,"suffix":""},{"dropping-particle":"","family":"Madden","given":"Pamela A.F.","non-dropping-particle":"","parse-names":false,"suffix":""},{"dropping-particle":"","family":"Martin","given":"Nicholas G.","non-dropping-particle":"","parse-names":false,"suffix":""},{"dropping-particle":"","family":"Maes","given":"Hermine H.","non-dropping-particle":"","parse-names":false,"suffix":""},{"dropping-particle":"","family":"Nelson","given":"Elliot C.","non-dropping-particle":"","parse-names":false,"suffix":""},{"dropping-particle":"","family":"Peterson","given":"Roseann E.","non-dropping-particle":"","parse-names":false,"suffix":""},{"dropping-particle":"","family":"Porjesz","given":"Bernice","non-dropping-particle":"","parse-names":false,"suffix":""},{"dropping-particle":"","family":"Riley","given":"Brien P.","non-dropping-particle":"","parse-names":false,"suffix":""},{"dropping-particle":"","family":"Saccone","given":"Nancy","non-dropping-particle":"","parse-names":false,"suffix":""},{"dropping-particle":"","family":"Stallings","given":"Michael","non-dropping-particle":"","parse-names":false,"suffix":""},{"dropping-particle":"","family":"Wall","given":"Tamara L.","non-dropping-particle":"","parse-names":false,"suffix":""},{"dropping-particle":"","family":"Webb","given":"Bradley T.","non-dropping-particle":"","parse-names":false,"suffix":""},{"dropping-particle":"","family":"Wetherill","given":"Leah","non-dropping-particle":"","parse-names":false,"suffix":""},{"dropping-particle":"","family":"Edenberg","given":"Howard J.","non-dropping-particle":"","parse-names":false,"suffix":""},{"dropping-particle":"","family":"Agrawal","given":"Arpana","non-dropping-particle":"","parse-names":false,"suffix":""},{"dropping-particle":"","family":"Gelernter","given":"Joel","non-dropping-particle":"","parse-names":false,"suffix":""}],"container-title":"Molecular Psychiatry","id":"ITEM-1","issued":{"date-parts":[["2020"]]},"title":"Leveraging genome-wide data to investigate differences between opioid use vs. opioid dependence in 41,176 individuals from the Psychiatric Genomics Consortium","type":"article-journal"},"uris":["http://www.mendeley.com/documents/?uuid=821d95d2-00bd-4d89-91ad-278f531ff84d"]}],"mendeley":{"formattedCitation":"&lt;sup&gt;4&lt;/sup&gt;","plainTextFormattedCitation":"4","previouslyFormattedCitation":"&lt;sup&gt;4&lt;/sup&gt;"},"properties":{"noteIndex":0},"schema":"https://github.com/citation-style-language/schema/raw/master/csl-citation.json"}</w:instrText>
            </w:r>
            <w:r w:rsidRPr="006979BC">
              <w:rPr>
                <w:rFonts w:eastAsia="Times New Roman" w:cs="Times New Roman"/>
              </w:rPr>
              <w:fldChar w:fldCharType="separate"/>
            </w:r>
            <w:r w:rsidRPr="006979BC">
              <w:rPr>
                <w:rFonts w:eastAsia="Times New Roman" w:cs="Times New Roman"/>
                <w:noProof/>
                <w:vertAlign w:val="superscript"/>
              </w:rPr>
              <w:t>4</w:t>
            </w:r>
            <w:r w:rsidRPr="006979BC">
              <w:rPr>
                <w:rFonts w:eastAsia="Times New Roman" w:cs="Times New Roman"/>
              </w:rPr>
              <w:fldChar w:fldCharType="end"/>
            </w:r>
          </w:p>
        </w:tc>
      </w:tr>
      <w:tr w:rsidR="006979BC" w:rsidRPr="006979BC" w14:paraId="06D1B1CF" w14:textId="77777777" w:rsidTr="00672240">
        <w:trPr>
          <w:trHeight w:val="370"/>
        </w:trPr>
        <w:tc>
          <w:tcPr>
            <w:tcW w:w="1755" w:type="dxa"/>
            <w:vMerge/>
          </w:tcPr>
          <w:p w14:paraId="51D5907C" w14:textId="77777777" w:rsidR="006979BC" w:rsidRPr="006979BC" w:rsidRDefault="006979BC" w:rsidP="006979BC">
            <w:pPr>
              <w:spacing w:before="0" w:after="0"/>
              <w:rPr>
                <w:rFonts w:eastAsia="Times New Roman" w:cs="Times New Roman"/>
                <w:color w:val="000000"/>
                <w:lang w:val="en-GB"/>
              </w:rPr>
            </w:pPr>
          </w:p>
        </w:tc>
        <w:tc>
          <w:tcPr>
            <w:tcW w:w="3368" w:type="dxa"/>
            <w:vAlign w:val="center"/>
          </w:tcPr>
          <w:p w14:paraId="0914B4C6" w14:textId="77777777" w:rsidR="006979BC" w:rsidRPr="006979BC" w:rsidRDefault="006979BC" w:rsidP="006979BC">
            <w:pPr>
              <w:spacing w:before="0" w:after="0"/>
              <w:rPr>
                <w:rFonts w:eastAsia="Times New Roman" w:cs="Times New Roman"/>
                <w:color w:val="000000"/>
                <w:vertAlign w:val="superscript"/>
                <w:lang w:val="en-GB"/>
              </w:rPr>
            </w:pPr>
            <w:r w:rsidRPr="006979BC">
              <w:rPr>
                <w:rFonts w:eastAsia="Times New Roman" w:cs="Times New Roman"/>
                <w:color w:val="000000"/>
                <w:lang w:val="en-GB"/>
              </w:rPr>
              <w:t>Alcohol use disorder (AUD)</w:t>
            </w:r>
            <w:r w:rsidRPr="006979BC">
              <w:rPr>
                <w:rFonts w:eastAsia="Times New Roman" w:cs="Times New Roman"/>
                <w:color w:val="000000"/>
                <w:vertAlign w:val="superscript"/>
                <w:lang w:val="en-GB"/>
              </w:rPr>
              <w:sym w:font="Symbol" w:char="F0A7"/>
            </w:r>
          </w:p>
        </w:tc>
        <w:tc>
          <w:tcPr>
            <w:tcW w:w="2480" w:type="dxa"/>
            <w:gridSpan w:val="2"/>
          </w:tcPr>
          <w:p w14:paraId="7A67CD98" w14:textId="77777777" w:rsidR="006979BC" w:rsidRPr="006979BC" w:rsidRDefault="006979BC" w:rsidP="006979BC">
            <w:pPr>
              <w:spacing w:before="0" w:after="0"/>
              <w:jc w:val="center"/>
              <w:rPr>
                <w:rFonts w:eastAsia="Times New Roman" w:cs="Times New Roman"/>
              </w:rPr>
            </w:pPr>
            <w:r w:rsidRPr="006979BC">
              <w:rPr>
                <w:rFonts w:eastAsia="Times New Roman" w:cs="Times New Roman"/>
              </w:rPr>
              <w:t>121,604 UK Biobank</w:t>
            </w:r>
          </w:p>
          <w:p w14:paraId="7B472CDD"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rPr>
              <w:t>20,328 23&amp;Me</w:t>
            </w:r>
          </w:p>
        </w:tc>
        <w:tc>
          <w:tcPr>
            <w:tcW w:w="1558" w:type="dxa"/>
            <w:vAlign w:val="center"/>
          </w:tcPr>
          <w:p w14:paraId="749102CF"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16,213,999</w:t>
            </w:r>
          </w:p>
        </w:tc>
        <w:tc>
          <w:tcPr>
            <w:tcW w:w="1389" w:type="dxa"/>
          </w:tcPr>
          <w:p w14:paraId="7A25A805"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83</w:t>
            </w:r>
          </w:p>
        </w:tc>
        <w:tc>
          <w:tcPr>
            <w:tcW w:w="2410" w:type="dxa"/>
          </w:tcPr>
          <w:p w14:paraId="11ABCC84" w14:textId="77777777" w:rsidR="006979BC" w:rsidRPr="006979BC" w:rsidRDefault="006979BC" w:rsidP="006979BC">
            <w:pPr>
              <w:spacing w:before="0" w:after="0"/>
              <w:contextualSpacing/>
              <w:rPr>
                <w:rFonts w:eastAsia="Times New Roman" w:cs="Times New Roman"/>
              </w:rPr>
            </w:pPr>
            <w:r w:rsidRPr="006979BC">
              <w:rPr>
                <w:rFonts w:eastAsia="Times New Roman" w:cs="Times New Roman"/>
              </w:rPr>
              <w:t>Sanchez-</w:t>
            </w:r>
            <w:proofErr w:type="spellStart"/>
            <w:r w:rsidRPr="006979BC">
              <w:rPr>
                <w:rFonts w:eastAsia="Times New Roman" w:cs="Times New Roman"/>
              </w:rPr>
              <w:t>Roige</w:t>
            </w:r>
            <w:proofErr w:type="spellEnd"/>
            <w:r w:rsidRPr="006979BC">
              <w:rPr>
                <w:rFonts w:eastAsia="Times New Roman" w:cs="Times New Roman"/>
              </w:rPr>
              <w:t xml:space="preserve"> </w:t>
            </w:r>
            <w:r w:rsidRPr="006979BC">
              <w:rPr>
                <w:rFonts w:eastAsia="Times New Roman" w:cs="Times New Roman"/>
                <w:i/>
                <w:iCs/>
              </w:rPr>
              <w:t>et al.</w:t>
            </w:r>
            <w:r w:rsidRPr="006979BC">
              <w:rPr>
                <w:rFonts w:eastAsia="Times New Roman" w:cs="Times New Roman"/>
              </w:rPr>
              <w:fldChar w:fldCharType="begin" w:fldLock="1"/>
            </w:r>
            <w:r w:rsidRPr="006979BC">
              <w:rPr>
                <w:rFonts w:eastAsia="Times New Roman" w:cs="Times New Roman"/>
              </w:rPr>
              <w:instrText>ADDIN CSL_CITATION {"citationItems":[{"id":"ITEM-1","itemData":{"DOI":"10.1176/appi.ajp.2018.18040369","ISSN":"15357228","abstract":"Objective: Alcohol use disorders are common conditions that have enormous social and economic consequences. Genome-wide association analyses were performed to identify genetic variants associated with a proxy measure of alcohol consumption and alcohol misuse and to explore the shared genetic basis between these measures and other substance use, psychiatric, and behavioral traits. Method: This study used quantitative measures from the Alcohol Use Disorders Identification Test (AUDIT) from two population-based cohorts of European ancestry (UK Biobank [N=121,604] and 23andMe [N=20,328]) and performed a genome-wide association study (GWAS) meta-analysis. Two additional GWAS analyses were performed, a GWAS for AUDIT scores on items 1-3, which focus on consumption (AUDIT-C), and for scores on items 4-10, which focus on the problematic consequences of drinking (AUDIT-P). Results: The GWAS meta-analysis of AUDIT total score identified 10 associated risk loci. Novel associations localized to genes including JCAD and SLC39A13; this study also replicated previously identified signals in the genes ADH1B, ADH1C, KLB, and GCKR. The dimensions of AUDIT showed positive genetic correlations with alcohol consumption (r g =0.76-0.92) and DSM-IV alcohol dependence (r g =0.33-0.63). AUDIT-P and AUDIT-C scores showed significantly different patterns of association across a number of traits, including psychiatric disorders. AUDIT-P score was significantly positively genetically correlated with schizophrenia (r g =0.22), major depressive disorder (r g =0.26), and attention deficit hyperactivity disorder (r g =0.23), whereas AUDIT-C score was significantly negatively genetically correlated with major depressive disorder (r g =20.24) and ADHD (r g =20.10). This study also used the AUDIT data in the UK Biobank to identify thresholds for dichotomizing AUDIT total score that optimize genetic correlations with DSM-IV alcohol dependence. Coding individuals with AUDIT total scores #4 as control subjects and those with scores $12 as case subjects produced a significant high genetic correlation with DSM-IV alcohol dependence (r g =0.82) while retaining most subjects. Conclusions: AUDIT scores ascertained in population-based cohorts can be used to explore the genetic basis of both alcohol consumption and alcohol use disorders.","author":[{"dropping-particle":"","family":"Sanchez-Roige","given":"Sandra","non-dropping-particle":"","parse-names":false,"suffix":""},{"dropping-particle":"","family":"Palmer","given":"Abraham A.","non-dropping-particle":"","parse-names":false,"suffix":""},{"dropping-particle":"","family":"Fontanillas","given":"Pierre","non-dropping-particle":"","parse-names":false,"suffix":""},{"dropping-particle":"","family":"Elson","given":"Sarah L.","non-dropping-particle":"","parse-names":false,"suffix":""},{"dropping-particle":"","family":"Adams","given":"Mark J.","non-dropping-particle":"","parse-names":false,"suffix":""},{"dropping-particle":"","family":"Howard","given":"David M.","non-dropping-particle":"","parse-names":false,"suffix":""},{"dropping-particle":"","family":"Edenberg","given":"Howard J.","non-dropping-particle":"","parse-names":false,"suffix":""},{"dropping-particle":"","family":"Davies","given":"Gail","non-dropping-particle":"","parse-names":false,"suffix":""},{"dropping-particle":"","family":"Crist","given":"Richard C.","non-dropping-particle":"","parse-names":false,"suffix":""},{"dropping-particle":"","family":"Deary","given":"Ian J.","non-dropping-particle":"","parse-names":false,"suffix":""},{"dropping-particle":"","family":"McIntosh","given":"Andrew M.","non-dropping-particle":"","parse-names":false,"suffix":""},{"dropping-particle":"","family":"Clarke","given":"Toni Kim","non-dropping-particle":"","parse-names":false,"suffix":""},{"dropping-particle":"","family":"Elson","given":"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K.","non-dropping-particle":"","parse-names":false,"suffix":""},{"dropping-particle":"","family":"McCreight","given":"Jennifer C.","non-dropping-particle":"","parse-names":false,"suffix":""},{"dropping-particle":"","family":"McIntyre","given":"Matthew H.","non-dropping-particle":"","parse-names":false,"suffix":""},{"dropping-particle":"","family":"Mountain","given":"Joanna L.","non-dropping-particle":"","parse-names":false,"suffix":""},{"dropping-particle":"","family":"Noblin","given":"Elizabeth S.","non-dropping-particle":"","parse-names":false,"suffix":""},{"dropping-particle":"","family":"Northover","given":"Carrie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Tung","given":"Joyce Y.","non-dropping-particle":"","parse-names":false,"suffix":""},{"dropping-particle":"","family":"Vacic","given":"Vladimir","non-dropping-particle":"","parse-names":false,"suffix":""},{"dropping-particle":"","family":"Wilson","given":"Catherine H.","non-dropping-particle":"","parse-names":false,"suffix":""}],"container-title":"American Journal of Psychiatry","id":"ITEM-1","issue":"2","issued":{"date-parts":[["2019"]]},"title":"Genome-wide association study meta-analysis of the alcohol use disorders identification test (AUDIT) in two population-based cohorts","type":"article-journal","volume":"176"},"uris":["http://www.mendeley.com/documents/?uuid=ccbb9c80-b269-3393-9683-9a41d96cbfab"]}],"mendeley":{"formattedCitation":"&lt;sup&gt;5&lt;/sup&gt;","plainTextFormattedCitation":"5","previouslyFormattedCitation":"&lt;sup&gt;5&lt;/sup&gt;"},"properties":{"noteIndex":0},"schema":"https://github.com/citation-style-language/schema/raw/master/csl-citation.json"}</w:instrText>
            </w:r>
            <w:r w:rsidRPr="006979BC">
              <w:rPr>
                <w:rFonts w:eastAsia="Times New Roman" w:cs="Times New Roman"/>
              </w:rPr>
              <w:fldChar w:fldCharType="separate"/>
            </w:r>
            <w:r w:rsidRPr="006979BC">
              <w:rPr>
                <w:rFonts w:eastAsia="Times New Roman" w:cs="Times New Roman"/>
                <w:noProof/>
                <w:vertAlign w:val="superscript"/>
              </w:rPr>
              <w:t>5</w:t>
            </w:r>
            <w:r w:rsidRPr="006979BC">
              <w:rPr>
                <w:rFonts w:eastAsia="Times New Roman" w:cs="Times New Roman"/>
              </w:rPr>
              <w:fldChar w:fldCharType="end"/>
            </w:r>
          </w:p>
        </w:tc>
      </w:tr>
      <w:tr w:rsidR="006979BC" w:rsidRPr="006979BC" w14:paraId="069CA950" w14:textId="77777777" w:rsidTr="00672240">
        <w:trPr>
          <w:trHeight w:val="370"/>
        </w:trPr>
        <w:tc>
          <w:tcPr>
            <w:tcW w:w="1755" w:type="dxa"/>
            <w:vMerge/>
            <w:tcBorders>
              <w:bottom w:val="single" w:sz="18" w:space="0" w:color="000000"/>
            </w:tcBorders>
          </w:tcPr>
          <w:p w14:paraId="359EFB1C" w14:textId="77777777" w:rsidR="006979BC" w:rsidRPr="006979BC" w:rsidRDefault="006979BC" w:rsidP="006979BC">
            <w:pPr>
              <w:spacing w:before="0" w:after="0"/>
              <w:rPr>
                <w:rFonts w:eastAsia="Times New Roman" w:cs="Times New Roman"/>
                <w:color w:val="000000"/>
                <w:lang w:val="en-GB"/>
              </w:rPr>
            </w:pPr>
          </w:p>
        </w:tc>
        <w:tc>
          <w:tcPr>
            <w:tcW w:w="3368" w:type="dxa"/>
            <w:tcBorders>
              <w:bottom w:val="single" w:sz="18" w:space="0" w:color="000000"/>
            </w:tcBorders>
            <w:vAlign w:val="center"/>
          </w:tcPr>
          <w:p w14:paraId="2F1441C1"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Cannabis use disorder (CUD)</w:t>
            </w:r>
          </w:p>
        </w:tc>
        <w:tc>
          <w:tcPr>
            <w:tcW w:w="1149" w:type="dxa"/>
            <w:tcBorders>
              <w:bottom w:val="single" w:sz="18" w:space="0" w:color="000000"/>
            </w:tcBorders>
          </w:tcPr>
          <w:p w14:paraId="372B6820"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rPr>
              <w:t>20,916</w:t>
            </w:r>
          </w:p>
        </w:tc>
        <w:tc>
          <w:tcPr>
            <w:tcW w:w="1331" w:type="dxa"/>
            <w:tcBorders>
              <w:bottom w:val="single" w:sz="18" w:space="0" w:color="000000"/>
            </w:tcBorders>
          </w:tcPr>
          <w:p w14:paraId="17465364" w14:textId="77777777" w:rsidR="006979BC" w:rsidRPr="006979BC" w:rsidRDefault="006979BC" w:rsidP="006979BC">
            <w:pPr>
              <w:spacing w:before="0" w:after="0"/>
              <w:jc w:val="center"/>
              <w:rPr>
                <w:rFonts w:eastAsia="Times New Roman" w:cs="Times New Roman"/>
                <w:lang w:val="en-GB"/>
              </w:rPr>
            </w:pPr>
            <w:r w:rsidRPr="006979BC">
              <w:rPr>
                <w:rFonts w:eastAsia="Times New Roman" w:cs="Times New Roman"/>
              </w:rPr>
              <w:t>363,116</w:t>
            </w:r>
          </w:p>
        </w:tc>
        <w:tc>
          <w:tcPr>
            <w:tcW w:w="1558" w:type="dxa"/>
            <w:tcBorders>
              <w:bottom w:val="single" w:sz="18" w:space="0" w:color="000000"/>
            </w:tcBorders>
            <w:vAlign w:val="center"/>
          </w:tcPr>
          <w:p w14:paraId="7FF9ECE7"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11,535,788</w:t>
            </w:r>
          </w:p>
        </w:tc>
        <w:tc>
          <w:tcPr>
            <w:tcW w:w="1389" w:type="dxa"/>
            <w:tcBorders>
              <w:bottom w:val="single" w:sz="18" w:space="0" w:color="000000"/>
            </w:tcBorders>
          </w:tcPr>
          <w:p w14:paraId="3202685C"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752</w:t>
            </w:r>
          </w:p>
        </w:tc>
        <w:tc>
          <w:tcPr>
            <w:tcW w:w="2410" w:type="dxa"/>
            <w:tcBorders>
              <w:bottom w:val="single" w:sz="18" w:space="0" w:color="000000"/>
            </w:tcBorders>
          </w:tcPr>
          <w:p w14:paraId="216A5070" w14:textId="77777777" w:rsidR="006979BC" w:rsidRPr="006979BC" w:rsidRDefault="006979BC" w:rsidP="006979BC">
            <w:pPr>
              <w:spacing w:before="0" w:after="0"/>
              <w:contextualSpacing/>
              <w:rPr>
                <w:rFonts w:eastAsia="Times New Roman" w:cs="Times New Roman"/>
              </w:rPr>
            </w:pPr>
            <w:r w:rsidRPr="006979BC">
              <w:rPr>
                <w:rFonts w:eastAsia="Times New Roman" w:cs="Times New Roman"/>
              </w:rPr>
              <w:t xml:space="preserve">Johnson </w:t>
            </w:r>
            <w:r w:rsidRPr="006979BC">
              <w:rPr>
                <w:rFonts w:eastAsia="Times New Roman" w:cs="Times New Roman"/>
                <w:i/>
                <w:iCs/>
              </w:rPr>
              <w:t>et al.</w:t>
            </w:r>
            <w:r w:rsidRPr="006979BC">
              <w:rPr>
                <w:rFonts w:eastAsia="Times New Roman" w:cs="Times New Roman"/>
              </w:rPr>
              <w:fldChar w:fldCharType="begin" w:fldLock="1"/>
            </w:r>
            <w:r w:rsidRPr="006979BC">
              <w:rPr>
                <w:rFonts w:eastAsia="Times New Roman" w:cs="Times New Roman"/>
              </w:rPr>
              <w:instrText>ADDIN CSL_CITATION {"citationItems":[{"id":"ITEM-1","itemData":{"DOI":"10.1016/S2215-0366(20)30339-4","ISSN":"22150374","PMID":"33096046","abstract":"Background: Variation in liability to cannabis use disorder has a strong genetic component (estimated twin and family heritability about 50–70%) and is associated with negative outcomes, including increased risk of psychopathology. The aim of the study was to conduct a large genome-wide association study (GWAS) to identify novel genetic variants associated with cannabis use disorder. Methods: To conduct this GWAS meta-analysis of cannabis use disorder and identify associations with genetic loci, we used samples from the Psychiatric Genomics Consortium Substance Use Disorders working group, iPSYCH, and deCODE (20 916 case samples, 363 116 control samples in total), contrasting cannabis use disorder cases with controls. To examine the genetic overlap between cannabis use disorder and 22 traits of interest (chosen because of previously published phenotypic correlations [eg, psychiatric disorders] or hypothesised associations [eg, chronotype] with cannabis use disorder), we used linkage disequilibrium score regression to calculate genetic correlations. Findings: We identified two genome-wide significant loci: a novel chromosome 7 locus (FOXP2, lead single-nucleotide polymorphism [SNP] rs7783012; odds ratio [OR] 1·11, 95% CI 1·07–1·15, p=1·84 × 10−9) and the previously identified chromosome 8 locus (near CHRNA2 and EPHX2, lead SNP rs4732724; OR 0·89, 95% CI 0·86–0·93, p=6·46 × 10−9). Cannabis use disorder and cannabis use were genetically correlated (rg 0·50, p=1·50 × 10−21), but they showed significantly different genetic correlations with 12 of the 22 traits we tested, suggesting at least partially different genetic underpinnings of cannabis use and cannabis use disorder. Cannabis use disorder was positively genetically correlated with other psychopathology, including ADHD, major depression, and schizophrenia. Interpretation: These findings support the theory that cannabis use disorder has shared genetic liability with other psychopathology, and there is a distinction between genetic liability to cannabis use and cannabis use disorder. Funding: National Institute of Mental Health; National Institute on Alcohol Abuse and Alcoholism; National Institute on Drug Abuse; Center for Genomics and Personalized Medicine and the Centre for Integrative Sequencing; The European Commission, Horizon 2020; National Institute of Child Health and Human Development; Health Research Council of New Zealand; National Institute on Aging; Wellcome Trust Case Control Consortium; U…","author":[{"dropping-particle":"","family":"Johnson","given":"Emma C.","non-dropping-particle":"","parse-names":false,"suffix":""},{"dropping-particle":"","family":"Demontis","given":"Ditte","non-dropping-particle":"","parse-names":false,"suffix":""},{"dropping-particle":"","family":"Thorgeirsson","given":"Thorgeir E.","non-dropping-particle":"","parse-names":false,"suffix":""},{"dropping-particle":"","family":"Walters","given":"Raymond K.","non-dropping-particle":"","parse-names":false,"suffix":""},{"dropping-particle":"","family":"Polimanti","given":"Renato","non-dropping-particle":"","parse-names":false,"suffix":""},{"dropping-particle":"","family":"Hatoum","given":"Alexander S.","non-dropping-particle":"","parse-names":false,"suffix":""},{"dropping-particle":"","family":"Sanchez-Roige","given":"Sandra","non-dropping-particle":"","parse-names":false,"suffix":""},{"dropping-particle":"","family":"Paul","given":"Sarah E.","non-dropping-particle":"","parse-names":false,"suffix":""},{"dropping-particle":"","family":"Wendt","given":"Frank R.","non-dropping-particle":"","parse-names":false,"suffix":""},{"dropping-particle":"","family":"Clarke","given":"Toni Kim","non-dropping-particle":"","parse-names":false,"suffix":""},{"dropping-particle":"","family":"Lai","given":"Dongbing","non-dropping-particle":"","parse-names":false,"suffix":""},{"dropping-particle":"","family":"Reginsson","given":"Gunnar W.","non-dropping-particle":"","parse-names":false,"suffix":""},{"dropping-particle":"","family":"Zhou","given":"Hang","non-dropping-particle":"","parse-names":false,"suffix":""},{"dropping-particle":"","family":"He","given":"June","non-dropping-particle":"","parse-names":false,"suffix":""},{"dropping-particle":"","family":"Baranger","given":"David A.A.","non-dropping-particle":"","parse-names":false,"suffix":""},{"dropping-particle":"","family":"Gudbjartsson","given":"Daniel F.","non-dropping-particle":"","parse-names":false,"suffix":""},{"dropping-particle":"","family":"Wedow","given":"Robbee","non-dropping-particle":"","parse-names":false,"suffix":""},{"dropping-particle":"","family":"Adkins","given":"Daniel E.","non-dropping-particle":"","parse-names":false,"suffix":""},{"dropping-particle":"","family":"Adkins","given":"Amy E.","non-dropping-particle":"","parse-names":false,"suffix":""},{"dropping-particle":"","family":"Alexander","given":"Jeffry","non-dropping-particle":"","parse-names":false,"suffix":""},{"dropping-particle":"","family":"Bacanu","given":"Silviu Alin","non-dropping-particle":"","parse-names":false,"suffix":""},{"dropping-particle":"","family":"Bigdeli","given":"Tim B.","non-dropping-particle":"","parse-names":false,"suffix":""},{"dropping-particle":"","family":"Boden","given":"Joseph","non-dropping-particle":"","parse-names":false,"suffix":""},{"dropping-particle":"","family":"Brown","given":"Sandra A.","non-dropping-particle":"","parse-names":false,"suffix":""},{"dropping-particle":"","family":"Bucholz","given":"Kathleen K.","non-dropping-particle":"","parse-names":false,"suffix":""},{"dropping-particle":"","family":"Bybjerg-Grauholm","given":"Jonas","non-dropping-particle":"","parse-names":false,"suffix":""},{"dropping-particle":"","family":"Corley","given":"Robin P.","non-dropping-particle":"","parse-names":false,"suffix":""},{"dropping-particle":"","family":"Degenhardt","given":"Louisa","non-dropping-particle":"","parse-names":false,"suffix":""},{"dropping-particle":"","family":"Dick","given":"Danielle M.","non-dropping-particle":"","parse-names":false,"suffix":""},{"dropping-particle":"","family":"Domingue","given":"Benjamin W.","non-dropping-particle":"","parse-names":false,"suffix":""},{"dropping-particle":"","family":"Fox","given":"Louis","non-dropping-particle":"","parse-names":false,"suffix":""},{"dropping-particle":"","family":"Goate","given":"Alison M.","non-dropping-particle":"","parse-names":false,"suffix":""},{"dropping-particle":"","family":"Gordon","given":"Scott D.","non-dropping-particle":"","parse-names":false,"suffix":""},{"dropping-particle":"","family":"Hack","given":"Laura M.","non-dropping-particle":"","parse-names":false,"suffix":""},{"dropping-particle":"","family":"Hancock","given":"Dana B.","non-dropping-particle":"","parse-names":false,"suffix":""},{"dropping-particle":"","family":"Hartz","given":"Sarah M.","non-dropping-particle":"","parse-names":false,"suffix":""},{"dropping-particle":"","family":"Hickie","given":"Ian B.","non-dropping-particle":"","parse-names":false,"suffix":""},{"dropping-particle":"","family":"Hougaard","given":"David M.","non-dropping-particle":"","parse-names":false,"suffix":""},{"dropping-particle":"","family":"Krauter","given":"Kenneth","non-dropping-particle":"","parse-names":false,"suffix":""},{"dropping-particle":"","family":"Lind","given":"Penelope A.","non-dropping-particle":"","parse-names":false,"suffix":""},{"dropping-particle":"","family":"McClintick","given":"Jeanette N.","non-dropping-particle":"","parse-names":false,"suffix":""},{"dropping-particle":"","family":"McQueen","given":"Matthew B.","non-dropping-particle":"","parse-names":false,"suffix":""},{"dropping-particle":"","family":"Meyers","given":"Jacquelyn L.","non-dropping-particle":"","parse-names":false,"suffix":""},{"dropping-particle":"","family":"Montgomery","given":"Grant W.","non-dropping-particle":"","parse-names":false,"suffix":""},{"dropping-particle":"","family":"Mors","given":"Ole","non-dropping-particle":"","parse-names":false,"suffix":""},{"dropping-particle":"","family":"Mortensen","given":"Preben B.","non-dropping-particle":"","parse-names":false,"suffix":""},{"dropping-particle":"","family":"Nordentoft","given":"Merete","non-dropping-particle":"","parse-names":false,"suffix":""},{"dropping-particle":"","family":"Pearson","given":"John F.","non-dropping-particle":"","parse-names":false,"suffix":""},{"dropping-particle":"","family":"Peterson","given":"Roseann E.","non-dropping-particle":"","parse-names":false,"suffix":""},{"dropping-particle":"","family":"Reynolds","given":"Maureen D.","non-dropping-particle":"","parse-names":false,"suffix":""},{"dropping-particle":"","family":"Rice","given":"John P.","non-dropping-particle":"","parse-names":false,"suffix":""},{"dropping-particle":"","family":"Runarsdottir","given":"Valgerdur","non-dropping-particle":"","parse-names":false,"suffix":""},{"dropping-particle":"","family":"Saccone","given":"Nancy L.","non-dropping-particle":"","parse-names":false,"suffix":""},{"dropping-particle":"","family":"Sherva","given":"Richard","non-dropping-particle":"","parse-names":false,"suffix":""},{"dropping-particle":"","family":"Silberg","given":"Judy L.","non-dropping-particle":"","parse-names":false,"suffix":""},{"dropping-particle":"","family":"Tarter","given":"Ralph E.","non-dropping-particle":"","parse-names":false,"suffix":""},{"dropping-particle":"","family":"Tyrfingsson","given":"Thorarinn","non-dropping-particle":"","parse-names":false,"suffix":""},{"dropping-particle":"","family":"Wall","given":"Tamara L.","non-dropping-particle":"","parse-names":false,"suffix":""},{"dropping-particle":"","family":"Webb","given":"Bradley T.","non-dropping-particle":"","parse-names":false,"suffix":""},{"dropping-particle":"","family":"Werge","given":"Thomas","non-dropping-particle":"","parse-names":false,"suffix":""},{"dropping-particle":"","family":"Wetherill","given":"Leah","non-dropping-particle":"","parse-names":false,"suffix":""},{"dropping-particle":"","family":"Wright","given":"Margaret J.","non-dropping-particle":"","parse-names":false,"suffix":""},{"dropping-particle":"","family":"Zellers","given":"Stephanie","non-dropping-particle":"","parse-names":false,"suffix":""},{"dropping-particle":"","family":"Adams","given":"Mark J.","non-dropping-particle":"","parse-names":false,"suffix":""},{"dropping-particle":"","family":"Bierut","given":"Laura J.","non-dropping-particle":"","parse-names":false,"suffix":""},{"dropping-particle":"","family":"Boardman","given":"Jason D.","non-dropping-particle":"","parse-names":false,"suffix":""},{"dropping-particle":"","family":"Copeland","given":"William E.","non-dropping-particle":"","parse-names":false,"suffix":""},{"dropping-particle":"","family":"Farrer","given":"Lindsay A.","non-dropping-particle":"","parse-names":false,"suffix":""},{"dropping-particle":"","family":"Foroud","given":"Tatiana M.","non-dropping-particle":"","parse-names":false,"suffix":""},{"dropping-particle":"","family":"Gillespie","given":"Nathan A.","non-dropping-particle":"","parse-names":false,"suffix":""},{"dropping-particle":"","family":"Grucza","given":"Richard A.","non-dropping-particle":"","parse-names":false,"suffix":""},{"dropping-particle":"","family":"Harris","given":"Kathleen Mullan","non-dropping-particle":"","parse-names":false,"suffix":""},{"dropping-particle":"","family":"Heath","given":"Andrew C.","non-dropping-particle":"","parse-names":false,"suffix":""},{"dropping-particle":"","family":"Hesselbrock","given":"Victor","non-dropping-particle":"","parse-names":false,"suffix":""},{"dropping-particle":"","family":"Hewitt","given":"John K.","non-dropping-particle":"","parse-names":false,"suffix":""},{"dropping-particle":"","family":"Hopfer","given":"Christian J.","non-dropping-particle":"","parse-names":false,"suffix":""},{"dropping-particle":"","family":"Horwood","given":"John","non-dropping-particle":"","parse-names":false,"suffix":""},{"dropping-particle":"","family":"Iacono","given":"William G.","non-dropping-particle":"","parse-names":false,"suffix":""},{"dropping-particle":"","family":"Johnson","given":"Eric O.","non-dropping-particle":"","parse-names":false,"suffix":""},{"dropping-particle":"","family":"Kendler","given":"Kenneth S.","non-dropping-particle":"","parse-names":false,"suffix":""},{"dropping-particle":"","family":"Kennedy","given":"Martin A.","non-dropping-particle":"","parse-names":false,"suffix":""},{"dropping-particle":"","family":"Kranzler","given":"Henry R.","non-dropping-particle":"","parse-names":false,"suffix":""},{"dropping-particle":"","family":"Madden","given":"Pamela A.F.","non-dropping-particle":"","parse-names":false,"suffix":""},{"dropping-particle":"","family":"Maes","given":"Hermine H.","non-dropping-particle":"","parse-names":false,"suffix":""},{"dropping-particle":"","family":"Maher","given":"Brion S.","non-dropping-particle":"","parse-names":false,"suffix":""},{"dropping-particle":"","family":"Martin","given":"Nicholas G.","non-dropping-particle":"","parse-names":false,"suffix":""},{"dropping-particle":"","family":"McGue","given":"Matthew","non-dropping-particle":"","parse-names":false,"suffix":""},{"dropping-particle":"","family":"McIntosh","given":"Andrew M.","non-dropping-particle":"","parse-names":false,"suffix":""},{"dropping-particle":"","family":"Medland","given":"Sarah E.","non-dropping-particle":"","parse-names":false,"suffix":""},{"dropping-particle":"","family":"Nelson","given":"Elliot C.","non-dropping-particle":"","parse-names":false,"suffix":""},{"dropping-particle":"","family":"Porjesz","given":"Bernice","non-dropping-particle":"","parse-names":false,"suffix":""},{"dropping-particle":"","family":"Riley","given":"Brien P.","non-dropping-particle":"","parse-names":false,"suffix":""},{"dropping-particle":"","family":"Stallings","given":"Michael C.","non-dropping-particle":"","parse-names":false,"suffix":""},{"dropping-particle":"","family":"Vanyukov","given":"Michael M.","non-dropping-particle":"","parse-names":false,"suffix":""},{"dropping-particle":"","family":"Vrieze","given":"Scott","non-dropping-particle":"","parse-names":false,"suffix":""},{"dropping-particle":"","family":"Walters","given":"Raymond","non-dropping-particle":"","parse-names":false,"suffix":""},{"dropping-particle":"","family":"Johnson","given":"Emma","non-dropping-particle":"","parse-names":false,"suffix":""},{"dropping-particle":"","family":"McClintick","given":"Jeanette","non-dropping-particle":"","parse-names":false,"suffix":""},{"dropping-particle":"","family":"Hatoum","given":"Alexander","non-dropping-particle":"","parse-names":false,"suffix":""},{"dropping-particle":"","family":"Wendt","given":"Frank","non-dropping-particle":"","parse-names":false,"suffix":""},{"dropping-particle":"","family":"Adams","given":"Mark","non-dropping-particle":"","parse-names":false,"suffix":""},{"dropping-particle":"","family":"Adkins","given":"Amy","non-dropping-particle":"","parse-names":false,"suffix":""},{"dropping-particle":"","family":"Aliev","given":"Fazil","non-dropping-particle":"","parse-names":false,"suffix":""},{"dropping-particle":"","family":"Batzler","given":"Anthony","non-dropping-particle":"","parse-names":false,"suffix":""},{"dropping-particle":"","family":"Bertelsen","given":"Sarah","non-dropping-particle":"","parse-names":false,"suffix":""},{"dropping-particle":"","family":"Biernacka","given":"Joanna","non-dropping-particle":"","parse-names":false,"suffix":""},{"dropping-particle":"","family":"Bigdeli","given":"Tim","non-dropping-particle":"","parse-names":false,"suffix":""},{"dropping-particle":"","family":"Chen","given":"Li Shiun","non-dropping-particle":"","parse-names":false,"suffix":""},{"dropping-particle":"","family":"Chou","given":"Yi Ling","non-dropping-particle":"","parse-names":false,"suffix":""},{"dropping-particle":"","family":"Degenhardt","given":"Franziska","non-dropping-particle":"","parse-names":false,"suffix":""},{"dropping-particle":"","family":"Docherty","given":"Anna","non-dropping-particle":"","parse-names":false,"suffix":""},{"dropping-particle":"","family":"Edwards","given":"Alexis","non-dropping-particle":"","parse-names":false,"suffix":""},{"dropping-particle":"","family":"Fontanillas","given":"Pierre","non-dropping-particle":"","parse-names":false,"suffix":""},{"dropping-particle":"","family":"Foo","given":"Jerome","non-dropping-particle":"","parse-names":false,"suffix":""},{"dropping-particle":"","family":"Frank","given":"Josef","non-dropping-particle":"","parse-names":false,"suffix":""},{"dropping-particle":"","family":"Giegling","given":"Ina","non-dropping-particle":"","parse-names":false,"suffix":""},{"dropping-particle":"","family":"Gordon","given":"Scott","non-dropping-particle":"","parse-names":false,"suffix":""},{"dropping-particle":"","family":"Hack","given":"Laura","non-dropping-particle":"","parse-names":false,"suffix":""},{"dropping-particle":"","family":"Hartmann","given":"Annette","non-dropping-particle":"","parse-names":false,"suffix":""},{"dropping-particle":"","family":"Hartz","given":"Sarah","non-dropping-particle":"","parse-names":false,"suffix":""},{"dropping-particle":"","family":"Heilmann-Heimbach","given":"Stefanie","non-dropping-particle":"","parse-names":false,"suffix":""},{"dropping-particle":"","family":"Herms","given":"Stefan","non-dropping-particle":"","parse-names":false,"suffix":""},{"dropping-particle":"","family":"Hodgkinson","given":"Colin","non-dropping-particle":"","parse-names":false,"suffix":""},{"dropping-particle":"","family":"Hoffman","given":"Per","non-dropping-particle":"","parse-names":false,"suffix":""},{"dropping-particle":"","family":"Hottenga","given":"Jouke","non-dropping-particle":"","parse-names":false,"suffix":""},{"dropping-particle":"","family":"Kennedy","given":"Martin","non-dropping-particle":"","parse-names":false,"suffix":""},{"dropping-particle":"","family":"Alanne-Kinnunen","given":"Mervi","non-dropping-particle":"","parse-names":false,"suffix":""},{"dropping-particle":"","family":"Konte","given":"Bettina","non-dropping-particle":"","parse-names":false,"suffix":""},{"dropping-particle":"","family":"Lahti","given":"Jari","non-dropping-particle":"","parse-names":false,"suffix":""},{"dropping-particle":"","family":"Lahti-Pulkkinen","given":"Marius","non-dropping-particle":"","parse-names":false,"suffix":""},{"dropping-particle":"","family":"Ligthart","given":"Lannie","non-dropping-particle":"","parse-names":false,"suffix":""},{"dropping-particle":"","family":"Loukola","given":"Anu","non-dropping-particle":"","parse-names":false,"suffix":""},{"dropping-particle":"","family":"Maher","given":"Brion","non-dropping-particle":"","parse-names":false,"suffix":""},{"dropping-particle":"","family":"Mbarek","given":"Hamdi","non-dropping-particle":"","parse-names":false,"suffix":""},{"dropping-particle":"","family":"McIntosh","given":"Andrew","non-dropping-particle":"","parse-names":false,"suffix":""},{"dropping-particle":"","family":"McQueen","given":"Matthew","non-dropping-particle":"","parse-names":false,"suffix":""},{"dropping-particle":"","family":"Meyers","given":"Jacquelyn","non-dropping-particle":"","parse-names":false,"suffix":""},{"dropping-particle":"","family":"Milaneschi","given":"Yuri","non-dropping-particle":"","parse-names":false,"suffix":""},{"dropping-particle":"","family":"Palviainen","given":"Teemu","non-dropping-particle":"","parse-names":false,"suffix":""},{"dropping-particle":"","family":"Pearson","given":"John","non-dropping-particle":"","parse-names":false,"suffix":""},{"dropping-particle":"","family":"Peterson","given":"Roseann","non-dropping-particle":"","parse-names":false,"suffix":""},{"dropping-particle":"","family":"Ripatti","given":"Samuli","non-dropping-particle":"","parse-names":false,"suffix":""},{"dropping-particle":"","family":"Ryu","given":"Euijung","non-dropping-particle":"","parse-names":false,"suffix":""},{"dropping-particle":"","family":"Saccone","given":"Nancy","non-dropping-particle":"","parse-names":false,"suffix":""},{"dropping-particle":"","family":"Salvatore","given":"Jessica","non-dropping-particle":"","parse-names":false,"suffix":""},{"dropping-particle":"","family":"Schwandt","given":"Melanie","non-dropping-particle":"","parse-names":false,"suffix":""},{"dropping-particle":"","family":"Streit","given":"Fabian","non-dropping-particle":"","parse-names":false,"suffix":""},{"dropping-particle":"","family":"Strohmaier","given":"Jana","non-dropping-particle":"","parse-names":false,"suffix":""},{"dropping-particle":"","family":"Thomas","given":"Nathaniel","non-dropping-particle":"","parse-names":false,"suffix":""},{"dropping-particle":"","family":"Wang","given":"Jen Chyong","non-dropping-particle":"","parse-names":false,"suffix":""},{"dropping-particle":"","family":"Webb","given":"Bradley","non-dropping-particle":"","parse-names":false,"suffix":""},{"dropping-particle":"","family":"Wills","given":"Amanda","non-dropping-particle":"","parse-names":false,"suffix":""},{"dropping-particle":"","family":"Boardman","given":"Jason","non-dropping-particle":"","parse-names":false,"suffix":""},{"dropping-particle":"","family":"Chen","given":"Danfeng","non-dropping-particle":"","parse-names":false,"suffix":""},{"dropping-particle":"","family":"Choi","given":"Doo Sup","non-dropping-particle":"","parse-names":false,"suffix":""},{"dropping-particle":"","family":"Copeland","given":"William","non-dropping-particle":"","parse-names":false,"suffix":""},{"dropping-particle":"","family":"Culverhouse","given":"Robert","non-dropping-particle":"","parse-names":false,"suffix":""},{"dropping-particle":"","family":"Dahmen","given":"Norbert","non-dropping-particle":"","parse-names":false,"suffix":""},{"dropping-particle":"","family":"Domingue","given":"Benjamin","non-dropping-particle":"","parse-names":false,"suffix":""},{"dropping-particle":"","family":"Elson","given":"Sarah","non-dropping-particle":"","parse-names":false,"suffix":""},{"dropping-particle":"","family":"Frye","given":"Mark","non-dropping-particle":"","parse-names":false,"suffix":""},{"dropping-particle":"","family":"Gäbel","given":"Wolfgang","non-dropping-particle":"","parse-names":false,"suffix":""},{"dropping-particle":"","family":"Hayward","given":"Caroline","non-dropping-particle":"","parse-names":false,"suffix":""},{"dropping-particle":"","family":"Ising","given":"Marcus","non-dropping-particle":"","parse-names":false,"suffix":""},{"dropping-particle":"","family":"Keyes","given":"Margaret","non-dropping-particle":"","parse-names":false,"suffix":""},{"dropping-particle":"","family":"Kiefer","given":"Falk","non-dropping-particle":"","parse-names":false,"suffix":""},{"dropping-particle":"","family":"Kramer","given":"John","non-dropping-particle":"","parse-names":false,"suffix":""},{"dropping-particle":"","family":"Kuperman","given":"Samuel","non-dropping-particle":"","parse-names":false,"suffix":""},{"dropping-particle":"","family":"Lucae","given":"Susanne","non-dropping-particle":"","parse-names":false,"suffix":""},{"dropping-particle":"","family":"Lynskey","given":"Michael","non-dropping-particle":"","parse-names":false,"suffix":""},{"dropping-particle":"","family":"Maier","given":"Wolfgang","non-dropping-particle":"","parse-names":false,"suffix":""},{"dropping-particle":"","family":"Mann","given":"Karl","non-dropping-particle":"","parse-names":false,"suffix":""},{"dropping-particle":"","family":"Männistö","given":"Satu","non-dropping-particle":"","parse-names":false,"suffix":""},{"dropping-particle":"","family":"Müller-Myhsok","given":"Bertram","non-dropping-particle":"","parse-names":false,"suffix":""},{"dropping-particle":"","family":"Murray","given":"Alison","non-dropping-particle":"","parse-names":false,"suffix":""},{"dropping-particle":"","family":"Nurnberger","given":"John","non-dropping-particle":"","parse-names":false,"suffix":""},{"dropping-particle":"","family":"Palotie","given":"Aarno","non-dropping-particle":"","parse-names":false,"suffix":""},{"dropping-particle":"","family":"Preuss","given":"Ulrich","non-dropping-particle":"","parse-names":false,"suffix":""},{"dropping-particle":"","family":"Räikkönen","given":"Katri","non-dropping-particle":"","parse-names":false,"suffix":""},{"dropping-particle":"","family":"Reynolds","given":"Maureen","non-dropping-particle":"","parse-names":false,"suffix":""},{"dropping-particle":"","family":"Ridinger","given":"Monika","non-dropping-particle":"","parse-names":false,"suffix":""},{"dropping-particle":"","family":"Scherbaum","given":"Norbert","non-dropping-particle":"","parse-names":false,"suffix":""},{"dropping-particle":"","family":"Schuckit","given":"Marc","non-dropping-particle":"","parse-names":false,"suffix":""},{"dropping-particle":"","family":"Soyka","given":"Michael","non-dropping-particle":"","parse-names":false,"suffix":""},{"dropping-particle":"","family":"Treutlein","given":"Jens","non-dropping-particle":"","parse-names":false,"suffix":""},{"dropping-particle":"","family":"Witt","given":"Stephanie","non-dropping-particle":"","parse-names":false,"suffix":""},{"dropping-particle":"","family":"Wodarz","given":"Norbert","non-dropping-particle":"","parse-names":false,"suffix":""},{"dropping-particle":"","family":"Zill","given":"Peter","non-dropping-particle":"","parse-names":false,"suffix":""},{"dropping-particle":"","family":"Adkins","given":"Daniel","non-dropping-particle":"","parse-names":false,"suffix":""},{"dropping-particle":"","family":"Boomsma","given":"Dorret","non-dropping-particle":"","parse-names":false,"suffix":""},{"dropping-particle":"","family":"Bierut","given":"Laura","non-dropping-particle":"","parse-names":false,"suffix":""},{"dropping-particle":"","family":"Brown","given":"Sandra","non-dropping-particle":"","parse-names":false,"suffix":""},{"dropping-particle":"","family":"Bucholz","given":"Kathleen","non-dropping-particle":"","parse-names":false,"suffix":""},{"dropping-particle":"","family":"Cichon","given":"Sven","non-dropping-particle":"","parse-names":false,"suffix":""},{"dropping-particle":"","family":"Costello","given":"E. Jane","non-dropping-particle":"","parse-names":false,"suffix":""},{"dropping-particle":"","family":"Wit","given":"Harriet","non-dropping-particle":"de","parse-names":false,"suffix":""},{"dropping-particle":"","family":"Diazgranados","given":"Nancy","non-dropping-particle":"","parse-names":false,"suffix":""},{"dropping-particle":"","family":"Dick","given":"Danielle","non-dropping-particle":"","parse-names":false,"suffix":""},{"dropping-particle":"","family":"Eriksson","given":"Johan","non-dropping-particle":"","parse-names":false,"suffix":""},{"dropping-particle":"","family":"Farrer","given":"Lindsay","non-dropping-particle":"","parse-names":false,"suffix":""},{"dropping-particle":"","family":"Foroud","given":"Tatiana","non-dropping-particle":"","parse-names":false,"suffix":""},{"dropping-particle":"","family":"Gillespie","given":"Nathan","non-dropping-particle":"","parse-names":false,"suffix":""},{"dropping-particle":"","family":"Goate","given":"Alison","non-dropping-particle":"","parse-names":false,"suffix":""},{"dropping-particle":"","family":"Goldman","given":"David","non-dropping-particle":"","parse-names":false,"suffix":""},{"dropping-particle":"","family":"Grucza","given":"Richard","non-dropping-particle":"","parse-names":false,"suffix":""},{"dropping-particle":"","family":"Hancock","given":"Dana","non-dropping-particle":"","parse-names":false,"suffix":""},{"dropping-particle":"","family":"Heath","given":"Andrew","non-dropping-particle":"","parse-names":false,"suffix":""},{"dropping-particle":"","family":"Hewitt","given":"John","non-dropping-particle":"","parse-names":false,"suffix":""},{"dropping-particle":"","family":"Hopfer","given":"Christian","non-dropping-particle":"","parse-names":false,"suffix":""},{"dropping-particle":"","family":"Iacono","given":"William","non-dropping-particle":"","parse-names":false,"suffix":""},{"dropping-particle":"","family":"Johnson","given":"Eric","non-dropping-particle":"","parse-names":false,"suffix":""},{"dropping-particle":"","family":"Kaprio","given":"Jaakko","non-dropping-particle":"","parse-names":false,"suffix":""},{"dropping-particle":"","family":"Karpyak","given":"Victor","non-dropping-particle":"","parse-names":false,"suffix":""},{"dropping-particle":"","family":"Kendler","given":"Kenneth","non-dropping-particle":"","parse-names":false,"suffix":""},{"dropping-particle":"","family":"Kranzler","given":"Henry","non-dropping-particle":"","parse-names":false,"suffix":""},{"dropping-particle":"","family":"Lichtenstein","given":"Paul","non-dropping-particle":"","parse-names":false,"suffix":""},{"dropping-particle":"","family":"Lind","given":"Penelope","non-dropping-particle":"","parse-names":false,"suffix":""},{"dropping-particle":"","family":"McGue","given":"Matt","non-dropping-particle":"","parse-names":false,"suffix":""},{"dropping-particle":"","family":"MacKillop","given":"James","non-dropping-particle":"","parse-names":false,"suffix":""},{"dropping-particle":"","family":"Madden","given":"Pamela","non-dropping-particle":"","parse-names":false,"suffix":""},{"dropping-particle":"","family":"Maes","given":"Hermine","non-dropping-particle":"","parse-names":false,"suffix":""},{"dropping-particle":"","family":"Magnusson","given":"Patrik","non-dropping-particle":"","parse-names":false,"suffix":""},{"dropping-particle":"","family":"Martin","given":"Nicholas","non-dropping-particle":"","parse-names":false,"suffix":""},{"dropping-particle":"","family":"Medland","given":"Sarah","non-dropping-particle":"","parse-names":false,"suffix":""},{"dropping-particle":"","family":"Montgomery","given":"Grant","non-dropping-particle":"","parse-names":false,"suffix":""},{"dropping-particle":"","family":"Nelson","given":"Elliot","non-dropping-particle":"","parse-names":false,"suffix":""},{"dropping-particle":"","family":"Nöthen","given":"Markus","non-dropping-particle":"","parse-names":false,"suffix":""},{"dropping-particle":"","family":"Palmer","given":"Abraham","non-dropping-particle":"","parse-names":false,"suffix":""},{"dropping-particle":"","family":"Pederson","given":"Nancy","non-dropping-particle":"","parse-names":false,"suffix":""},{"dropping-particle":"","family":"Penninx","given":"Brenda","non-dropping-particle":"","parse-names":false,"suffix":""},{"dropping-particle":"","family":"Rice","given":"John","non-dropping-particle":"","parse-names":false,"suffix":""},{"dropping-particle":"","family":"Rietschel","given":"Marcella","non-dropping-particle":"","parse-names":false,"suffix":""},{"dropping-particle":"","family":"Riley","given":"Brien","non-dropping-particle":"","parse-names":false,"suffix":""},{"dropping-particle":"","family":"Rose","given":"Richard","non-dropping-particle":"","parse-names":false,"suffix":""},{"dropping-particle":"","family":"Rujescu","given":"Dan","non-dropping-particle":"","parse-names":false,"suffix":""},{"dropping-particle":"","family":"Shen","given":"Pei Hong","non-dropping-particle":"","parse-names":false,"suffix":""},{"dropping-particle":"","family":"Silberg","given":"Judy","non-dropping-particle":"","parse-names":false,"suffix":""},{"dropping-particle":"","family":"Stallings","given":"Michael","non-dropping-particle":"","parse-names":false,"suffix":""},{"dropping-particle":"","family":"Tarter","given":"Ralph","non-dropping-particle":"","parse-names":false,"suffix":""},{"dropping-particle":"","family":"Vanyukov","given":"Michael","non-dropping-particle":"","parse-names":false,"suffix":""},{"dropping-particle":"","family":"Wall","given":"Tamara","non-dropping-particle":"","parse-names":false,"suffix":""},{"dropping-particle":"","family":"Whitfield","given":"John","non-dropping-particle":"","parse-names":false,"suffix":""},{"dropping-particle":"","family":"Zhao","given":"Hongyu","non-dropping-particle":"","parse-names":false,"suffix":""},{"dropping-particle":"","family":"Neale","given":"Benjamin","non-dropping-particle":"","parse-names":false,"suffix":""},{"dropping-particle":"","family":"Gelernter","given":"Joel","non-dropping-particle":"","parse-names":false,"suffix":""},{"dropping-particle":"","family":"Edenberg","given":"Howard","non-dropping-particle":"","parse-names":false,"suffix":""},{"dropping-particle":"","family":"Agrawal","given":"Arpana","non-dropping-particle":"","parse-names":false,"suffix":""},{"dropping-particle":"","family":"Davis","given":"Lea K.","non-dropping-particle":"","parse-names":false,"suffix":""},{"dropping-particle":"","family":"Bogdan","given":"Ryan","non-dropping-particle":"","parse-names":false,"suffix":""},{"dropping-particle":"","family":"Edenberg","given":"Howard J.","non-dropping-particle":"","parse-names":false,"suffix":""},{"dropping-particle":"","family":"Stefansson","given":"Kari","non-dropping-particle":"","parse-names":false,"suffix":""},{"dropping-particle":"","family":"Børglum","given":"Anders D.","non-dropping-particle":"","parse-names":false,"suffix":""}],"container-title":"The Lancet Psychiatry","id":"ITEM-1","issued":{"date-parts":[["2020"]]},"title":"A large-scale genome-wide association study meta-analysis of cannabis use disorder","type":"article-journal"},"uris":["http://www.mendeley.com/documents/?uuid=d379f279-8b8f-44c7-964b-9b3d648adfee"]}],"mendeley":{"formattedCitation":"&lt;sup&gt;6&lt;/sup&gt;","plainTextFormattedCitation":"6","previouslyFormattedCitation":"&lt;sup&gt;6&lt;/sup&gt;"},"properties":{"noteIndex":0},"schema":"https://github.com/citation-style-language/schema/raw/master/csl-citation.json"}</w:instrText>
            </w:r>
            <w:r w:rsidRPr="006979BC">
              <w:rPr>
                <w:rFonts w:eastAsia="Times New Roman" w:cs="Times New Roman"/>
              </w:rPr>
              <w:fldChar w:fldCharType="separate"/>
            </w:r>
            <w:r w:rsidRPr="006979BC">
              <w:rPr>
                <w:rFonts w:eastAsia="Times New Roman" w:cs="Times New Roman"/>
                <w:noProof/>
                <w:vertAlign w:val="superscript"/>
              </w:rPr>
              <w:t>6</w:t>
            </w:r>
            <w:r w:rsidRPr="006979BC">
              <w:rPr>
                <w:rFonts w:eastAsia="Times New Roman" w:cs="Times New Roman"/>
              </w:rPr>
              <w:fldChar w:fldCharType="end"/>
            </w:r>
            <w:r w:rsidRPr="006979BC">
              <w:rPr>
                <w:rFonts w:eastAsia="Times New Roman" w:cs="Times New Roman"/>
              </w:rPr>
              <w:t>.</w:t>
            </w:r>
          </w:p>
        </w:tc>
      </w:tr>
      <w:tr w:rsidR="006979BC" w:rsidRPr="006979BC" w14:paraId="7BDAE574" w14:textId="77777777" w:rsidTr="00672240">
        <w:trPr>
          <w:trHeight w:val="370"/>
        </w:trPr>
        <w:tc>
          <w:tcPr>
            <w:tcW w:w="1755" w:type="dxa"/>
            <w:vMerge w:val="restart"/>
            <w:tcBorders>
              <w:top w:val="single" w:sz="18" w:space="0" w:color="000000"/>
            </w:tcBorders>
          </w:tcPr>
          <w:p w14:paraId="4318269F"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UK Biobank</w:t>
            </w:r>
          </w:p>
        </w:tc>
        <w:tc>
          <w:tcPr>
            <w:tcW w:w="3368" w:type="dxa"/>
            <w:tcBorders>
              <w:top w:val="single" w:sz="18" w:space="0" w:color="000000"/>
            </w:tcBorders>
            <w:vAlign w:val="center"/>
          </w:tcPr>
          <w:p w14:paraId="108E8352" w14:textId="77777777" w:rsidR="006979BC" w:rsidRPr="006979BC" w:rsidRDefault="006979BC" w:rsidP="006979BC">
            <w:pPr>
              <w:spacing w:before="0" w:after="0"/>
              <w:rPr>
                <w:rFonts w:eastAsia="Times New Roman" w:cs="Times New Roman"/>
                <w:color w:val="000000"/>
              </w:rPr>
            </w:pPr>
            <w:r w:rsidRPr="006979BC">
              <w:rPr>
                <w:rFonts w:eastAsia="Times New Roman" w:cs="Times New Roman"/>
                <w:color w:val="000000"/>
                <w:lang w:val="en-GB"/>
              </w:rPr>
              <w:t>Agents acting on the renin-angiotensin system</w:t>
            </w:r>
          </w:p>
        </w:tc>
        <w:tc>
          <w:tcPr>
            <w:tcW w:w="1149" w:type="dxa"/>
            <w:tcBorders>
              <w:top w:val="single" w:sz="18" w:space="0" w:color="000000"/>
            </w:tcBorders>
          </w:tcPr>
          <w:p w14:paraId="4650A74C"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62,752</w:t>
            </w:r>
          </w:p>
          <w:p w14:paraId="1F2EE587" w14:textId="77777777" w:rsidR="006979BC" w:rsidRPr="006979BC" w:rsidRDefault="006979BC" w:rsidP="006979BC">
            <w:pPr>
              <w:spacing w:before="0" w:after="0"/>
              <w:contextualSpacing/>
              <w:jc w:val="center"/>
              <w:rPr>
                <w:rFonts w:eastAsia="Times New Roman" w:cs="Times New Roman"/>
              </w:rPr>
            </w:pPr>
          </w:p>
        </w:tc>
        <w:tc>
          <w:tcPr>
            <w:tcW w:w="1331" w:type="dxa"/>
            <w:tcBorders>
              <w:top w:val="single" w:sz="18" w:space="0" w:color="000000"/>
            </w:tcBorders>
          </w:tcPr>
          <w:p w14:paraId="65283A7E"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174,778</w:t>
            </w:r>
          </w:p>
          <w:p w14:paraId="5358D46E" w14:textId="77777777" w:rsidR="006979BC" w:rsidRPr="006979BC" w:rsidRDefault="006979BC" w:rsidP="006979BC">
            <w:pPr>
              <w:spacing w:before="0" w:after="0"/>
              <w:contextualSpacing/>
              <w:jc w:val="center"/>
              <w:rPr>
                <w:rFonts w:eastAsia="Times New Roman" w:cs="Times New Roman"/>
              </w:rPr>
            </w:pPr>
          </w:p>
        </w:tc>
        <w:tc>
          <w:tcPr>
            <w:tcW w:w="1558" w:type="dxa"/>
            <w:vMerge w:val="restart"/>
            <w:tcBorders>
              <w:top w:val="single" w:sz="18" w:space="0" w:color="000000"/>
            </w:tcBorders>
            <w:vAlign w:val="center"/>
          </w:tcPr>
          <w:p w14:paraId="11DA65F1"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7,288,504</w:t>
            </w:r>
          </w:p>
        </w:tc>
        <w:tc>
          <w:tcPr>
            <w:tcW w:w="1389" w:type="dxa"/>
            <w:tcBorders>
              <w:top w:val="single" w:sz="18" w:space="0" w:color="000000"/>
            </w:tcBorders>
          </w:tcPr>
          <w:p w14:paraId="02858A33"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184</w:t>
            </w:r>
          </w:p>
        </w:tc>
        <w:tc>
          <w:tcPr>
            <w:tcW w:w="2410" w:type="dxa"/>
            <w:vMerge w:val="restart"/>
            <w:tcBorders>
              <w:top w:val="single" w:sz="18" w:space="0" w:color="000000"/>
            </w:tcBorders>
          </w:tcPr>
          <w:p w14:paraId="58136A1E" w14:textId="77777777" w:rsidR="006979BC" w:rsidRPr="006979BC" w:rsidRDefault="006979BC" w:rsidP="006979BC">
            <w:pPr>
              <w:spacing w:before="0" w:after="0"/>
              <w:contextualSpacing/>
              <w:rPr>
                <w:rFonts w:eastAsia="Times New Roman" w:cs="Times New Roman"/>
              </w:rPr>
            </w:pPr>
            <w:r w:rsidRPr="006979BC">
              <w:rPr>
                <w:rFonts w:eastAsia="Times New Roman" w:cs="Times New Roman"/>
              </w:rPr>
              <w:t>Wu et al.</w:t>
            </w:r>
            <w:r w:rsidRPr="006979BC">
              <w:rPr>
                <w:rFonts w:eastAsia="Times New Roman" w:cs="Times New Roman"/>
              </w:rPr>
              <w:fldChar w:fldCharType="begin" w:fldLock="1"/>
            </w:r>
            <w:r w:rsidRPr="006979BC">
              <w:rPr>
                <w:rFonts w:eastAsia="Times New Roman" w:cs="Times New Roman"/>
              </w:rPr>
              <w:instrText>ADDIN CSL_CITATION {"citationItems":[{"id":"ITEM-1","itemData":{"DOI":"10.1038/s41467-019-09572-5","ISSN":"20411723","PMID":"31015401","abstract":"Genome-wide association studies (GWASs) of medication use may contribute to understanding of disease etiology, could generate new leads relevant for drug discovery and can be used to quantify future risk of medication taking. Here, we conduct GWASs of self-reported medication use from 23 medication categories in approximately 320,000 individuals from the UK Biobank. A total of 505 independent genetic loci that meet stringent criteria (P &lt; 10 −8 /23) for statistical significance are identified. We investigate the implications of these GWAS findings in relation to biological mechanism, potential drug target identification and genetic risk stratification of disease. Amongst the medication-associated genes are 16 known therapeutic-effect target genes for medications from 9 categories. Two of the medication classes studied are for disorders that have not previously been subject to large GWAS (hypothyroidism and gastro-oesophageal reflux disease).","author":[{"dropping-particle":"","family":"Wu","given":"Yeda","non-dropping-particle":"","parse-names":false,"suffix":""},{"dropping-particle":"","family":"Byrne","given":"Enda M.","non-dropping-particle":"","parse-names":false,"suffix":""},{"dropping-particle":"","family":"Zheng","given":"Zhili","non-dropping-particle":"","parse-names":false,"suffix":""},{"dropping-particle":"","family":"Kemper","given":"Kathryn E.","non-dropping-particle":"","parse-names":false,"suffix":""},{"dropping-particle":"","family":"Yengo","given":"Loic","non-dropping-particle":"","parse-names":false,"suffix":""},{"dropping-particle":"","family":"Mallett","given":"Andrew J.","non-dropping-particle":"","parse-names":false,"suffix":""},{"dropping-particle":"","family":"Yang","given":"Jian","non-dropping-particle":"","parse-names":false,"suffix":""},{"dropping-particle":"","family":"Visscher","given":"Peter M.","non-dropping-particle":"","parse-names":false,"suffix":""},{"dropping-particle":"","family":"Wray","given":"Naomi R.","non-dropping-particle":"","parse-names":false,"suffix":""}],"container-title":"Nature Communications","id":"ITEM-1","issued":{"date-parts":[["2019"]]},"title":"Genome-wide association study of medication-use and associated disease in the UK Biobank","type":"article-journal"},"uris":["http://www.mendeley.com/documents/?uuid=a6e3ea79-d310-420d-86b4-24a5955d5fb0"]}],"mendeley":{"formattedCitation":"&lt;sup&gt;7&lt;/sup&gt;","plainTextFormattedCitation":"7","previouslyFormattedCitation":"&lt;sup&gt;7&lt;/sup&gt;"},"properties":{"noteIndex":0},"schema":"https://github.com/citation-style-language/schema/raw/master/csl-citation.json"}</w:instrText>
            </w:r>
            <w:r w:rsidRPr="006979BC">
              <w:rPr>
                <w:rFonts w:eastAsia="Times New Roman" w:cs="Times New Roman"/>
              </w:rPr>
              <w:fldChar w:fldCharType="separate"/>
            </w:r>
            <w:r w:rsidRPr="006979BC">
              <w:rPr>
                <w:rFonts w:eastAsia="Times New Roman" w:cs="Times New Roman"/>
                <w:noProof/>
                <w:vertAlign w:val="superscript"/>
              </w:rPr>
              <w:t>7</w:t>
            </w:r>
            <w:r w:rsidRPr="006979BC">
              <w:rPr>
                <w:rFonts w:eastAsia="Times New Roman" w:cs="Times New Roman"/>
              </w:rPr>
              <w:fldChar w:fldCharType="end"/>
            </w:r>
          </w:p>
        </w:tc>
      </w:tr>
      <w:tr w:rsidR="006979BC" w:rsidRPr="006979BC" w14:paraId="0CEFD9FA" w14:textId="77777777" w:rsidTr="00672240">
        <w:trPr>
          <w:trHeight w:val="176"/>
        </w:trPr>
        <w:tc>
          <w:tcPr>
            <w:tcW w:w="1755" w:type="dxa"/>
            <w:vMerge/>
          </w:tcPr>
          <w:p w14:paraId="17A17AD8" w14:textId="77777777" w:rsidR="006979BC" w:rsidRPr="006979BC" w:rsidRDefault="006979BC" w:rsidP="006979BC">
            <w:pPr>
              <w:spacing w:before="0" w:after="0"/>
              <w:rPr>
                <w:rFonts w:eastAsia="Times New Roman" w:cs="Times New Roman"/>
                <w:color w:val="000000"/>
                <w:lang w:val="en-GB"/>
              </w:rPr>
            </w:pPr>
          </w:p>
        </w:tc>
        <w:tc>
          <w:tcPr>
            <w:tcW w:w="3368" w:type="dxa"/>
            <w:vAlign w:val="center"/>
          </w:tcPr>
          <w:p w14:paraId="28F272EF"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Antithrombotic agents</w:t>
            </w:r>
          </w:p>
        </w:tc>
        <w:tc>
          <w:tcPr>
            <w:tcW w:w="1149" w:type="dxa"/>
          </w:tcPr>
          <w:p w14:paraId="782FF2B8"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67,653</w:t>
            </w:r>
          </w:p>
        </w:tc>
        <w:tc>
          <w:tcPr>
            <w:tcW w:w="1331" w:type="dxa"/>
          </w:tcPr>
          <w:p w14:paraId="627F6A03"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85,986</w:t>
            </w:r>
          </w:p>
        </w:tc>
        <w:tc>
          <w:tcPr>
            <w:tcW w:w="1558" w:type="dxa"/>
            <w:vMerge/>
          </w:tcPr>
          <w:p w14:paraId="4D12E7F4" w14:textId="77777777" w:rsidR="006979BC" w:rsidRPr="006979BC" w:rsidRDefault="006979BC" w:rsidP="006979BC">
            <w:pPr>
              <w:spacing w:before="0" w:after="0"/>
              <w:contextualSpacing/>
              <w:jc w:val="center"/>
              <w:rPr>
                <w:rFonts w:eastAsia="Times New Roman" w:cs="Times New Roman"/>
              </w:rPr>
            </w:pPr>
          </w:p>
        </w:tc>
        <w:tc>
          <w:tcPr>
            <w:tcW w:w="1389" w:type="dxa"/>
          </w:tcPr>
          <w:p w14:paraId="695966F0"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13</w:t>
            </w:r>
          </w:p>
        </w:tc>
        <w:tc>
          <w:tcPr>
            <w:tcW w:w="2410" w:type="dxa"/>
            <w:vMerge/>
          </w:tcPr>
          <w:p w14:paraId="25CEE339" w14:textId="77777777" w:rsidR="006979BC" w:rsidRPr="006979BC" w:rsidRDefault="006979BC" w:rsidP="006979BC">
            <w:pPr>
              <w:spacing w:before="0" w:after="0"/>
              <w:contextualSpacing/>
              <w:jc w:val="center"/>
              <w:rPr>
                <w:rFonts w:eastAsia="Times New Roman" w:cs="Times New Roman"/>
              </w:rPr>
            </w:pPr>
          </w:p>
        </w:tc>
      </w:tr>
      <w:tr w:rsidR="006979BC" w:rsidRPr="006979BC" w14:paraId="2875879C" w14:textId="77777777" w:rsidTr="00672240">
        <w:trPr>
          <w:trHeight w:val="184"/>
        </w:trPr>
        <w:tc>
          <w:tcPr>
            <w:tcW w:w="1755" w:type="dxa"/>
            <w:vMerge/>
          </w:tcPr>
          <w:p w14:paraId="6889FE3F" w14:textId="77777777" w:rsidR="006979BC" w:rsidRPr="006979BC" w:rsidRDefault="006979BC" w:rsidP="006979BC">
            <w:pPr>
              <w:spacing w:before="0" w:after="0"/>
              <w:rPr>
                <w:rFonts w:eastAsia="Times New Roman" w:cs="Times New Roman"/>
                <w:color w:val="000000"/>
                <w:lang w:val="en-GB"/>
              </w:rPr>
            </w:pPr>
          </w:p>
        </w:tc>
        <w:tc>
          <w:tcPr>
            <w:tcW w:w="3368" w:type="dxa"/>
            <w:vAlign w:val="center"/>
          </w:tcPr>
          <w:p w14:paraId="10EB9A18"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Diuretics</w:t>
            </w:r>
          </w:p>
        </w:tc>
        <w:tc>
          <w:tcPr>
            <w:tcW w:w="1149" w:type="dxa"/>
          </w:tcPr>
          <w:p w14:paraId="39835114"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34453</w:t>
            </w:r>
          </w:p>
        </w:tc>
        <w:tc>
          <w:tcPr>
            <w:tcW w:w="1331" w:type="dxa"/>
          </w:tcPr>
          <w:p w14:paraId="7DCA353E"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194633</w:t>
            </w:r>
          </w:p>
        </w:tc>
        <w:tc>
          <w:tcPr>
            <w:tcW w:w="1558" w:type="dxa"/>
            <w:vMerge/>
          </w:tcPr>
          <w:p w14:paraId="51698894" w14:textId="77777777" w:rsidR="006979BC" w:rsidRPr="006979BC" w:rsidRDefault="006979BC" w:rsidP="006979BC">
            <w:pPr>
              <w:spacing w:before="0" w:after="0"/>
              <w:contextualSpacing/>
              <w:jc w:val="center"/>
              <w:rPr>
                <w:rFonts w:eastAsia="Times New Roman" w:cs="Times New Roman"/>
              </w:rPr>
            </w:pPr>
          </w:p>
        </w:tc>
        <w:tc>
          <w:tcPr>
            <w:tcW w:w="1389" w:type="dxa"/>
          </w:tcPr>
          <w:p w14:paraId="58A975BF"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102</w:t>
            </w:r>
          </w:p>
        </w:tc>
        <w:tc>
          <w:tcPr>
            <w:tcW w:w="2410" w:type="dxa"/>
            <w:vMerge/>
          </w:tcPr>
          <w:p w14:paraId="7817145F" w14:textId="77777777" w:rsidR="006979BC" w:rsidRPr="006979BC" w:rsidRDefault="006979BC" w:rsidP="006979BC">
            <w:pPr>
              <w:spacing w:before="0" w:after="0"/>
              <w:jc w:val="center"/>
              <w:rPr>
                <w:rFonts w:eastAsia="Times New Roman" w:cs="Times New Roman"/>
                <w:lang w:val="en-GB"/>
              </w:rPr>
            </w:pPr>
          </w:p>
        </w:tc>
      </w:tr>
      <w:tr w:rsidR="006979BC" w:rsidRPr="006979BC" w14:paraId="67E2CBBA" w14:textId="77777777" w:rsidTr="00672240">
        <w:trPr>
          <w:trHeight w:val="184"/>
        </w:trPr>
        <w:tc>
          <w:tcPr>
            <w:tcW w:w="1755" w:type="dxa"/>
            <w:vMerge/>
          </w:tcPr>
          <w:p w14:paraId="3FE03254" w14:textId="77777777" w:rsidR="006979BC" w:rsidRPr="006979BC" w:rsidRDefault="006979BC" w:rsidP="006979BC">
            <w:pPr>
              <w:spacing w:before="0" w:after="0"/>
              <w:rPr>
                <w:rFonts w:eastAsia="Times New Roman" w:cs="Times New Roman"/>
                <w:color w:val="000000"/>
                <w:lang w:val="en-GB"/>
              </w:rPr>
            </w:pPr>
          </w:p>
        </w:tc>
        <w:tc>
          <w:tcPr>
            <w:tcW w:w="3368" w:type="dxa"/>
            <w:vAlign w:val="center"/>
          </w:tcPr>
          <w:p w14:paraId="16F7A55F"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Opioid (medication)</w:t>
            </w:r>
          </w:p>
        </w:tc>
        <w:tc>
          <w:tcPr>
            <w:tcW w:w="1149" w:type="dxa"/>
          </w:tcPr>
          <w:p w14:paraId="358FF3B8"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22982</w:t>
            </w:r>
          </w:p>
        </w:tc>
        <w:tc>
          <w:tcPr>
            <w:tcW w:w="1331" w:type="dxa"/>
          </w:tcPr>
          <w:p w14:paraId="6E85BB3F"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55826</w:t>
            </w:r>
          </w:p>
        </w:tc>
        <w:tc>
          <w:tcPr>
            <w:tcW w:w="1558" w:type="dxa"/>
            <w:vMerge/>
          </w:tcPr>
          <w:p w14:paraId="1B6D6530" w14:textId="77777777" w:rsidR="006979BC" w:rsidRPr="006979BC" w:rsidRDefault="006979BC" w:rsidP="006979BC">
            <w:pPr>
              <w:spacing w:before="0" w:after="0"/>
              <w:contextualSpacing/>
              <w:jc w:val="center"/>
              <w:rPr>
                <w:rFonts w:eastAsia="Times New Roman" w:cs="Times New Roman"/>
              </w:rPr>
            </w:pPr>
          </w:p>
        </w:tc>
        <w:tc>
          <w:tcPr>
            <w:tcW w:w="1389" w:type="dxa"/>
          </w:tcPr>
          <w:p w14:paraId="4ECF9B4F"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3</w:t>
            </w:r>
          </w:p>
        </w:tc>
        <w:tc>
          <w:tcPr>
            <w:tcW w:w="2410" w:type="dxa"/>
            <w:vMerge/>
          </w:tcPr>
          <w:p w14:paraId="0D85FA5F" w14:textId="77777777" w:rsidR="006979BC" w:rsidRPr="006979BC" w:rsidRDefault="006979BC" w:rsidP="006979BC">
            <w:pPr>
              <w:spacing w:before="0" w:after="0"/>
              <w:contextualSpacing/>
              <w:jc w:val="center"/>
              <w:rPr>
                <w:rFonts w:eastAsia="Times New Roman" w:cs="Times New Roman"/>
              </w:rPr>
            </w:pPr>
          </w:p>
        </w:tc>
      </w:tr>
      <w:tr w:rsidR="006979BC" w:rsidRPr="006979BC" w14:paraId="096D4348" w14:textId="77777777" w:rsidTr="00672240">
        <w:trPr>
          <w:trHeight w:val="184"/>
        </w:trPr>
        <w:tc>
          <w:tcPr>
            <w:tcW w:w="1755" w:type="dxa"/>
            <w:vMerge/>
          </w:tcPr>
          <w:p w14:paraId="02AE87C6" w14:textId="77777777" w:rsidR="006979BC" w:rsidRPr="006979BC" w:rsidRDefault="006979BC" w:rsidP="006979BC">
            <w:pPr>
              <w:spacing w:before="0" w:after="0"/>
              <w:rPr>
                <w:rFonts w:eastAsia="Times New Roman" w:cs="Times New Roman"/>
                <w:color w:val="000000"/>
                <w:lang w:val="en-GB"/>
              </w:rPr>
            </w:pPr>
          </w:p>
        </w:tc>
        <w:tc>
          <w:tcPr>
            <w:tcW w:w="3368" w:type="dxa"/>
            <w:vAlign w:val="center"/>
          </w:tcPr>
          <w:p w14:paraId="7C9B6B4D"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Statin</w:t>
            </w:r>
          </w:p>
        </w:tc>
        <w:tc>
          <w:tcPr>
            <w:tcW w:w="1149" w:type="dxa"/>
          </w:tcPr>
          <w:p w14:paraId="717067E7"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73475</w:t>
            </w:r>
          </w:p>
        </w:tc>
        <w:tc>
          <w:tcPr>
            <w:tcW w:w="1331" w:type="dxa"/>
          </w:tcPr>
          <w:p w14:paraId="004EEE4D"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216910</w:t>
            </w:r>
          </w:p>
        </w:tc>
        <w:tc>
          <w:tcPr>
            <w:tcW w:w="1558" w:type="dxa"/>
            <w:vMerge/>
          </w:tcPr>
          <w:p w14:paraId="6F18AA4E" w14:textId="77777777" w:rsidR="006979BC" w:rsidRPr="006979BC" w:rsidRDefault="006979BC" w:rsidP="006979BC">
            <w:pPr>
              <w:spacing w:before="0" w:after="0"/>
              <w:contextualSpacing/>
              <w:jc w:val="center"/>
              <w:rPr>
                <w:rFonts w:eastAsia="Times New Roman" w:cs="Times New Roman"/>
              </w:rPr>
            </w:pPr>
          </w:p>
        </w:tc>
        <w:tc>
          <w:tcPr>
            <w:tcW w:w="1389" w:type="dxa"/>
          </w:tcPr>
          <w:p w14:paraId="204A643B"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97</w:t>
            </w:r>
          </w:p>
        </w:tc>
        <w:tc>
          <w:tcPr>
            <w:tcW w:w="2410" w:type="dxa"/>
            <w:vMerge/>
          </w:tcPr>
          <w:p w14:paraId="60F3F0E4" w14:textId="77777777" w:rsidR="006979BC" w:rsidRPr="006979BC" w:rsidRDefault="006979BC" w:rsidP="006979BC">
            <w:pPr>
              <w:spacing w:before="0" w:after="0"/>
              <w:contextualSpacing/>
              <w:jc w:val="center"/>
              <w:rPr>
                <w:rFonts w:eastAsia="Times New Roman" w:cs="Times New Roman"/>
              </w:rPr>
            </w:pPr>
          </w:p>
        </w:tc>
      </w:tr>
      <w:tr w:rsidR="006979BC" w:rsidRPr="006979BC" w14:paraId="1A000DEA" w14:textId="77777777" w:rsidTr="00672240">
        <w:trPr>
          <w:trHeight w:val="184"/>
        </w:trPr>
        <w:tc>
          <w:tcPr>
            <w:tcW w:w="1755" w:type="dxa"/>
            <w:vMerge/>
          </w:tcPr>
          <w:p w14:paraId="3FBADC93" w14:textId="77777777" w:rsidR="006979BC" w:rsidRPr="006979BC" w:rsidRDefault="006979BC" w:rsidP="006979BC">
            <w:pPr>
              <w:spacing w:before="0" w:after="0"/>
              <w:rPr>
                <w:rFonts w:eastAsia="Times New Roman" w:cs="Times New Roman"/>
                <w:color w:val="000000"/>
                <w:lang w:val="en-GB"/>
              </w:rPr>
            </w:pPr>
          </w:p>
        </w:tc>
        <w:tc>
          <w:tcPr>
            <w:tcW w:w="3368" w:type="dxa"/>
            <w:vAlign w:val="bottom"/>
          </w:tcPr>
          <w:p w14:paraId="7EACCED0" w14:textId="77777777" w:rsidR="006979BC" w:rsidRPr="006979BC" w:rsidRDefault="006979BC" w:rsidP="006979BC">
            <w:pPr>
              <w:spacing w:before="0" w:after="0"/>
              <w:rPr>
                <w:rFonts w:eastAsia="Times New Roman" w:cs="Times New Roman"/>
                <w:color w:val="000000"/>
                <w:lang w:val="en-GB"/>
              </w:rPr>
            </w:pPr>
            <w:r w:rsidRPr="006979BC">
              <w:rPr>
                <w:rFonts w:eastAsia="Times New Roman" w:cs="Times New Roman"/>
                <w:color w:val="000000"/>
                <w:lang w:val="en-GB"/>
              </w:rPr>
              <w:t>Vasodilators used in cardiac diseases</w:t>
            </w:r>
          </w:p>
        </w:tc>
        <w:tc>
          <w:tcPr>
            <w:tcW w:w="1149" w:type="dxa"/>
          </w:tcPr>
          <w:p w14:paraId="4686F27B"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5546</w:t>
            </w:r>
          </w:p>
        </w:tc>
        <w:tc>
          <w:tcPr>
            <w:tcW w:w="1331" w:type="dxa"/>
          </w:tcPr>
          <w:p w14:paraId="42112855" w14:textId="77777777" w:rsidR="006979BC" w:rsidRPr="006979BC" w:rsidRDefault="006979BC" w:rsidP="006979BC">
            <w:pPr>
              <w:spacing w:before="0" w:after="0"/>
              <w:jc w:val="center"/>
              <w:rPr>
                <w:rFonts w:eastAsia="Times New Roman" w:cs="Times New Roman"/>
              </w:rPr>
            </w:pPr>
            <w:r w:rsidRPr="006979BC">
              <w:rPr>
                <w:rFonts w:eastAsia="Times New Roman" w:cs="Times New Roman"/>
                <w:lang w:val="en-GB"/>
              </w:rPr>
              <w:t>237113</w:t>
            </w:r>
          </w:p>
        </w:tc>
        <w:tc>
          <w:tcPr>
            <w:tcW w:w="1558" w:type="dxa"/>
            <w:vMerge/>
          </w:tcPr>
          <w:p w14:paraId="274521F1" w14:textId="77777777" w:rsidR="006979BC" w:rsidRPr="006979BC" w:rsidRDefault="006979BC" w:rsidP="006979BC">
            <w:pPr>
              <w:spacing w:before="0" w:after="0"/>
              <w:contextualSpacing/>
              <w:jc w:val="center"/>
              <w:rPr>
                <w:rFonts w:eastAsia="Times New Roman" w:cs="Times New Roman"/>
              </w:rPr>
            </w:pPr>
          </w:p>
        </w:tc>
        <w:tc>
          <w:tcPr>
            <w:tcW w:w="1389" w:type="dxa"/>
          </w:tcPr>
          <w:p w14:paraId="2233E4F5" w14:textId="77777777" w:rsidR="006979BC" w:rsidRPr="006979BC" w:rsidRDefault="006979BC" w:rsidP="006979BC">
            <w:pPr>
              <w:spacing w:before="0" w:after="0"/>
              <w:contextualSpacing/>
              <w:jc w:val="center"/>
              <w:rPr>
                <w:rFonts w:eastAsia="Times New Roman" w:cs="Times New Roman"/>
              </w:rPr>
            </w:pPr>
            <w:r w:rsidRPr="006979BC">
              <w:rPr>
                <w:rFonts w:eastAsia="Times New Roman" w:cs="Times New Roman"/>
              </w:rPr>
              <w:t>3</w:t>
            </w:r>
          </w:p>
        </w:tc>
        <w:tc>
          <w:tcPr>
            <w:tcW w:w="2410" w:type="dxa"/>
            <w:vMerge/>
          </w:tcPr>
          <w:p w14:paraId="3BE34CA4" w14:textId="77777777" w:rsidR="006979BC" w:rsidRPr="006979BC" w:rsidRDefault="006979BC" w:rsidP="006979BC">
            <w:pPr>
              <w:spacing w:before="0" w:after="0"/>
              <w:contextualSpacing/>
              <w:jc w:val="center"/>
              <w:rPr>
                <w:rFonts w:eastAsia="Times New Roman" w:cs="Times New Roman"/>
              </w:rPr>
            </w:pPr>
          </w:p>
        </w:tc>
      </w:tr>
    </w:tbl>
    <w:p w14:paraId="0F2297C9" w14:textId="1FFC3E5A" w:rsidR="006979BC" w:rsidRPr="006979BC" w:rsidRDefault="006979BC" w:rsidP="006979BC">
      <w:pPr>
        <w:spacing w:before="0" w:after="0"/>
        <w:jc w:val="both"/>
        <w:rPr>
          <w:rFonts w:eastAsia="Times New Roman" w:cs="Times New Roman"/>
          <w:szCs w:val="24"/>
        </w:rPr>
      </w:pPr>
      <w:r w:rsidRPr="006979BC">
        <w:rPr>
          <w:rFonts w:eastAsia="Times New Roman" w:cs="Times New Roman"/>
          <w:szCs w:val="24"/>
        </w:rPr>
        <w:sym w:font="Symbol" w:char="F0A7"/>
      </w:r>
      <w:r w:rsidRPr="006979BC">
        <w:rPr>
          <w:rFonts w:eastAsia="Times New Roman" w:cs="Times New Roman"/>
          <w:szCs w:val="24"/>
        </w:rPr>
        <w:t xml:space="preserve"> In Sanchez-</w:t>
      </w:r>
      <w:proofErr w:type="spellStart"/>
      <w:r w:rsidRPr="006979BC">
        <w:rPr>
          <w:rFonts w:eastAsia="Times New Roman" w:cs="Times New Roman"/>
          <w:szCs w:val="24"/>
        </w:rPr>
        <w:t>Roige</w:t>
      </w:r>
      <w:proofErr w:type="spellEnd"/>
      <w:r w:rsidRPr="006979BC">
        <w:rPr>
          <w:rFonts w:eastAsia="Times New Roman" w:cs="Times New Roman"/>
          <w:szCs w:val="24"/>
        </w:rPr>
        <w:t xml:space="preserve"> </w:t>
      </w:r>
      <w:r w:rsidRPr="006979BC">
        <w:rPr>
          <w:rFonts w:eastAsia="Times New Roman" w:cs="Times New Roman"/>
          <w:i/>
          <w:iCs/>
          <w:szCs w:val="24"/>
        </w:rPr>
        <w:t xml:space="preserve">et al., </w:t>
      </w:r>
      <w:r w:rsidRPr="006979BC">
        <w:rPr>
          <w:rFonts w:eastAsia="Times New Roman" w:cs="Times New Roman"/>
          <w:szCs w:val="24"/>
        </w:rPr>
        <w:t xml:space="preserve">AUD is treated as a quantitative trait. The authors calculated the Alcohol Use Disorder Identification Test (AUDIT) score across all participants and used different thresholds to </w:t>
      </w:r>
      <w:r w:rsidR="009349C2" w:rsidRPr="006979BC">
        <w:rPr>
          <w:rFonts w:eastAsia="Times New Roman" w:cs="Times New Roman"/>
          <w:szCs w:val="24"/>
        </w:rPr>
        <w:t>dichotomize</w:t>
      </w:r>
      <w:r w:rsidRPr="006979BC">
        <w:rPr>
          <w:rFonts w:eastAsia="Times New Roman" w:cs="Times New Roman"/>
          <w:szCs w:val="24"/>
        </w:rPr>
        <w:t xml:space="preserve"> the cohort into alcohol consumption (</w:t>
      </w:r>
      <w:r w:rsidRPr="006979BC">
        <w:rPr>
          <w:rFonts w:eastAsia="Times New Roman" w:cs="Times New Roman"/>
          <w:b/>
          <w:bCs/>
          <w:color w:val="000000"/>
          <w:szCs w:val="24"/>
          <w:shd w:val="clear" w:color="auto" w:fill="FFFFFF"/>
          <w:lang w:val="en-GB"/>
        </w:rPr>
        <w:t>AUDIT-C</w:t>
      </w:r>
      <w:r w:rsidRPr="006979BC">
        <w:rPr>
          <w:rFonts w:eastAsia="Times New Roman" w:cs="Times New Roman"/>
          <w:color w:val="000000"/>
          <w:szCs w:val="24"/>
          <w:shd w:val="clear" w:color="auto" w:fill="FFFFFF"/>
          <w:lang w:val="en-GB"/>
        </w:rPr>
        <w:t>, N = 121,604</w:t>
      </w:r>
      <w:r w:rsidRPr="006979BC">
        <w:rPr>
          <w:rFonts w:eastAsia="Times New Roman" w:cs="Times New Roman"/>
          <w:szCs w:val="24"/>
        </w:rPr>
        <w:t>) and alcohol problem (</w:t>
      </w:r>
      <w:r w:rsidRPr="006979BC">
        <w:rPr>
          <w:rFonts w:eastAsia="Times New Roman" w:cs="Times New Roman"/>
          <w:b/>
          <w:bCs/>
          <w:color w:val="000000"/>
          <w:szCs w:val="24"/>
          <w:shd w:val="clear" w:color="auto" w:fill="FFFFFF"/>
          <w:lang w:val="en-GB"/>
        </w:rPr>
        <w:t>AUDIT-P</w:t>
      </w:r>
      <w:r w:rsidRPr="006979BC">
        <w:rPr>
          <w:rFonts w:eastAsia="Times New Roman" w:cs="Times New Roman"/>
          <w:color w:val="000000"/>
          <w:szCs w:val="24"/>
          <w:shd w:val="clear" w:color="auto" w:fill="FFFFFF"/>
          <w:lang w:val="en-GB"/>
        </w:rPr>
        <w:t>, N = 121,604</w:t>
      </w:r>
      <w:r w:rsidRPr="006979BC">
        <w:rPr>
          <w:rFonts w:eastAsia="Times New Roman" w:cs="Times New Roman"/>
          <w:szCs w:val="24"/>
        </w:rPr>
        <w:t>) sub-cohorts.</w:t>
      </w:r>
    </w:p>
    <w:p w14:paraId="798D1DA3" w14:textId="77777777" w:rsidR="006979BC" w:rsidRDefault="006979BC" w:rsidP="006979BC">
      <w:pPr>
        <w:spacing w:before="0" w:after="0"/>
        <w:jc w:val="both"/>
        <w:rPr>
          <w:rFonts w:eastAsia="Times New Roman" w:cs="Times New Roman"/>
          <w:szCs w:val="24"/>
        </w:rPr>
        <w:sectPr w:rsidR="006979BC" w:rsidSect="00834715">
          <w:type w:val="continuous"/>
          <w:pgSz w:w="15840" w:h="12240" w:orient="landscape"/>
          <w:pgMar w:top="1181" w:right="1138" w:bottom="1282" w:left="1138" w:header="283" w:footer="510" w:gutter="0"/>
          <w:cols w:space="720"/>
          <w:titlePg/>
          <w:docGrid w:linePitch="360"/>
        </w:sectPr>
      </w:pPr>
      <w:r w:rsidRPr="006979BC">
        <w:rPr>
          <w:rFonts w:eastAsia="Times New Roman" w:cs="Times New Roman"/>
          <w:szCs w:val="24"/>
        </w:rPr>
        <w:sym w:font="Symbol" w:char="F0AA"/>
      </w:r>
      <w:r w:rsidRPr="006979BC">
        <w:rPr>
          <w:rFonts w:eastAsia="Times New Roman" w:cs="Times New Roman"/>
          <w:szCs w:val="24"/>
        </w:rPr>
        <w:t xml:space="preserve"> Given the comparatively lower number of total variants tested for OUD, we used the lenient p-value threshold p ≤ 5E-6 to select instrumental variables.</w:t>
      </w:r>
    </w:p>
    <w:p w14:paraId="4290DA1F" w14:textId="77777777" w:rsidR="009C232D" w:rsidRDefault="009C232D" w:rsidP="009C232D">
      <w:pPr>
        <w:rPr>
          <w:b/>
          <w:bCs/>
        </w:rPr>
      </w:pPr>
      <w:r w:rsidRPr="00947EE5">
        <w:rPr>
          <w:b/>
          <w:bCs/>
        </w:rPr>
        <w:lastRenderedPageBreak/>
        <w:t>References</w:t>
      </w:r>
    </w:p>
    <w:p w14:paraId="4A0CAC88" w14:textId="77777777" w:rsidR="009C232D" w:rsidRDefault="009C232D" w:rsidP="009C232D">
      <w:pPr>
        <w:rPr>
          <w:b/>
          <w:bCs/>
        </w:rPr>
      </w:pPr>
    </w:p>
    <w:p w14:paraId="6343AC01" w14:textId="77777777" w:rsidR="009C232D" w:rsidRPr="00702F8F" w:rsidRDefault="009C232D" w:rsidP="009C232D">
      <w:pPr>
        <w:widowControl w:val="0"/>
        <w:autoSpaceDE w:val="0"/>
        <w:autoSpaceDN w:val="0"/>
        <w:adjustRightInd w:val="0"/>
        <w:ind w:left="640" w:hanging="640"/>
        <w:rPr>
          <w:noProof/>
        </w:rPr>
      </w:pPr>
      <w:r>
        <w:rPr>
          <w:b/>
          <w:bCs/>
        </w:rPr>
        <w:fldChar w:fldCharType="begin" w:fldLock="1"/>
      </w:r>
      <w:r>
        <w:rPr>
          <w:b/>
          <w:bCs/>
        </w:rPr>
        <w:instrText xml:space="preserve">ADDIN Mendeley Bibliography CSL_BIBLIOGRAPHY </w:instrText>
      </w:r>
      <w:r>
        <w:rPr>
          <w:b/>
          <w:bCs/>
        </w:rPr>
        <w:fldChar w:fldCharType="separate"/>
      </w:r>
      <w:r w:rsidRPr="00702F8F">
        <w:rPr>
          <w:noProof/>
        </w:rPr>
        <w:t>1.</w:t>
      </w:r>
      <w:r w:rsidRPr="00702F8F">
        <w:rPr>
          <w:noProof/>
        </w:rPr>
        <w:tab/>
        <w:t xml:space="preserve">O’Connor, L. J. &amp; Price, A. L. Distinguishing genetic correlation from causation across 52 diseases and complex traits. </w:t>
      </w:r>
      <w:r w:rsidRPr="00702F8F">
        <w:rPr>
          <w:i/>
          <w:iCs/>
          <w:noProof/>
        </w:rPr>
        <w:t>Nat. Genet.</w:t>
      </w:r>
      <w:r w:rsidRPr="00702F8F">
        <w:rPr>
          <w:noProof/>
        </w:rPr>
        <w:t xml:space="preserve"> (2018). doi:10.1038/s41588-018-0255-0</w:t>
      </w:r>
    </w:p>
    <w:p w14:paraId="362A90F5" w14:textId="77777777" w:rsidR="009C232D" w:rsidRPr="00702F8F" w:rsidRDefault="009C232D" w:rsidP="009C232D">
      <w:pPr>
        <w:widowControl w:val="0"/>
        <w:autoSpaceDE w:val="0"/>
        <w:autoSpaceDN w:val="0"/>
        <w:adjustRightInd w:val="0"/>
        <w:ind w:left="640" w:hanging="640"/>
        <w:rPr>
          <w:noProof/>
        </w:rPr>
      </w:pPr>
      <w:r w:rsidRPr="00702F8F">
        <w:rPr>
          <w:noProof/>
        </w:rPr>
        <w:t>2.</w:t>
      </w:r>
      <w:r w:rsidRPr="00702F8F">
        <w:rPr>
          <w:noProof/>
        </w:rPr>
        <w:tab/>
        <w:t xml:space="preserve">Bowden, J., Smith, G. D. &amp; Burgess, S. Mendelian randomization with invalid instruments: Effect estimation and bias detection through Egger regression. </w:t>
      </w:r>
      <w:r w:rsidRPr="00702F8F">
        <w:rPr>
          <w:i/>
          <w:iCs/>
          <w:noProof/>
        </w:rPr>
        <w:t>Int. J. Epidemiol.</w:t>
      </w:r>
      <w:r w:rsidRPr="00702F8F">
        <w:rPr>
          <w:noProof/>
        </w:rPr>
        <w:t xml:space="preserve"> (2015). doi:10.1093/ije/dyv080</w:t>
      </w:r>
    </w:p>
    <w:p w14:paraId="1A07E4BE" w14:textId="77777777" w:rsidR="009C232D" w:rsidRPr="00702F8F" w:rsidRDefault="009C232D" w:rsidP="009C232D">
      <w:pPr>
        <w:widowControl w:val="0"/>
        <w:autoSpaceDE w:val="0"/>
        <w:autoSpaceDN w:val="0"/>
        <w:adjustRightInd w:val="0"/>
        <w:ind w:left="640" w:hanging="640"/>
        <w:rPr>
          <w:noProof/>
        </w:rPr>
      </w:pPr>
      <w:r w:rsidRPr="00702F8F">
        <w:rPr>
          <w:noProof/>
        </w:rPr>
        <w:t>3.</w:t>
      </w:r>
      <w:r w:rsidRPr="00702F8F">
        <w:rPr>
          <w:noProof/>
        </w:rPr>
        <w:tab/>
        <w:t xml:space="preserve">Verbanck, M., Chen, C. Y., Neale, B. &amp; Do, R. Detection of widespread horizontal pleiotropy in causal relationships inferred from Mendelian randomization between complex traits and diseases. </w:t>
      </w:r>
      <w:r w:rsidRPr="00702F8F">
        <w:rPr>
          <w:i/>
          <w:iCs/>
          <w:noProof/>
        </w:rPr>
        <w:t>Nat. Genet.</w:t>
      </w:r>
      <w:r w:rsidRPr="00702F8F">
        <w:rPr>
          <w:noProof/>
        </w:rPr>
        <w:t xml:space="preserve"> </w:t>
      </w:r>
      <w:r w:rsidRPr="00702F8F">
        <w:rPr>
          <w:b/>
          <w:bCs/>
          <w:noProof/>
        </w:rPr>
        <w:t>50</w:t>
      </w:r>
      <w:r w:rsidRPr="00702F8F">
        <w:rPr>
          <w:noProof/>
        </w:rPr>
        <w:t>, (2018).</w:t>
      </w:r>
    </w:p>
    <w:p w14:paraId="3BDF096B" w14:textId="77777777" w:rsidR="009C232D" w:rsidRPr="00702F8F" w:rsidRDefault="009C232D" w:rsidP="009C232D">
      <w:pPr>
        <w:widowControl w:val="0"/>
        <w:autoSpaceDE w:val="0"/>
        <w:autoSpaceDN w:val="0"/>
        <w:adjustRightInd w:val="0"/>
        <w:ind w:left="640" w:hanging="640"/>
        <w:rPr>
          <w:noProof/>
        </w:rPr>
      </w:pPr>
      <w:r w:rsidRPr="00702F8F">
        <w:rPr>
          <w:noProof/>
        </w:rPr>
        <w:t>4.</w:t>
      </w:r>
      <w:r w:rsidRPr="00702F8F">
        <w:rPr>
          <w:noProof/>
        </w:rPr>
        <w:tab/>
        <w:t xml:space="preserve">Polimanti, R. </w:t>
      </w:r>
      <w:r w:rsidRPr="00702F8F">
        <w:rPr>
          <w:i/>
          <w:iCs/>
          <w:noProof/>
        </w:rPr>
        <w:t>et al.</w:t>
      </w:r>
      <w:r w:rsidRPr="00702F8F">
        <w:rPr>
          <w:noProof/>
        </w:rPr>
        <w:t xml:space="preserve"> Leveraging genome-wide data to investigate differences between opioid use vs. opioid dependence in 41,176 individuals from the Psychiatric Genomics Consortium. </w:t>
      </w:r>
      <w:r w:rsidRPr="00702F8F">
        <w:rPr>
          <w:i/>
          <w:iCs/>
          <w:noProof/>
        </w:rPr>
        <w:t>Mol. Psychiatry</w:t>
      </w:r>
      <w:r w:rsidRPr="00702F8F">
        <w:rPr>
          <w:noProof/>
        </w:rPr>
        <w:t xml:space="preserve"> (2020). doi:10.1038/s41380-020-0677-9</w:t>
      </w:r>
    </w:p>
    <w:p w14:paraId="767910C7" w14:textId="77777777" w:rsidR="009C232D" w:rsidRPr="00702F8F" w:rsidRDefault="009C232D" w:rsidP="009C232D">
      <w:pPr>
        <w:widowControl w:val="0"/>
        <w:autoSpaceDE w:val="0"/>
        <w:autoSpaceDN w:val="0"/>
        <w:adjustRightInd w:val="0"/>
        <w:ind w:left="640" w:hanging="640"/>
        <w:rPr>
          <w:noProof/>
        </w:rPr>
      </w:pPr>
      <w:r w:rsidRPr="00702F8F">
        <w:rPr>
          <w:noProof/>
        </w:rPr>
        <w:t>5.</w:t>
      </w:r>
      <w:r w:rsidRPr="00702F8F">
        <w:rPr>
          <w:noProof/>
        </w:rPr>
        <w:tab/>
        <w:t xml:space="preserve">Sanchez-Roige, S. </w:t>
      </w:r>
      <w:r w:rsidRPr="00702F8F">
        <w:rPr>
          <w:i/>
          <w:iCs/>
          <w:noProof/>
        </w:rPr>
        <w:t>et al.</w:t>
      </w:r>
      <w:r w:rsidRPr="00702F8F">
        <w:rPr>
          <w:noProof/>
        </w:rPr>
        <w:t xml:space="preserve"> Genome-wide association study meta-analysis of the alcohol use disorders identification test (AUDIT) in two population-based cohorts. </w:t>
      </w:r>
      <w:r w:rsidRPr="00702F8F">
        <w:rPr>
          <w:i/>
          <w:iCs/>
          <w:noProof/>
        </w:rPr>
        <w:t>Am. J. Psychiatry</w:t>
      </w:r>
      <w:r w:rsidRPr="00702F8F">
        <w:rPr>
          <w:noProof/>
        </w:rPr>
        <w:t xml:space="preserve"> </w:t>
      </w:r>
      <w:r w:rsidRPr="00702F8F">
        <w:rPr>
          <w:b/>
          <w:bCs/>
          <w:noProof/>
        </w:rPr>
        <w:t>176</w:t>
      </w:r>
      <w:r w:rsidRPr="00702F8F">
        <w:rPr>
          <w:noProof/>
        </w:rPr>
        <w:t>, (2019).</w:t>
      </w:r>
    </w:p>
    <w:p w14:paraId="1D85AA5D" w14:textId="77777777" w:rsidR="009C232D" w:rsidRPr="00702F8F" w:rsidRDefault="009C232D" w:rsidP="009C232D">
      <w:pPr>
        <w:widowControl w:val="0"/>
        <w:autoSpaceDE w:val="0"/>
        <w:autoSpaceDN w:val="0"/>
        <w:adjustRightInd w:val="0"/>
        <w:ind w:left="640" w:hanging="640"/>
        <w:rPr>
          <w:noProof/>
        </w:rPr>
      </w:pPr>
      <w:r w:rsidRPr="00702F8F">
        <w:rPr>
          <w:noProof/>
        </w:rPr>
        <w:t>6.</w:t>
      </w:r>
      <w:r w:rsidRPr="00702F8F">
        <w:rPr>
          <w:noProof/>
        </w:rPr>
        <w:tab/>
        <w:t xml:space="preserve">Johnson, E. C. </w:t>
      </w:r>
      <w:r w:rsidRPr="00702F8F">
        <w:rPr>
          <w:i/>
          <w:iCs/>
          <w:noProof/>
        </w:rPr>
        <w:t>et al.</w:t>
      </w:r>
      <w:r w:rsidRPr="00702F8F">
        <w:rPr>
          <w:noProof/>
        </w:rPr>
        <w:t xml:space="preserve"> A large-scale genome-wide association study meta-analysis of cannabis use disorder. </w:t>
      </w:r>
      <w:r w:rsidRPr="00702F8F">
        <w:rPr>
          <w:i/>
          <w:iCs/>
          <w:noProof/>
        </w:rPr>
        <w:t>The Lancet Psychiatry</w:t>
      </w:r>
      <w:r w:rsidRPr="00702F8F">
        <w:rPr>
          <w:noProof/>
        </w:rPr>
        <w:t xml:space="preserve"> (2020). doi:10.1016/S2215-0366(20)30339-4</w:t>
      </w:r>
    </w:p>
    <w:p w14:paraId="2BE5863B" w14:textId="77777777" w:rsidR="009C232D" w:rsidRPr="00702F8F" w:rsidRDefault="009C232D" w:rsidP="009C232D">
      <w:pPr>
        <w:widowControl w:val="0"/>
        <w:autoSpaceDE w:val="0"/>
        <w:autoSpaceDN w:val="0"/>
        <w:adjustRightInd w:val="0"/>
        <w:ind w:left="640" w:hanging="640"/>
        <w:rPr>
          <w:noProof/>
        </w:rPr>
      </w:pPr>
      <w:r w:rsidRPr="00702F8F">
        <w:rPr>
          <w:noProof/>
        </w:rPr>
        <w:t>7.</w:t>
      </w:r>
      <w:r w:rsidRPr="00702F8F">
        <w:rPr>
          <w:noProof/>
        </w:rPr>
        <w:tab/>
        <w:t xml:space="preserve">Wu, Y. </w:t>
      </w:r>
      <w:r w:rsidRPr="00702F8F">
        <w:rPr>
          <w:i/>
          <w:iCs/>
          <w:noProof/>
        </w:rPr>
        <w:t>et al.</w:t>
      </w:r>
      <w:r w:rsidRPr="00702F8F">
        <w:rPr>
          <w:noProof/>
        </w:rPr>
        <w:t xml:space="preserve"> Genome-wide association study of medication-use and associated disease in the UK Biobank. </w:t>
      </w:r>
      <w:r w:rsidRPr="00702F8F">
        <w:rPr>
          <w:i/>
          <w:iCs/>
          <w:noProof/>
        </w:rPr>
        <w:t>Nat. Commun.</w:t>
      </w:r>
      <w:r w:rsidRPr="00702F8F">
        <w:rPr>
          <w:noProof/>
        </w:rPr>
        <w:t xml:space="preserve"> (2019). doi:10.1038/s41467-019-09572-5</w:t>
      </w:r>
    </w:p>
    <w:p w14:paraId="2182E1B7" w14:textId="1F5B541C" w:rsidR="006979BC" w:rsidRPr="006979BC" w:rsidRDefault="009C232D" w:rsidP="009C232D">
      <w:pPr>
        <w:spacing w:before="0" w:after="0"/>
        <w:jc w:val="both"/>
        <w:rPr>
          <w:rFonts w:eastAsia="Times New Roman" w:cs="Times New Roman"/>
          <w:szCs w:val="24"/>
        </w:rPr>
      </w:pPr>
      <w:r>
        <w:rPr>
          <w:b/>
          <w:bCs/>
        </w:rPr>
        <w:fldChar w:fldCharType="end"/>
      </w:r>
    </w:p>
    <w:sectPr w:rsidR="006979BC" w:rsidRPr="006979BC" w:rsidSect="00834715">
      <w:type w:val="continuous"/>
      <w:pgSz w:w="12240" w:h="15840"/>
      <w:pgMar w:top="1138" w:right="1181" w:bottom="1138" w:left="1282" w:header="283"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9A307" w14:textId="77777777" w:rsidR="00A9649F" w:rsidRDefault="00A9649F" w:rsidP="00117666">
      <w:pPr>
        <w:spacing w:after="0"/>
      </w:pPr>
      <w:r>
        <w:separator/>
      </w:r>
    </w:p>
  </w:endnote>
  <w:endnote w:type="continuationSeparator" w:id="0">
    <w:p w14:paraId="527AEE48" w14:textId="77777777" w:rsidR="00A9649F" w:rsidRDefault="00A9649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3D87" w14:textId="7980A587" w:rsidR="000753C8" w:rsidRPr="00577C4C" w:rsidRDefault="000753C8">
    <w:pPr>
      <w:pStyle w:val="Footer"/>
      <w:rPr>
        <w:color w:val="C00000"/>
        <w:szCs w:val="24"/>
      </w:rPr>
    </w:pPr>
    <w:r>
      <w:rPr>
        <w:noProof/>
        <w:lang w:val="en-GB" w:eastAsia="en-GB"/>
      </w:rPr>
      <mc:AlternateContent>
        <mc:Choice Requires="wps">
          <w:drawing>
            <wp:anchor distT="0" distB="0" distL="114300" distR="114300" simplePos="0" relativeHeight="251665408" behindDoc="0" locked="0" layoutInCell="1" allowOverlap="1" wp14:anchorId="51D4B8BD" wp14:editId="575B1817">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14951C5" w14:textId="77777777" w:rsidR="000753C8" w:rsidRPr="00577C4C" w:rsidRDefault="000753C8">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D4B8BD" id="_x0000_t202" coordsize="21600,21600" o:spt="202" path="m,l,21600r21600,l21600,xe">
              <v:stroke joinstyle="miter"/>
              <v:path gradientshapeok="t" o:connecttype="rect"/>
            </v:shapetype>
            <v:shape id="Text Box 1"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14951C5" w14:textId="77777777" w:rsidR="000753C8" w:rsidRPr="00577C4C" w:rsidRDefault="000753C8">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BFF2" w14:textId="77777777" w:rsidR="000753C8" w:rsidRPr="00577C4C" w:rsidRDefault="000753C8">
    <w:pPr>
      <w:pStyle w:val="Foote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2C4AF3B6" wp14:editId="527467EE">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4D070C5" w14:textId="77777777" w:rsidR="000753C8" w:rsidRPr="00577C4C" w:rsidRDefault="000753C8">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4AF3B6"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74D070C5" w14:textId="77777777" w:rsidR="000753C8" w:rsidRPr="00577C4C" w:rsidRDefault="000753C8">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3C690" w14:textId="77777777" w:rsidR="00A9649F" w:rsidRDefault="00A9649F" w:rsidP="00117666">
      <w:pPr>
        <w:spacing w:after="0"/>
      </w:pPr>
      <w:r>
        <w:separator/>
      </w:r>
    </w:p>
  </w:footnote>
  <w:footnote w:type="continuationSeparator" w:id="0">
    <w:p w14:paraId="4451F1B4" w14:textId="77777777" w:rsidR="00A9649F" w:rsidRDefault="00A9649F"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9FCC" w14:textId="21BC8CCB" w:rsidR="000753C8" w:rsidRPr="007E3148" w:rsidRDefault="000753C8" w:rsidP="00A53000">
    <w:pPr>
      <w:pStyle w:val="Header"/>
    </w:pPr>
    <w:r w:rsidRPr="007E3148">
      <w:ptab w:relativeTo="margin" w:alignment="right" w:leader="none"/>
    </w:r>
    <w:r>
      <w:t>Substance abuse and the risk of severe COVID-19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A4BC" w14:textId="0C134A9F" w:rsidR="000753C8" w:rsidRPr="002A4B23" w:rsidRDefault="000753C8" w:rsidP="002A4B23">
    <w:pPr>
      <w:pStyle w:val="Header"/>
    </w:pPr>
    <w:r w:rsidRPr="007E3148">
      <w:ptab w:relativeTo="margin" w:alignment="right" w:leader="none"/>
    </w:r>
    <w:r>
      <w:t>Substance abuse and the risk of severe COVID-19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27F1" w14:textId="77777777" w:rsidR="000753C8" w:rsidRDefault="000753C8" w:rsidP="00A53000">
    <w:pPr>
      <w:pStyle w:val="Header"/>
    </w:pPr>
    <w:r w:rsidRPr="005A1D84">
      <w:rPr>
        <w:noProof/>
        <w:color w:val="A6A6A6" w:themeColor="background1" w:themeShade="A6"/>
        <w:lang w:val="en-GB" w:eastAsia="en-GB"/>
      </w:rPr>
      <w:drawing>
        <wp:inline distT="0" distB="0" distL="0" distR="0" wp14:anchorId="56C3F4FE" wp14:editId="369AA4D1">
          <wp:extent cx="1382534" cy="497091"/>
          <wp:effectExtent l="0" t="0" r="0" b="0"/>
          <wp:docPr id="4" name="Picture 4"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02A7CAC"/>
    <w:multiLevelType w:val="multilevel"/>
    <w:tmpl w:val="C6A8CCEA"/>
    <w:numStyleLink w:val="Headings"/>
  </w:abstractNum>
  <w:abstractNum w:abstractNumId="6"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BC6F29"/>
    <w:multiLevelType w:val="multilevel"/>
    <w:tmpl w:val="C6A8CCEA"/>
    <w:numStyleLink w:val="Headings"/>
  </w:abstractNum>
  <w:abstractNum w:abstractNumId="17"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21328095">
    <w:abstractNumId w:val="0"/>
  </w:num>
  <w:num w:numId="2" w16cid:durableId="479688409">
    <w:abstractNumId w:val="13"/>
  </w:num>
  <w:num w:numId="3" w16cid:durableId="1146432152">
    <w:abstractNumId w:val="1"/>
  </w:num>
  <w:num w:numId="4" w16cid:durableId="814492246">
    <w:abstractNumId w:val="15"/>
  </w:num>
  <w:num w:numId="5" w16cid:durableId="1559046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6834012">
    <w:abstractNumId w:val="10"/>
  </w:num>
  <w:num w:numId="7" w16cid:durableId="2026324410">
    <w:abstractNumId w:val="8"/>
  </w:num>
  <w:num w:numId="8" w16cid:durableId="1447650659">
    <w:abstractNumId w:val="6"/>
  </w:num>
  <w:num w:numId="9" w16cid:durableId="610163931">
    <w:abstractNumId w:val="9"/>
  </w:num>
  <w:num w:numId="10" w16cid:durableId="1946187773">
    <w:abstractNumId w:val="7"/>
  </w:num>
  <w:num w:numId="11" w16cid:durableId="1315404861">
    <w:abstractNumId w:val="2"/>
  </w:num>
  <w:num w:numId="12" w16cid:durableId="1110319213">
    <w:abstractNumId w:val="17"/>
  </w:num>
  <w:num w:numId="13" w16cid:durableId="762995031">
    <w:abstractNumId w:val="12"/>
  </w:num>
  <w:num w:numId="14" w16cid:durableId="949121804">
    <w:abstractNumId w:val="4"/>
  </w:num>
  <w:num w:numId="15" w16cid:durableId="911159429">
    <w:abstractNumId w:val="11"/>
  </w:num>
  <w:num w:numId="16" w16cid:durableId="673610086">
    <w:abstractNumId w:val="14"/>
  </w:num>
  <w:num w:numId="17" w16cid:durableId="837694680">
    <w:abstractNumId w:val="3"/>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18" w16cid:durableId="21288113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0182556">
    <w:abstractNumId w:val="5"/>
  </w:num>
  <w:num w:numId="20" w16cid:durableId="656760425">
    <w:abstractNumId w:val="16"/>
  </w:num>
  <w:num w:numId="21" w16cid:durableId="170070193">
    <w:abstractNumId w:val="3"/>
  </w:num>
  <w:num w:numId="22" w16cid:durableId="86392242">
    <w:abstractNumId w:val="3"/>
    <w:lvlOverride w:ilvl="0">
      <w:startOverride w:val="1"/>
      <w:lvl w:ilvl="0">
        <w:start w:val="1"/>
        <w:numFmt w:val="decimal"/>
        <w:pStyle w:val="Heading1"/>
        <w:lvlText w:val="%1"/>
        <w:lvlJc w:val="left"/>
        <w:pPr>
          <w:tabs>
            <w:tab w:val="num" w:pos="567"/>
          </w:tabs>
          <w:ind w:left="567" w:hanging="567"/>
        </w:pPr>
      </w:lvl>
    </w:lvlOverride>
    <w:lvlOverride w:ilvl="1">
      <w:startOverride w:val="1"/>
      <w:lvl w:ilvl="1">
        <w:start w:val="1"/>
        <w:numFmt w:val="decimal"/>
        <w:pStyle w:val="Heading2"/>
        <w:lvlText w:val="%1.%2"/>
        <w:lvlJc w:val="left"/>
        <w:pPr>
          <w:tabs>
            <w:tab w:val="num" w:pos="567"/>
          </w:tabs>
          <w:ind w:left="567" w:hanging="567"/>
        </w:p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21"/>
    <w:rsid w:val="00000AF5"/>
    <w:rsid w:val="00010449"/>
    <w:rsid w:val="000125C6"/>
    <w:rsid w:val="0001305A"/>
    <w:rsid w:val="0001615A"/>
    <w:rsid w:val="000266E0"/>
    <w:rsid w:val="00032BEC"/>
    <w:rsid w:val="00034304"/>
    <w:rsid w:val="00035434"/>
    <w:rsid w:val="0004555F"/>
    <w:rsid w:val="00045678"/>
    <w:rsid w:val="000458E4"/>
    <w:rsid w:val="00054562"/>
    <w:rsid w:val="00063D84"/>
    <w:rsid w:val="0006636D"/>
    <w:rsid w:val="00066A35"/>
    <w:rsid w:val="000740F4"/>
    <w:rsid w:val="000753C8"/>
    <w:rsid w:val="00077D53"/>
    <w:rsid w:val="00081394"/>
    <w:rsid w:val="000927D8"/>
    <w:rsid w:val="000A2481"/>
    <w:rsid w:val="000B34BD"/>
    <w:rsid w:val="000C3BBD"/>
    <w:rsid w:val="000C3C2B"/>
    <w:rsid w:val="000C7E2A"/>
    <w:rsid w:val="000D2DFA"/>
    <w:rsid w:val="000F4CFB"/>
    <w:rsid w:val="00117666"/>
    <w:rsid w:val="001223A7"/>
    <w:rsid w:val="00134256"/>
    <w:rsid w:val="001346E2"/>
    <w:rsid w:val="00136C68"/>
    <w:rsid w:val="00147395"/>
    <w:rsid w:val="001552C9"/>
    <w:rsid w:val="0016136E"/>
    <w:rsid w:val="00177D84"/>
    <w:rsid w:val="0018065D"/>
    <w:rsid w:val="001906BC"/>
    <w:rsid w:val="001964EF"/>
    <w:rsid w:val="00197346"/>
    <w:rsid w:val="001A20F7"/>
    <w:rsid w:val="001A76A7"/>
    <w:rsid w:val="001B1A2C"/>
    <w:rsid w:val="001C3B64"/>
    <w:rsid w:val="001C4FA1"/>
    <w:rsid w:val="001D5C23"/>
    <w:rsid w:val="001E6627"/>
    <w:rsid w:val="001E7D86"/>
    <w:rsid w:val="001F4C07"/>
    <w:rsid w:val="001F7427"/>
    <w:rsid w:val="00220AEA"/>
    <w:rsid w:val="00226954"/>
    <w:rsid w:val="00231CEC"/>
    <w:rsid w:val="00243C14"/>
    <w:rsid w:val="00247C00"/>
    <w:rsid w:val="002557C1"/>
    <w:rsid w:val="002629A3"/>
    <w:rsid w:val="00265660"/>
    <w:rsid w:val="00266479"/>
    <w:rsid w:val="00267D18"/>
    <w:rsid w:val="002751E4"/>
    <w:rsid w:val="002868E2"/>
    <w:rsid w:val="002869C3"/>
    <w:rsid w:val="002905F0"/>
    <w:rsid w:val="002936E4"/>
    <w:rsid w:val="00296B88"/>
    <w:rsid w:val="002A266C"/>
    <w:rsid w:val="002A4221"/>
    <w:rsid w:val="002A4B23"/>
    <w:rsid w:val="002B1FFA"/>
    <w:rsid w:val="002B4D42"/>
    <w:rsid w:val="002C05AD"/>
    <w:rsid w:val="002C4F6A"/>
    <w:rsid w:val="002C74CA"/>
    <w:rsid w:val="002D56CD"/>
    <w:rsid w:val="002D5B4F"/>
    <w:rsid w:val="002E5264"/>
    <w:rsid w:val="002E545D"/>
    <w:rsid w:val="002E6AF5"/>
    <w:rsid w:val="002F71EA"/>
    <w:rsid w:val="002F744D"/>
    <w:rsid w:val="003015BD"/>
    <w:rsid w:val="0030320E"/>
    <w:rsid w:val="00303DE6"/>
    <w:rsid w:val="00310124"/>
    <w:rsid w:val="00315FCD"/>
    <w:rsid w:val="003172B3"/>
    <w:rsid w:val="00323611"/>
    <w:rsid w:val="003333A9"/>
    <w:rsid w:val="00337F62"/>
    <w:rsid w:val="0034379C"/>
    <w:rsid w:val="00345AA7"/>
    <w:rsid w:val="003539C3"/>
    <w:rsid w:val="003541A0"/>
    <w:rsid w:val="003544FB"/>
    <w:rsid w:val="003550F1"/>
    <w:rsid w:val="003609C2"/>
    <w:rsid w:val="00362DDE"/>
    <w:rsid w:val="00365D63"/>
    <w:rsid w:val="00366AC4"/>
    <w:rsid w:val="003670B4"/>
    <w:rsid w:val="0036793B"/>
    <w:rsid w:val="00371685"/>
    <w:rsid w:val="00372682"/>
    <w:rsid w:val="003729CF"/>
    <w:rsid w:val="0037536B"/>
    <w:rsid w:val="00376CC5"/>
    <w:rsid w:val="00385F89"/>
    <w:rsid w:val="00392B1D"/>
    <w:rsid w:val="0039693B"/>
    <w:rsid w:val="003A40F5"/>
    <w:rsid w:val="003A4A11"/>
    <w:rsid w:val="003B32A2"/>
    <w:rsid w:val="003B4FAF"/>
    <w:rsid w:val="003B5665"/>
    <w:rsid w:val="003B7E1E"/>
    <w:rsid w:val="003C4670"/>
    <w:rsid w:val="003D2F2D"/>
    <w:rsid w:val="003D5B81"/>
    <w:rsid w:val="003E4D8E"/>
    <w:rsid w:val="003E5BF2"/>
    <w:rsid w:val="003F1594"/>
    <w:rsid w:val="00401590"/>
    <w:rsid w:val="00410E07"/>
    <w:rsid w:val="00422C94"/>
    <w:rsid w:val="00424C1D"/>
    <w:rsid w:val="0045018C"/>
    <w:rsid w:val="00454F80"/>
    <w:rsid w:val="0046078E"/>
    <w:rsid w:val="00463E3D"/>
    <w:rsid w:val="004645AE"/>
    <w:rsid w:val="0047255D"/>
    <w:rsid w:val="0047558A"/>
    <w:rsid w:val="004950C7"/>
    <w:rsid w:val="004A3B34"/>
    <w:rsid w:val="004B06C3"/>
    <w:rsid w:val="004B651C"/>
    <w:rsid w:val="004C298E"/>
    <w:rsid w:val="004C4254"/>
    <w:rsid w:val="004C7605"/>
    <w:rsid w:val="004D2FB4"/>
    <w:rsid w:val="004D3E33"/>
    <w:rsid w:val="004D3F09"/>
    <w:rsid w:val="004D64E4"/>
    <w:rsid w:val="004E46D8"/>
    <w:rsid w:val="004E74FE"/>
    <w:rsid w:val="004F5EDC"/>
    <w:rsid w:val="005225ED"/>
    <w:rsid w:val="005250F2"/>
    <w:rsid w:val="00532AEB"/>
    <w:rsid w:val="005401EB"/>
    <w:rsid w:val="00542480"/>
    <w:rsid w:val="00542E72"/>
    <w:rsid w:val="00543E2C"/>
    <w:rsid w:val="005737A5"/>
    <w:rsid w:val="0058602B"/>
    <w:rsid w:val="005903BA"/>
    <w:rsid w:val="005909EF"/>
    <w:rsid w:val="00591D1C"/>
    <w:rsid w:val="005A1D84"/>
    <w:rsid w:val="005A70EA"/>
    <w:rsid w:val="005B06D5"/>
    <w:rsid w:val="005C3963"/>
    <w:rsid w:val="005C7E8F"/>
    <w:rsid w:val="005D1840"/>
    <w:rsid w:val="005D35E4"/>
    <w:rsid w:val="005D658A"/>
    <w:rsid w:val="005D7910"/>
    <w:rsid w:val="005D7A9D"/>
    <w:rsid w:val="005E0A0C"/>
    <w:rsid w:val="005E29A0"/>
    <w:rsid w:val="005F2AEB"/>
    <w:rsid w:val="005F4311"/>
    <w:rsid w:val="005F5A5E"/>
    <w:rsid w:val="00610161"/>
    <w:rsid w:val="00611035"/>
    <w:rsid w:val="0062154F"/>
    <w:rsid w:val="006277FD"/>
    <w:rsid w:val="00627BBE"/>
    <w:rsid w:val="00631A8C"/>
    <w:rsid w:val="00651CA2"/>
    <w:rsid w:val="00653D60"/>
    <w:rsid w:val="00654D50"/>
    <w:rsid w:val="00657ED1"/>
    <w:rsid w:val="00660D05"/>
    <w:rsid w:val="006636E9"/>
    <w:rsid w:val="0066758F"/>
    <w:rsid w:val="00671D9A"/>
    <w:rsid w:val="00673952"/>
    <w:rsid w:val="00681821"/>
    <w:rsid w:val="00686C9D"/>
    <w:rsid w:val="006979BC"/>
    <w:rsid w:val="006B2D5B"/>
    <w:rsid w:val="006B361D"/>
    <w:rsid w:val="006B641B"/>
    <w:rsid w:val="006B7D14"/>
    <w:rsid w:val="006C062D"/>
    <w:rsid w:val="006C41E6"/>
    <w:rsid w:val="006D0949"/>
    <w:rsid w:val="006D5B93"/>
    <w:rsid w:val="00702DFC"/>
    <w:rsid w:val="00715C0A"/>
    <w:rsid w:val="00725A7D"/>
    <w:rsid w:val="0073085C"/>
    <w:rsid w:val="00733784"/>
    <w:rsid w:val="00733F06"/>
    <w:rsid w:val="0073720C"/>
    <w:rsid w:val="0074207E"/>
    <w:rsid w:val="00746505"/>
    <w:rsid w:val="007523CE"/>
    <w:rsid w:val="00752A47"/>
    <w:rsid w:val="007670FB"/>
    <w:rsid w:val="00773AE9"/>
    <w:rsid w:val="007746AE"/>
    <w:rsid w:val="00790BB3"/>
    <w:rsid w:val="00792043"/>
    <w:rsid w:val="007950B3"/>
    <w:rsid w:val="0079758A"/>
    <w:rsid w:val="00797DFB"/>
    <w:rsid w:val="00797EDD"/>
    <w:rsid w:val="007B0322"/>
    <w:rsid w:val="007C0E3F"/>
    <w:rsid w:val="007C206C"/>
    <w:rsid w:val="007C5729"/>
    <w:rsid w:val="007D284B"/>
    <w:rsid w:val="007E0491"/>
    <w:rsid w:val="007E6ADA"/>
    <w:rsid w:val="00810E6E"/>
    <w:rsid w:val="008111E4"/>
    <w:rsid w:val="0081142B"/>
    <w:rsid w:val="0081301C"/>
    <w:rsid w:val="00817DD6"/>
    <w:rsid w:val="0082398B"/>
    <w:rsid w:val="00834715"/>
    <w:rsid w:val="008556D9"/>
    <w:rsid w:val="00861409"/>
    <w:rsid w:val="0086273C"/>
    <w:rsid w:val="008629A9"/>
    <w:rsid w:val="00877ACC"/>
    <w:rsid w:val="0088513A"/>
    <w:rsid w:val="008927EE"/>
    <w:rsid w:val="008935E2"/>
    <w:rsid w:val="00893C19"/>
    <w:rsid w:val="008B661A"/>
    <w:rsid w:val="008D3722"/>
    <w:rsid w:val="008D6C8D"/>
    <w:rsid w:val="008E21F6"/>
    <w:rsid w:val="008E2B54"/>
    <w:rsid w:val="008E4404"/>
    <w:rsid w:val="008E58C7"/>
    <w:rsid w:val="008F435F"/>
    <w:rsid w:val="008F5021"/>
    <w:rsid w:val="0090599F"/>
    <w:rsid w:val="0092089D"/>
    <w:rsid w:val="00922552"/>
    <w:rsid w:val="009349C2"/>
    <w:rsid w:val="00941289"/>
    <w:rsid w:val="00942892"/>
    <w:rsid w:val="00943573"/>
    <w:rsid w:val="009452DF"/>
    <w:rsid w:val="009520EA"/>
    <w:rsid w:val="00955C26"/>
    <w:rsid w:val="00957505"/>
    <w:rsid w:val="00963768"/>
    <w:rsid w:val="00966A17"/>
    <w:rsid w:val="00970745"/>
    <w:rsid w:val="00971B61"/>
    <w:rsid w:val="00973FD7"/>
    <w:rsid w:val="00974BFF"/>
    <w:rsid w:val="00980C31"/>
    <w:rsid w:val="00986451"/>
    <w:rsid w:val="009955FF"/>
    <w:rsid w:val="00997293"/>
    <w:rsid w:val="009A28E0"/>
    <w:rsid w:val="009A36A6"/>
    <w:rsid w:val="009A4D4C"/>
    <w:rsid w:val="009B2013"/>
    <w:rsid w:val="009B3122"/>
    <w:rsid w:val="009B4AF3"/>
    <w:rsid w:val="009C0908"/>
    <w:rsid w:val="009C232D"/>
    <w:rsid w:val="009C27F0"/>
    <w:rsid w:val="009C40F3"/>
    <w:rsid w:val="009D259D"/>
    <w:rsid w:val="009D50ED"/>
    <w:rsid w:val="009E0E3A"/>
    <w:rsid w:val="009E1ADA"/>
    <w:rsid w:val="009E529F"/>
    <w:rsid w:val="00A07A34"/>
    <w:rsid w:val="00A1512E"/>
    <w:rsid w:val="00A20B67"/>
    <w:rsid w:val="00A20C36"/>
    <w:rsid w:val="00A22EC7"/>
    <w:rsid w:val="00A428E8"/>
    <w:rsid w:val="00A451CA"/>
    <w:rsid w:val="00A50D9D"/>
    <w:rsid w:val="00A53000"/>
    <w:rsid w:val="00A545C6"/>
    <w:rsid w:val="00A652D0"/>
    <w:rsid w:val="00A7146F"/>
    <w:rsid w:val="00A7381D"/>
    <w:rsid w:val="00A75F87"/>
    <w:rsid w:val="00A95D8B"/>
    <w:rsid w:val="00A9649F"/>
    <w:rsid w:val="00AB6956"/>
    <w:rsid w:val="00AC0270"/>
    <w:rsid w:val="00AC3EA3"/>
    <w:rsid w:val="00AC792D"/>
    <w:rsid w:val="00AD18A9"/>
    <w:rsid w:val="00B076B3"/>
    <w:rsid w:val="00B22A01"/>
    <w:rsid w:val="00B234D3"/>
    <w:rsid w:val="00B3227A"/>
    <w:rsid w:val="00B546F4"/>
    <w:rsid w:val="00B6366C"/>
    <w:rsid w:val="00B657B8"/>
    <w:rsid w:val="00B75DAB"/>
    <w:rsid w:val="00B822D3"/>
    <w:rsid w:val="00B84920"/>
    <w:rsid w:val="00B8556A"/>
    <w:rsid w:val="00B960AC"/>
    <w:rsid w:val="00BB3C2B"/>
    <w:rsid w:val="00BB6802"/>
    <w:rsid w:val="00BB7C4A"/>
    <w:rsid w:val="00BD4554"/>
    <w:rsid w:val="00BF6387"/>
    <w:rsid w:val="00C012A3"/>
    <w:rsid w:val="00C05DBB"/>
    <w:rsid w:val="00C138BC"/>
    <w:rsid w:val="00C16F19"/>
    <w:rsid w:val="00C20D77"/>
    <w:rsid w:val="00C24451"/>
    <w:rsid w:val="00C31896"/>
    <w:rsid w:val="00C51301"/>
    <w:rsid w:val="00C52A7B"/>
    <w:rsid w:val="00C52CA0"/>
    <w:rsid w:val="00C6324C"/>
    <w:rsid w:val="00C66BD9"/>
    <w:rsid w:val="00C679AA"/>
    <w:rsid w:val="00C724CF"/>
    <w:rsid w:val="00C75972"/>
    <w:rsid w:val="00C75B2D"/>
    <w:rsid w:val="00C81124"/>
    <w:rsid w:val="00C82172"/>
    <w:rsid w:val="00C82792"/>
    <w:rsid w:val="00C92110"/>
    <w:rsid w:val="00C948FD"/>
    <w:rsid w:val="00CB43D5"/>
    <w:rsid w:val="00CB57A5"/>
    <w:rsid w:val="00CC54C2"/>
    <w:rsid w:val="00CC6B39"/>
    <w:rsid w:val="00CC76F9"/>
    <w:rsid w:val="00CC7CE8"/>
    <w:rsid w:val="00CD066B"/>
    <w:rsid w:val="00CD46E2"/>
    <w:rsid w:val="00CE09A2"/>
    <w:rsid w:val="00CE3FC9"/>
    <w:rsid w:val="00CF12EA"/>
    <w:rsid w:val="00CF51DA"/>
    <w:rsid w:val="00CF6AF3"/>
    <w:rsid w:val="00D00D0B"/>
    <w:rsid w:val="00D01D72"/>
    <w:rsid w:val="00D02113"/>
    <w:rsid w:val="00D03FBC"/>
    <w:rsid w:val="00D04B69"/>
    <w:rsid w:val="00D34FFA"/>
    <w:rsid w:val="00D537FA"/>
    <w:rsid w:val="00D5547D"/>
    <w:rsid w:val="00D80D99"/>
    <w:rsid w:val="00D84E55"/>
    <w:rsid w:val="00D9503C"/>
    <w:rsid w:val="00DD73EF"/>
    <w:rsid w:val="00DE23E8"/>
    <w:rsid w:val="00E0128B"/>
    <w:rsid w:val="00E07D1A"/>
    <w:rsid w:val="00E12BAB"/>
    <w:rsid w:val="00E13973"/>
    <w:rsid w:val="00E21908"/>
    <w:rsid w:val="00E32CFE"/>
    <w:rsid w:val="00E61BBD"/>
    <w:rsid w:val="00E64E17"/>
    <w:rsid w:val="00E66D01"/>
    <w:rsid w:val="00EA2E91"/>
    <w:rsid w:val="00EA3D3C"/>
    <w:rsid w:val="00EA3EB8"/>
    <w:rsid w:val="00EA6F50"/>
    <w:rsid w:val="00EC20B4"/>
    <w:rsid w:val="00EC7CC3"/>
    <w:rsid w:val="00ED2895"/>
    <w:rsid w:val="00ED4642"/>
    <w:rsid w:val="00EF6C4A"/>
    <w:rsid w:val="00F0306E"/>
    <w:rsid w:val="00F0539A"/>
    <w:rsid w:val="00F119B9"/>
    <w:rsid w:val="00F1746F"/>
    <w:rsid w:val="00F24123"/>
    <w:rsid w:val="00F40990"/>
    <w:rsid w:val="00F45C32"/>
    <w:rsid w:val="00F46494"/>
    <w:rsid w:val="00F47840"/>
    <w:rsid w:val="00F51D3E"/>
    <w:rsid w:val="00F53123"/>
    <w:rsid w:val="00F558AB"/>
    <w:rsid w:val="00F56362"/>
    <w:rsid w:val="00F603C8"/>
    <w:rsid w:val="00F614AB"/>
    <w:rsid w:val="00F61D89"/>
    <w:rsid w:val="00F711FC"/>
    <w:rsid w:val="00F80816"/>
    <w:rsid w:val="00F8569B"/>
    <w:rsid w:val="00F86ABB"/>
    <w:rsid w:val="00F944D9"/>
    <w:rsid w:val="00F94841"/>
    <w:rsid w:val="00F95C44"/>
    <w:rsid w:val="00FA10D3"/>
    <w:rsid w:val="00FB3A35"/>
    <w:rsid w:val="00FB5FF4"/>
    <w:rsid w:val="00FB6B5A"/>
    <w:rsid w:val="00FB6BA9"/>
    <w:rsid w:val="00FD0B20"/>
    <w:rsid w:val="00FD7648"/>
    <w:rsid w:val="00FE3A1F"/>
    <w:rsid w:val="00FE6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59A7"/>
  <w15:docId w15:val="{B98209AD-3451-4824-82E1-1DFAFFB1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D99"/>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17"/>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3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unhideWhenUsed/>
    <w:rsid w:val="00725A7D"/>
    <w:rPr>
      <w:sz w:val="20"/>
      <w:szCs w:val="20"/>
    </w:rPr>
  </w:style>
  <w:style w:type="character" w:customStyle="1" w:styleId="CommentTextChar">
    <w:name w:val="Comment Text Char"/>
    <w:basedOn w:val="DefaultParagraphFont"/>
    <w:link w:val="CommentText"/>
    <w:uiPriority w:val="99"/>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6B361D"/>
    <w:rPr>
      <w:color w:val="605E5C"/>
      <w:shd w:val="clear" w:color="auto" w:fill="E1DFDD"/>
    </w:rPr>
  </w:style>
  <w:style w:type="table" w:customStyle="1" w:styleId="TableGrid1">
    <w:name w:val="Table Grid1"/>
    <w:basedOn w:val="TableNormal"/>
    <w:next w:val="TableGrid"/>
    <w:uiPriority w:val="39"/>
    <w:rsid w:val="006979BC"/>
    <w:pPr>
      <w:spacing w:after="0"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5742">
      <w:bodyDiv w:val="1"/>
      <w:marLeft w:val="0"/>
      <w:marRight w:val="0"/>
      <w:marTop w:val="0"/>
      <w:marBottom w:val="0"/>
      <w:divBdr>
        <w:top w:val="none" w:sz="0" w:space="0" w:color="auto"/>
        <w:left w:val="none" w:sz="0" w:space="0" w:color="auto"/>
        <w:bottom w:val="none" w:sz="0" w:space="0" w:color="auto"/>
        <w:right w:val="none" w:sz="0" w:space="0" w:color="auto"/>
      </w:divBdr>
      <w:divsChild>
        <w:div w:id="1876967495">
          <w:marLeft w:val="0"/>
          <w:marRight w:val="0"/>
          <w:marTop w:val="0"/>
          <w:marBottom w:val="0"/>
          <w:divBdr>
            <w:top w:val="none" w:sz="0" w:space="0" w:color="auto"/>
            <w:left w:val="none" w:sz="0" w:space="0" w:color="auto"/>
            <w:bottom w:val="none" w:sz="0" w:space="0" w:color="auto"/>
            <w:right w:val="none" w:sz="0" w:space="0" w:color="auto"/>
          </w:divBdr>
          <w:divsChild>
            <w:div w:id="1811629804">
              <w:marLeft w:val="0"/>
              <w:marRight w:val="0"/>
              <w:marTop w:val="0"/>
              <w:marBottom w:val="0"/>
              <w:divBdr>
                <w:top w:val="none" w:sz="0" w:space="0" w:color="auto"/>
                <w:left w:val="none" w:sz="0" w:space="0" w:color="auto"/>
                <w:bottom w:val="none" w:sz="0" w:space="0" w:color="auto"/>
                <w:right w:val="none" w:sz="0" w:space="0" w:color="auto"/>
              </w:divBdr>
              <w:divsChild>
                <w:div w:id="6596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75520655">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05195434">
      <w:bodyDiv w:val="1"/>
      <w:marLeft w:val="0"/>
      <w:marRight w:val="0"/>
      <w:marTop w:val="0"/>
      <w:marBottom w:val="0"/>
      <w:divBdr>
        <w:top w:val="none" w:sz="0" w:space="0" w:color="auto"/>
        <w:left w:val="none" w:sz="0" w:space="0" w:color="auto"/>
        <w:bottom w:val="none" w:sz="0" w:space="0" w:color="auto"/>
        <w:right w:val="none" w:sz="0" w:space="0" w:color="auto"/>
      </w:divBdr>
    </w:div>
    <w:div w:id="138570210">
      <w:bodyDiv w:val="1"/>
      <w:marLeft w:val="0"/>
      <w:marRight w:val="0"/>
      <w:marTop w:val="0"/>
      <w:marBottom w:val="0"/>
      <w:divBdr>
        <w:top w:val="none" w:sz="0" w:space="0" w:color="auto"/>
        <w:left w:val="none" w:sz="0" w:space="0" w:color="auto"/>
        <w:bottom w:val="none" w:sz="0" w:space="0" w:color="auto"/>
        <w:right w:val="none" w:sz="0" w:space="0" w:color="auto"/>
      </w:divBdr>
    </w:div>
    <w:div w:id="155850079">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195853168">
      <w:bodyDiv w:val="1"/>
      <w:marLeft w:val="0"/>
      <w:marRight w:val="0"/>
      <w:marTop w:val="0"/>
      <w:marBottom w:val="0"/>
      <w:divBdr>
        <w:top w:val="none" w:sz="0" w:space="0" w:color="auto"/>
        <w:left w:val="none" w:sz="0" w:space="0" w:color="auto"/>
        <w:bottom w:val="none" w:sz="0" w:space="0" w:color="auto"/>
        <w:right w:val="none" w:sz="0" w:space="0" w:color="auto"/>
      </w:divBdr>
    </w:div>
    <w:div w:id="228150210">
      <w:bodyDiv w:val="1"/>
      <w:marLeft w:val="0"/>
      <w:marRight w:val="0"/>
      <w:marTop w:val="0"/>
      <w:marBottom w:val="0"/>
      <w:divBdr>
        <w:top w:val="none" w:sz="0" w:space="0" w:color="auto"/>
        <w:left w:val="none" w:sz="0" w:space="0" w:color="auto"/>
        <w:bottom w:val="none" w:sz="0" w:space="0" w:color="auto"/>
        <w:right w:val="none" w:sz="0" w:space="0" w:color="auto"/>
      </w:divBdr>
    </w:div>
    <w:div w:id="236937103">
      <w:bodyDiv w:val="1"/>
      <w:marLeft w:val="0"/>
      <w:marRight w:val="0"/>
      <w:marTop w:val="0"/>
      <w:marBottom w:val="0"/>
      <w:divBdr>
        <w:top w:val="none" w:sz="0" w:space="0" w:color="auto"/>
        <w:left w:val="none" w:sz="0" w:space="0" w:color="auto"/>
        <w:bottom w:val="none" w:sz="0" w:space="0" w:color="auto"/>
        <w:right w:val="none" w:sz="0" w:space="0" w:color="auto"/>
      </w:divBdr>
    </w:div>
    <w:div w:id="288510353">
      <w:bodyDiv w:val="1"/>
      <w:marLeft w:val="0"/>
      <w:marRight w:val="0"/>
      <w:marTop w:val="0"/>
      <w:marBottom w:val="0"/>
      <w:divBdr>
        <w:top w:val="none" w:sz="0" w:space="0" w:color="auto"/>
        <w:left w:val="none" w:sz="0" w:space="0" w:color="auto"/>
        <w:bottom w:val="none" w:sz="0" w:space="0" w:color="auto"/>
        <w:right w:val="none" w:sz="0" w:space="0" w:color="auto"/>
      </w:divBdr>
    </w:div>
    <w:div w:id="317151345">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0279367">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00373977">
      <w:bodyDiv w:val="1"/>
      <w:marLeft w:val="0"/>
      <w:marRight w:val="0"/>
      <w:marTop w:val="0"/>
      <w:marBottom w:val="0"/>
      <w:divBdr>
        <w:top w:val="none" w:sz="0" w:space="0" w:color="auto"/>
        <w:left w:val="none" w:sz="0" w:space="0" w:color="auto"/>
        <w:bottom w:val="none" w:sz="0" w:space="0" w:color="auto"/>
        <w:right w:val="none" w:sz="0" w:space="0" w:color="auto"/>
      </w:divBdr>
    </w:div>
    <w:div w:id="474296269">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1407668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802578161">
      <w:bodyDiv w:val="1"/>
      <w:marLeft w:val="0"/>
      <w:marRight w:val="0"/>
      <w:marTop w:val="0"/>
      <w:marBottom w:val="0"/>
      <w:divBdr>
        <w:top w:val="none" w:sz="0" w:space="0" w:color="auto"/>
        <w:left w:val="none" w:sz="0" w:space="0" w:color="auto"/>
        <w:bottom w:val="none" w:sz="0" w:space="0" w:color="auto"/>
        <w:right w:val="none" w:sz="0" w:space="0" w:color="auto"/>
      </w:divBdr>
    </w:div>
    <w:div w:id="827984929">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947349244">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1043485675">
      <w:bodyDiv w:val="1"/>
      <w:marLeft w:val="0"/>
      <w:marRight w:val="0"/>
      <w:marTop w:val="0"/>
      <w:marBottom w:val="0"/>
      <w:divBdr>
        <w:top w:val="none" w:sz="0" w:space="0" w:color="auto"/>
        <w:left w:val="none" w:sz="0" w:space="0" w:color="auto"/>
        <w:bottom w:val="none" w:sz="0" w:space="0" w:color="auto"/>
        <w:right w:val="none" w:sz="0" w:space="0" w:color="auto"/>
      </w:divBdr>
    </w:div>
    <w:div w:id="1103497069">
      <w:bodyDiv w:val="1"/>
      <w:marLeft w:val="0"/>
      <w:marRight w:val="0"/>
      <w:marTop w:val="0"/>
      <w:marBottom w:val="0"/>
      <w:divBdr>
        <w:top w:val="none" w:sz="0" w:space="0" w:color="auto"/>
        <w:left w:val="none" w:sz="0" w:space="0" w:color="auto"/>
        <w:bottom w:val="none" w:sz="0" w:space="0" w:color="auto"/>
        <w:right w:val="none" w:sz="0" w:space="0" w:color="auto"/>
      </w:divBdr>
    </w:div>
    <w:div w:id="1181503515">
      <w:bodyDiv w:val="1"/>
      <w:marLeft w:val="0"/>
      <w:marRight w:val="0"/>
      <w:marTop w:val="0"/>
      <w:marBottom w:val="0"/>
      <w:divBdr>
        <w:top w:val="none" w:sz="0" w:space="0" w:color="auto"/>
        <w:left w:val="none" w:sz="0" w:space="0" w:color="auto"/>
        <w:bottom w:val="none" w:sz="0" w:space="0" w:color="auto"/>
        <w:right w:val="none" w:sz="0" w:space="0" w:color="auto"/>
      </w:divBdr>
    </w:div>
    <w:div w:id="1205173721">
      <w:bodyDiv w:val="1"/>
      <w:marLeft w:val="0"/>
      <w:marRight w:val="0"/>
      <w:marTop w:val="0"/>
      <w:marBottom w:val="0"/>
      <w:divBdr>
        <w:top w:val="none" w:sz="0" w:space="0" w:color="auto"/>
        <w:left w:val="none" w:sz="0" w:space="0" w:color="auto"/>
        <w:bottom w:val="none" w:sz="0" w:space="0" w:color="auto"/>
        <w:right w:val="none" w:sz="0" w:space="0" w:color="auto"/>
      </w:divBdr>
    </w:div>
    <w:div w:id="1220551834">
      <w:bodyDiv w:val="1"/>
      <w:marLeft w:val="0"/>
      <w:marRight w:val="0"/>
      <w:marTop w:val="0"/>
      <w:marBottom w:val="0"/>
      <w:divBdr>
        <w:top w:val="none" w:sz="0" w:space="0" w:color="auto"/>
        <w:left w:val="none" w:sz="0" w:space="0" w:color="auto"/>
        <w:bottom w:val="none" w:sz="0" w:space="0" w:color="auto"/>
        <w:right w:val="none" w:sz="0" w:space="0" w:color="auto"/>
      </w:divBdr>
    </w:div>
    <w:div w:id="1264460676">
      <w:bodyDiv w:val="1"/>
      <w:marLeft w:val="0"/>
      <w:marRight w:val="0"/>
      <w:marTop w:val="0"/>
      <w:marBottom w:val="0"/>
      <w:divBdr>
        <w:top w:val="none" w:sz="0" w:space="0" w:color="auto"/>
        <w:left w:val="none" w:sz="0" w:space="0" w:color="auto"/>
        <w:bottom w:val="none" w:sz="0" w:space="0" w:color="auto"/>
        <w:right w:val="none" w:sz="0" w:space="0" w:color="auto"/>
      </w:divBdr>
    </w:div>
    <w:div w:id="1332296949">
      <w:bodyDiv w:val="1"/>
      <w:marLeft w:val="0"/>
      <w:marRight w:val="0"/>
      <w:marTop w:val="0"/>
      <w:marBottom w:val="0"/>
      <w:divBdr>
        <w:top w:val="none" w:sz="0" w:space="0" w:color="auto"/>
        <w:left w:val="none" w:sz="0" w:space="0" w:color="auto"/>
        <w:bottom w:val="none" w:sz="0" w:space="0" w:color="auto"/>
        <w:right w:val="none" w:sz="0" w:space="0" w:color="auto"/>
      </w:divBdr>
    </w:div>
    <w:div w:id="1392969872">
      <w:bodyDiv w:val="1"/>
      <w:marLeft w:val="0"/>
      <w:marRight w:val="0"/>
      <w:marTop w:val="0"/>
      <w:marBottom w:val="0"/>
      <w:divBdr>
        <w:top w:val="none" w:sz="0" w:space="0" w:color="auto"/>
        <w:left w:val="none" w:sz="0" w:space="0" w:color="auto"/>
        <w:bottom w:val="none" w:sz="0" w:space="0" w:color="auto"/>
        <w:right w:val="none" w:sz="0" w:space="0" w:color="auto"/>
      </w:divBdr>
    </w:div>
    <w:div w:id="1437405367">
      <w:bodyDiv w:val="1"/>
      <w:marLeft w:val="0"/>
      <w:marRight w:val="0"/>
      <w:marTop w:val="0"/>
      <w:marBottom w:val="0"/>
      <w:divBdr>
        <w:top w:val="none" w:sz="0" w:space="0" w:color="auto"/>
        <w:left w:val="none" w:sz="0" w:space="0" w:color="auto"/>
        <w:bottom w:val="none" w:sz="0" w:space="0" w:color="auto"/>
        <w:right w:val="none" w:sz="0" w:space="0" w:color="auto"/>
      </w:divBdr>
    </w:div>
    <w:div w:id="1466392837">
      <w:bodyDiv w:val="1"/>
      <w:marLeft w:val="0"/>
      <w:marRight w:val="0"/>
      <w:marTop w:val="0"/>
      <w:marBottom w:val="0"/>
      <w:divBdr>
        <w:top w:val="none" w:sz="0" w:space="0" w:color="auto"/>
        <w:left w:val="none" w:sz="0" w:space="0" w:color="auto"/>
        <w:bottom w:val="none" w:sz="0" w:space="0" w:color="auto"/>
        <w:right w:val="none" w:sz="0" w:space="0" w:color="auto"/>
      </w:divBdr>
    </w:div>
    <w:div w:id="1506281688">
      <w:bodyDiv w:val="1"/>
      <w:marLeft w:val="0"/>
      <w:marRight w:val="0"/>
      <w:marTop w:val="0"/>
      <w:marBottom w:val="0"/>
      <w:divBdr>
        <w:top w:val="none" w:sz="0" w:space="0" w:color="auto"/>
        <w:left w:val="none" w:sz="0" w:space="0" w:color="auto"/>
        <w:bottom w:val="none" w:sz="0" w:space="0" w:color="auto"/>
        <w:right w:val="none" w:sz="0" w:space="0" w:color="auto"/>
      </w:divBdr>
    </w:div>
    <w:div w:id="1524518531">
      <w:bodyDiv w:val="1"/>
      <w:marLeft w:val="0"/>
      <w:marRight w:val="0"/>
      <w:marTop w:val="0"/>
      <w:marBottom w:val="0"/>
      <w:divBdr>
        <w:top w:val="none" w:sz="0" w:space="0" w:color="auto"/>
        <w:left w:val="none" w:sz="0" w:space="0" w:color="auto"/>
        <w:bottom w:val="none" w:sz="0" w:space="0" w:color="auto"/>
        <w:right w:val="none" w:sz="0" w:space="0" w:color="auto"/>
      </w:divBdr>
    </w:div>
    <w:div w:id="1596789876">
      <w:bodyDiv w:val="1"/>
      <w:marLeft w:val="0"/>
      <w:marRight w:val="0"/>
      <w:marTop w:val="0"/>
      <w:marBottom w:val="0"/>
      <w:divBdr>
        <w:top w:val="none" w:sz="0" w:space="0" w:color="auto"/>
        <w:left w:val="none" w:sz="0" w:space="0" w:color="auto"/>
        <w:bottom w:val="none" w:sz="0" w:space="0" w:color="auto"/>
        <w:right w:val="none" w:sz="0" w:space="0" w:color="auto"/>
      </w:divBdr>
    </w:div>
    <w:div w:id="1622103529">
      <w:bodyDiv w:val="1"/>
      <w:marLeft w:val="0"/>
      <w:marRight w:val="0"/>
      <w:marTop w:val="0"/>
      <w:marBottom w:val="0"/>
      <w:divBdr>
        <w:top w:val="none" w:sz="0" w:space="0" w:color="auto"/>
        <w:left w:val="none" w:sz="0" w:space="0" w:color="auto"/>
        <w:bottom w:val="none" w:sz="0" w:space="0" w:color="auto"/>
        <w:right w:val="none" w:sz="0" w:space="0" w:color="auto"/>
      </w:divBdr>
    </w:div>
    <w:div w:id="1674840488">
      <w:bodyDiv w:val="1"/>
      <w:marLeft w:val="0"/>
      <w:marRight w:val="0"/>
      <w:marTop w:val="0"/>
      <w:marBottom w:val="0"/>
      <w:divBdr>
        <w:top w:val="none" w:sz="0" w:space="0" w:color="auto"/>
        <w:left w:val="none" w:sz="0" w:space="0" w:color="auto"/>
        <w:bottom w:val="none" w:sz="0" w:space="0" w:color="auto"/>
        <w:right w:val="none" w:sz="0" w:space="0" w:color="auto"/>
      </w:divBdr>
    </w:div>
    <w:div w:id="1709834950">
      <w:bodyDiv w:val="1"/>
      <w:marLeft w:val="0"/>
      <w:marRight w:val="0"/>
      <w:marTop w:val="0"/>
      <w:marBottom w:val="0"/>
      <w:divBdr>
        <w:top w:val="none" w:sz="0" w:space="0" w:color="auto"/>
        <w:left w:val="none" w:sz="0" w:space="0" w:color="auto"/>
        <w:bottom w:val="none" w:sz="0" w:space="0" w:color="auto"/>
        <w:right w:val="none" w:sz="0" w:space="0" w:color="auto"/>
      </w:divBdr>
    </w:div>
    <w:div w:id="1747258994">
      <w:bodyDiv w:val="1"/>
      <w:marLeft w:val="0"/>
      <w:marRight w:val="0"/>
      <w:marTop w:val="0"/>
      <w:marBottom w:val="0"/>
      <w:divBdr>
        <w:top w:val="none" w:sz="0" w:space="0" w:color="auto"/>
        <w:left w:val="none" w:sz="0" w:space="0" w:color="auto"/>
        <w:bottom w:val="none" w:sz="0" w:space="0" w:color="auto"/>
        <w:right w:val="none" w:sz="0" w:space="0" w:color="auto"/>
      </w:divBdr>
    </w:div>
    <w:div w:id="1830755096">
      <w:bodyDiv w:val="1"/>
      <w:marLeft w:val="0"/>
      <w:marRight w:val="0"/>
      <w:marTop w:val="0"/>
      <w:marBottom w:val="0"/>
      <w:divBdr>
        <w:top w:val="none" w:sz="0" w:space="0" w:color="auto"/>
        <w:left w:val="none" w:sz="0" w:space="0" w:color="auto"/>
        <w:bottom w:val="none" w:sz="0" w:space="0" w:color="auto"/>
        <w:right w:val="none" w:sz="0" w:space="0" w:color="auto"/>
      </w:divBdr>
    </w:div>
    <w:div w:id="1846246067">
      <w:bodyDiv w:val="1"/>
      <w:marLeft w:val="0"/>
      <w:marRight w:val="0"/>
      <w:marTop w:val="0"/>
      <w:marBottom w:val="0"/>
      <w:divBdr>
        <w:top w:val="none" w:sz="0" w:space="0" w:color="auto"/>
        <w:left w:val="none" w:sz="0" w:space="0" w:color="auto"/>
        <w:bottom w:val="none" w:sz="0" w:space="0" w:color="auto"/>
        <w:right w:val="none" w:sz="0" w:space="0" w:color="auto"/>
      </w:divBdr>
    </w:div>
    <w:div w:id="1904677884">
      <w:bodyDiv w:val="1"/>
      <w:marLeft w:val="0"/>
      <w:marRight w:val="0"/>
      <w:marTop w:val="0"/>
      <w:marBottom w:val="0"/>
      <w:divBdr>
        <w:top w:val="none" w:sz="0" w:space="0" w:color="auto"/>
        <w:left w:val="none" w:sz="0" w:space="0" w:color="auto"/>
        <w:bottom w:val="none" w:sz="0" w:space="0" w:color="auto"/>
        <w:right w:val="none" w:sz="0" w:space="0" w:color="auto"/>
      </w:divBdr>
    </w:div>
    <w:div w:id="1942642970">
      <w:bodyDiv w:val="1"/>
      <w:marLeft w:val="0"/>
      <w:marRight w:val="0"/>
      <w:marTop w:val="0"/>
      <w:marBottom w:val="0"/>
      <w:divBdr>
        <w:top w:val="none" w:sz="0" w:space="0" w:color="auto"/>
        <w:left w:val="none" w:sz="0" w:space="0" w:color="auto"/>
        <w:bottom w:val="none" w:sz="0" w:space="0" w:color="auto"/>
        <w:right w:val="none" w:sz="0" w:space="0" w:color="auto"/>
      </w:divBdr>
    </w:div>
    <w:div w:id="2097943207">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 w:id="214716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ovid19hg.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67FB0C-CF11-E047-9A5E-BC006AF7A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Template>
  <TotalTime>31</TotalTime>
  <Pages>1</Pages>
  <Words>9446</Words>
  <Characters>53846</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Senn</dc:creator>
  <cp:keywords/>
  <dc:description/>
  <cp:lastModifiedBy>Sarah Wong</cp:lastModifiedBy>
  <cp:revision>20</cp:revision>
  <cp:lastPrinted>2022-10-12T20:56:00Z</cp:lastPrinted>
  <dcterms:created xsi:type="dcterms:W3CDTF">2022-10-12T20:59:00Z</dcterms:created>
  <dcterms:modified xsi:type="dcterms:W3CDTF">2022-11-11T14:08:00Z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d9c55077-ada8-3c1f-a4d6-d0f83b332fc3</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