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2"/>
        <w:rPr>
          <w:b w:val="0"/>
        </w:rPr>
      </w:pPr>
      <w:r>
        <w:t>Supplementary Material</w:t>
      </w:r>
    </w:p>
    <w:p>
      <w:pPr>
        <w:pStyle w:val="2"/>
      </w:pPr>
      <w:r>
        <w:t>Supplementary Tables</w:t>
      </w:r>
    </w:p>
    <w:p>
      <w:pPr>
        <w:keepNext/>
        <w:rPr>
          <w:rFonts w:cs="Times New Roman"/>
          <w:szCs w:val="24"/>
        </w:rPr>
      </w:pPr>
    </w:p>
    <w:p>
      <w:pPr>
        <w:spacing w:line="240" w:lineRule="auto"/>
        <w:jc w:val="center"/>
        <w:rPr>
          <w:rFonts w:cs="Times New Roman" w:eastAsiaTheme="majorEastAsia"/>
          <w:szCs w:val="24"/>
        </w:rPr>
      </w:pPr>
      <w:r>
        <w:rPr>
          <w:rFonts w:cs="Times New Roman" w:eastAsiaTheme="majorEastAsia"/>
          <w:b/>
          <w:bCs/>
          <w:szCs w:val="24"/>
        </w:rPr>
        <w:t xml:space="preserve">Table </w:t>
      </w:r>
      <w:r>
        <w:rPr>
          <w:rFonts w:hint="eastAsia" w:cs="Times New Roman" w:eastAsiaTheme="majorEastAsia"/>
          <w:b/>
          <w:bCs/>
          <w:szCs w:val="24"/>
          <w:lang w:eastAsia="zh-CN"/>
        </w:rPr>
        <w:t>S</w:t>
      </w:r>
      <w:r>
        <w:rPr>
          <w:rFonts w:cs="Times New Roman" w:eastAsiaTheme="majorEastAsia"/>
          <w:b/>
          <w:bCs/>
          <w:szCs w:val="24"/>
        </w:rPr>
        <w:t>1.</w:t>
      </w:r>
      <w:r>
        <w:rPr>
          <w:rFonts w:cs="Times New Roman" w:eastAsiaTheme="majorEastAsia"/>
          <w:szCs w:val="24"/>
        </w:rPr>
        <w:t xml:space="preserve"> Particle size (PS), polydispersity index (PDI) and zeta potential (ZP) of</w:t>
      </w:r>
    </w:p>
    <w:p>
      <w:pPr>
        <w:spacing w:line="240" w:lineRule="auto"/>
        <w:jc w:val="center"/>
        <w:rPr>
          <w:rFonts w:cs="Times New Roman" w:eastAsiaTheme="majorEastAsia"/>
          <w:szCs w:val="24"/>
        </w:rPr>
      </w:pPr>
      <w:r>
        <w:rPr>
          <w:rFonts w:cs="Times New Roman" w:eastAsiaTheme="majorEastAsia"/>
          <w:szCs w:val="24"/>
        </w:rPr>
        <w:t>NZP-CBD and FZP-CBD</w:t>
      </w:r>
      <w:bookmarkStart w:id="0" w:name="_Hlk147827439"/>
      <w:r>
        <w:rPr>
          <w:rFonts w:cs="Times New Roman" w:eastAsiaTheme="majorEastAsia"/>
          <w:szCs w:val="24"/>
        </w:rPr>
        <w:t xml:space="preserve"> (</w:t>
      </w:r>
      <w:r>
        <w:rPr>
          <w:rFonts w:cs="Times New Roman" w:eastAsiaTheme="majorEastAsia"/>
          <w:i/>
          <w:iCs/>
          <w:szCs w:val="24"/>
        </w:rPr>
        <w:t>n</w:t>
      </w:r>
      <w:r>
        <w:rPr>
          <w:rFonts w:cs="Times New Roman" w:eastAsiaTheme="majorEastAsia"/>
          <w:szCs w:val="24"/>
        </w:rPr>
        <w:t>=3</w:t>
      </w:r>
      <w:r>
        <w:rPr>
          <w:rFonts w:hint="eastAsia" w:cs="Times New Roman" w:eastAsiaTheme="majorEastAsia"/>
          <w:szCs w:val="24"/>
          <w:lang w:val="en-US" w:eastAsia="zh-CN"/>
        </w:rPr>
        <w:t>,</w:t>
      </w:r>
      <w:r>
        <w:rPr>
          <w:rFonts w:cs="Times New Roman" w:eastAsiaTheme="majorEastAsia"/>
          <w:szCs w:val="24"/>
        </w:rPr>
        <w:t xml:space="preserve"> </w:t>
      </w:r>
      <w:r>
        <w:rPr>
          <w:rFonts w:hint="eastAsia" w:cs="Times New Roman" w:eastAsiaTheme="majorEastAsia"/>
          <w:i/>
          <w:iCs/>
          <w:szCs w:val="24"/>
          <w:lang w:val="en-US" w:eastAsia="zh-CN"/>
        </w:rPr>
        <w:t>x</w:t>
      </w:r>
      <w:r>
        <w:rPr>
          <w:rFonts w:hint="eastAsia" w:cs="Times New Roman" w:eastAsiaTheme="majorEastAsia"/>
          <w:szCs w:val="24"/>
          <w:lang w:val="en-US" w:eastAsia="zh-CN"/>
        </w:rPr>
        <w:t xml:space="preserve">±s, </w:t>
      </w:r>
      <w:r>
        <w:rPr>
          <w:rFonts w:cs="Times New Roman" w:eastAsiaTheme="majorEastAsia"/>
          <w:szCs w:val="24"/>
          <w:vertAlign w:val="superscript"/>
        </w:rPr>
        <w:t>*</w:t>
      </w:r>
      <w:r>
        <w:rPr>
          <w:rFonts w:cs="Times New Roman" w:eastAsiaTheme="majorEastAsia"/>
          <w:i/>
          <w:iCs/>
          <w:szCs w:val="24"/>
        </w:rPr>
        <w:t>p</w:t>
      </w:r>
      <w:r>
        <w:rPr>
          <w:rFonts w:cs="Times New Roman" w:eastAsiaTheme="majorEastAsia"/>
          <w:szCs w:val="24"/>
        </w:rPr>
        <w:t>&lt;0.05,</w:t>
      </w:r>
      <w:r>
        <w:rPr>
          <w:rFonts w:cs="Times New Roman" w:eastAsiaTheme="majorEastAsia"/>
          <w:szCs w:val="24"/>
          <w:vertAlign w:val="superscript"/>
        </w:rPr>
        <w:t>**</w:t>
      </w:r>
      <w:r>
        <w:rPr>
          <w:rFonts w:cs="Times New Roman" w:eastAsiaTheme="majorEastAsia"/>
          <w:i/>
          <w:iCs/>
          <w:szCs w:val="24"/>
        </w:rPr>
        <w:t>p</w:t>
      </w:r>
      <w:r>
        <w:rPr>
          <w:rFonts w:cs="Times New Roman" w:eastAsiaTheme="majorEastAsia"/>
          <w:szCs w:val="24"/>
        </w:rPr>
        <w:t>&lt;0.01 compared with NZP-CBD).</w:t>
      </w:r>
      <w:bookmarkEnd w:id="0"/>
    </w:p>
    <w:tbl>
      <w:tblPr>
        <w:tblStyle w:val="21"/>
        <w:tblpPr w:leftFromText="180" w:rightFromText="180" w:vertAnchor="text" w:horzAnchor="page" w:tblpX="1957" w:tblpY="48"/>
        <w:tblOverlap w:val="never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hint="eastAsia" w:cs="Times New Roman" w:eastAsiaTheme="majorEastAsia"/>
                <w:szCs w:val="20"/>
                <w:lang w:eastAsia="zh-CN"/>
              </w:rPr>
              <w:t>G</w:t>
            </w:r>
            <w:r>
              <w:rPr>
                <w:rFonts w:cs="Times New Roman" w:eastAsiaTheme="majorEastAsia"/>
                <w:szCs w:val="20"/>
              </w:rPr>
              <w:t>roups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0"/>
              </w:rPr>
              <w:t>PS (nm)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0"/>
              </w:rPr>
              <w:t>ZP (mV)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0"/>
              </w:rPr>
              <w:t>PDI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N-L</w:t>
            </w:r>
          </w:p>
        </w:tc>
        <w:tc>
          <w:tcPr>
            <w:tcW w:w="2130" w:type="dxa"/>
            <w:tcBorders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111.60 ± 3.82</w:t>
            </w:r>
          </w:p>
        </w:tc>
        <w:tc>
          <w:tcPr>
            <w:tcW w:w="2131" w:type="dxa"/>
            <w:tcBorders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34.03 ± 1.43</w:t>
            </w:r>
          </w:p>
        </w:tc>
        <w:tc>
          <w:tcPr>
            <w:tcW w:w="2131" w:type="dxa"/>
            <w:tcBorders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0.17 ± 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F-L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158.73 ± 3.83</w:t>
            </w:r>
            <w:r>
              <w:rPr>
                <w:rFonts w:cs="Times New Roman" w:eastAsiaTheme="majorEastAsia"/>
                <w:szCs w:val="24"/>
                <w:vertAlign w:val="superscript"/>
              </w:rPr>
              <w:t>**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-45.43 ± 2.79</w:t>
            </w:r>
            <w:r>
              <w:rPr>
                <w:rFonts w:cs="Times New Roman" w:eastAsiaTheme="majorEastAsia"/>
                <w:szCs w:val="24"/>
                <w:vertAlign w:val="superscript"/>
              </w:rPr>
              <w:t>**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0.12 ± 0.01</w:t>
            </w:r>
            <w:r>
              <w:rPr>
                <w:rFonts w:cs="Times New Roman" w:eastAsiaTheme="majorEastAsia"/>
                <w:szCs w:val="24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N-M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173.00 ± 9.49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36.99 ± 1.79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0.17 ± 0.02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F-M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198.07 ± 3.80</w:t>
            </w:r>
            <w:r>
              <w:rPr>
                <w:rFonts w:cs="Times New Roman" w:eastAsiaTheme="majorEastAsia"/>
                <w:szCs w:val="24"/>
                <w:vertAlign w:val="superscript"/>
              </w:rPr>
              <w:t>**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-45.53 ± 4.61</w:t>
            </w:r>
            <w:r>
              <w:rPr>
                <w:rFonts w:cs="Times New Roman" w:eastAsiaTheme="majorEastAsia"/>
                <w:szCs w:val="24"/>
                <w:vertAlign w:val="superscript"/>
              </w:rPr>
              <w:t>**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0.15 ± 0.02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N-H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224.57 ± 6.30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38.10 ± 0.52</w:t>
            </w:r>
          </w:p>
        </w:tc>
        <w:tc>
          <w:tcPr>
            <w:tcW w:w="2131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0.23 ± 0.04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F-H</w:t>
            </w:r>
          </w:p>
        </w:tc>
        <w:tc>
          <w:tcPr>
            <w:tcW w:w="2130" w:type="dxa"/>
            <w:tcBorders>
              <w:top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203.93 ± 10.20</w:t>
            </w:r>
            <w:r>
              <w:rPr>
                <w:rFonts w:cs="Times New Roman" w:eastAsiaTheme="majorEastAsia"/>
                <w:szCs w:val="24"/>
                <w:vertAlign w:val="superscript"/>
              </w:rPr>
              <w:t>**</w:t>
            </w:r>
          </w:p>
        </w:tc>
        <w:tc>
          <w:tcPr>
            <w:tcW w:w="2131" w:type="dxa"/>
            <w:tcBorders>
              <w:top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-51.34 ± 2.34</w:t>
            </w:r>
            <w:r>
              <w:rPr>
                <w:rFonts w:cs="Times New Roman" w:eastAsiaTheme="majorEastAsia"/>
                <w:szCs w:val="24"/>
                <w:vertAlign w:val="superscript"/>
              </w:rPr>
              <w:t>**</w:t>
            </w:r>
          </w:p>
        </w:tc>
        <w:tc>
          <w:tcPr>
            <w:tcW w:w="2131" w:type="dxa"/>
            <w:tcBorders>
              <w:top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0.20 ± 0.21</w:t>
            </w:r>
          </w:p>
        </w:tc>
      </w:tr>
    </w:tbl>
    <w:p>
      <w:pPr>
        <w:spacing w:before="240"/>
        <w:sectPr>
          <w:headerReference r:id="rId6" w:type="first"/>
          <w:footerReference r:id="rId7" w:type="default"/>
          <w:headerReference r:id="rId5" w:type="even"/>
          <w:footerReference r:id="rId8" w:type="even"/>
          <w:pgSz w:w="12240" w:h="15840"/>
          <w:pgMar w:top="1138" w:right="1181" w:bottom="1138" w:left="1282" w:header="720" w:footer="720" w:gutter="0"/>
          <w:cols w:space="720" w:num="1"/>
          <w:titlePg/>
          <w:docGrid w:linePitch="360" w:charSpace="0"/>
        </w:sectPr>
      </w:pPr>
    </w:p>
    <w:p>
      <w:pPr>
        <w:spacing w:line="240" w:lineRule="auto"/>
        <w:jc w:val="center"/>
        <w:rPr>
          <w:rFonts w:cs="Times New Roman" w:eastAsiaTheme="majorEastAsia"/>
        </w:rPr>
      </w:pPr>
      <w:r>
        <w:rPr>
          <w:rFonts w:cs="Times New Roman" w:eastAsiaTheme="majorEastAsia"/>
          <w:b/>
          <w:bCs/>
        </w:rPr>
        <w:t xml:space="preserve">Table </w:t>
      </w:r>
      <w:r>
        <w:rPr>
          <w:rFonts w:hint="eastAsia" w:cs="Times New Roman" w:eastAsiaTheme="majorEastAsia"/>
          <w:b/>
          <w:bCs/>
          <w:lang w:eastAsia="zh-CN"/>
        </w:rPr>
        <w:t>S</w:t>
      </w:r>
      <w:r>
        <w:rPr>
          <w:rFonts w:cs="Times New Roman" w:eastAsiaTheme="majorEastAsia"/>
          <w:b/>
          <w:bCs/>
        </w:rPr>
        <w:t>2.</w:t>
      </w:r>
      <w:r>
        <w:rPr>
          <w:rFonts w:cs="Times New Roman" w:eastAsiaTheme="majorEastAsia"/>
        </w:rPr>
        <w:t xml:space="preserve"> Entrapment efficiency (EE%) and loading capacity (LC%)</w:t>
      </w:r>
      <w:r>
        <w:rPr>
          <w:rFonts w:cs="Times New Roman" w:eastAsiaTheme="majorEastAsia"/>
          <w:b/>
          <w:bCs/>
        </w:rPr>
        <w:t xml:space="preserve"> </w:t>
      </w:r>
      <w:r>
        <w:rPr>
          <w:rFonts w:cs="Times New Roman" w:eastAsiaTheme="majorEastAsia"/>
        </w:rPr>
        <w:t>of NZP-CBD</w:t>
      </w:r>
    </w:p>
    <w:p>
      <w:pPr>
        <w:spacing w:line="240" w:lineRule="auto"/>
        <w:jc w:val="center"/>
        <w:rPr>
          <w:rFonts w:cs="Times New Roman" w:eastAsiaTheme="majorEastAsia"/>
          <w:b/>
          <w:bCs/>
        </w:rPr>
      </w:pPr>
      <w:r>
        <w:rPr>
          <w:rFonts w:cs="Times New Roman" w:eastAsiaTheme="majorEastAsia"/>
        </w:rPr>
        <w:t>and FZP-CBD</w:t>
      </w:r>
      <w:r>
        <w:rPr>
          <w:rFonts w:cs="Times New Roman" w:eastAsiaTheme="majorEastAsia"/>
          <w:szCs w:val="24"/>
        </w:rPr>
        <w:t xml:space="preserve"> (</w:t>
      </w:r>
      <w:r>
        <w:rPr>
          <w:rFonts w:cs="Times New Roman" w:eastAsiaTheme="majorEastAsia"/>
          <w:i/>
          <w:iCs/>
          <w:szCs w:val="24"/>
        </w:rPr>
        <w:t>n</w:t>
      </w:r>
      <w:r>
        <w:rPr>
          <w:rFonts w:cs="Times New Roman" w:eastAsiaTheme="majorEastAsia"/>
          <w:szCs w:val="24"/>
        </w:rPr>
        <w:t>=3</w:t>
      </w:r>
      <w:r>
        <w:rPr>
          <w:rFonts w:hint="eastAsia" w:cs="Times New Roman" w:eastAsiaTheme="majorEastAsia"/>
          <w:szCs w:val="24"/>
          <w:lang w:val="en-US" w:eastAsia="zh-CN"/>
        </w:rPr>
        <w:t>,</w:t>
      </w:r>
      <w:r>
        <w:rPr>
          <w:rFonts w:cs="Times New Roman" w:eastAsiaTheme="majorEastAsia"/>
          <w:szCs w:val="24"/>
        </w:rPr>
        <w:t xml:space="preserve"> </w:t>
      </w:r>
      <w:r>
        <w:rPr>
          <w:rFonts w:hint="eastAsia" w:cs="Times New Roman" w:eastAsiaTheme="majorEastAsia"/>
          <w:i/>
          <w:iCs/>
          <w:szCs w:val="24"/>
          <w:lang w:val="en-US" w:eastAsia="zh-CN"/>
        </w:rPr>
        <w:t>x</w:t>
      </w:r>
      <w:r>
        <w:rPr>
          <w:rFonts w:hint="eastAsia" w:cs="Times New Roman" w:eastAsiaTheme="majorEastAsia"/>
          <w:szCs w:val="24"/>
          <w:lang w:val="en-US" w:eastAsia="zh-CN"/>
        </w:rPr>
        <w:t xml:space="preserve">±s, </w:t>
      </w:r>
      <w:r>
        <w:rPr>
          <w:rFonts w:cs="Times New Roman" w:eastAsiaTheme="majorEastAsia"/>
          <w:szCs w:val="24"/>
          <w:vertAlign w:val="superscript"/>
        </w:rPr>
        <w:t>*</w:t>
      </w:r>
      <w:r>
        <w:rPr>
          <w:rFonts w:cs="Times New Roman" w:eastAsiaTheme="majorEastAsia"/>
          <w:i/>
          <w:iCs/>
          <w:szCs w:val="24"/>
        </w:rPr>
        <w:t>p</w:t>
      </w:r>
      <w:r>
        <w:rPr>
          <w:rFonts w:cs="Times New Roman" w:eastAsiaTheme="majorEastAsia"/>
          <w:szCs w:val="24"/>
        </w:rPr>
        <w:t>&lt;0.05,</w:t>
      </w:r>
      <w:r>
        <w:rPr>
          <w:rFonts w:cs="Times New Roman" w:eastAsiaTheme="majorEastAsia"/>
          <w:szCs w:val="24"/>
          <w:vertAlign w:val="superscript"/>
        </w:rPr>
        <w:t>**</w:t>
      </w:r>
      <w:r>
        <w:rPr>
          <w:rFonts w:cs="Times New Roman" w:eastAsiaTheme="majorEastAsia"/>
          <w:i/>
          <w:iCs/>
          <w:szCs w:val="24"/>
        </w:rPr>
        <w:t>p</w:t>
      </w:r>
      <w:r>
        <w:rPr>
          <w:rFonts w:cs="Times New Roman" w:eastAsiaTheme="majorEastAsia"/>
          <w:szCs w:val="24"/>
        </w:rPr>
        <w:t>&lt;0.01 compared with NZP-CBD).</w:t>
      </w:r>
    </w:p>
    <w:tbl>
      <w:tblPr>
        <w:tblStyle w:val="21"/>
        <w:tblpPr w:leftFromText="180" w:rightFromText="180" w:vertAnchor="text" w:horzAnchor="page" w:tblpX="2173" w:tblpY="18"/>
        <w:tblOverlap w:val="never"/>
        <w:tblW w:w="808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559"/>
        <w:gridCol w:w="426"/>
        <w:gridCol w:w="2227"/>
        <w:gridCol w:w="202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0"/>
              </w:rPr>
              <w:t>groups</w:t>
            </w:r>
          </w:p>
        </w:tc>
        <w:tc>
          <w:tcPr>
            <w:tcW w:w="1985" w:type="dxa"/>
            <w:gridSpan w:val="2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i/>
                <w:iCs/>
                <w:szCs w:val="20"/>
              </w:rPr>
              <w:t>N</w:t>
            </w:r>
          </w:p>
        </w:tc>
        <w:tc>
          <w:tcPr>
            <w:tcW w:w="2227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0"/>
              </w:rPr>
              <w:t>EE (%)</w:t>
            </w:r>
          </w:p>
        </w:tc>
        <w:tc>
          <w:tcPr>
            <w:tcW w:w="2025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0"/>
              </w:rPr>
              <w:t>LC (%)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tcBorders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N-L</w:t>
            </w:r>
          </w:p>
        </w:tc>
        <w:tc>
          <w:tcPr>
            <w:tcW w:w="1559" w:type="dxa"/>
            <w:tcBorders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3</w:t>
            </w:r>
          </w:p>
        </w:tc>
        <w:tc>
          <w:tcPr>
            <w:tcW w:w="2653" w:type="dxa"/>
            <w:gridSpan w:val="2"/>
            <w:tcBorders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72.89 ± 5.55</w:t>
            </w:r>
          </w:p>
        </w:tc>
        <w:tc>
          <w:tcPr>
            <w:tcW w:w="2025" w:type="dxa"/>
            <w:tcBorders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29.30 ± 5.38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F-L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3</w:t>
            </w:r>
          </w:p>
        </w:tc>
        <w:tc>
          <w:tcPr>
            <w:tcW w:w="2653" w:type="dxa"/>
            <w:gridSpan w:val="2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92.23 ± 0.92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34.68 ± 3.32</w:t>
            </w:r>
            <w:r>
              <w:rPr>
                <w:rFonts w:cs="Times New Roman" w:eastAsiaTheme="majorEastAsia"/>
                <w:szCs w:val="24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N-M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3</w:t>
            </w:r>
          </w:p>
        </w:tc>
        <w:tc>
          <w:tcPr>
            <w:tcW w:w="2653" w:type="dxa"/>
            <w:gridSpan w:val="2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62.11 ± 2.42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36.86 ± 1.22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F-M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3</w:t>
            </w:r>
          </w:p>
        </w:tc>
        <w:tc>
          <w:tcPr>
            <w:tcW w:w="2653" w:type="dxa"/>
            <w:gridSpan w:val="2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86.14 ± 2.57</w:t>
            </w:r>
            <w:r>
              <w:rPr>
                <w:rFonts w:cs="Times New Roman" w:eastAsiaTheme="majorEastAsia"/>
                <w:szCs w:val="24"/>
                <w:vertAlign w:val="superscript"/>
              </w:rPr>
              <w:t>*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48.86 ± 0.87</w:t>
            </w:r>
            <w:r>
              <w:rPr>
                <w:rFonts w:cs="Times New Roman" w:eastAsiaTheme="majorEastAsia"/>
                <w:szCs w:val="24"/>
                <w:vertAlign w:val="superscript"/>
              </w:rPr>
              <w:t>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N-H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3</w:t>
            </w:r>
          </w:p>
        </w:tc>
        <w:tc>
          <w:tcPr>
            <w:tcW w:w="2653" w:type="dxa"/>
            <w:gridSpan w:val="2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79.27 ± 4.63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53.63 ± 3.67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tcBorders>
              <w:top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F-H</w:t>
            </w:r>
          </w:p>
        </w:tc>
        <w:tc>
          <w:tcPr>
            <w:tcW w:w="1559" w:type="dxa"/>
            <w:tcBorders>
              <w:top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3</w:t>
            </w:r>
          </w:p>
        </w:tc>
        <w:tc>
          <w:tcPr>
            <w:tcW w:w="2653" w:type="dxa"/>
            <w:gridSpan w:val="2"/>
            <w:tcBorders>
              <w:top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85.43 ± 3.71</w:t>
            </w:r>
          </w:p>
        </w:tc>
        <w:tc>
          <w:tcPr>
            <w:tcW w:w="2025" w:type="dxa"/>
            <w:tcBorders>
              <w:top w:val="nil"/>
            </w:tcBorders>
          </w:tcPr>
          <w:p>
            <w:pPr>
              <w:widowControl w:val="0"/>
              <w:jc w:val="both"/>
              <w:rPr>
                <w:rFonts w:cs="Times New Roman" w:eastAsiaTheme="majorEastAsia"/>
                <w:szCs w:val="24"/>
              </w:rPr>
            </w:pPr>
            <w:r>
              <w:rPr>
                <w:rFonts w:cs="Times New Roman" w:eastAsiaTheme="majorEastAsia"/>
                <w:szCs w:val="24"/>
              </w:rPr>
              <w:t>56.94 ± 2.47</w:t>
            </w:r>
          </w:p>
        </w:tc>
      </w:tr>
    </w:tbl>
    <w:p/>
    <w:p>
      <w:pPr>
        <w:spacing w:before="240"/>
        <w:sectPr>
          <w:pgSz w:w="12240" w:h="15840"/>
          <w:pgMar w:top="1138" w:right="1181" w:bottom="1138" w:left="1282" w:header="720" w:footer="720" w:gutter="0"/>
          <w:cols w:space="720" w:num="1"/>
          <w:titlePg/>
          <w:docGrid w:linePitch="360" w:charSpace="0"/>
        </w:sectPr>
      </w:pPr>
    </w:p>
    <w:p>
      <w:pPr>
        <w:spacing w:line="240" w:lineRule="auto"/>
        <w:jc w:val="center"/>
        <w:rPr>
          <w:rFonts w:cs="Times New Roman" w:eastAsiaTheme="majorEastAsia"/>
          <w:b/>
          <w:bCs/>
        </w:rPr>
      </w:pPr>
      <w:bookmarkStart w:id="1" w:name="_GoBack"/>
      <w:r>
        <w:rPr>
          <w:rFonts w:cs="Times New Roman" w:eastAsiaTheme="majorEastAsia"/>
          <w:b/>
          <w:bCs/>
        </w:rPr>
        <w:t xml:space="preserve">Table </w:t>
      </w:r>
      <w:r>
        <w:rPr>
          <w:rFonts w:hint="eastAsia" w:cs="Times New Roman" w:eastAsiaTheme="majorEastAsia"/>
          <w:b/>
          <w:bCs/>
        </w:rPr>
        <w:t>S</w:t>
      </w:r>
      <w:r>
        <w:rPr>
          <w:rFonts w:cs="Times New Roman" w:eastAsiaTheme="majorEastAsia"/>
          <w:b/>
          <w:bCs/>
        </w:rPr>
        <w:t>3.</w:t>
      </w:r>
      <w:r>
        <w:rPr>
          <w:rFonts w:cs="Times New Roman" w:eastAsiaTheme="majorEastAsia"/>
        </w:rPr>
        <w:t xml:space="preserve"> CBD related pharmacokinetic parameters </w:t>
      </w:r>
      <w:r>
        <w:rPr>
          <w:rFonts w:cs="Times New Roman" w:eastAsiaTheme="majorEastAsia"/>
          <w:szCs w:val="24"/>
        </w:rPr>
        <w:t xml:space="preserve"> (</w:t>
      </w:r>
      <w:r>
        <w:rPr>
          <w:rFonts w:cs="Times New Roman" w:eastAsiaTheme="majorEastAsia"/>
          <w:i/>
          <w:iCs/>
          <w:szCs w:val="24"/>
        </w:rPr>
        <w:t>n</w:t>
      </w:r>
      <w:r>
        <w:rPr>
          <w:rFonts w:cs="Times New Roman" w:eastAsiaTheme="majorEastAsia"/>
          <w:szCs w:val="24"/>
        </w:rPr>
        <w:t>=</w:t>
      </w:r>
      <w:r>
        <w:rPr>
          <w:rFonts w:hint="eastAsia" w:cs="Times New Roman" w:eastAsiaTheme="majorEastAsia"/>
          <w:szCs w:val="24"/>
          <w:lang w:val="en-US" w:eastAsia="zh-CN"/>
        </w:rPr>
        <w:t>6,</w:t>
      </w:r>
      <w:r>
        <w:rPr>
          <w:rFonts w:cs="Times New Roman" w:eastAsiaTheme="majorEastAsia"/>
          <w:szCs w:val="24"/>
        </w:rPr>
        <w:t xml:space="preserve"> </w:t>
      </w:r>
      <w:r>
        <w:rPr>
          <w:rFonts w:hint="eastAsia" w:cs="Times New Roman" w:eastAsiaTheme="majorEastAsia"/>
          <w:i/>
          <w:iCs/>
          <w:szCs w:val="24"/>
          <w:lang w:val="en-US" w:eastAsia="zh-CN"/>
        </w:rPr>
        <w:t>x</w:t>
      </w:r>
      <w:r>
        <w:rPr>
          <w:rFonts w:hint="eastAsia" w:cs="Times New Roman" w:eastAsiaTheme="majorEastAsia"/>
          <w:szCs w:val="24"/>
          <w:lang w:val="en-US" w:eastAsia="zh-CN"/>
        </w:rPr>
        <w:t xml:space="preserve">±s, </w:t>
      </w:r>
      <w:r>
        <w:rPr>
          <w:rFonts w:cs="Times New Roman" w:eastAsiaTheme="majorEastAsia"/>
          <w:szCs w:val="24"/>
          <w:vertAlign w:val="superscript"/>
        </w:rPr>
        <w:t>*</w:t>
      </w:r>
      <w:r>
        <w:rPr>
          <w:rFonts w:cs="Times New Roman" w:eastAsiaTheme="majorEastAsia"/>
          <w:i/>
          <w:iCs/>
          <w:szCs w:val="24"/>
        </w:rPr>
        <w:t>p</w:t>
      </w:r>
      <w:r>
        <w:rPr>
          <w:rFonts w:cs="Times New Roman" w:eastAsiaTheme="majorEastAsia"/>
          <w:szCs w:val="24"/>
        </w:rPr>
        <w:t>&lt;0.05,</w:t>
      </w:r>
      <w:r>
        <w:rPr>
          <w:rFonts w:cs="Times New Roman" w:eastAsiaTheme="majorEastAsia"/>
          <w:szCs w:val="24"/>
          <w:vertAlign w:val="superscript"/>
        </w:rPr>
        <w:t>**</w:t>
      </w:r>
      <w:r>
        <w:rPr>
          <w:rFonts w:cs="Times New Roman" w:eastAsiaTheme="majorEastAsia"/>
          <w:i/>
          <w:iCs/>
          <w:szCs w:val="24"/>
        </w:rPr>
        <w:t>p</w:t>
      </w:r>
      <w:r>
        <w:rPr>
          <w:rFonts w:cs="Times New Roman" w:eastAsiaTheme="majorEastAsia"/>
          <w:szCs w:val="24"/>
        </w:rPr>
        <w:t>&lt;0.01 compared with NZP-CBD).</w:t>
      </w:r>
    </w:p>
    <w:bookmarkEnd w:id="1"/>
    <w:tbl>
      <w:tblPr>
        <w:tblStyle w:val="20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5"/>
        <w:gridCol w:w="1789"/>
        <w:gridCol w:w="1942"/>
        <w:gridCol w:w="1896"/>
        <w:gridCol w:w="1897"/>
        <w:gridCol w:w="2016"/>
        <w:gridCol w:w="219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9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hint="eastAsia" w:cs="Times New Roman" w:eastAsiaTheme="majorEastAsia"/>
                <w:sz w:val="22"/>
                <w:lang w:eastAsia="zh-CN"/>
              </w:rPr>
              <w:t>P</w:t>
            </w:r>
            <w:r>
              <w:rPr>
                <w:rFonts w:cs="Times New Roman" w:eastAsiaTheme="majorEastAsia"/>
                <w:sz w:val="22"/>
              </w:rPr>
              <w:t>arameter</w:t>
            </w:r>
          </w:p>
        </w:tc>
        <w:tc>
          <w:tcPr>
            <w:tcW w:w="656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  <w:vertAlign w:val="superscript"/>
              </w:rPr>
            </w:pPr>
            <w:r>
              <w:rPr>
                <w:rFonts w:cs="Times New Roman" w:eastAsiaTheme="majorEastAsia"/>
                <w:sz w:val="22"/>
              </w:rPr>
              <w:t>2mg·mL</w:t>
            </w:r>
            <w:r>
              <w:rPr>
                <w:rFonts w:cs="Times New Roman" w:eastAsiaTheme="majorEastAsia"/>
                <w:sz w:val="22"/>
                <w:vertAlign w:val="superscript"/>
              </w:rPr>
              <w:t>-1</w:t>
            </w:r>
          </w:p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NZP-CBD</w:t>
            </w:r>
          </w:p>
        </w:tc>
        <w:tc>
          <w:tcPr>
            <w:tcW w:w="664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  <w:vertAlign w:val="superscript"/>
              </w:rPr>
            </w:pPr>
            <w:r>
              <w:rPr>
                <w:rFonts w:cs="Times New Roman" w:eastAsiaTheme="majorEastAsia"/>
                <w:sz w:val="22"/>
              </w:rPr>
              <w:t>2mg·mL</w:t>
            </w:r>
            <w:r>
              <w:rPr>
                <w:rFonts w:cs="Times New Roman" w:eastAsiaTheme="majorEastAsia"/>
                <w:sz w:val="22"/>
                <w:vertAlign w:val="superscript"/>
              </w:rPr>
              <w:t>-1</w:t>
            </w:r>
          </w:p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FZP-CBD</w:t>
            </w:r>
          </w:p>
        </w:tc>
        <w:tc>
          <w:tcPr>
            <w:tcW w:w="695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  <w:vertAlign w:val="superscript"/>
              </w:rPr>
            </w:pPr>
            <w:r>
              <w:rPr>
                <w:rFonts w:cs="Times New Roman" w:eastAsiaTheme="majorEastAsia"/>
                <w:sz w:val="22"/>
              </w:rPr>
              <w:t>5mg·mL</w:t>
            </w:r>
            <w:r>
              <w:rPr>
                <w:rFonts w:cs="Times New Roman" w:eastAsiaTheme="majorEastAsia"/>
                <w:sz w:val="22"/>
                <w:vertAlign w:val="superscript"/>
              </w:rPr>
              <w:t>-1</w:t>
            </w:r>
          </w:p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NZP-CBD</w:t>
            </w:r>
          </w:p>
        </w:tc>
        <w:tc>
          <w:tcPr>
            <w:tcW w:w="695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  <w:vertAlign w:val="superscript"/>
              </w:rPr>
            </w:pPr>
            <w:r>
              <w:rPr>
                <w:rFonts w:cs="Times New Roman" w:eastAsiaTheme="majorEastAsia"/>
                <w:sz w:val="22"/>
              </w:rPr>
              <w:t>5mg·mL</w:t>
            </w:r>
            <w:r>
              <w:rPr>
                <w:rFonts w:cs="Times New Roman" w:eastAsiaTheme="majorEastAsia"/>
                <w:sz w:val="22"/>
                <w:vertAlign w:val="superscript"/>
              </w:rPr>
              <w:t>-1</w:t>
            </w:r>
          </w:p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FZP-CBD</w:t>
            </w:r>
          </w:p>
        </w:tc>
        <w:tc>
          <w:tcPr>
            <w:tcW w:w="738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  <w:vertAlign w:val="superscript"/>
              </w:rPr>
            </w:pPr>
            <w:r>
              <w:rPr>
                <w:rFonts w:cs="Times New Roman" w:eastAsiaTheme="majorEastAsia"/>
                <w:sz w:val="22"/>
              </w:rPr>
              <w:t>10mg·mL</w:t>
            </w:r>
            <w:r>
              <w:rPr>
                <w:rFonts w:cs="Times New Roman" w:eastAsiaTheme="majorEastAsia"/>
                <w:sz w:val="22"/>
                <w:vertAlign w:val="superscript"/>
              </w:rPr>
              <w:t>-1</w:t>
            </w:r>
          </w:p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NZP-CBD</w:t>
            </w:r>
          </w:p>
        </w:tc>
        <w:tc>
          <w:tcPr>
            <w:tcW w:w="803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  <w:vertAlign w:val="superscript"/>
              </w:rPr>
            </w:pPr>
            <w:r>
              <w:rPr>
                <w:rFonts w:cs="Times New Roman" w:eastAsiaTheme="majorEastAsia"/>
                <w:sz w:val="22"/>
              </w:rPr>
              <w:t>10mg·mL</w:t>
            </w:r>
            <w:r>
              <w:rPr>
                <w:rFonts w:cs="Times New Roman" w:eastAsiaTheme="majorEastAsia"/>
                <w:sz w:val="22"/>
                <w:vertAlign w:val="superscript"/>
              </w:rPr>
              <w:t>-1</w:t>
            </w:r>
          </w:p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FZP-CBD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i/>
                <w:iCs/>
                <w:sz w:val="22"/>
              </w:rPr>
              <w:t>T</w:t>
            </w:r>
            <w:r>
              <w:rPr>
                <w:rFonts w:cs="Times New Roman" w:eastAsiaTheme="majorEastAsia"/>
                <w:sz w:val="22"/>
                <w:vertAlign w:val="subscript"/>
              </w:rPr>
              <w:t>1/2</w:t>
            </w:r>
            <w:r>
              <w:rPr>
                <w:rFonts w:cs="Times New Roman" w:eastAsiaTheme="majorEastAsia"/>
                <w:sz w:val="22"/>
              </w:rPr>
              <w:t>/h</w:t>
            </w:r>
          </w:p>
        </w:tc>
        <w:tc>
          <w:tcPr>
            <w:tcW w:w="65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5.60 ± 1.65</w:t>
            </w:r>
          </w:p>
        </w:tc>
        <w:tc>
          <w:tcPr>
            <w:tcW w:w="66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9.04 ± 2.59</w:t>
            </w:r>
          </w:p>
        </w:tc>
        <w:tc>
          <w:tcPr>
            <w:tcW w:w="69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7.15 ± 1.17</w:t>
            </w:r>
          </w:p>
        </w:tc>
        <w:tc>
          <w:tcPr>
            <w:tcW w:w="69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5.91 ± 1.40</w:t>
            </w:r>
          </w:p>
        </w:tc>
        <w:tc>
          <w:tcPr>
            <w:tcW w:w="73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7.25 ± 2.07</w:t>
            </w:r>
          </w:p>
        </w:tc>
        <w:tc>
          <w:tcPr>
            <w:tcW w:w="803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8.93 ± 3.29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i/>
                <w:iCs/>
                <w:sz w:val="22"/>
              </w:rPr>
              <w:t>C</w:t>
            </w:r>
            <w:r>
              <w:rPr>
                <w:rFonts w:cs="Times New Roman" w:eastAsiaTheme="majorEastAsia"/>
                <w:sz w:val="22"/>
                <w:vertAlign w:val="subscript"/>
              </w:rPr>
              <w:t>max</w:t>
            </w:r>
            <w:r>
              <w:rPr>
                <w:rFonts w:cs="Times New Roman" w:eastAsiaTheme="majorEastAsia"/>
                <w:sz w:val="22"/>
              </w:rPr>
              <w:t>/(μg·L</w:t>
            </w:r>
            <w:r>
              <w:rPr>
                <w:rFonts w:cs="Times New Roman" w:eastAsiaTheme="majorEastAsia"/>
                <w:sz w:val="22"/>
                <w:vertAlign w:val="superscript"/>
              </w:rPr>
              <w:t>-1</w:t>
            </w:r>
            <w:r>
              <w:rPr>
                <w:rFonts w:cs="Times New Roman" w:eastAsiaTheme="majorEastAsia"/>
                <w:sz w:val="22"/>
              </w:rPr>
              <w:t>）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240.57 ± 143.79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414.78 ± 184.06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542.28 ± 235.37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715.29 ± 191.68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1173.30 ± 316.96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1798.44 ± 854.54</w:t>
            </w:r>
            <w:r>
              <w:rPr>
                <w:rFonts w:cs="Times New Roman" w:eastAsiaTheme="majorEastAsia"/>
                <w:sz w:val="2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i/>
                <w:iCs/>
                <w:sz w:val="22"/>
              </w:rPr>
              <w:t>T</w:t>
            </w:r>
            <w:r>
              <w:rPr>
                <w:rFonts w:cs="Times New Roman" w:eastAsiaTheme="majorEastAsia"/>
                <w:sz w:val="22"/>
                <w:vertAlign w:val="subscript"/>
              </w:rPr>
              <w:t>max</w:t>
            </w:r>
            <w:r>
              <w:rPr>
                <w:rFonts w:cs="Times New Roman" w:eastAsiaTheme="majorEastAsia"/>
                <w:sz w:val="22"/>
              </w:rPr>
              <w:t>/h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0.92 ± 0.38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2.42 ± 2.48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4.67 ± 5.04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4.25 ± 2.44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5.75 ± 3.82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5.33 ± 4.46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AUC</w:t>
            </w:r>
            <w:r>
              <w:rPr>
                <w:rFonts w:cs="Times New Roman" w:eastAsiaTheme="majorEastAsia"/>
                <w:sz w:val="22"/>
                <w:vertAlign w:val="subscript"/>
              </w:rPr>
              <w:t>0-</w:t>
            </w:r>
            <w:r>
              <w:rPr>
                <w:rFonts w:cs="Times New Roman" w:eastAsiaTheme="majorEastAsia"/>
                <w:i/>
                <w:iCs/>
                <w:sz w:val="22"/>
                <w:vertAlign w:val="subscript"/>
              </w:rPr>
              <w:t>t</w:t>
            </w:r>
            <w:r>
              <w:rPr>
                <w:rFonts w:cs="Times New Roman" w:eastAsiaTheme="majorEastAsia"/>
                <w:sz w:val="22"/>
              </w:rPr>
              <w:t>/(h·μg·L</w:t>
            </w:r>
            <w:r>
              <w:rPr>
                <w:rFonts w:cs="Times New Roman" w:eastAsiaTheme="majorEastAsia"/>
                <w:sz w:val="22"/>
                <w:vertAlign w:val="superscript"/>
              </w:rPr>
              <w:t>-1</w:t>
            </w:r>
            <w:r>
              <w:rPr>
                <w:rFonts w:cs="Times New Roman" w:eastAsiaTheme="majorEastAsia"/>
                <w:sz w:val="22"/>
              </w:rPr>
              <w:t>）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1438.64 ± 557.13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20"/>
              <w:tblW w:w="1726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26"/>
            </w:tblGrid>
            <w:tr>
              <w:trPr>
                <w:trHeight w:val="347" w:hRule="atLeast"/>
              </w:trPr>
              <w:tc>
                <w:tcPr>
                  <w:tcW w:w="17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>
                  <w:pPr>
                    <w:ind w:left="220" w:hanging="220" w:hangingChars="100"/>
                    <w:jc w:val="center"/>
                    <w:textAlignment w:val="center"/>
                    <w:rPr>
                      <w:rFonts w:cs="Times New Roman" w:eastAsiaTheme="majorEastAsia"/>
                      <w:sz w:val="22"/>
                    </w:rPr>
                  </w:pPr>
                  <w:r>
                    <w:rPr>
                      <w:rFonts w:cs="Times New Roman" w:eastAsiaTheme="majorEastAsia"/>
                      <w:sz w:val="22"/>
                    </w:rPr>
                    <w:t>1955.24± 632.91</w:t>
                  </w:r>
                </w:p>
              </w:tc>
            </w:tr>
          </w:tbl>
          <w:p>
            <w:pPr>
              <w:jc w:val="center"/>
              <w:rPr>
                <w:rFonts w:cs="Times New Roman" w:eastAsiaTheme="majorEastAsia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6316.54 ± 2916.26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7255.19 ± 1573.81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15674.15 ± 4365.67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26633.96 ± 16479.72</w:t>
            </w:r>
            <w:r>
              <w:rPr>
                <w:rFonts w:cs="Times New Roman" w:eastAsiaTheme="majorEastAsia"/>
                <w:sz w:val="2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AUC</w:t>
            </w:r>
            <w:r>
              <w:rPr>
                <w:rFonts w:cs="Times New Roman" w:eastAsiaTheme="majorEastAsia"/>
                <w:sz w:val="22"/>
                <w:vertAlign w:val="subscript"/>
              </w:rPr>
              <w:t>0-</w:t>
            </w:r>
            <w:r>
              <w:rPr>
                <w:rFonts w:hint="eastAsia" w:ascii="宋体" w:hAnsi="宋体" w:eastAsia="宋体" w:cs="宋体"/>
                <w:sz w:val="22"/>
                <w:vertAlign w:val="subscript"/>
              </w:rPr>
              <w:t>∝</w:t>
            </w:r>
            <w:r>
              <w:rPr>
                <w:rFonts w:cs="Times New Roman" w:eastAsiaTheme="majorEastAsia"/>
                <w:sz w:val="22"/>
              </w:rPr>
              <w:t>/(h·μg·L</w:t>
            </w:r>
            <w:r>
              <w:rPr>
                <w:rFonts w:cs="Times New Roman" w:eastAsiaTheme="majorEastAsia"/>
                <w:sz w:val="22"/>
                <w:vertAlign w:val="superscript"/>
              </w:rPr>
              <w:t>-1</w:t>
            </w:r>
            <w:r>
              <w:rPr>
                <w:rFonts w:cs="Times New Roman" w:eastAsiaTheme="majorEastAsia"/>
                <w:sz w:val="22"/>
              </w:rPr>
              <w:t>）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1443.03 ± 553.87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1989.33 ± 653.50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6375.13 ± 2924.86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7292.54 ± 1601.87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15877.51 ± 4524.75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27137.06 ± 16822.83</w:t>
            </w:r>
            <w:r>
              <w:rPr>
                <w:rFonts w:cs="Times New Roman" w:eastAsiaTheme="majorEastAsia"/>
                <w:sz w:val="2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MRT</w:t>
            </w:r>
            <w:r>
              <w:rPr>
                <w:rFonts w:cs="Times New Roman" w:eastAsiaTheme="majorEastAsia"/>
                <w:sz w:val="22"/>
                <w:vertAlign w:val="subscript"/>
              </w:rPr>
              <w:t>0-</w:t>
            </w:r>
            <w:r>
              <w:rPr>
                <w:rFonts w:cs="Times New Roman" w:eastAsiaTheme="majorEastAsia"/>
                <w:i/>
                <w:iCs/>
                <w:sz w:val="22"/>
                <w:vertAlign w:val="subscript"/>
              </w:rPr>
              <w:t>t</w:t>
            </w:r>
            <w:r>
              <w:rPr>
                <w:rFonts w:cs="Times New Roman" w:eastAsiaTheme="majorEastAsia"/>
                <w:sz w:val="22"/>
              </w:rPr>
              <w:t>/h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9.00 ± 1.88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7.51 ± 1.55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9.57 ± 1.23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9.16 ± 1.81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12.42 ± 2.37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13.12 ± 3.50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MRT</w:t>
            </w:r>
            <w:r>
              <w:rPr>
                <w:rFonts w:cs="Times New Roman" w:eastAsiaTheme="majorEastAsia"/>
                <w:sz w:val="22"/>
                <w:vertAlign w:val="subscript"/>
              </w:rPr>
              <w:t>0-</w:t>
            </w:r>
            <w:r>
              <w:rPr>
                <w:rFonts w:hint="eastAsia" w:ascii="宋体" w:hAnsi="宋体" w:eastAsia="宋体" w:cs="宋体"/>
                <w:sz w:val="22"/>
                <w:vertAlign w:val="subscript"/>
              </w:rPr>
              <w:t>∝</w:t>
            </w:r>
            <w:r>
              <w:rPr>
                <w:rFonts w:cs="Times New Roman" w:eastAsiaTheme="majorEastAsia"/>
                <w:sz w:val="22"/>
              </w:rPr>
              <w:t>/h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9.23 ± 1.95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8.34 ± 1.66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10.11 ± 1.30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9.38 ± 1.89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12.94 ± 2.63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cs="Times New Roman" w:eastAsiaTheme="majorEastAsia"/>
                <w:sz w:val="22"/>
              </w:rPr>
              <w:t>14.07 ± 3.96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9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eastAsia="宋体" w:cs="Times New Roman"/>
                <w:sz w:val="22"/>
              </w:rPr>
              <w:t>F/%</w:t>
            </w:r>
          </w:p>
        </w:tc>
        <w:tc>
          <w:tcPr>
            <w:tcW w:w="65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eastAsia="宋体" w:cs="Times New Roman"/>
                <w:sz w:val="22"/>
              </w:rPr>
              <w:t>-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eastAsia="宋体" w:cs="Times New Roman"/>
                <w:sz w:val="22"/>
              </w:rPr>
              <w:t>135.9</w:t>
            </w:r>
          </w:p>
        </w:tc>
        <w:tc>
          <w:tcPr>
            <w:tcW w:w="695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eastAsia="宋体" w:cs="Times New Roman"/>
                <w:sz w:val="22"/>
              </w:rPr>
              <w:t>-</w:t>
            </w:r>
          </w:p>
        </w:tc>
        <w:tc>
          <w:tcPr>
            <w:tcW w:w="695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eastAsia="宋体" w:cs="Times New Roman"/>
                <w:sz w:val="22"/>
              </w:rPr>
              <w:t>114.9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eastAsia="宋体" w:cs="Times New Roman"/>
                <w:sz w:val="22"/>
              </w:rPr>
              <w:t>-</w:t>
            </w:r>
          </w:p>
        </w:tc>
        <w:tc>
          <w:tcPr>
            <w:tcW w:w="803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cs="Times New Roman" w:eastAsiaTheme="majorEastAsia"/>
                <w:sz w:val="22"/>
              </w:rPr>
            </w:pPr>
            <w:r>
              <w:rPr>
                <w:rFonts w:eastAsia="宋体" w:cs="Times New Roman"/>
                <w:sz w:val="22"/>
              </w:rPr>
              <w:t>169.6</w:t>
            </w:r>
          </w:p>
        </w:tc>
      </w:tr>
    </w:tbl>
    <w:p>
      <w:pPr>
        <w:spacing w:before="240"/>
      </w:pPr>
    </w:p>
    <w:sectPr>
      <w:pgSz w:w="15840" w:h="12240" w:orient="landscape"/>
      <w:pgMar w:top="1282" w:right="1138" w:bottom="1181" w:left="1138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0pt;margin-top:0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0pt;margin-top:0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b/>
        <w:color w:val="A6A6A6" w:themeColor="background1" w:themeShade="A6"/>
        <w:lang w:val="en-GB" w:eastAsia="en-GB"/>
      </w:rPr>
      <w:drawing>
        <wp:inline distT="0" distB="0" distL="0" distR="0">
          <wp:extent cx="1382395" cy="496570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attachedTemplate r:id="rId1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ZmMjk1ODAyNzQ3MDE1OGIyZWFiNzI4ZWNiNTRkZDUifQ=="/>
  </w:docVars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2DBA1452"/>
    <w:rsid w:val="50E9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31">
    <w:name w:val="Heading 1 Char"/>
    <w:basedOn w:val="22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Balloon Text Char"/>
    <w:basedOn w:val="22"/>
    <w:link w:val="12"/>
    <w:semiHidden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semiHidden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  <w:style w:type="paragraph" w:customStyle="1" w:styleId="53">
    <w:name w:val="Revision"/>
    <w:hidden/>
    <w:semiHidden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6.xml"/><Relationship Id="rId15" Type="http://schemas.openxmlformats.org/officeDocument/2006/relationships/customXml" Target="../customXml/item5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/>
</ds:datastoreItem>
</file>

<file path=customXml/itemProps3.xml><?xml version="1.0" encoding="utf-8"?>
<ds:datastoreItem xmlns:ds="http://schemas.openxmlformats.org/officeDocument/2006/customXml" ds:itemID="{4B2E0E22-D442-4EBE-AAA2-EDC8871E7B41}">
  <ds:schemaRefs/>
</ds:datastoreItem>
</file>

<file path=customXml/itemProps4.xml><?xml version="1.0" encoding="utf-8"?>
<ds:datastoreItem xmlns:ds="http://schemas.openxmlformats.org/officeDocument/2006/customXml" ds:itemID="{2558679B-78FB-42CD-A1EA-A99096AF5568}">
  <ds:schemaRefs/>
</ds:datastoreItem>
</file>

<file path=customXml/itemProps5.xml><?xml version="1.0" encoding="utf-8"?>
<ds:datastoreItem xmlns:ds="http://schemas.openxmlformats.org/officeDocument/2006/customXml" ds:itemID="{114314AF-3C36-4C2C-B599-40A76C6FFFC1}">
  <ds:schemaRefs/>
</ds:datastoreItem>
</file>

<file path=customXml/itemProps6.xml><?xml version="1.0" encoding="utf-8"?>
<ds:datastoreItem xmlns:ds="http://schemas.openxmlformats.org/officeDocument/2006/customXml" ds:itemID="{DFF441E3-103C-4487-877D-08CD22337C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3</Pages>
  <Words>125</Words>
  <Characters>695</Characters>
  <Lines>6</Lines>
  <Paragraphs>1</Paragraphs>
  <TotalTime>0</TotalTime>
  <ScaleCrop>false</ScaleCrop>
  <LinksUpToDate>false</LinksUpToDate>
  <CharactersWithSpaces>815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2022-11-17T16:58:00Z</dcterms:created>
  <dc:creator>Frontiers</dc:creator>
  <cp:lastModifiedBy>憨憨</cp:lastModifiedBy>
  <cp:lastPrinted>2013-10-03T12:51:00Z</cp:lastPrinted>
  <dcterms:modified xsi:type="dcterms:W3CDTF">2024-06-12T14:14:27Z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ProductBuildVer">
    <vt:lpwstr>2052-12.1.0.16929</vt:lpwstr>
  </property>
  <property fmtid="{D5CDD505-2E9C-101B-9397-08002B2CF9AE}" pid="11" name="ICV">
    <vt:lpwstr>D9DFDF2131BB4700811338FEB3C3967C_13</vt:lpwstr>
  </property>
</Properties>
</file>