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CA0C" w14:textId="45D77920" w:rsidR="00A50116" w:rsidRDefault="00F50A1A" w:rsidP="00A50116">
      <w:pPr>
        <w:keepNext/>
        <w:spacing w:after="120" w:line="240" w:lineRule="auto"/>
        <w:ind w:left="576" w:hanging="576"/>
        <w:jc w:val="center"/>
        <w:rPr>
          <w:rFonts w:ascii="Cambria" w:eastAsia="Cambria" w:hAnsi="Cambria" w:cstheme="minorHAnsi"/>
          <w:b/>
          <w:bCs/>
          <w:i/>
          <w:sz w:val="28"/>
          <w:szCs w:val="28"/>
        </w:rPr>
      </w:pPr>
      <w:r>
        <w:rPr>
          <w:rFonts w:ascii="Cambria" w:eastAsia="Cambria" w:hAnsi="Cambria" w:cstheme="minorHAnsi"/>
          <w:b/>
          <w:bCs/>
          <w:i/>
          <w:sz w:val="28"/>
          <w:szCs w:val="28"/>
        </w:rPr>
        <w:t>Supplementary Material</w:t>
      </w:r>
    </w:p>
    <w:p w14:paraId="5CE52AEA" w14:textId="3BBEB418" w:rsidR="00A50116" w:rsidRPr="00A50116" w:rsidRDefault="00A50116" w:rsidP="00A50116">
      <w:pPr>
        <w:keepNext/>
        <w:spacing w:after="120" w:line="240" w:lineRule="auto"/>
        <w:ind w:left="576" w:hanging="576"/>
        <w:jc w:val="center"/>
        <w:rPr>
          <w:rFonts w:ascii="Cambria" w:eastAsia="Cambria" w:hAnsi="Cambria" w:cstheme="minorHAnsi"/>
          <w:b/>
          <w:bCs/>
          <w:i/>
          <w:sz w:val="28"/>
          <w:szCs w:val="28"/>
        </w:rPr>
      </w:pPr>
      <w:r w:rsidRPr="00A50116">
        <w:rPr>
          <w:rFonts w:ascii="Cambria" w:eastAsia="Cambria" w:hAnsi="Cambria" w:cstheme="minorHAnsi"/>
          <w:b/>
          <w:bCs/>
          <w:i/>
          <w:sz w:val="28"/>
          <w:szCs w:val="28"/>
        </w:rPr>
        <w:t>Evaluations of Skin Permeability of Cannabidiol and Its Topical Formulations by Skin Membrane Based Parallel Artificial Membrane Permeability Assay and Franz Cell Diffusion Assay</w:t>
      </w:r>
      <w:r>
        <w:rPr>
          <w:rFonts w:ascii="Cambria" w:eastAsia="Cambria" w:hAnsi="Cambria" w:cstheme="minorHAnsi"/>
          <w:b/>
          <w:bCs/>
          <w:i/>
          <w:sz w:val="28"/>
          <w:szCs w:val="28"/>
        </w:rPr>
        <w:t xml:space="preserve"> </w:t>
      </w:r>
    </w:p>
    <w:p w14:paraId="1B6D019C" w14:textId="77777777" w:rsidR="00A50116" w:rsidRPr="00A50116" w:rsidRDefault="00A50116" w:rsidP="00A50116">
      <w:pPr>
        <w:keepNext/>
        <w:spacing w:after="120" w:line="240" w:lineRule="auto"/>
        <w:ind w:left="576" w:hanging="576"/>
        <w:jc w:val="center"/>
        <w:rPr>
          <w:rFonts w:eastAsia="Cambria" w:cstheme="minorHAnsi"/>
          <w:b/>
          <w:i/>
        </w:rPr>
      </w:pPr>
    </w:p>
    <w:p w14:paraId="3FE386A7" w14:textId="77777777" w:rsidR="00A50116" w:rsidRPr="00A50116" w:rsidRDefault="00A50116" w:rsidP="00A50116">
      <w:pPr>
        <w:spacing w:after="120" w:line="360" w:lineRule="auto"/>
        <w:jc w:val="center"/>
        <w:rPr>
          <w:rFonts w:eastAsia="Times New Roman" w:cstheme="minorHAnsi"/>
        </w:rPr>
      </w:pPr>
      <w:r w:rsidRPr="00A50116">
        <w:rPr>
          <w:rFonts w:eastAsia="Times New Roman" w:cstheme="minorHAnsi"/>
        </w:rPr>
        <w:t>Riley D. Kirk</w:t>
      </w:r>
      <w:r w:rsidRPr="00A50116">
        <w:rPr>
          <w:rFonts w:eastAsia="Times New Roman" w:cstheme="minorHAnsi"/>
          <w:vertAlign w:val="superscript"/>
        </w:rPr>
        <w:t>‡</w:t>
      </w:r>
      <w:r w:rsidRPr="00A50116">
        <w:rPr>
          <w:rFonts w:eastAsia="Times New Roman" w:cstheme="minorHAnsi"/>
        </w:rPr>
        <w:t>, Toyosi Akanji</w:t>
      </w:r>
      <w:r w:rsidRPr="00A50116">
        <w:rPr>
          <w:rFonts w:eastAsia="Times New Roman" w:cstheme="minorHAnsi"/>
          <w:vertAlign w:val="superscript"/>
        </w:rPr>
        <w:t>‡</w:t>
      </w:r>
      <w:r w:rsidRPr="00A50116">
        <w:rPr>
          <w:rFonts w:eastAsia="Times New Roman" w:cstheme="minorHAnsi"/>
        </w:rPr>
        <w:t>, Huifang Li, Jie Shen, Saleh Allababidi, Navindra P. Seeram, Matthew J. Bertin*, Hang Ma*</w:t>
      </w:r>
    </w:p>
    <w:p w14:paraId="16B18B5D" w14:textId="77777777" w:rsidR="00A50116" w:rsidRPr="00A50116" w:rsidRDefault="00A50116" w:rsidP="00A50116">
      <w:pPr>
        <w:spacing w:after="120" w:line="360" w:lineRule="auto"/>
        <w:jc w:val="center"/>
        <w:rPr>
          <w:rFonts w:eastAsia="Times New Roman" w:cstheme="minorHAnsi"/>
        </w:rPr>
      </w:pPr>
    </w:p>
    <w:p w14:paraId="343C2855" w14:textId="77777777" w:rsidR="00A50116" w:rsidRPr="00A50116" w:rsidRDefault="00A50116" w:rsidP="00A50116">
      <w:pPr>
        <w:spacing w:after="120" w:line="360" w:lineRule="auto"/>
        <w:ind w:left="144" w:hanging="144"/>
        <w:rPr>
          <w:rFonts w:eastAsia="Times New Roman" w:cstheme="minorHAnsi"/>
        </w:rPr>
      </w:pPr>
      <w:r w:rsidRPr="00A50116">
        <w:rPr>
          <w:rFonts w:eastAsia="Times New Roman" w:cstheme="minorHAnsi"/>
        </w:rPr>
        <w:t>Department of Biomedical and Pharmaceutical Sciences, College of Pharmacy, University of Rhode Island, Kingston, RI, USA</w:t>
      </w:r>
    </w:p>
    <w:p w14:paraId="02E40B8A"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vertAlign w:val="superscript"/>
        </w:rPr>
        <w:t xml:space="preserve">‡ </w:t>
      </w:r>
      <w:r w:rsidRPr="00A50116">
        <w:rPr>
          <w:rFonts w:eastAsia="Times New Roman" w:cstheme="minorHAnsi"/>
        </w:rPr>
        <w:t>Equal contribution</w:t>
      </w:r>
    </w:p>
    <w:p w14:paraId="019B6BA1"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 xml:space="preserve">Short Title: </w:t>
      </w:r>
      <w:r w:rsidRPr="00A50116">
        <w:rPr>
          <w:rFonts w:eastAsia="Times New Roman" w:cstheme="minorHAnsi"/>
          <w:i/>
        </w:rPr>
        <w:t>Skin Permeability of CBD and its formulations</w:t>
      </w:r>
    </w:p>
    <w:p w14:paraId="3B40D328" w14:textId="77777777" w:rsidR="00A50116" w:rsidRDefault="00A50116" w:rsidP="00A50116">
      <w:pPr>
        <w:spacing w:after="120" w:line="360" w:lineRule="auto"/>
        <w:rPr>
          <w:rFonts w:eastAsia="Times New Roman" w:cstheme="minorHAnsi"/>
        </w:rPr>
      </w:pPr>
      <w:r w:rsidRPr="00A50116">
        <w:rPr>
          <w:rFonts w:eastAsia="Times New Roman" w:cstheme="minorHAnsi"/>
        </w:rPr>
        <w:t>*Corresponding Authors:</w:t>
      </w:r>
    </w:p>
    <w:p w14:paraId="41F97848" w14:textId="77777777" w:rsidR="00A50116" w:rsidRPr="00A50116" w:rsidRDefault="00A50116" w:rsidP="00A50116">
      <w:pPr>
        <w:spacing w:after="120" w:line="360" w:lineRule="auto"/>
        <w:rPr>
          <w:rFonts w:eastAsia="Times New Roman" w:cstheme="minorHAnsi"/>
          <w:u w:val="single"/>
        </w:rPr>
      </w:pPr>
      <w:r w:rsidRPr="00A50116">
        <w:rPr>
          <w:rFonts w:eastAsia="Times New Roman" w:cstheme="minorHAnsi"/>
          <w:u w:val="single"/>
        </w:rPr>
        <w:t>Matthew J. Bertin, Ph.D.</w:t>
      </w:r>
    </w:p>
    <w:p w14:paraId="1A884B49"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 xml:space="preserve">Department of Biomedical and Pharmaceutical Sciences, University of Rhode Island </w:t>
      </w:r>
    </w:p>
    <w:p w14:paraId="79BCDCEC"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 xml:space="preserve">7 Greenhouse Rd, Kingston, RI 02881, USA </w:t>
      </w:r>
    </w:p>
    <w:p w14:paraId="5D744CC8"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Tel: +1-(401)874-5016</w:t>
      </w:r>
    </w:p>
    <w:p w14:paraId="51B28905"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E-mail: mbertin@uri.edu</w:t>
      </w:r>
    </w:p>
    <w:p w14:paraId="493F6207" w14:textId="77777777" w:rsidR="00A50116" w:rsidRPr="00A50116" w:rsidRDefault="00A50116" w:rsidP="00A50116">
      <w:pPr>
        <w:spacing w:after="120" w:line="360" w:lineRule="auto"/>
        <w:rPr>
          <w:rFonts w:eastAsia="Times New Roman" w:cstheme="minorHAnsi"/>
          <w:u w:val="single"/>
        </w:rPr>
      </w:pPr>
      <w:r w:rsidRPr="00A50116">
        <w:rPr>
          <w:rFonts w:eastAsia="Times New Roman" w:cstheme="minorHAnsi"/>
          <w:u w:val="single"/>
        </w:rPr>
        <w:t>Hang Ma, Ph.D.</w:t>
      </w:r>
    </w:p>
    <w:p w14:paraId="1FA07EE3"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 xml:space="preserve">Department of Biomedical and Pharmaceutical Sciences, University of Rhode Island </w:t>
      </w:r>
    </w:p>
    <w:p w14:paraId="6B3083DC"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 xml:space="preserve">7 Greenhouse Rd, Kingston, RI 02881, USA </w:t>
      </w:r>
    </w:p>
    <w:p w14:paraId="3F3F6E02"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Tel: +1-(401)874-2711</w:t>
      </w:r>
    </w:p>
    <w:p w14:paraId="7F6C0988" w14:textId="77777777" w:rsidR="00A50116" w:rsidRPr="00A50116" w:rsidRDefault="00A50116" w:rsidP="00A50116">
      <w:pPr>
        <w:spacing w:after="120" w:line="360" w:lineRule="auto"/>
        <w:rPr>
          <w:rFonts w:eastAsia="Times New Roman" w:cstheme="minorHAnsi"/>
        </w:rPr>
      </w:pPr>
      <w:r w:rsidRPr="00A50116">
        <w:rPr>
          <w:rFonts w:eastAsia="Times New Roman" w:cstheme="minorHAnsi"/>
        </w:rPr>
        <w:t>E-mail: hang_ma@uri.edu</w:t>
      </w:r>
    </w:p>
    <w:p w14:paraId="1EA7C2F9" w14:textId="77777777" w:rsidR="007D262F" w:rsidRPr="00C558AF" w:rsidRDefault="007D262F" w:rsidP="00C558AF">
      <w:pPr>
        <w:spacing w:line="480" w:lineRule="auto"/>
        <w:jc w:val="center"/>
        <w:rPr>
          <w:rFonts w:ascii="Times New Roman" w:hAnsi="Times New Roman" w:cs="Times New Roman"/>
          <w:b/>
          <w:bCs/>
          <w:sz w:val="24"/>
          <w:szCs w:val="24"/>
        </w:rPr>
      </w:pPr>
    </w:p>
    <w:p w14:paraId="116D826A" w14:textId="77777777" w:rsidR="00A50116" w:rsidRDefault="00A50116">
      <w:pPr>
        <w:rPr>
          <w:rFonts w:ascii="Times New Roman" w:hAnsi="Times New Roman" w:cs="Times New Roman"/>
          <w:b/>
          <w:bCs/>
          <w:sz w:val="24"/>
          <w:szCs w:val="24"/>
        </w:rPr>
      </w:pPr>
      <w:r>
        <w:rPr>
          <w:rFonts w:ascii="Times New Roman" w:hAnsi="Times New Roman" w:cs="Times New Roman"/>
          <w:b/>
          <w:bCs/>
          <w:sz w:val="24"/>
          <w:szCs w:val="24"/>
        </w:rPr>
        <w:br w:type="page"/>
      </w:r>
    </w:p>
    <w:p w14:paraId="164D0731" w14:textId="5EC6F338" w:rsidR="00CB7B10" w:rsidRPr="00A50116" w:rsidRDefault="007D262F" w:rsidP="00C558AF">
      <w:pPr>
        <w:spacing w:line="480" w:lineRule="auto"/>
        <w:rPr>
          <w:rFonts w:cstheme="minorHAnsi"/>
        </w:rPr>
      </w:pPr>
      <w:r w:rsidRPr="00A50116">
        <w:rPr>
          <w:rFonts w:cstheme="minorHAnsi"/>
          <w:b/>
          <w:bCs/>
        </w:rPr>
        <w:lastRenderedPageBreak/>
        <w:t>Table S1</w:t>
      </w:r>
      <w:r w:rsidRPr="00A50116">
        <w:rPr>
          <w:rFonts w:cstheme="minorHAnsi"/>
        </w:rPr>
        <w:t xml:space="preserve">: </w:t>
      </w:r>
      <w:bookmarkStart w:id="0" w:name="_Hlk92455454"/>
      <w:r w:rsidR="00CB7B10" w:rsidRPr="00A50116">
        <w:rPr>
          <w:rFonts w:cstheme="minorHAnsi"/>
        </w:rPr>
        <w:t>Comparison of the skin permeability of reference compounds by in silico p</w:t>
      </w:r>
      <w:r w:rsidRPr="00A50116">
        <w:rPr>
          <w:rFonts w:cstheme="minorHAnsi"/>
        </w:rPr>
        <w:t>redicti</w:t>
      </w:r>
      <w:r w:rsidR="00CB7B10" w:rsidRPr="00A50116">
        <w:rPr>
          <w:rFonts w:cstheme="minorHAnsi"/>
        </w:rPr>
        <w:t>on (SwissADME) and in vitro model (PAMPA)</w:t>
      </w:r>
      <w:r w:rsidR="001B58B9" w:rsidRPr="00A50116">
        <w:rPr>
          <w:rFonts w:cstheme="minorHAnsi"/>
        </w:rPr>
        <w:t>.</w:t>
      </w:r>
      <w:bookmarkStart w:id="1" w:name="_Toc77665716"/>
      <w:bookmarkEnd w:id="0"/>
    </w:p>
    <w:tbl>
      <w:tblPr>
        <w:tblW w:w="8325" w:type="dxa"/>
        <w:jc w:val="center"/>
        <w:tblBorders>
          <w:top w:val="single" w:sz="4" w:space="0" w:color="auto"/>
          <w:bottom w:val="single" w:sz="4" w:space="0" w:color="auto"/>
        </w:tblBorders>
        <w:tblLayout w:type="fixed"/>
        <w:tblLook w:val="0400" w:firstRow="0" w:lastRow="0" w:firstColumn="0" w:lastColumn="0" w:noHBand="0" w:noVBand="1"/>
      </w:tblPr>
      <w:tblGrid>
        <w:gridCol w:w="1790"/>
        <w:gridCol w:w="1740"/>
        <w:gridCol w:w="1179"/>
        <w:gridCol w:w="1179"/>
        <w:gridCol w:w="1337"/>
        <w:gridCol w:w="1100"/>
      </w:tblGrid>
      <w:tr w:rsidR="001B58B9" w:rsidRPr="00A50116" w14:paraId="6FAB91D8" w14:textId="77777777" w:rsidTr="00CB7B10">
        <w:trPr>
          <w:trHeight w:val="690"/>
          <w:jc w:val="center"/>
        </w:trPr>
        <w:tc>
          <w:tcPr>
            <w:tcW w:w="1790" w:type="dxa"/>
            <w:vMerge w:val="restart"/>
            <w:tcBorders>
              <w:top w:val="single" w:sz="4" w:space="0" w:color="auto"/>
              <w:bottom w:val="nil"/>
            </w:tcBorders>
            <w:shd w:val="clear" w:color="auto" w:fill="E7E6E6" w:themeFill="background2"/>
            <w:tcMar>
              <w:top w:w="72" w:type="dxa"/>
              <w:left w:w="144" w:type="dxa"/>
              <w:bottom w:w="72" w:type="dxa"/>
              <w:right w:w="144" w:type="dxa"/>
            </w:tcMar>
            <w:vAlign w:val="center"/>
          </w:tcPr>
          <w:bookmarkEnd w:id="1"/>
          <w:p w14:paraId="63436021" w14:textId="124B37BA" w:rsidR="001B58B9" w:rsidRPr="00A50116" w:rsidRDefault="00CB7B10" w:rsidP="00C558AF">
            <w:pPr>
              <w:spacing w:after="0" w:line="480" w:lineRule="auto"/>
              <w:rPr>
                <w:rFonts w:cstheme="minorHAnsi"/>
                <w:color w:val="000000"/>
              </w:rPr>
            </w:pPr>
            <w:r w:rsidRPr="00A50116">
              <w:rPr>
                <w:rFonts w:cstheme="minorHAnsi"/>
                <w:color w:val="000000"/>
              </w:rPr>
              <w:t>Reference c</w:t>
            </w:r>
            <w:r w:rsidR="001B58B9" w:rsidRPr="00A50116">
              <w:rPr>
                <w:rFonts w:cstheme="minorHAnsi"/>
                <w:color w:val="000000"/>
              </w:rPr>
              <w:t>ompounds</w:t>
            </w:r>
          </w:p>
        </w:tc>
        <w:tc>
          <w:tcPr>
            <w:tcW w:w="1740"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7957917C" w14:textId="77777777" w:rsidR="001B58B9" w:rsidRPr="00A50116" w:rsidRDefault="001B58B9" w:rsidP="00C558AF">
            <w:pPr>
              <w:spacing w:after="0" w:line="480" w:lineRule="auto"/>
              <w:jc w:val="center"/>
              <w:rPr>
                <w:rFonts w:cstheme="minorHAnsi"/>
                <w:color w:val="000000"/>
              </w:rPr>
            </w:pPr>
            <w:r w:rsidRPr="00A50116">
              <w:rPr>
                <w:rFonts w:cstheme="minorHAnsi"/>
                <w:color w:val="000000"/>
              </w:rPr>
              <w:t>Experimental</w:t>
            </w:r>
          </w:p>
          <w:p w14:paraId="2ACBBCFD" w14:textId="2F7549BE" w:rsidR="001B58B9" w:rsidRPr="00A50116" w:rsidRDefault="001B58B9" w:rsidP="00C558AF">
            <w:pPr>
              <w:spacing w:after="0" w:line="480" w:lineRule="auto"/>
              <w:jc w:val="center"/>
              <w:rPr>
                <w:rFonts w:cstheme="minorHAnsi"/>
                <w:color w:val="000000"/>
              </w:rPr>
            </w:pPr>
            <w:r w:rsidRPr="00A50116">
              <w:rPr>
                <w:rFonts w:cstheme="minorHAnsi"/>
                <w:color w:val="000000"/>
              </w:rPr>
              <w:t>(PAMPA)</w:t>
            </w:r>
          </w:p>
        </w:tc>
        <w:tc>
          <w:tcPr>
            <w:tcW w:w="4795" w:type="dxa"/>
            <w:gridSpan w:val="4"/>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351E8A47" w14:textId="6CFAAEEF" w:rsidR="001B58B9" w:rsidRPr="00A50116" w:rsidRDefault="001B58B9" w:rsidP="00C558AF">
            <w:pPr>
              <w:spacing w:after="0" w:line="480" w:lineRule="auto"/>
              <w:jc w:val="center"/>
              <w:rPr>
                <w:rFonts w:cstheme="minorHAnsi"/>
                <w:color w:val="000000"/>
              </w:rPr>
            </w:pPr>
            <w:r w:rsidRPr="00A50116">
              <w:rPr>
                <w:rFonts w:cstheme="minorHAnsi"/>
                <w:color w:val="000000"/>
              </w:rPr>
              <w:t>Prediction</w:t>
            </w:r>
          </w:p>
        </w:tc>
      </w:tr>
      <w:tr w:rsidR="001B58B9" w:rsidRPr="00A50116" w14:paraId="6FED706A" w14:textId="77777777" w:rsidTr="00CB7B10">
        <w:trPr>
          <w:trHeight w:val="690"/>
          <w:jc w:val="center"/>
        </w:trPr>
        <w:tc>
          <w:tcPr>
            <w:tcW w:w="1790" w:type="dxa"/>
            <w:vMerge/>
            <w:tcBorders>
              <w:top w:val="nil"/>
              <w:bottom w:val="single" w:sz="4" w:space="0" w:color="auto"/>
            </w:tcBorders>
            <w:shd w:val="clear" w:color="auto" w:fill="E7E6E6" w:themeFill="background2"/>
            <w:tcMar>
              <w:top w:w="72" w:type="dxa"/>
              <w:left w:w="144" w:type="dxa"/>
              <w:bottom w:w="72" w:type="dxa"/>
              <w:right w:w="144" w:type="dxa"/>
            </w:tcMar>
            <w:vAlign w:val="center"/>
          </w:tcPr>
          <w:p w14:paraId="76CB0CFD" w14:textId="79D4ACAE" w:rsidR="001B58B9" w:rsidRPr="00A50116" w:rsidRDefault="001B58B9" w:rsidP="00C558AF">
            <w:pPr>
              <w:spacing w:after="0" w:line="480" w:lineRule="auto"/>
              <w:rPr>
                <w:rFonts w:eastAsia="Arial" w:cstheme="minorHAnsi"/>
              </w:rPr>
            </w:pPr>
          </w:p>
        </w:tc>
        <w:tc>
          <w:tcPr>
            <w:tcW w:w="1740"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53C9180B" w14:textId="5F49D2FB" w:rsidR="001B58B9" w:rsidRPr="00A50116" w:rsidRDefault="001B58B9" w:rsidP="00C558AF">
            <w:pPr>
              <w:spacing w:after="0" w:line="480" w:lineRule="auto"/>
              <w:jc w:val="center"/>
              <w:rPr>
                <w:rFonts w:eastAsia="Arial" w:cstheme="minorHAnsi"/>
              </w:rPr>
            </w:pPr>
            <w:r w:rsidRPr="00A50116">
              <w:rPr>
                <w:rFonts w:cstheme="minorHAnsi"/>
                <w:color w:val="000000"/>
              </w:rPr>
              <w:t>-Log Pe</w:t>
            </w:r>
          </w:p>
        </w:tc>
        <w:tc>
          <w:tcPr>
            <w:tcW w:w="1179"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64AC4937" w14:textId="419AD610" w:rsidR="001B58B9" w:rsidRPr="00A50116" w:rsidRDefault="001B58B9" w:rsidP="00C558AF">
            <w:pPr>
              <w:spacing w:after="0" w:line="480" w:lineRule="auto"/>
              <w:jc w:val="center"/>
              <w:rPr>
                <w:rFonts w:eastAsia="Arial" w:cstheme="minorHAnsi"/>
              </w:rPr>
            </w:pPr>
            <w:r w:rsidRPr="00A50116">
              <w:rPr>
                <w:rFonts w:cstheme="minorHAnsi"/>
                <w:color w:val="000000"/>
              </w:rPr>
              <w:t>-Log Kp</w:t>
            </w:r>
          </w:p>
          <w:p w14:paraId="4081C069" w14:textId="77777777" w:rsidR="001B58B9" w:rsidRPr="00A50116" w:rsidRDefault="001B58B9" w:rsidP="00C558AF">
            <w:pPr>
              <w:spacing w:after="0" w:line="480" w:lineRule="auto"/>
              <w:jc w:val="center"/>
              <w:rPr>
                <w:rFonts w:eastAsia="Arial" w:cstheme="minorHAnsi"/>
              </w:rPr>
            </w:pPr>
            <w:r w:rsidRPr="00A50116">
              <w:rPr>
                <w:rFonts w:cstheme="minorHAnsi"/>
                <w:color w:val="000000"/>
              </w:rPr>
              <w:t>(cm/s)</w:t>
            </w:r>
          </w:p>
        </w:tc>
        <w:tc>
          <w:tcPr>
            <w:tcW w:w="1179"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4CBF5888" w14:textId="77777777" w:rsidR="001B58B9" w:rsidRPr="00A50116" w:rsidRDefault="001B58B9" w:rsidP="00C558AF">
            <w:pPr>
              <w:spacing w:after="0" w:line="480" w:lineRule="auto"/>
              <w:jc w:val="center"/>
              <w:rPr>
                <w:rFonts w:eastAsia="Arial" w:cstheme="minorHAnsi"/>
              </w:rPr>
            </w:pPr>
            <w:r w:rsidRPr="00A50116">
              <w:rPr>
                <w:rFonts w:cstheme="minorHAnsi"/>
                <w:color w:val="000000"/>
              </w:rPr>
              <w:t>Log Po/w</w:t>
            </w:r>
          </w:p>
        </w:tc>
        <w:tc>
          <w:tcPr>
            <w:tcW w:w="1337"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63B431D2" w14:textId="77777777" w:rsidR="001B58B9" w:rsidRPr="00A50116" w:rsidRDefault="001B58B9" w:rsidP="00C558AF">
            <w:pPr>
              <w:spacing w:after="0" w:line="480" w:lineRule="auto"/>
              <w:jc w:val="center"/>
              <w:rPr>
                <w:rFonts w:eastAsia="Arial" w:cstheme="minorHAnsi"/>
              </w:rPr>
            </w:pPr>
            <w:r w:rsidRPr="00A50116">
              <w:rPr>
                <w:rFonts w:cstheme="minorHAnsi"/>
                <w:color w:val="000000"/>
              </w:rPr>
              <w:t>-Log S (ESOL)</w:t>
            </w:r>
          </w:p>
        </w:tc>
        <w:tc>
          <w:tcPr>
            <w:tcW w:w="1100" w:type="dxa"/>
            <w:tcBorders>
              <w:top w:val="single" w:sz="4" w:space="0" w:color="auto"/>
              <w:bottom w:val="single" w:sz="4" w:space="0" w:color="auto"/>
            </w:tcBorders>
            <w:shd w:val="clear" w:color="auto" w:fill="E7E6E6" w:themeFill="background2"/>
            <w:tcMar>
              <w:top w:w="72" w:type="dxa"/>
              <w:left w:w="144" w:type="dxa"/>
              <w:bottom w:w="72" w:type="dxa"/>
              <w:right w:w="144" w:type="dxa"/>
            </w:tcMar>
            <w:vAlign w:val="center"/>
          </w:tcPr>
          <w:p w14:paraId="12E82C05" w14:textId="77777777" w:rsidR="001B58B9" w:rsidRPr="00A50116" w:rsidRDefault="001B58B9" w:rsidP="00C558AF">
            <w:pPr>
              <w:spacing w:after="0" w:line="480" w:lineRule="auto"/>
              <w:jc w:val="center"/>
              <w:rPr>
                <w:rFonts w:eastAsia="Arial" w:cstheme="minorHAnsi"/>
              </w:rPr>
            </w:pPr>
            <w:r w:rsidRPr="00A50116">
              <w:rPr>
                <w:rFonts w:cstheme="minorHAnsi"/>
                <w:color w:val="000000"/>
              </w:rPr>
              <w:t>-Log S (Ali)</w:t>
            </w:r>
          </w:p>
        </w:tc>
      </w:tr>
      <w:tr w:rsidR="001B58B9" w:rsidRPr="00A50116" w14:paraId="0AADA087" w14:textId="77777777" w:rsidTr="001B58B9">
        <w:trPr>
          <w:trHeight w:val="351"/>
          <w:jc w:val="center"/>
        </w:trPr>
        <w:tc>
          <w:tcPr>
            <w:tcW w:w="1790" w:type="dxa"/>
            <w:tcBorders>
              <w:top w:val="single" w:sz="4" w:space="0" w:color="auto"/>
            </w:tcBorders>
            <w:shd w:val="clear" w:color="auto" w:fill="auto"/>
            <w:tcMar>
              <w:top w:w="72" w:type="dxa"/>
              <w:left w:w="144" w:type="dxa"/>
              <w:bottom w:w="72" w:type="dxa"/>
              <w:right w:w="144" w:type="dxa"/>
            </w:tcMar>
            <w:vAlign w:val="center"/>
          </w:tcPr>
          <w:p w14:paraId="02FE7FFB" w14:textId="77777777" w:rsidR="007D262F" w:rsidRPr="00A50116" w:rsidRDefault="007D262F" w:rsidP="00C558AF">
            <w:pPr>
              <w:spacing w:after="0" w:line="480" w:lineRule="auto"/>
              <w:rPr>
                <w:rFonts w:eastAsia="Arial" w:cstheme="minorHAnsi"/>
              </w:rPr>
            </w:pPr>
            <w:r w:rsidRPr="00A50116">
              <w:rPr>
                <w:rFonts w:cstheme="minorHAnsi"/>
                <w:color w:val="000000"/>
              </w:rPr>
              <w:t>Warfarin</w:t>
            </w:r>
          </w:p>
        </w:tc>
        <w:tc>
          <w:tcPr>
            <w:tcW w:w="1740" w:type="dxa"/>
            <w:tcBorders>
              <w:top w:val="single" w:sz="4" w:space="0" w:color="auto"/>
            </w:tcBorders>
            <w:shd w:val="clear" w:color="auto" w:fill="auto"/>
            <w:tcMar>
              <w:top w:w="72" w:type="dxa"/>
              <w:left w:w="144" w:type="dxa"/>
              <w:bottom w:w="72" w:type="dxa"/>
              <w:right w:w="144" w:type="dxa"/>
            </w:tcMar>
            <w:vAlign w:val="center"/>
          </w:tcPr>
          <w:p w14:paraId="78808231"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-6.00</w:t>
            </w:r>
          </w:p>
        </w:tc>
        <w:tc>
          <w:tcPr>
            <w:tcW w:w="1179" w:type="dxa"/>
            <w:tcBorders>
              <w:top w:val="single" w:sz="4" w:space="0" w:color="auto"/>
            </w:tcBorders>
            <w:shd w:val="clear" w:color="auto" w:fill="auto"/>
            <w:tcMar>
              <w:top w:w="72" w:type="dxa"/>
              <w:left w:w="144" w:type="dxa"/>
              <w:bottom w:w="72" w:type="dxa"/>
              <w:right w:w="144" w:type="dxa"/>
            </w:tcMar>
            <w:vAlign w:val="center"/>
          </w:tcPr>
          <w:p w14:paraId="750F92FA"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-6.26</w:t>
            </w:r>
          </w:p>
        </w:tc>
        <w:tc>
          <w:tcPr>
            <w:tcW w:w="1179" w:type="dxa"/>
            <w:tcBorders>
              <w:top w:val="single" w:sz="4" w:space="0" w:color="auto"/>
            </w:tcBorders>
            <w:shd w:val="clear" w:color="auto" w:fill="auto"/>
            <w:tcMar>
              <w:top w:w="72" w:type="dxa"/>
              <w:left w:w="144" w:type="dxa"/>
              <w:bottom w:w="72" w:type="dxa"/>
              <w:right w:w="144" w:type="dxa"/>
            </w:tcMar>
            <w:vAlign w:val="center"/>
          </w:tcPr>
          <w:p w14:paraId="7186776E"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2.41</w:t>
            </w:r>
          </w:p>
        </w:tc>
        <w:tc>
          <w:tcPr>
            <w:tcW w:w="1337" w:type="dxa"/>
            <w:tcBorders>
              <w:top w:val="single" w:sz="4" w:space="0" w:color="auto"/>
            </w:tcBorders>
            <w:shd w:val="clear" w:color="auto" w:fill="auto"/>
            <w:tcMar>
              <w:top w:w="72" w:type="dxa"/>
              <w:left w:w="144" w:type="dxa"/>
              <w:bottom w:w="72" w:type="dxa"/>
              <w:right w:w="144" w:type="dxa"/>
            </w:tcMar>
            <w:vAlign w:val="center"/>
          </w:tcPr>
          <w:p w14:paraId="4EA0A57B"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-3.70</w:t>
            </w:r>
          </w:p>
        </w:tc>
        <w:tc>
          <w:tcPr>
            <w:tcW w:w="1100" w:type="dxa"/>
            <w:tcBorders>
              <w:top w:val="single" w:sz="4" w:space="0" w:color="auto"/>
            </w:tcBorders>
            <w:shd w:val="clear" w:color="auto" w:fill="auto"/>
            <w:tcMar>
              <w:top w:w="72" w:type="dxa"/>
              <w:left w:w="144" w:type="dxa"/>
              <w:bottom w:w="72" w:type="dxa"/>
              <w:right w:w="144" w:type="dxa"/>
            </w:tcMar>
            <w:vAlign w:val="center"/>
          </w:tcPr>
          <w:p w14:paraId="03F93688"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-3.77</w:t>
            </w:r>
          </w:p>
        </w:tc>
      </w:tr>
      <w:tr w:rsidR="001B58B9" w:rsidRPr="00A50116" w14:paraId="216319C9" w14:textId="77777777" w:rsidTr="001B58B9">
        <w:trPr>
          <w:trHeight w:val="349"/>
          <w:jc w:val="center"/>
        </w:trPr>
        <w:tc>
          <w:tcPr>
            <w:tcW w:w="1790" w:type="dxa"/>
            <w:shd w:val="clear" w:color="auto" w:fill="auto"/>
            <w:tcMar>
              <w:top w:w="72" w:type="dxa"/>
              <w:left w:w="144" w:type="dxa"/>
              <w:bottom w:w="72" w:type="dxa"/>
              <w:right w:w="144" w:type="dxa"/>
            </w:tcMar>
            <w:vAlign w:val="center"/>
          </w:tcPr>
          <w:p w14:paraId="41F41975" w14:textId="77777777" w:rsidR="007D262F" w:rsidRPr="00A50116" w:rsidRDefault="007D262F" w:rsidP="00C558AF">
            <w:pPr>
              <w:spacing w:after="0" w:line="480" w:lineRule="auto"/>
              <w:rPr>
                <w:rFonts w:eastAsia="Arial" w:cstheme="minorHAnsi"/>
              </w:rPr>
            </w:pPr>
            <w:r w:rsidRPr="00A50116">
              <w:rPr>
                <w:rFonts w:cstheme="minorHAnsi"/>
                <w:color w:val="000000"/>
              </w:rPr>
              <w:t>Piroxicam</w:t>
            </w:r>
          </w:p>
        </w:tc>
        <w:tc>
          <w:tcPr>
            <w:tcW w:w="1740" w:type="dxa"/>
            <w:shd w:val="clear" w:color="auto" w:fill="auto"/>
            <w:tcMar>
              <w:top w:w="72" w:type="dxa"/>
              <w:left w:w="144" w:type="dxa"/>
              <w:bottom w:w="72" w:type="dxa"/>
              <w:right w:w="144" w:type="dxa"/>
            </w:tcMar>
            <w:vAlign w:val="center"/>
          </w:tcPr>
          <w:p w14:paraId="4C81831B"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-5.67</w:t>
            </w:r>
          </w:p>
        </w:tc>
        <w:tc>
          <w:tcPr>
            <w:tcW w:w="1179" w:type="dxa"/>
            <w:shd w:val="clear" w:color="auto" w:fill="auto"/>
            <w:tcMar>
              <w:top w:w="72" w:type="dxa"/>
              <w:left w:w="144" w:type="dxa"/>
              <w:bottom w:w="72" w:type="dxa"/>
              <w:right w:w="144" w:type="dxa"/>
            </w:tcMar>
            <w:vAlign w:val="center"/>
          </w:tcPr>
          <w:p w14:paraId="1F8F8857"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-6.15</w:t>
            </w:r>
          </w:p>
        </w:tc>
        <w:tc>
          <w:tcPr>
            <w:tcW w:w="1179" w:type="dxa"/>
            <w:shd w:val="clear" w:color="auto" w:fill="auto"/>
            <w:tcMar>
              <w:top w:w="72" w:type="dxa"/>
              <w:left w:w="144" w:type="dxa"/>
              <w:bottom w:w="72" w:type="dxa"/>
              <w:right w:w="144" w:type="dxa"/>
            </w:tcMar>
            <w:vAlign w:val="center"/>
          </w:tcPr>
          <w:p w14:paraId="606E29CD"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1.67</w:t>
            </w:r>
          </w:p>
        </w:tc>
        <w:tc>
          <w:tcPr>
            <w:tcW w:w="1337" w:type="dxa"/>
            <w:shd w:val="clear" w:color="auto" w:fill="auto"/>
            <w:tcMar>
              <w:top w:w="72" w:type="dxa"/>
              <w:left w:w="144" w:type="dxa"/>
              <w:bottom w:w="72" w:type="dxa"/>
              <w:right w:w="144" w:type="dxa"/>
            </w:tcMar>
            <w:vAlign w:val="center"/>
          </w:tcPr>
          <w:p w14:paraId="7D468026"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-4.01</w:t>
            </w:r>
          </w:p>
        </w:tc>
        <w:tc>
          <w:tcPr>
            <w:tcW w:w="1100" w:type="dxa"/>
            <w:shd w:val="clear" w:color="auto" w:fill="auto"/>
            <w:tcMar>
              <w:top w:w="72" w:type="dxa"/>
              <w:left w:w="144" w:type="dxa"/>
              <w:bottom w:w="72" w:type="dxa"/>
              <w:right w:w="144" w:type="dxa"/>
            </w:tcMar>
            <w:vAlign w:val="center"/>
          </w:tcPr>
          <w:p w14:paraId="14AF3A7A"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-4.99</w:t>
            </w:r>
          </w:p>
        </w:tc>
      </w:tr>
      <w:tr w:rsidR="001B58B9" w:rsidRPr="00A50116" w14:paraId="2ABF2E35" w14:textId="77777777" w:rsidTr="001B58B9">
        <w:trPr>
          <w:trHeight w:val="373"/>
          <w:jc w:val="center"/>
        </w:trPr>
        <w:tc>
          <w:tcPr>
            <w:tcW w:w="1790" w:type="dxa"/>
            <w:shd w:val="clear" w:color="auto" w:fill="auto"/>
            <w:tcMar>
              <w:top w:w="72" w:type="dxa"/>
              <w:left w:w="144" w:type="dxa"/>
              <w:bottom w:w="72" w:type="dxa"/>
              <w:right w:w="144" w:type="dxa"/>
            </w:tcMar>
            <w:vAlign w:val="center"/>
          </w:tcPr>
          <w:p w14:paraId="71E10816" w14:textId="77777777" w:rsidR="007D262F" w:rsidRPr="00A50116" w:rsidRDefault="007D262F" w:rsidP="00C558AF">
            <w:pPr>
              <w:spacing w:after="0" w:line="480" w:lineRule="auto"/>
              <w:rPr>
                <w:rFonts w:eastAsia="Arial" w:cstheme="minorHAnsi"/>
              </w:rPr>
            </w:pPr>
            <w:r w:rsidRPr="00A50116">
              <w:rPr>
                <w:rFonts w:cstheme="minorHAnsi"/>
                <w:color w:val="000000"/>
              </w:rPr>
              <w:t>Verapamil</w:t>
            </w:r>
          </w:p>
        </w:tc>
        <w:tc>
          <w:tcPr>
            <w:tcW w:w="1740" w:type="dxa"/>
            <w:shd w:val="clear" w:color="auto" w:fill="auto"/>
            <w:tcMar>
              <w:top w:w="72" w:type="dxa"/>
              <w:left w:w="144" w:type="dxa"/>
              <w:bottom w:w="72" w:type="dxa"/>
              <w:right w:w="144" w:type="dxa"/>
            </w:tcMar>
            <w:vAlign w:val="center"/>
          </w:tcPr>
          <w:p w14:paraId="61002C8D"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-5.65</w:t>
            </w:r>
          </w:p>
        </w:tc>
        <w:tc>
          <w:tcPr>
            <w:tcW w:w="1179" w:type="dxa"/>
            <w:shd w:val="clear" w:color="auto" w:fill="auto"/>
            <w:tcMar>
              <w:top w:w="72" w:type="dxa"/>
              <w:left w:w="144" w:type="dxa"/>
              <w:bottom w:w="72" w:type="dxa"/>
              <w:right w:w="144" w:type="dxa"/>
            </w:tcMar>
            <w:vAlign w:val="center"/>
          </w:tcPr>
          <w:p w14:paraId="5EBA011A"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-6.38</w:t>
            </w:r>
          </w:p>
        </w:tc>
        <w:tc>
          <w:tcPr>
            <w:tcW w:w="1179" w:type="dxa"/>
            <w:shd w:val="clear" w:color="auto" w:fill="auto"/>
            <w:tcMar>
              <w:top w:w="72" w:type="dxa"/>
              <w:left w:w="144" w:type="dxa"/>
              <w:bottom w:w="72" w:type="dxa"/>
              <w:right w:w="144" w:type="dxa"/>
            </w:tcMar>
            <w:vAlign w:val="center"/>
          </w:tcPr>
          <w:p w14:paraId="20C92128"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4.50</w:t>
            </w:r>
          </w:p>
        </w:tc>
        <w:tc>
          <w:tcPr>
            <w:tcW w:w="1337" w:type="dxa"/>
            <w:shd w:val="clear" w:color="auto" w:fill="auto"/>
            <w:tcMar>
              <w:top w:w="72" w:type="dxa"/>
              <w:left w:w="144" w:type="dxa"/>
              <w:bottom w:w="72" w:type="dxa"/>
              <w:right w:w="144" w:type="dxa"/>
            </w:tcMar>
            <w:vAlign w:val="center"/>
          </w:tcPr>
          <w:p w14:paraId="5F09C5C9"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-4.46</w:t>
            </w:r>
          </w:p>
        </w:tc>
        <w:tc>
          <w:tcPr>
            <w:tcW w:w="1100" w:type="dxa"/>
            <w:shd w:val="clear" w:color="auto" w:fill="auto"/>
            <w:tcMar>
              <w:top w:w="72" w:type="dxa"/>
              <w:left w:w="144" w:type="dxa"/>
              <w:bottom w:w="72" w:type="dxa"/>
              <w:right w:w="144" w:type="dxa"/>
            </w:tcMar>
            <w:vAlign w:val="center"/>
          </w:tcPr>
          <w:p w14:paraId="14F58A16"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-4.83</w:t>
            </w:r>
          </w:p>
        </w:tc>
      </w:tr>
      <w:tr w:rsidR="001B58B9" w:rsidRPr="00A50116" w14:paraId="235AC92E" w14:textId="77777777" w:rsidTr="001B58B9">
        <w:trPr>
          <w:trHeight w:val="383"/>
          <w:jc w:val="center"/>
        </w:trPr>
        <w:tc>
          <w:tcPr>
            <w:tcW w:w="1790" w:type="dxa"/>
            <w:shd w:val="clear" w:color="auto" w:fill="auto"/>
            <w:tcMar>
              <w:top w:w="72" w:type="dxa"/>
              <w:left w:w="144" w:type="dxa"/>
              <w:bottom w:w="72" w:type="dxa"/>
              <w:right w:w="144" w:type="dxa"/>
            </w:tcMar>
            <w:vAlign w:val="center"/>
          </w:tcPr>
          <w:p w14:paraId="035C7449" w14:textId="77777777" w:rsidR="007D262F" w:rsidRPr="00A50116" w:rsidRDefault="007D262F" w:rsidP="00C558AF">
            <w:pPr>
              <w:spacing w:after="0" w:line="480" w:lineRule="auto"/>
              <w:rPr>
                <w:rFonts w:eastAsia="Arial" w:cstheme="minorHAnsi"/>
              </w:rPr>
            </w:pPr>
            <w:r w:rsidRPr="00A50116">
              <w:rPr>
                <w:rFonts w:cstheme="minorHAnsi"/>
                <w:color w:val="000000"/>
              </w:rPr>
              <w:t>Progesterone</w:t>
            </w:r>
          </w:p>
        </w:tc>
        <w:tc>
          <w:tcPr>
            <w:tcW w:w="1740" w:type="dxa"/>
            <w:shd w:val="clear" w:color="auto" w:fill="auto"/>
            <w:tcMar>
              <w:top w:w="72" w:type="dxa"/>
              <w:left w:w="144" w:type="dxa"/>
              <w:bottom w:w="72" w:type="dxa"/>
              <w:right w:w="144" w:type="dxa"/>
            </w:tcMar>
            <w:vAlign w:val="center"/>
          </w:tcPr>
          <w:p w14:paraId="0CE5BD82"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-4.92</w:t>
            </w:r>
          </w:p>
        </w:tc>
        <w:tc>
          <w:tcPr>
            <w:tcW w:w="1179" w:type="dxa"/>
            <w:shd w:val="clear" w:color="auto" w:fill="auto"/>
            <w:tcMar>
              <w:top w:w="72" w:type="dxa"/>
              <w:left w:w="144" w:type="dxa"/>
              <w:bottom w:w="72" w:type="dxa"/>
              <w:right w:w="144" w:type="dxa"/>
            </w:tcMar>
            <w:vAlign w:val="center"/>
          </w:tcPr>
          <w:p w14:paraId="64A3E56A"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-5.47</w:t>
            </w:r>
          </w:p>
        </w:tc>
        <w:tc>
          <w:tcPr>
            <w:tcW w:w="1179" w:type="dxa"/>
            <w:shd w:val="clear" w:color="auto" w:fill="auto"/>
            <w:tcMar>
              <w:top w:w="72" w:type="dxa"/>
              <w:left w:w="144" w:type="dxa"/>
              <w:bottom w:w="72" w:type="dxa"/>
              <w:right w:w="144" w:type="dxa"/>
            </w:tcMar>
            <w:vAlign w:val="center"/>
          </w:tcPr>
          <w:p w14:paraId="7EA4EE64"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3.09</w:t>
            </w:r>
          </w:p>
        </w:tc>
        <w:tc>
          <w:tcPr>
            <w:tcW w:w="1337" w:type="dxa"/>
            <w:shd w:val="clear" w:color="auto" w:fill="auto"/>
            <w:tcMar>
              <w:top w:w="72" w:type="dxa"/>
              <w:left w:w="144" w:type="dxa"/>
              <w:bottom w:w="72" w:type="dxa"/>
              <w:right w:w="144" w:type="dxa"/>
            </w:tcMar>
            <w:vAlign w:val="center"/>
          </w:tcPr>
          <w:p w14:paraId="185A7F32"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-4.16</w:t>
            </w:r>
          </w:p>
        </w:tc>
        <w:tc>
          <w:tcPr>
            <w:tcW w:w="1100" w:type="dxa"/>
            <w:shd w:val="clear" w:color="auto" w:fill="auto"/>
            <w:tcMar>
              <w:top w:w="72" w:type="dxa"/>
              <w:left w:w="144" w:type="dxa"/>
              <w:bottom w:w="72" w:type="dxa"/>
              <w:right w:w="144" w:type="dxa"/>
            </w:tcMar>
            <w:vAlign w:val="center"/>
          </w:tcPr>
          <w:p w14:paraId="62CE6738" w14:textId="77777777" w:rsidR="007D262F" w:rsidRPr="00A50116" w:rsidRDefault="007D262F" w:rsidP="00C558AF">
            <w:pPr>
              <w:spacing w:after="0" w:line="480" w:lineRule="auto"/>
              <w:jc w:val="center"/>
              <w:rPr>
                <w:rFonts w:eastAsia="Arial" w:cstheme="minorHAnsi"/>
              </w:rPr>
            </w:pPr>
            <w:r w:rsidRPr="00A50116">
              <w:rPr>
                <w:rFonts w:cstheme="minorHAnsi"/>
                <w:color w:val="000000"/>
              </w:rPr>
              <w:t>-4.28</w:t>
            </w:r>
          </w:p>
        </w:tc>
      </w:tr>
    </w:tbl>
    <w:p w14:paraId="6CE4AA86" w14:textId="77777777" w:rsidR="007D262F" w:rsidRPr="00A50116" w:rsidRDefault="007D262F" w:rsidP="00C558AF">
      <w:pPr>
        <w:spacing w:line="480" w:lineRule="auto"/>
        <w:rPr>
          <w:rFonts w:cstheme="minorHAnsi"/>
        </w:rPr>
      </w:pPr>
    </w:p>
    <w:p w14:paraId="1B6EB518" w14:textId="77777777" w:rsidR="007D262F" w:rsidRPr="00A50116" w:rsidRDefault="007D262F" w:rsidP="00C558AF">
      <w:pPr>
        <w:spacing w:line="480" w:lineRule="auto"/>
        <w:rPr>
          <w:rFonts w:cstheme="minorHAnsi"/>
          <w:noProof/>
        </w:rPr>
      </w:pPr>
    </w:p>
    <w:p w14:paraId="0126081B" w14:textId="77777777" w:rsidR="007D262F" w:rsidRPr="00A50116" w:rsidRDefault="007D262F" w:rsidP="00C558AF">
      <w:pPr>
        <w:spacing w:line="480" w:lineRule="auto"/>
        <w:rPr>
          <w:rFonts w:cstheme="minorHAnsi"/>
          <w:noProof/>
        </w:rPr>
      </w:pPr>
    </w:p>
    <w:p w14:paraId="2B1191A2" w14:textId="77777777" w:rsidR="007D262F" w:rsidRPr="00A50116" w:rsidRDefault="007D262F" w:rsidP="00C558AF">
      <w:pPr>
        <w:spacing w:line="480" w:lineRule="auto"/>
        <w:rPr>
          <w:rFonts w:cstheme="minorHAnsi"/>
          <w:noProof/>
        </w:rPr>
      </w:pPr>
    </w:p>
    <w:p w14:paraId="5C0CB291" w14:textId="77777777" w:rsidR="007D262F" w:rsidRPr="00A50116" w:rsidRDefault="007D262F" w:rsidP="00C558AF">
      <w:pPr>
        <w:spacing w:line="480" w:lineRule="auto"/>
        <w:rPr>
          <w:rFonts w:cstheme="minorHAnsi"/>
          <w:noProof/>
        </w:rPr>
      </w:pPr>
    </w:p>
    <w:p w14:paraId="28C304BB" w14:textId="77777777" w:rsidR="007D262F" w:rsidRPr="00A50116" w:rsidRDefault="007D262F" w:rsidP="00C558AF">
      <w:pPr>
        <w:spacing w:line="480" w:lineRule="auto"/>
        <w:rPr>
          <w:rFonts w:cstheme="minorHAnsi"/>
          <w:b/>
          <w:bCs/>
          <w:lang w:eastAsia="zh-CN"/>
        </w:rPr>
      </w:pPr>
      <w:r w:rsidRPr="00A50116">
        <w:rPr>
          <w:rFonts w:cstheme="minorHAnsi"/>
          <w:b/>
          <w:bCs/>
          <w:lang w:eastAsia="zh-CN"/>
        </w:rPr>
        <w:br w:type="page"/>
      </w:r>
    </w:p>
    <w:p w14:paraId="6E2B4B4A" w14:textId="7D964224" w:rsidR="007D262F" w:rsidRPr="00A50116" w:rsidRDefault="007D262F" w:rsidP="00C558AF">
      <w:pPr>
        <w:spacing w:line="480" w:lineRule="auto"/>
        <w:rPr>
          <w:rFonts w:cstheme="minorHAnsi"/>
          <w:lang w:eastAsia="zh-CN"/>
        </w:rPr>
      </w:pPr>
      <w:r w:rsidRPr="00A50116">
        <w:rPr>
          <w:rFonts w:cstheme="minorHAnsi"/>
          <w:b/>
          <w:bCs/>
          <w:lang w:eastAsia="zh-CN"/>
        </w:rPr>
        <w:lastRenderedPageBreak/>
        <w:t>Figure S1</w:t>
      </w:r>
      <w:r w:rsidRPr="00A50116">
        <w:rPr>
          <w:rFonts w:cstheme="minorHAnsi"/>
          <w:lang w:eastAsia="zh-CN"/>
        </w:rPr>
        <w:t xml:space="preserve">. </w:t>
      </w:r>
    </w:p>
    <w:p w14:paraId="0DF4398A" w14:textId="77777777" w:rsidR="007D262F" w:rsidRPr="00A50116" w:rsidRDefault="007D262F" w:rsidP="00C558AF">
      <w:pPr>
        <w:spacing w:line="480" w:lineRule="auto"/>
        <w:rPr>
          <w:rFonts w:cstheme="minorHAnsi"/>
        </w:rPr>
      </w:pPr>
      <w:r w:rsidRPr="00A50116">
        <w:rPr>
          <w:rFonts w:cstheme="minorHAnsi"/>
          <w:noProof/>
        </w:rPr>
        <w:drawing>
          <wp:inline distT="0" distB="0" distL="0" distR="0" wp14:anchorId="06DE0687" wp14:editId="0EAD0AFD">
            <wp:extent cx="5304155" cy="41459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4155" cy="4145915"/>
                    </a:xfrm>
                    <a:prstGeom prst="rect">
                      <a:avLst/>
                    </a:prstGeom>
                    <a:noFill/>
                  </pic:spPr>
                </pic:pic>
              </a:graphicData>
            </a:graphic>
          </wp:inline>
        </w:drawing>
      </w:r>
    </w:p>
    <w:p w14:paraId="6D502D16" w14:textId="0C404D9B" w:rsidR="007D262F" w:rsidRPr="00A50116" w:rsidRDefault="007D262F" w:rsidP="00C558AF">
      <w:pPr>
        <w:spacing w:line="480" w:lineRule="auto"/>
        <w:rPr>
          <w:rFonts w:cstheme="minorHAnsi"/>
        </w:rPr>
      </w:pPr>
      <w:r w:rsidRPr="00A50116">
        <w:rPr>
          <w:rFonts w:cstheme="minorHAnsi"/>
          <w:b/>
          <w:bCs/>
        </w:rPr>
        <w:t>Figure S1.</w:t>
      </w:r>
      <w:r w:rsidRPr="00A50116">
        <w:rPr>
          <w:rFonts w:cstheme="minorHAnsi"/>
        </w:rPr>
        <w:t xml:space="preserve"> CBD PAMPA LC-MS Chromatogram. The passive permeability of CBD through a theoretical skin membrane was determined using the PAMPA assay. The presence of CBD in the acceptor buffer was determined through LC-MS analysis and confirmed with an m/z of 315. CBD was quantified using standard linear regression.</w:t>
      </w:r>
    </w:p>
    <w:p w14:paraId="19EDDF72" w14:textId="55A1CB5D" w:rsidR="00AD1CF4" w:rsidRPr="00A50116" w:rsidRDefault="00AD1CF4" w:rsidP="00C558AF">
      <w:pPr>
        <w:spacing w:line="480" w:lineRule="auto"/>
        <w:rPr>
          <w:rFonts w:cstheme="minorHAnsi"/>
        </w:rPr>
      </w:pPr>
    </w:p>
    <w:p w14:paraId="3B039C68" w14:textId="149411A8" w:rsidR="00AD1CF4" w:rsidRPr="00A50116" w:rsidRDefault="00AD1CF4" w:rsidP="00C558AF">
      <w:pPr>
        <w:spacing w:line="480" w:lineRule="auto"/>
        <w:rPr>
          <w:rFonts w:cstheme="minorHAnsi"/>
        </w:rPr>
      </w:pPr>
    </w:p>
    <w:p w14:paraId="0F7625A3" w14:textId="428E9C41" w:rsidR="00AD1CF4" w:rsidRPr="00A50116" w:rsidRDefault="00AD1CF4" w:rsidP="00C558AF">
      <w:pPr>
        <w:spacing w:line="480" w:lineRule="auto"/>
        <w:rPr>
          <w:rFonts w:cstheme="minorHAnsi"/>
        </w:rPr>
      </w:pPr>
    </w:p>
    <w:p w14:paraId="740D52BC" w14:textId="3E2BF06E" w:rsidR="00AD1CF4" w:rsidRPr="00A50116" w:rsidRDefault="00AD1CF4" w:rsidP="00C558AF">
      <w:pPr>
        <w:spacing w:line="480" w:lineRule="auto"/>
        <w:rPr>
          <w:rFonts w:cstheme="minorHAnsi"/>
        </w:rPr>
      </w:pPr>
    </w:p>
    <w:p w14:paraId="37DE898C" w14:textId="55CD1BC7" w:rsidR="007D262F" w:rsidRPr="00A50116" w:rsidRDefault="00AD1CF4" w:rsidP="00C558AF">
      <w:pPr>
        <w:spacing w:line="480" w:lineRule="auto"/>
        <w:rPr>
          <w:rFonts w:cstheme="minorHAnsi"/>
          <w:b/>
        </w:rPr>
      </w:pPr>
      <w:r w:rsidRPr="00A50116">
        <w:rPr>
          <w:rFonts w:cstheme="minorHAnsi"/>
          <w:b/>
          <w:bCs/>
          <w:lang w:eastAsia="zh-CN"/>
        </w:rPr>
        <w:lastRenderedPageBreak/>
        <w:t>Figure S2</w:t>
      </w:r>
      <w:r w:rsidRPr="00A50116">
        <w:rPr>
          <w:rFonts w:cstheme="minorHAnsi"/>
          <w:lang w:eastAsia="zh-CN"/>
        </w:rPr>
        <w:t xml:space="preserve">. </w:t>
      </w:r>
      <w:r w:rsidR="007D262F" w:rsidRPr="00A50116">
        <w:rPr>
          <w:rFonts w:cstheme="minorHAnsi"/>
          <w:noProof/>
        </w:rPr>
        <w:drawing>
          <wp:inline distT="0" distB="0" distL="0" distR="0" wp14:anchorId="1F8B4A41" wp14:editId="3DAC57E3">
            <wp:extent cx="5303520" cy="4732020"/>
            <wp:effectExtent l="0" t="0" r="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 name="Picture 9430" descr="Chart, histogram&#10;&#10;Description automatically generated"/>
                    <pic:cNvPicPr/>
                  </pic:nvPicPr>
                  <pic:blipFill>
                    <a:blip r:embed="rId7"/>
                    <a:stretch>
                      <a:fillRect/>
                    </a:stretch>
                  </pic:blipFill>
                  <pic:spPr>
                    <a:xfrm>
                      <a:off x="0" y="0"/>
                      <a:ext cx="5303520" cy="4732020"/>
                    </a:xfrm>
                    <a:prstGeom prst="rect">
                      <a:avLst/>
                    </a:prstGeom>
                  </pic:spPr>
                </pic:pic>
              </a:graphicData>
            </a:graphic>
          </wp:inline>
        </w:drawing>
      </w:r>
    </w:p>
    <w:p w14:paraId="6F4F90B4" w14:textId="1DF33FD1" w:rsidR="007D262F" w:rsidRPr="00A50116" w:rsidRDefault="007D262F" w:rsidP="00C558AF">
      <w:pPr>
        <w:spacing w:line="480" w:lineRule="auto"/>
        <w:rPr>
          <w:rFonts w:cstheme="minorHAnsi"/>
          <w:lang w:eastAsia="zh-CN"/>
        </w:rPr>
      </w:pPr>
      <w:r w:rsidRPr="00A50116">
        <w:rPr>
          <w:rFonts w:cstheme="minorHAnsi"/>
          <w:b/>
          <w:bCs/>
          <w:lang w:eastAsia="zh-CN"/>
        </w:rPr>
        <w:t xml:space="preserve">Figure S2. CBD stability test HPLC chromatogram. </w:t>
      </w:r>
      <w:r w:rsidRPr="00A50116">
        <w:rPr>
          <w:rFonts w:cstheme="minorHAnsi"/>
          <w:lang w:eastAsia="zh-CN"/>
        </w:rPr>
        <w:t xml:space="preserve">The stability of CBD in surfactant-buffer solution. The degradation of CBD in a surfactant-buffer solution was confirmed through HPLC analysis, using a standard elution time </w:t>
      </w:r>
      <w:r w:rsidR="00CB7B10" w:rsidRPr="00A50116">
        <w:rPr>
          <w:rFonts w:cstheme="minorHAnsi"/>
          <w:lang w:eastAsia="zh-CN"/>
        </w:rPr>
        <w:t>(</w:t>
      </w:r>
      <w:r w:rsidRPr="00A50116">
        <w:rPr>
          <w:rFonts w:cstheme="minorHAnsi"/>
          <w:lang w:eastAsia="zh-CN"/>
        </w:rPr>
        <w:t>6 min</w:t>
      </w:r>
      <w:r w:rsidR="00CB7B10" w:rsidRPr="00A50116">
        <w:rPr>
          <w:rFonts w:cstheme="minorHAnsi"/>
          <w:lang w:eastAsia="zh-CN"/>
        </w:rPr>
        <w:t>)</w:t>
      </w:r>
      <w:r w:rsidRPr="00A50116">
        <w:rPr>
          <w:rFonts w:cstheme="minorHAnsi"/>
          <w:lang w:eastAsia="zh-CN"/>
        </w:rPr>
        <w:t xml:space="preserve"> and UV detection of 210 nm. CBD degradation was monitored from day 0 (1) to day 30 (2).  Degradation of API was confirmed through reduction of CBD peak area and the accumulation of degradative product peaks eluting before CBD. CBD was quantified using standard linear regression.</w:t>
      </w:r>
    </w:p>
    <w:p w14:paraId="17E3EBA0" w14:textId="1DD32388" w:rsidR="00AC6328" w:rsidRPr="00A50116" w:rsidRDefault="00AC6328" w:rsidP="00C558AF">
      <w:pPr>
        <w:spacing w:line="480" w:lineRule="auto"/>
        <w:rPr>
          <w:rFonts w:cstheme="minorHAnsi"/>
          <w:lang w:eastAsia="zh-CN"/>
        </w:rPr>
      </w:pPr>
    </w:p>
    <w:p w14:paraId="4806DA0B" w14:textId="49E7B655" w:rsidR="00AC6328" w:rsidRPr="00A50116" w:rsidRDefault="00AC6328" w:rsidP="00C558AF">
      <w:pPr>
        <w:spacing w:line="480" w:lineRule="auto"/>
        <w:rPr>
          <w:rFonts w:cstheme="minorHAnsi"/>
          <w:lang w:eastAsia="zh-CN"/>
        </w:rPr>
      </w:pPr>
    </w:p>
    <w:p w14:paraId="71375C9A" w14:textId="6EA5C718" w:rsidR="007D262F" w:rsidRPr="00A50116" w:rsidRDefault="00AC6328" w:rsidP="00C558AF">
      <w:pPr>
        <w:spacing w:line="480" w:lineRule="auto"/>
        <w:rPr>
          <w:rFonts w:cstheme="minorHAnsi"/>
        </w:rPr>
      </w:pPr>
      <w:r w:rsidRPr="00A50116">
        <w:rPr>
          <w:rFonts w:cstheme="minorHAnsi"/>
          <w:b/>
          <w:bCs/>
          <w:lang w:eastAsia="zh-CN"/>
        </w:rPr>
        <w:lastRenderedPageBreak/>
        <w:t>Figure S3</w:t>
      </w:r>
      <w:r w:rsidRPr="00A50116">
        <w:rPr>
          <w:rFonts w:cstheme="minorHAnsi"/>
          <w:lang w:eastAsia="zh-CN"/>
        </w:rPr>
        <w:t>.</w:t>
      </w:r>
    </w:p>
    <w:p w14:paraId="202FAE7D" w14:textId="77777777" w:rsidR="007D262F" w:rsidRPr="00A50116" w:rsidRDefault="007D262F" w:rsidP="00C558AF">
      <w:pPr>
        <w:spacing w:line="480" w:lineRule="auto"/>
        <w:rPr>
          <w:rFonts w:cstheme="minorHAnsi"/>
          <w:lang w:eastAsia="zh-CN"/>
        </w:rPr>
      </w:pPr>
      <w:r w:rsidRPr="00A50116">
        <w:rPr>
          <w:rFonts w:cstheme="minorHAnsi"/>
          <w:noProof/>
          <w:lang w:eastAsia="zh-CN"/>
        </w:rPr>
        <w:drawing>
          <wp:inline distT="0" distB="0" distL="0" distR="0" wp14:anchorId="17B462C1" wp14:editId="7E3D3DEE">
            <wp:extent cx="5304155" cy="46208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4155" cy="4620895"/>
                    </a:xfrm>
                    <a:prstGeom prst="rect">
                      <a:avLst/>
                    </a:prstGeom>
                    <a:noFill/>
                  </pic:spPr>
                </pic:pic>
              </a:graphicData>
            </a:graphic>
          </wp:inline>
        </w:drawing>
      </w:r>
    </w:p>
    <w:p w14:paraId="6045B718" w14:textId="1F3D5485" w:rsidR="007D262F" w:rsidRPr="00A50116" w:rsidRDefault="007D262F" w:rsidP="00C558AF">
      <w:pPr>
        <w:spacing w:line="480" w:lineRule="auto"/>
        <w:rPr>
          <w:rFonts w:eastAsiaTheme="minorHAnsi" w:cstheme="minorHAnsi"/>
          <w:lang w:eastAsia="zh-CN"/>
        </w:rPr>
      </w:pPr>
      <w:r w:rsidRPr="00A50116">
        <w:rPr>
          <w:rFonts w:eastAsiaTheme="minorHAnsi" w:cstheme="minorHAnsi"/>
          <w:b/>
          <w:bCs/>
          <w:lang w:eastAsia="zh-CN"/>
        </w:rPr>
        <w:t>Figure S</w:t>
      </w:r>
      <w:r w:rsidR="00AC6328" w:rsidRPr="00A50116">
        <w:rPr>
          <w:rFonts w:eastAsiaTheme="minorHAnsi" w:cstheme="minorHAnsi"/>
          <w:b/>
          <w:bCs/>
          <w:lang w:eastAsia="zh-CN"/>
        </w:rPr>
        <w:t>3</w:t>
      </w:r>
      <w:r w:rsidRPr="00A50116">
        <w:rPr>
          <w:rFonts w:eastAsiaTheme="minorHAnsi" w:cstheme="minorHAnsi"/>
          <w:b/>
          <w:bCs/>
          <w:lang w:eastAsia="zh-CN"/>
        </w:rPr>
        <w:t xml:space="preserve">. CBD solubility test HPLC chromatogram. </w:t>
      </w:r>
      <w:r w:rsidRPr="00A50116">
        <w:rPr>
          <w:rFonts w:eastAsiaTheme="minorHAnsi" w:cstheme="minorHAnsi"/>
          <w:lang w:eastAsia="zh-CN"/>
        </w:rPr>
        <w:t>CBD in a 10% (w/w) poly isobutene – PBS buffer solution (1), 10% (w/w) poly isobutene – PB buffer solution (2) and a 10% (w/w)</w:t>
      </w:r>
      <w:r w:rsidR="00963D8F" w:rsidRPr="00A50116">
        <w:rPr>
          <w:rFonts w:eastAsiaTheme="minorHAnsi" w:cstheme="minorHAnsi"/>
          <w:lang w:eastAsia="zh-CN"/>
        </w:rPr>
        <w:t xml:space="preserve"> </w:t>
      </w:r>
      <w:r w:rsidRPr="00A50116">
        <w:rPr>
          <w:rFonts w:eastAsiaTheme="minorHAnsi" w:cstheme="minorHAnsi"/>
          <w:lang w:eastAsia="zh-CN"/>
        </w:rPr>
        <w:t xml:space="preserve">Tween 20-PBS solution (3) were evaluated to determine the ideal surfactant solvent system to solubilize the API. The amount of CBD in solution was determined through HPLC analysis and quantified using standard linear regression. </w:t>
      </w:r>
    </w:p>
    <w:p w14:paraId="6D8DEAB5" w14:textId="77777777" w:rsidR="007D262F" w:rsidRPr="00A50116" w:rsidRDefault="007D262F" w:rsidP="00C558AF">
      <w:pPr>
        <w:spacing w:line="480" w:lineRule="auto"/>
        <w:rPr>
          <w:rFonts w:eastAsiaTheme="minorHAnsi" w:cstheme="minorHAnsi"/>
          <w:lang w:eastAsia="zh-CN"/>
        </w:rPr>
      </w:pPr>
    </w:p>
    <w:p w14:paraId="35077E30" w14:textId="77777777" w:rsidR="00AC6328" w:rsidRPr="00A50116" w:rsidRDefault="00AC6328" w:rsidP="00C558AF">
      <w:pPr>
        <w:spacing w:line="480" w:lineRule="auto"/>
        <w:rPr>
          <w:rFonts w:cstheme="minorHAnsi"/>
          <w:b/>
          <w:bCs/>
          <w:lang w:eastAsia="zh-CN"/>
        </w:rPr>
      </w:pPr>
      <w:r w:rsidRPr="00A50116">
        <w:rPr>
          <w:rFonts w:cstheme="minorHAnsi"/>
          <w:b/>
          <w:bCs/>
          <w:lang w:eastAsia="zh-CN"/>
        </w:rPr>
        <w:br w:type="page"/>
      </w:r>
    </w:p>
    <w:p w14:paraId="5F13AFC3" w14:textId="7B80D7DE" w:rsidR="007D262F" w:rsidRPr="00A50116" w:rsidRDefault="00AC6328" w:rsidP="00C558AF">
      <w:pPr>
        <w:spacing w:line="480" w:lineRule="auto"/>
        <w:rPr>
          <w:rFonts w:eastAsiaTheme="minorHAnsi" w:cstheme="minorHAnsi"/>
        </w:rPr>
      </w:pPr>
      <w:r w:rsidRPr="00A50116">
        <w:rPr>
          <w:rFonts w:cstheme="minorHAnsi"/>
          <w:b/>
          <w:bCs/>
          <w:lang w:eastAsia="zh-CN"/>
        </w:rPr>
        <w:lastRenderedPageBreak/>
        <w:t>Figure S4</w:t>
      </w:r>
      <w:r w:rsidRPr="00A50116">
        <w:rPr>
          <w:rFonts w:cstheme="minorHAnsi"/>
          <w:lang w:eastAsia="zh-CN"/>
        </w:rPr>
        <w:t xml:space="preserve">. </w:t>
      </w:r>
    </w:p>
    <w:p w14:paraId="114AB14C" w14:textId="77777777" w:rsidR="007D262F" w:rsidRPr="00A50116" w:rsidRDefault="007D262F" w:rsidP="00C558AF">
      <w:pPr>
        <w:spacing w:line="480" w:lineRule="auto"/>
        <w:rPr>
          <w:rFonts w:cstheme="minorHAnsi"/>
          <w:lang w:eastAsia="zh-CN"/>
        </w:rPr>
      </w:pPr>
      <w:r w:rsidRPr="00A50116">
        <w:rPr>
          <w:rFonts w:cstheme="minorHAnsi"/>
          <w:noProof/>
        </w:rPr>
        <w:drawing>
          <wp:inline distT="0" distB="0" distL="0" distR="0" wp14:anchorId="6D1C7F4F" wp14:editId="794CDF60">
            <wp:extent cx="5303520" cy="4390390"/>
            <wp:effectExtent l="0" t="0" r="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 name="Picture 9429" descr="Chart&#10;&#10;Description automatically generated"/>
                    <pic:cNvPicPr/>
                  </pic:nvPicPr>
                  <pic:blipFill>
                    <a:blip r:embed="rId9"/>
                    <a:stretch>
                      <a:fillRect/>
                    </a:stretch>
                  </pic:blipFill>
                  <pic:spPr>
                    <a:xfrm>
                      <a:off x="0" y="0"/>
                      <a:ext cx="5303520" cy="4390390"/>
                    </a:xfrm>
                    <a:prstGeom prst="rect">
                      <a:avLst/>
                    </a:prstGeom>
                  </pic:spPr>
                </pic:pic>
              </a:graphicData>
            </a:graphic>
          </wp:inline>
        </w:drawing>
      </w:r>
    </w:p>
    <w:p w14:paraId="798061D6" w14:textId="4B07CC89" w:rsidR="007D262F" w:rsidRPr="00A50116" w:rsidRDefault="007D262F" w:rsidP="00C558AF">
      <w:pPr>
        <w:spacing w:line="480" w:lineRule="auto"/>
        <w:rPr>
          <w:rFonts w:cstheme="minorHAnsi"/>
          <w:lang w:eastAsia="zh-CN"/>
        </w:rPr>
      </w:pPr>
      <w:r w:rsidRPr="00A50116">
        <w:rPr>
          <w:rFonts w:cstheme="minorHAnsi"/>
          <w:b/>
          <w:bCs/>
          <w:lang w:eastAsia="zh-CN"/>
        </w:rPr>
        <w:t>Figure S</w:t>
      </w:r>
      <w:r w:rsidR="00AC6328" w:rsidRPr="00A50116">
        <w:rPr>
          <w:rFonts w:cstheme="minorHAnsi"/>
          <w:b/>
          <w:bCs/>
          <w:lang w:eastAsia="zh-CN"/>
        </w:rPr>
        <w:t>4</w:t>
      </w:r>
      <w:r w:rsidRPr="00A50116">
        <w:rPr>
          <w:rFonts w:cstheme="minorHAnsi"/>
          <w:lang w:eastAsia="zh-CN"/>
        </w:rPr>
        <w:t>.</w:t>
      </w:r>
      <w:r w:rsidRPr="00A50116">
        <w:rPr>
          <w:rFonts w:cstheme="minorHAnsi"/>
          <w:b/>
          <w:bCs/>
          <w:lang w:eastAsia="zh-CN"/>
        </w:rPr>
        <w:t>CBD IVRT HPLC chromatogram</w:t>
      </w:r>
      <w:r w:rsidRPr="00A50116">
        <w:rPr>
          <w:rFonts w:cstheme="minorHAnsi"/>
          <w:lang w:eastAsia="zh-CN"/>
        </w:rPr>
        <w:t xml:space="preserve">. CBD Showed passive permeability in the Franz Cell diffusion assay. The permeability profile of CBD through a synthetic skin membrane was determined using the Franz cell diffusion assay. The presence of CBD was confirmed through HPLC analysis, using the average elution time of ~7.2 min and UV detection of 210 nm. At each time point 30 min (1), 1 hour (2), 2 h (3), 4 h (4) and 6 h (6), CBD was quantified using standard linear regression. </w:t>
      </w:r>
    </w:p>
    <w:p w14:paraId="75AE29C2" w14:textId="77777777" w:rsidR="007D262F" w:rsidRPr="00A50116" w:rsidRDefault="007D262F" w:rsidP="00C558AF">
      <w:pPr>
        <w:spacing w:line="480" w:lineRule="auto"/>
        <w:rPr>
          <w:rFonts w:cstheme="minorHAnsi"/>
          <w:b/>
        </w:rPr>
      </w:pPr>
    </w:p>
    <w:p w14:paraId="384182F3" w14:textId="56F71B92" w:rsidR="007D262F" w:rsidRPr="00A50116" w:rsidRDefault="007D262F" w:rsidP="00C558AF">
      <w:pPr>
        <w:spacing w:line="480" w:lineRule="auto"/>
        <w:rPr>
          <w:rFonts w:cstheme="minorHAnsi"/>
        </w:rPr>
      </w:pPr>
      <w:r w:rsidRPr="00A50116">
        <w:rPr>
          <w:rFonts w:cstheme="minorHAnsi"/>
        </w:rPr>
        <w:br w:type="page"/>
      </w:r>
      <w:r w:rsidR="00AC6328" w:rsidRPr="00A50116">
        <w:rPr>
          <w:rFonts w:cstheme="minorHAnsi"/>
          <w:b/>
          <w:bCs/>
          <w:lang w:eastAsia="zh-CN"/>
        </w:rPr>
        <w:lastRenderedPageBreak/>
        <w:t>Figure S5</w:t>
      </w:r>
      <w:r w:rsidR="00AC6328" w:rsidRPr="00A50116">
        <w:rPr>
          <w:rFonts w:cstheme="minorHAnsi"/>
          <w:lang w:eastAsia="zh-CN"/>
        </w:rPr>
        <w:t>.</w:t>
      </w:r>
    </w:p>
    <w:p w14:paraId="7CE59F74" w14:textId="77777777" w:rsidR="007D262F" w:rsidRPr="00A50116" w:rsidRDefault="007D262F" w:rsidP="00C558AF">
      <w:pPr>
        <w:spacing w:line="480" w:lineRule="auto"/>
        <w:rPr>
          <w:rFonts w:cstheme="minorHAnsi"/>
        </w:rPr>
      </w:pPr>
      <w:r w:rsidRPr="00A50116">
        <w:rPr>
          <w:rFonts w:cstheme="minorHAnsi"/>
          <w:noProof/>
        </w:rPr>
        <w:drawing>
          <wp:inline distT="0" distB="0" distL="0" distR="0" wp14:anchorId="78ACDAA2" wp14:editId="1A4C7F5A">
            <wp:extent cx="5303520" cy="3571875"/>
            <wp:effectExtent l="0" t="0" r="0" b="9525"/>
            <wp:docPr id="9419" name="Picture 94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 name="Picture 9419" descr="Diagram&#10;&#10;Description automatically generated"/>
                    <pic:cNvPicPr/>
                  </pic:nvPicPr>
                  <pic:blipFill>
                    <a:blip r:embed="rId10"/>
                    <a:stretch>
                      <a:fillRect/>
                    </a:stretch>
                  </pic:blipFill>
                  <pic:spPr>
                    <a:xfrm>
                      <a:off x="0" y="0"/>
                      <a:ext cx="5303520" cy="3571875"/>
                    </a:xfrm>
                    <a:prstGeom prst="rect">
                      <a:avLst/>
                    </a:prstGeom>
                  </pic:spPr>
                </pic:pic>
              </a:graphicData>
            </a:graphic>
          </wp:inline>
        </w:drawing>
      </w:r>
    </w:p>
    <w:p w14:paraId="1023256C" w14:textId="668A7393" w:rsidR="007D262F" w:rsidRPr="00A50116" w:rsidRDefault="007D262F" w:rsidP="00C558AF">
      <w:pPr>
        <w:keepNext/>
        <w:spacing w:line="480" w:lineRule="auto"/>
        <w:rPr>
          <w:rFonts w:cstheme="minorHAnsi"/>
        </w:rPr>
      </w:pPr>
      <w:bookmarkStart w:id="2" w:name="_Toc77629665"/>
      <w:r w:rsidRPr="00A50116">
        <w:rPr>
          <w:rFonts w:cstheme="minorHAnsi"/>
          <w:b/>
          <w:bCs/>
        </w:rPr>
        <w:t>Figure S</w:t>
      </w:r>
      <w:r w:rsidR="00AC6328" w:rsidRPr="00A50116">
        <w:rPr>
          <w:rFonts w:cstheme="minorHAnsi"/>
          <w:b/>
          <w:bCs/>
        </w:rPr>
        <w:t>5</w:t>
      </w:r>
      <w:r w:rsidRPr="00A50116">
        <w:rPr>
          <w:rFonts w:cstheme="minorHAnsi"/>
          <w:b/>
          <w:bCs/>
        </w:rPr>
        <w:t xml:space="preserve">: </w:t>
      </w:r>
      <w:r w:rsidRPr="00A50116">
        <w:rPr>
          <w:rFonts w:cstheme="minorHAnsi"/>
        </w:rPr>
        <w:t>CBD compatibility test using the Franz cell assay (n=3).</w:t>
      </w:r>
      <w:bookmarkEnd w:id="2"/>
      <w:r w:rsidRPr="00A50116">
        <w:rPr>
          <w:rFonts w:cstheme="minorHAnsi"/>
        </w:rPr>
        <w:t xml:space="preserve"> Receptor buffer was a 3% tween 20 in PBS solution at 32°C. </w:t>
      </w:r>
    </w:p>
    <w:p w14:paraId="1610B035" w14:textId="77777777" w:rsidR="007D262F" w:rsidRPr="00A50116" w:rsidRDefault="007D262F" w:rsidP="00C558AF">
      <w:pPr>
        <w:spacing w:line="480" w:lineRule="auto"/>
        <w:rPr>
          <w:rFonts w:cstheme="minorHAnsi"/>
        </w:rPr>
      </w:pPr>
    </w:p>
    <w:sectPr w:rsidR="007D262F" w:rsidRPr="00A501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54E81" w14:textId="77777777" w:rsidR="0004050B" w:rsidRDefault="0004050B" w:rsidP="00A50116">
      <w:pPr>
        <w:spacing w:after="0" w:line="240" w:lineRule="auto"/>
      </w:pPr>
      <w:r>
        <w:separator/>
      </w:r>
    </w:p>
  </w:endnote>
  <w:endnote w:type="continuationSeparator" w:id="0">
    <w:p w14:paraId="5144DE0B" w14:textId="77777777" w:rsidR="0004050B" w:rsidRDefault="0004050B" w:rsidP="00A5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08131" w14:textId="77777777" w:rsidR="0004050B" w:rsidRDefault="0004050B" w:rsidP="00A50116">
      <w:pPr>
        <w:spacing w:after="0" w:line="240" w:lineRule="auto"/>
      </w:pPr>
      <w:r>
        <w:separator/>
      </w:r>
    </w:p>
  </w:footnote>
  <w:footnote w:type="continuationSeparator" w:id="0">
    <w:p w14:paraId="78F08AD3" w14:textId="77777777" w:rsidR="0004050B" w:rsidRDefault="0004050B" w:rsidP="00A501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2F"/>
    <w:rsid w:val="0004050B"/>
    <w:rsid w:val="001B58B9"/>
    <w:rsid w:val="00554B2A"/>
    <w:rsid w:val="00687A14"/>
    <w:rsid w:val="007D262F"/>
    <w:rsid w:val="00963D8F"/>
    <w:rsid w:val="00984AAE"/>
    <w:rsid w:val="00A50116"/>
    <w:rsid w:val="00AC6328"/>
    <w:rsid w:val="00AD1CF4"/>
    <w:rsid w:val="00B71CC5"/>
    <w:rsid w:val="00C13F26"/>
    <w:rsid w:val="00C558AF"/>
    <w:rsid w:val="00CB7B10"/>
    <w:rsid w:val="00ED2942"/>
    <w:rsid w:val="00F50A1A"/>
    <w:rsid w:val="00FB4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0256E"/>
  <w15:chartTrackingRefBased/>
  <w15:docId w15:val="{3A515DEF-38FE-449B-A2D8-52C81B85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2F"/>
    <w:rPr>
      <w:rFonts w:eastAsia="SimSun"/>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2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0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116"/>
    <w:rPr>
      <w:rFonts w:eastAsia="SimSun"/>
      <w:lang w:eastAsia="en-US"/>
    </w:rPr>
  </w:style>
  <w:style w:type="paragraph" w:styleId="Footer">
    <w:name w:val="footer"/>
    <w:basedOn w:val="Normal"/>
    <w:link w:val="FooterChar"/>
    <w:uiPriority w:val="99"/>
    <w:unhideWhenUsed/>
    <w:rsid w:val="00A50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116"/>
    <w:rPr>
      <w:rFonts w:eastAsia="SimSun"/>
      <w:lang w:eastAsia="en-US"/>
    </w:rPr>
  </w:style>
  <w:style w:type="character" w:styleId="LineNumber">
    <w:name w:val="line number"/>
    <w:basedOn w:val="DefaultParagraphFont"/>
    <w:uiPriority w:val="99"/>
    <w:semiHidden/>
    <w:unhideWhenUsed/>
    <w:rsid w:val="00A50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Ma</dc:creator>
  <cp:keywords/>
  <dc:description/>
  <cp:lastModifiedBy>Hang Ma</cp:lastModifiedBy>
  <cp:revision>3</cp:revision>
  <dcterms:created xsi:type="dcterms:W3CDTF">2022-04-06T22:12:00Z</dcterms:created>
  <dcterms:modified xsi:type="dcterms:W3CDTF">2022-04-06T22:13:00Z</dcterms:modified>
</cp:coreProperties>
</file>