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25F7" w14:textId="7EFCBA19" w:rsidR="0002252F" w:rsidRPr="0002252F" w:rsidRDefault="0002252F" w:rsidP="0002252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Supplementary </w:t>
      </w:r>
      <w:r w:rsidRPr="0002252F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02252F">
        <w:rPr>
          <w:rFonts w:ascii="Times New Roman" w:hAnsi="Times New Roman" w:cs="Times New Roman"/>
          <w:sz w:val="24"/>
          <w:szCs w:val="24"/>
          <w:lang w:val="en-US"/>
        </w:rPr>
        <w:t xml:space="preserve">: Spearman correlation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coefficients </w:t>
      </w:r>
      <w:r w:rsidRPr="0002252F">
        <w:rPr>
          <w:rFonts w:ascii="Times New Roman" w:hAnsi="Times New Roman" w:cs="Times New Roman"/>
          <w:sz w:val="24"/>
          <w:szCs w:val="24"/>
          <w:lang w:val="en-US"/>
        </w:rPr>
        <w:t>between MPO-DNA complexes and other variables for all dogs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539"/>
        <w:gridCol w:w="2502"/>
        <w:gridCol w:w="3021"/>
      </w:tblGrid>
      <w:tr w:rsidR="0002252F" w:rsidRPr="0002252F" w14:paraId="57AF7A3D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44FA" w14:textId="77777777" w:rsidR="0002252F" w:rsidRPr="0002252F" w:rsidRDefault="0002252F" w:rsidP="000225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61945" w14:textId="77777777" w:rsidR="0002252F" w:rsidRPr="0002252F" w:rsidRDefault="0002252F" w:rsidP="000225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Correlation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415A7" w14:textId="77777777" w:rsidR="0002252F" w:rsidRPr="0002252F" w:rsidRDefault="0002252F" w:rsidP="000225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02252F" w:rsidRPr="0002252F" w14:paraId="7206D40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5672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Age (years)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E168D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3EF79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  <w:tr w:rsidR="0002252F" w:rsidRPr="0002252F" w14:paraId="24921B14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70BB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Weight (kg)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E7B64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93C7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</w:tr>
      <w:tr w:rsidR="0002252F" w:rsidRPr="0002252F" w14:paraId="2521C8B9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8351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Duration of clinical signs (months)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B84FA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960C1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0.014*</w:t>
            </w:r>
          </w:p>
        </w:tc>
      </w:tr>
      <w:tr w:rsidR="0002252F" w:rsidRPr="0002252F" w14:paraId="1698521E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E174F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TCC (cells/µl)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EAB8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97774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0.0078*</w:t>
            </w:r>
          </w:p>
        </w:tc>
      </w:tr>
      <w:tr w:rsidR="0002252F" w:rsidRPr="0002252F" w14:paraId="127164F2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0C7B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Macrophage (%)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2C4BD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-0.40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82D1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0.0052*</w:t>
            </w:r>
          </w:p>
        </w:tc>
      </w:tr>
      <w:tr w:rsidR="0002252F" w:rsidRPr="0002252F" w14:paraId="0070FEA9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434D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Neutrophil (%)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49AF8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E633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0.024*</w:t>
            </w:r>
          </w:p>
        </w:tc>
      </w:tr>
      <w:tr w:rsidR="0002252F" w:rsidRPr="0002252F" w14:paraId="48188119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3B7E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Lymphocyte (%)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4F6B0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-0.11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9FD4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</w:tr>
      <w:tr w:rsidR="0002252F" w:rsidRPr="0002252F" w14:paraId="487FE01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8A4D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Eosinophil (%)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8D3A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9E195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0.32</w:t>
            </w:r>
          </w:p>
        </w:tc>
      </w:tr>
      <w:tr w:rsidR="0002252F" w:rsidRPr="0002252F" w14:paraId="2232EEAA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3084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ANC (cells/µl)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32772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D250C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0.0098*</w:t>
            </w:r>
          </w:p>
        </w:tc>
      </w:tr>
      <w:tr w:rsidR="0002252F" w:rsidRPr="0002252F" w14:paraId="6058A1B5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AB72B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cfDNA (µg/ml)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1A412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009E6" w14:textId="77777777" w:rsidR="0002252F" w:rsidRPr="0002252F" w:rsidRDefault="0002252F" w:rsidP="000225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52F">
              <w:rPr>
                <w:rFonts w:ascii="Times New Roman" w:hAnsi="Times New Roman" w:cs="Times New Roman"/>
                <w:sz w:val="24"/>
                <w:szCs w:val="24"/>
              </w:rPr>
              <w:t>0.017*</w:t>
            </w:r>
          </w:p>
        </w:tc>
      </w:tr>
    </w:tbl>
    <w:p w14:paraId="43407EFC" w14:textId="77777777" w:rsidR="0002252F" w:rsidRPr="0002252F" w:rsidRDefault="0002252F" w:rsidP="000225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2252F">
        <w:rPr>
          <w:rFonts w:ascii="Times New Roman" w:hAnsi="Times New Roman" w:cs="Times New Roman"/>
          <w:sz w:val="24"/>
          <w:szCs w:val="24"/>
          <w:lang w:val="en-US"/>
        </w:rPr>
        <w:t>* Indicates a statistically significant correlation</w:t>
      </w:r>
    </w:p>
    <w:p w14:paraId="1C546869" w14:textId="77777777" w:rsidR="0002252F" w:rsidRPr="0002252F" w:rsidRDefault="0002252F" w:rsidP="000225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2252F">
        <w:rPr>
          <w:rFonts w:ascii="Times New Roman" w:hAnsi="Times New Roman" w:cs="Times New Roman"/>
          <w:sz w:val="24"/>
          <w:szCs w:val="24"/>
          <w:lang w:val="en-US"/>
        </w:rPr>
        <w:t>TCC = Total cell count per µl; ANC = absolute neutrophil count; cfDNA = cell-free DNA</w:t>
      </w:r>
    </w:p>
    <w:p w14:paraId="53197319" w14:textId="77777777" w:rsidR="004C5FAF" w:rsidRPr="0002252F" w:rsidRDefault="004C5FAF">
      <w:pPr>
        <w:rPr>
          <w:lang w:val="en-US"/>
        </w:rPr>
      </w:pPr>
    </w:p>
    <w:sectPr w:rsidR="004C5FAF" w:rsidRPr="000225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2F"/>
    <w:rsid w:val="0002252F"/>
    <w:rsid w:val="000E13C4"/>
    <w:rsid w:val="004C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784F2"/>
  <w15:chartTrackingRefBased/>
  <w15:docId w15:val="{1EC7037A-0980-40D9-8E01-EB649504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0225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225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225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225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225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225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225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225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225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2252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2252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2252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2252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2252F"/>
    <w:rPr>
      <w:rFonts w:eastAsiaTheme="majorEastAsia" w:cstheme="majorBidi"/>
      <w:color w:val="0F4761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2252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2252F"/>
    <w:rPr>
      <w:rFonts w:eastAsiaTheme="majorEastAsia" w:cstheme="majorBidi"/>
      <w:color w:val="595959" w:themeColor="text1" w:themeTint="A6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2252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2252F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0225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2252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225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2252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0225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2252F"/>
    <w:rPr>
      <w:i/>
      <w:iCs/>
      <w:color w:val="404040" w:themeColor="text1" w:themeTint="BF"/>
      <w:lang w:val="en-GB"/>
    </w:rPr>
  </w:style>
  <w:style w:type="paragraph" w:styleId="Lijstalinea">
    <w:name w:val="List Paragraph"/>
    <w:basedOn w:val="Standaard"/>
    <w:uiPriority w:val="34"/>
    <w:qFormat/>
    <w:rsid w:val="000225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2252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225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2252F"/>
    <w:rPr>
      <w:i/>
      <w:iCs/>
      <w:color w:val="0F4761" w:themeColor="accent1" w:themeShade="BF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0225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489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 Lyssens</dc:creator>
  <cp:keywords/>
  <dc:description/>
  <cp:lastModifiedBy>Aurélie Lyssens</cp:lastModifiedBy>
  <cp:revision>1</cp:revision>
  <dcterms:created xsi:type="dcterms:W3CDTF">2026-02-23T22:16:00Z</dcterms:created>
  <dcterms:modified xsi:type="dcterms:W3CDTF">2026-02-23T22:29:00Z</dcterms:modified>
</cp:coreProperties>
</file>