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61E" w:rsidRDefault="00A11275" w:rsidP="009C54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Cyto</w:t>
      </w:r>
      <w:r w:rsidR="00F05B69">
        <w:rPr>
          <w:rFonts w:ascii="Arial" w:hAnsi="Arial" w:cs="Arial"/>
          <w:b/>
          <w:sz w:val="32"/>
          <w:szCs w:val="32"/>
        </w:rPr>
        <w:t>kine Regulation in Human CD4 T C</w:t>
      </w:r>
      <w:r>
        <w:rPr>
          <w:rFonts w:ascii="Arial" w:hAnsi="Arial" w:cs="Arial"/>
          <w:b/>
          <w:sz w:val="32"/>
          <w:szCs w:val="32"/>
        </w:rPr>
        <w:t>ells by</w:t>
      </w:r>
      <w:r w:rsidR="009C5443" w:rsidRPr="009C5443">
        <w:rPr>
          <w:rFonts w:ascii="Arial" w:hAnsi="Arial" w:cs="Arial"/>
          <w:b/>
          <w:sz w:val="32"/>
          <w:szCs w:val="32"/>
        </w:rPr>
        <w:t xml:space="preserve"> the Aryl Hydrocarbon Receptor and Gq-Coupled Receptors</w:t>
      </w:r>
    </w:p>
    <w:p w:rsidR="005A161E" w:rsidRDefault="005A161E" w:rsidP="005A161E">
      <w:pPr>
        <w:jc w:val="center"/>
        <w:rPr>
          <w:rFonts w:ascii="Arial" w:hAnsi="Arial" w:cs="Arial"/>
          <w:b/>
          <w:sz w:val="32"/>
          <w:szCs w:val="32"/>
        </w:rPr>
      </w:pPr>
    </w:p>
    <w:p w:rsidR="005A161E" w:rsidRDefault="005A161E" w:rsidP="005A161E">
      <w:pPr>
        <w:jc w:val="center"/>
        <w:rPr>
          <w:rFonts w:ascii="Arial" w:hAnsi="Arial" w:cs="Arial"/>
          <w:b/>
          <w:sz w:val="32"/>
          <w:szCs w:val="32"/>
        </w:rPr>
      </w:pPr>
    </w:p>
    <w:p w:rsidR="005A161E" w:rsidRDefault="005A161E" w:rsidP="005A161E">
      <w:pPr>
        <w:jc w:val="center"/>
        <w:rPr>
          <w:rFonts w:ascii="Arial" w:hAnsi="Arial" w:cs="Arial"/>
          <w:b/>
          <w:sz w:val="32"/>
          <w:szCs w:val="32"/>
        </w:rPr>
      </w:pPr>
    </w:p>
    <w:p w:rsidR="005A161E" w:rsidRPr="0087552F" w:rsidRDefault="005A161E" w:rsidP="005A161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Jeremy P. McAleer</w:t>
      </w:r>
      <w:r>
        <w:rPr>
          <w:rFonts w:ascii="Arial" w:hAnsi="Arial" w:cs="Arial"/>
          <w:sz w:val="28"/>
          <w:szCs w:val="28"/>
          <w:vertAlign w:val="superscript"/>
        </w:rPr>
        <w:t>1*</w:t>
      </w:r>
      <w:r>
        <w:rPr>
          <w:rFonts w:ascii="Arial" w:hAnsi="Arial" w:cs="Arial"/>
          <w:sz w:val="28"/>
          <w:szCs w:val="28"/>
        </w:rPr>
        <w:t>, Jun Fan</w:t>
      </w:r>
      <w:r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  <w:sz w:val="28"/>
          <w:szCs w:val="28"/>
        </w:rPr>
        <w:t>, Bryanna Roar</w:t>
      </w:r>
      <w:r>
        <w:rPr>
          <w:rFonts w:ascii="Arial" w:hAnsi="Arial" w:cs="Arial"/>
          <w:sz w:val="28"/>
          <w:szCs w:val="28"/>
          <w:vertAlign w:val="superscript"/>
        </w:rPr>
        <w:t>1</w:t>
      </w:r>
      <w:r>
        <w:rPr>
          <w:rFonts w:ascii="Arial" w:hAnsi="Arial" w:cs="Arial"/>
          <w:sz w:val="28"/>
          <w:szCs w:val="28"/>
        </w:rPr>
        <w:t xml:space="preserve">, Donald A. </w:t>
      </w:r>
      <w:r w:rsidRPr="0087552F">
        <w:rPr>
          <w:rFonts w:ascii="Arial" w:hAnsi="Arial" w:cs="Arial"/>
          <w:sz w:val="28"/>
          <w:szCs w:val="28"/>
        </w:rPr>
        <w:t>Primerano</w:t>
      </w:r>
      <w:r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  <w:sz w:val="28"/>
          <w:szCs w:val="28"/>
        </w:rPr>
        <w:t xml:space="preserve"> </w:t>
      </w:r>
      <w:r w:rsidRPr="0087552F">
        <w:rPr>
          <w:rFonts w:ascii="Arial" w:hAnsi="Arial" w:cs="Arial"/>
          <w:sz w:val="28"/>
          <w:szCs w:val="28"/>
        </w:rPr>
        <w:t>and</w:t>
      </w:r>
      <w:r>
        <w:rPr>
          <w:rFonts w:ascii="Arial" w:hAnsi="Arial" w:cs="Arial"/>
          <w:sz w:val="28"/>
          <w:szCs w:val="28"/>
        </w:rPr>
        <w:t xml:space="preserve"> James Denvir</w:t>
      </w:r>
      <w:r>
        <w:rPr>
          <w:rFonts w:ascii="Arial" w:hAnsi="Arial" w:cs="Arial"/>
          <w:sz w:val="28"/>
          <w:szCs w:val="28"/>
          <w:vertAlign w:val="superscript"/>
        </w:rPr>
        <w:t>2</w:t>
      </w:r>
    </w:p>
    <w:p w:rsidR="005A161E" w:rsidRDefault="005A161E" w:rsidP="005A161E">
      <w:pPr>
        <w:jc w:val="center"/>
        <w:rPr>
          <w:rFonts w:ascii="Arial" w:hAnsi="Arial" w:cs="Arial"/>
          <w:sz w:val="28"/>
          <w:szCs w:val="28"/>
        </w:rPr>
      </w:pPr>
    </w:p>
    <w:p w:rsidR="005A161E" w:rsidRDefault="005A161E" w:rsidP="005A161E">
      <w:pPr>
        <w:rPr>
          <w:rFonts w:ascii="Arial" w:hAnsi="Arial" w:cs="Arial"/>
          <w:sz w:val="28"/>
          <w:szCs w:val="28"/>
        </w:rPr>
      </w:pPr>
    </w:p>
    <w:p w:rsidR="005A161E" w:rsidRDefault="005A161E" w:rsidP="005A161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vertAlign w:val="superscript"/>
        </w:rPr>
        <w:t>1</w:t>
      </w:r>
      <w:r>
        <w:rPr>
          <w:rFonts w:ascii="Arial" w:hAnsi="Arial" w:cs="Arial"/>
          <w:sz w:val="28"/>
          <w:szCs w:val="28"/>
        </w:rPr>
        <w:t>Department of Pharmaceutical Science and Research, Marshall University School of Pharmacy, Huntington, WV  25755</w:t>
      </w:r>
    </w:p>
    <w:p w:rsidR="005A161E" w:rsidRDefault="005A161E" w:rsidP="005A161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  <w:sz w:val="28"/>
          <w:szCs w:val="28"/>
        </w:rPr>
        <w:t>Department of Biomedical Sciences, Joan C. Edwards School of Medicine, Marshall University, Huntington, WV  25755</w:t>
      </w:r>
    </w:p>
    <w:p w:rsidR="005A161E" w:rsidRDefault="005A161E" w:rsidP="005A161E">
      <w:pPr>
        <w:jc w:val="center"/>
        <w:rPr>
          <w:rFonts w:ascii="Arial" w:hAnsi="Arial" w:cs="Arial"/>
          <w:sz w:val="28"/>
          <w:szCs w:val="28"/>
        </w:rPr>
      </w:pPr>
    </w:p>
    <w:p w:rsidR="005A161E" w:rsidRDefault="005A161E" w:rsidP="005A161E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*Corresponding author: Jeremy P. McAleer, Ph.D. </w:t>
      </w:r>
    </w:p>
    <w:p w:rsidR="005A161E" w:rsidRDefault="005A161E" w:rsidP="005A161E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Phone: 304-696-7336</w:t>
      </w:r>
    </w:p>
    <w:p w:rsidR="005A161E" w:rsidRDefault="005A161E" w:rsidP="005A161E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Fax: 304-696-7309</w:t>
      </w:r>
    </w:p>
    <w:p w:rsidR="005A161E" w:rsidRPr="0093775B" w:rsidRDefault="005A161E" w:rsidP="005A161E">
      <w:pPr>
        <w:spacing w:after="0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e-mail</w:t>
      </w:r>
      <w:proofErr w:type="gramEnd"/>
      <w:r>
        <w:rPr>
          <w:rFonts w:ascii="Arial" w:hAnsi="Arial" w:cs="Arial"/>
          <w:sz w:val="28"/>
          <w:szCs w:val="28"/>
        </w:rPr>
        <w:t>: mcaleer@marshall.edu</w:t>
      </w:r>
    </w:p>
    <w:p w:rsidR="005A161E" w:rsidRDefault="005A16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82E87" w:rsidRDefault="005A161E" w:rsidP="00A82E8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04C98">
        <w:rPr>
          <w:rFonts w:ascii="Arial" w:hAnsi="Arial" w:cs="Arial"/>
          <w:b/>
          <w:sz w:val="24"/>
          <w:szCs w:val="24"/>
        </w:rPr>
        <w:lastRenderedPageBreak/>
        <w:t>Supplementary Information</w:t>
      </w:r>
    </w:p>
    <w:p w:rsidR="00A82E87" w:rsidRDefault="00A82E87" w:rsidP="00A82E8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82E87" w:rsidRDefault="00A82E87" w:rsidP="00A82E8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82E87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427611" cy="5276850"/>
            <wp:effectExtent l="0" t="0" r="0" b="0"/>
            <wp:docPr id="4" name="Picture 4" descr="C:\Users\mcaleer\Desktop\RNAseq paper\Nat Sci Rep\Final revision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caleer\Desktop\RNAseq paper\Nat Sci Rep\Final revision\Fig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169" cy="527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87" w:rsidRDefault="00A82E87" w:rsidP="00A82E8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Supplementary Figure S1.  </w:t>
      </w:r>
      <w:r w:rsidR="00474849" w:rsidRPr="003B5AC1">
        <w:rPr>
          <w:rFonts w:ascii="Arial" w:hAnsi="Arial" w:cs="Arial"/>
          <w:b/>
          <w:sz w:val="24"/>
          <w:szCs w:val="24"/>
        </w:rPr>
        <w:t xml:space="preserve">Effect of AhR modulators on human CD4 T cell differentiation.  </w:t>
      </w:r>
      <w:r w:rsidR="00474849" w:rsidRPr="003B5AC1">
        <w:rPr>
          <w:rFonts w:ascii="Arial" w:hAnsi="Arial" w:cs="Arial"/>
          <w:sz w:val="24"/>
          <w:szCs w:val="24"/>
        </w:rPr>
        <w:t>Naïve</w:t>
      </w:r>
      <w:r w:rsidR="00474849">
        <w:rPr>
          <w:rFonts w:ascii="Arial" w:hAnsi="Arial" w:cs="Arial"/>
          <w:sz w:val="24"/>
          <w:szCs w:val="24"/>
        </w:rPr>
        <w:t xml:space="preserve"> human CD4 T cells purified from peripheral blood of healthy volunteers were cultured in RPMI with serum replacement factor under Th0 conditions (plate-bound anti-CD3, soluble anti-CD28) for six days in the presence of FICZ (200nM) or CH223191 (4uM), as indicated.  RNA was isolated each day and analyzed for gene expression of </w:t>
      </w:r>
      <w:r w:rsidR="00474849" w:rsidRPr="00474849">
        <w:rPr>
          <w:rFonts w:ascii="Arial" w:hAnsi="Arial" w:cs="Arial"/>
          <w:i/>
          <w:sz w:val="24"/>
          <w:szCs w:val="24"/>
        </w:rPr>
        <w:t>RORC</w:t>
      </w:r>
      <w:r w:rsidR="00474849">
        <w:rPr>
          <w:rFonts w:ascii="Arial" w:hAnsi="Arial" w:cs="Arial"/>
          <w:sz w:val="24"/>
          <w:szCs w:val="24"/>
        </w:rPr>
        <w:t xml:space="preserve">, </w:t>
      </w:r>
      <w:r w:rsidR="00474849" w:rsidRPr="00474849">
        <w:rPr>
          <w:rFonts w:ascii="Arial" w:hAnsi="Arial" w:cs="Arial"/>
          <w:i/>
          <w:sz w:val="24"/>
          <w:szCs w:val="24"/>
        </w:rPr>
        <w:t>FOXP3</w:t>
      </w:r>
      <w:r w:rsidR="00474849">
        <w:rPr>
          <w:rFonts w:ascii="Arial" w:hAnsi="Arial" w:cs="Arial"/>
          <w:sz w:val="24"/>
          <w:szCs w:val="24"/>
        </w:rPr>
        <w:t xml:space="preserve">, </w:t>
      </w:r>
      <w:r w:rsidR="00474849" w:rsidRPr="00474849">
        <w:rPr>
          <w:rFonts w:ascii="Arial" w:hAnsi="Arial" w:cs="Arial"/>
          <w:i/>
          <w:sz w:val="24"/>
          <w:szCs w:val="24"/>
        </w:rPr>
        <w:t>TBX21</w:t>
      </w:r>
      <w:r w:rsidR="00474849">
        <w:rPr>
          <w:rFonts w:ascii="Arial" w:hAnsi="Arial" w:cs="Arial"/>
          <w:sz w:val="24"/>
          <w:szCs w:val="24"/>
        </w:rPr>
        <w:t xml:space="preserve"> and </w:t>
      </w:r>
      <w:r w:rsidR="00474849" w:rsidRPr="00474849">
        <w:rPr>
          <w:rFonts w:ascii="Arial" w:hAnsi="Arial" w:cs="Arial"/>
          <w:i/>
          <w:sz w:val="24"/>
          <w:szCs w:val="24"/>
        </w:rPr>
        <w:t>CYP1A1</w:t>
      </w:r>
      <w:r w:rsidR="00474849">
        <w:rPr>
          <w:rFonts w:ascii="Arial" w:hAnsi="Arial" w:cs="Arial"/>
          <w:sz w:val="24"/>
          <w:szCs w:val="24"/>
        </w:rPr>
        <w:t xml:space="preserve"> by real-time PCR, normalized to the housekeeping gene </w:t>
      </w:r>
      <w:r w:rsidR="00474849" w:rsidRPr="00474849">
        <w:rPr>
          <w:rFonts w:ascii="Arial" w:hAnsi="Arial" w:cs="Arial"/>
          <w:i/>
          <w:sz w:val="24"/>
          <w:szCs w:val="24"/>
        </w:rPr>
        <w:t>HPRT</w:t>
      </w:r>
      <w:r w:rsidR="00474849">
        <w:rPr>
          <w:rFonts w:ascii="Arial" w:hAnsi="Arial" w:cs="Arial"/>
          <w:sz w:val="24"/>
          <w:szCs w:val="24"/>
        </w:rPr>
        <w:t xml:space="preserve">.  Data are combined from </w:t>
      </w:r>
      <w:proofErr w:type="gramStart"/>
      <w:r w:rsidR="00474849">
        <w:rPr>
          <w:rFonts w:ascii="Arial" w:hAnsi="Arial" w:cs="Arial"/>
          <w:sz w:val="24"/>
          <w:szCs w:val="24"/>
        </w:rPr>
        <w:t>3</w:t>
      </w:r>
      <w:proofErr w:type="gramEnd"/>
      <w:r w:rsidR="00474849">
        <w:rPr>
          <w:rFonts w:ascii="Arial" w:hAnsi="Arial" w:cs="Arial"/>
          <w:sz w:val="24"/>
          <w:szCs w:val="24"/>
        </w:rPr>
        <w:t xml:space="preserve"> independent experiments using different donors</w:t>
      </w:r>
      <w:r w:rsidR="00474849" w:rsidRPr="003B5AC1">
        <w:rPr>
          <w:rFonts w:ascii="Arial" w:hAnsi="Arial" w:cs="Arial"/>
          <w:sz w:val="24"/>
          <w:szCs w:val="24"/>
        </w:rPr>
        <w:t xml:space="preserve"> and shown as mean</w:t>
      </w:r>
      <w:r w:rsidR="00474849">
        <w:rPr>
          <w:rFonts w:ascii="Arial" w:hAnsi="Arial" w:cs="Arial"/>
          <w:sz w:val="24"/>
          <w:szCs w:val="24"/>
        </w:rPr>
        <w:t xml:space="preserve"> </w:t>
      </w:r>
      <w:r w:rsidR="00474849" w:rsidRPr="003B5AC1">
        <w:rPr>
          <w:rFonts w:ascii="Arial" w:hAnsi="Arial" w:cs="Arial"/>
          <w:sz w:val="24"/>
          <w:szCs w:val="24"/>
        </w:rPr>
        <w:t>+/-</w:t>
      </w:r>
      <w:r w:rsidR="00474849">
        <w:rPr>
          <w:rFonts w:ascii="Arial" w:hAnsi="Arial" w:cs="Arial"/>
          <w:sz w:val="24"/>
          <w:szCs w:val="24"/>
        </w:rPr>
        <w:t xml:space="preserve"> SEM.</w:t>
      </w:r>
    </w:p>
    <w:p w:rsidR="00A82E87" w:rsidRDefault="00A82E87" w:rsidP="00A82E8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A82E87" w:rsidRPr="00904C98" w:rsidRDefault="00A82E87" w:rsidP="005A161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04C98" w:rsidRPr="00904C98" w:rsidRDefault="007A062C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A062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675120" cy="2452819"/>
            <wp:effectExtent l="0" t="0" r="0" b="5080"/>
            <wp:docPr id="3" name="Picture 3" descr="C:\Users\mcaleer\Desktop\RNAseq paper\Nat Sci Rep\Final revision\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caleer\Desktop\RNAseq paper\Nat Sci Rep\Final revision\Fig S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45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293" w:rsidRDefault="00A82E87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Figure S2</w:t>
      </w:r>
      <w:r w:rsidR="00904C98" w:rsidRPr="00904C98">
        <w:rPr>
          <w:rFonts w:ascii="Arial" w:hAnsi="Arial" w:cs="Arial"/>
          <w:b/>
          <w:sz w:val="24"/>
          <w:szCs w:val="24"/>
        </w:rPr>
        <w:t>.  Effect of AhR modulators on IL-22 production by CD4 T cells.</w:t>
      </w:r>
      <w:r w:rsidR="00904C98">
        <w:rPr>
          <w:rFonts w:ascii="Arial" w:hAnsi="Arial" w:cs="Arial"/>
          <w:b/>
          <w:sz w:val="24"/>
          <w:szCs w:val="24"/>
        </w:rPr>
        <w:t xml:space="preserve">  </w:t>
      </w:r>
      <w:r w:rsidR="00904C98">
        <w:rPr>
          <w:rFonts w:ascii="Arial" w:hAnsi="Arial" w:cs="Arial"/>
          <w:sz w:val="24"/>
          <w:szCs w:val="24"/>
        </w:rPr>
        <w:t xml:space="preserve">Naïve CD4 T cells </w:t>
      </w:r>
      <w:proofErr w:type="gramStart"/>
      <w:r w:rsidR="00904C98">
        <w:rPr>
          <w:rFonts w:ascii="Arial" w:hAnsi="Arial" w:cs="Arial"/>
          <w:sz w:val="24"/>
          <w:szCs w:val="24"/>
        </w:rPr>
        <w:t>were cultured</w:t>
      </w:r>
      <w:proofErr w:type="gramEnd"/>
      <w:r w:rsidR="00904C98">
        <w:rPr>
          <w:rFonts w:ascii="Arial" w:hAnsi="Arial" w:cs="Arial"/>
          <w:sz w:val="24"/>
          <w:szCs w:val="24"/>
        </w:rPr>
        <w:t xml:space="preserve"> in serum-free RPMI (A) or IMDM with 10 percent FBS (B) for five days.  Experimental groups were treated with FICZ, CH223191, Th22 conditions (IL-1</w:t>
      </w:r>
      <w:r w:rsidR="00904C98" w:rsidRPr="00904C98">
        <w:rPr>
          <w:rFonts w:ascii="Symbol" w:hAnsi="Symbol" w:cs="Arial"/>
          <w:sz w:val="24"/>
          <w:szCs w:val="24"/>
        </w:rPr>
        <w:t></w:t>
      </w:r>
      <w:r w:rsidR="00904C98">
        <w:rPr>
          <w:rFonts w:ascii="Arial" w:hAnsi="Arial" w:cs="Arial"/>
          <w:sz w:val="24"/>
          <w:szCs w:val="24"/>
        </w:rPr>
        <w:t>, IL-6, IL-23, Galunisertib</w:t>
      </w:r>
      <w:r w:rsidR="00056CEC">
        <w:rPr>
          <w:rFonts w:ascii="Arial" w:hAnsi="Arial" w:cs="Arial"/>
          <w:sz w:val="24"/>
          <w:szCs w:val="24"/>
        </w:rPr>
        <w:t xml:space="preserve"> 10uM</w:t>
      </w:r>
      <w:r w:rsidR="00904C98">
        <w:rPr>
          <w:rFonts w:ascii="Arial" w:hAnsi="Arial" w:cs="Arial"/>
          <w:sz w:val="24"/>
          <w:szCs w:val="24"/>
        </w:rPr>
        <w:t>) or Th17 conditions (IL-1</w:t>
      </w:r>
      <w:r w:rsidR="00904C98" w:rsidRPr="00904C98">
        <w:rPr>
          <w:rFonts w:ascii="Symbol" w:hAnsi="Symbol" w:cs="Arial"/>
          <w:sz w:val="24"/>
          <w:szCs w:val="24"/>
        </w:rPr>
        <w:t></w:t>
      </w:r>
      <w:r w:rsidR="00904C98">
        <w:rPr>
          <w:rFonts w:ascii="Arial" w:hAnsi="Arial" w:cs="Arial"/>
          <w:sz w:val="24"/>
          <w:szCs w:val="24"/>
        </w:rPr>
        <w:t>, IL-6, IL-23, TGF-</w:t>
      </w:r>
      <w:r w:rsidR="00904C98" w:rsidRPr="00904C98">
        <w:rPr>
          <w:rFonts w:ascii="Symbol" w:hAnsi="Symbol" w:cs="Arial"/>
          <w:sz w:val="24"/>
          <w:szCs w:val="24"/>
        </w:rPr>
        <w:t></w:t>
      </w:r>
      <w:r w:rsidR="00904C98">
        <w:rPr>
          <w:rFonts w:ascii="Arial" w:hAnsi="Arial" w:cs="Arial"/>
          <w:sz w:val="24"/>
          <w:szCs w:val="24"/>
        </w:rPr>
        <w:t xml:space="preserve">), as indicated.  Shown are IL-22 levels in culture supernatants on day 5, measured by ELISA.  Treatments </w:t>
      </w:r>
      <w:proofErr w:type="gramStart"/>
      <w:r w:rsidR="00904C98">
        <w:rPr>
          <w:rFonts w:ascii="Arial" w:hAnsi="Arial" w:cs="Arial"/>
          <w:sz w:val="24"/>
          <w:szCs w:val="24"/>
        </w:rPr>
        <w:t>were performed</w:t>
      </w:r>
      <w:proofErr w:type="gramEnd"/>
      <w:r w:rsidR="00904C98">
        <w:rPr>
          <w:rFonts w:ascii="Arial" w:hAnsi="Arial" w:cs="Arial"/>
          <w:sz w:val="24"/>
          <w:szCs w:val="24"/>
        </w:rPr>
        <w:t xml:space="preserve"> in triplicate from one (A) or two (B) independent experiments</w:t>
      </w:r>
      <w:r w:rsidR="0024763F">
        <w:rPr>
          <w:rFonts w:ascii="Arial" w:hAnsi="Arial" w:cs="Arial"/>
          <w:sz w:val="24"/>
          <w:szCs w:val="24"/>
        </w:rPr>
        <w:t>.  P</w:t>
      </w:r>
      <w:r w:rsidR="00904C98">
        <w:rPr>
          <w:rFonts w:ascii="Arial" w:hAnsi="Arial" w:cs="Arial"/>
          <w:sz w:val="24"/>
          <w:szCs w:val="24"/>
        </w:rPr>
        <w:t xml:space="preserve">aired </w:t>
      </w:r>
      <w:r w:rsidR="0024763F">
        <w:rPr>
          <w:rFonts w:ascii="Arial" w:hAnsi="Arial" w:cs="Arial"/>
          <w:sz w:val="24"/>
          <w:szCs w:val="24"/>
        </w:rPr>
        <w:t>t-tests were used for statistical analysis.</w:t>
      </w:r>
    </w:p>
    <w:p w:rsidR="00F75512" w:rsidRDefault="00F75512" w:rsidP="005A16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75512" w:rsidRDefault="00AD4E00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D4E00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6675120" cy="6341364"/>
            <wp:effectExtent l="0" t="0" r="0" b="2540"/>
            <wp:docPr id="5" name="Picture 5" descr="C:\Users\mcaleer\Desktop\RNAseq paper\Nat Sci Rep\Final revision\Fig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caleer\Desktop\RNAseq paper\Nat Sci Rep\Final revision\Fig S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634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512" w:rsidRPr="00F75512" w:rsidRDefault="00F75512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5512">
        <w:rPr>
          <w:rFonts w:ascii="Arial" w:hAnsi="Arial" w:cs="Arial"/>
          <w:b/>
          <w:sz w:val="24"/>
          <w:szCs w:val="24"/>
        </w:rPr>
        <w:t>Supplementary Figure S3.  CD4 T cell</w:t>
      </w:r>
      <w:bookmarkStart w:id="0" w:name="_GoBack"/>
      <w:bookmarkEnd w:id="0"/>
      <w:r w:rsidRPr="00F75512">
        <w:rPr>
          <w:rFonts w:ascii="Arial" w:hAnsi="Arial" w:cs="Arial"/>
          <w:b/>
          <w:sz w:val="24"/>
          <w:szCs w:val="24"/>
        </w:rPr>
        <w:t xml:space="preserve"> cytokine production in the presence of AhR modulators</w:t>
      </w:r>
      <w:r w:rsidR="00297368">
        <w:rPr>
          <w:rFonts w:ascii="Arial" w:hAnsi="Arial" w:cs="Arial"/>
          <w:b/>
          <w:sz w:val="24"/>
          <w:szCs w:val="24"/>
        </w:rPr>
        <w:t xml:space="preserve"> for three days</w:t>
      </w:r>
      <w:r w:rsidRPr="00F7551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Naïve (CD45RO</w:t>
      </w:r>
      <w:r w:rsidRPr="00F75512">
        <w:rPr>
          <w:rFonts w:ascii="Arial" w:hAnsi="Arial" w:cs="Arial"/>
          <w:sz w:val="24"/>
          <w:szCs w:val="24"/>
          <w:vertAlign w:val="superscript"/>
        </w:rPr>
        <w:t>-</w:t>
      </w:r>
      <w:r>
        <w:rPr>
          <w:rFonts w:ascii="Arial" w:hAnsi="Arial" w:cs="Arial"/>
          <w:sz w:val="24"/>
          <w:szCs w:val="24"/>
        </w:rPr>
        <w:t xml:space="preserve">) human CD4 T cells </w:t>
      </w:r>
      <w:proofErr w:type="gramStart"/>
      <w:r>
        <w:rPr>
          <w:rFonts w:ascii="Arial" w:hAnsi="Arial" w:cs="Arial"/>
          <w:sz w:val="24"/>
          <w:szCs w:val="24"/>
        </w:rPr>
        <w:t>were cultured</w:t>
      </w:r>
      <w:proofErr w:type="gramEnd"/>
      <w:r>
        <w:rPr>
          <w:rFonts w:ascii="Arial" w:hAnsi="Arial" w:cs="Arial"/>
          <w:sz w:val="24"/>
          <w:szCs w:val="24"/>
        </w:rPr>
        <w:t xml:space="preserve"> with Th17-inducing cytokines in the presence or absence of FICZ or CH223191, as indicated.  Cytokines </w:t>
      </w:r>
      <w:proofErr w:type="gramStart"/>
      <w:r>
        <w:rPr>
          <w:rFonts w:ascii="Arial" w:hAnsi="Arial" w:cs="Arial"/>
          <w:sz w:val="24"/>
          <w:szCs w:val="24"/>
        </w:rPr>
        <w:t>were measured</w:t>
      </w:r>
      <w:proofErr w:type="gramEnd"/>
      <w:r>
        <w:rPr>
          <w:rFonts w:ascii="Arial" w:hAnsi="Arial" w:cs="Arial"/>
          <w:sz w:val="24"/>
          <w:szCs w:val="24"/>
        </w:rPr>
        <w:t xml:space="preserve"> in culture supernatants on day 3.  Data are from the same donors used in Figure 1B.  Asterisks represent statistically different values between the indicated groups, determined by pairwise analysis.</w:t>
      </w:r>
    </w:p>
    <w:p w:rsidR="00EB2293" w:rsidRPr="00904C98" w:rsidRDefault="00EB2293" w:rsidP="005A16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2293" w:rsidRPr="00904C98" w:rsidRDefault="00AC2D04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2D0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790759" cy="7696200"/>
            <wp:effectExtent l="0" t="0" r="635" b="0"/>
            <wp:docPr id="2" name="Picture 2" descr="C:\Users\mcaleer\Desktop\RNAseq paper\Nat Sci Rep\Final revision\Fig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caleer\Desktop\RNAseq paper\Nat Sci Rep\Final revision\Fig S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310" cy="770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584" w:rsidRPr="00904C98" w:rsidRDefault="00EB2293" w:rsidP="005A16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4C98">
        <w:rPr>
          <w:rFonts w:ascii="Arial" w:hAnsi="Arial" w:cs="Arial"/>
          <w:b/>
          <w:sz w:val="24"/>
          <w:szCs w:val="24"/>
        </w:rPr>
        <w:t xml:space="preserve">Supplementary Figure </w:t>
      </w:r>
      <w:r w:rsidR="00DD2CAF">
        <w:rPr>
          <w:rFonts w:ascii="Arial" w:hAnsi="Arial" w:cs="Arial"/>
          <w:b/>
          <w:sz w:val="24"/>
          <w:szCs w:val="24"/>
        </w:rPr>
        <w:t>S4</w:t>
      </w:r>
      <w:r w:rsidRPr="00904C98">
        <w:rPr>
          <w:rFonts w:ascii="Arial" w:hAnsi="Arial" w:cs="Arial"/>
          <w:b/>
          <w:sz w:val="24"/>
          <w:szCs w:val="24"/>
        </w:rPr>
        <w:t>.  Heat map of genes expressed at significantly different levels between Th17 and Th17+CH</w:t>
      </w:r>
      <w:r w:rsidR="009E597B" w:rsidRPr="00904C98">
        <w:rPr>
          <w:rFonts w:ascii="Arial" w:hAnsi="Arial" w:cs="Arial"/>
          <w:b/>
          <w:sz w:val="24"/>
          <w:szCs w:val="24"/>
        </w:rPr>
        <w:t>223191 groups</w:t>
      </w:r>
      <w:r w:rsidRPr="00904C98">
        <w:rPr>
          <w:rFonts w:ascii="Arial" w:hAnsi="Arial" w:cs="Arial"/>
          <w:b/>
          <w:sz w:val="24"/>
          <w:szCs w:val="24"/>
        </w:rPr>
        <w:t xml:space="preserve"> (day 3).  </w:t>
      </w:r>
      <w:r w:rsidRPr="00904C98">
        <w:rPr>
          <w:rFonts w:ascii="Arial" w:hAnsi="Arial" w:cs="Arial"/>
          <w:sz w:val="24"/>
          <w:szCs w:val="24"/>
        </w:rPr>
        <w:t xml:space="preserve">Relative gene expression </w:t>
      </w:r>
      <w:proofErr w:type="gramStart"/>
      <w:r w:rsidRPr="00904C98">
        <w:rPr>
          <w:rFonts w:ascii="Arial" w:hAnsi="Arial" w:cs="Arial"/>
          <w:sz w:val="24"/>
          <w:szCs w:val="24"/>
        </w:rPr>
        <w:t>is normalized</w:t>
      </w:r>
      <w:proofErr w:type="gramEnd"/>
      <w:r w:rsidRPr="00904C98">
        <w:rPr>
          <w:rFonts w:ascii="Arial" w:hAnsi="Arial" w:cs="Arial"/>
          <w:sz w:val="24"/>
          <w:szCs w:val="24"/>
        </w:rPr>
        <w:t xml:space="preserve"> to the media control (0).  Empty sections indicate no detectable gene expression for the corresponding treatment.</w:t>
      </w:r>
    </w:p>
    <w:p w:rsidR="00123584" w:rsidRPr="00904C98" w:rsidRDefault="00123584" w:rsidP="005A16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597B" w:rsidRPr="000E4254" w:rsidRDefault="009E597B" w:rsidP="005A161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E597B" w:rsidRPr="000E4254" w:rsidSect="005A161E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1E"/>
    <w:rsid w:val="00056CEC"/>
    <w:rsid w:val="000E4254"/>
    <w:rsid w:val="00123584"/>
    <w:rsid w:val="001401C0"/>
    <w:rsid w:val="00152E50"/>
    <w:rsid w:val="0024763F"/>
    <w:rsid w:val="00297368"/>
    <w:rsid w:val="00362C85"/>
    <w:rsid w:val="0042215A"/>
    <w:rsid w:val="00474849"/>
    <w:rsid w:val="005A161E"/>
    <w:rsid w:val="005A5790"/>
    <w:rsid w:val="005C6649"/>
    <w:rsid w:val="005D77F4"/>
    <w:rsid w:val="005E6E33"/>
    <w:rsid w:val="00734450"/>
    <w:rsid w:val="007A062C"/>
    <w:rsid w:val="00904C98"/>
    <w:rsid w:val="009B2A69"/>
    <w:rsid w:val="009C5443"/>
    <w:rsid w:val="009E597B"/>
    <w:rsid w:val="00A11275"/>
    <w:rsid w:val="00A4644D"/>
    <w:rsid w:val="00A82E87"/>
    <w:rsid w:val="00AC2D04"/>
    <w:rsid w:val="00AD4E00"/>
    <w:rsid w:val="00B45A73"/>
    <w:rsid w:val="00B906DF"/>
    <w:rsid w:val="00BD6E48"/>
    <w:rsid w:val="00DD2CAF"/>
    <w:rsid w:val="00EB2293"/>
    <w:rsid w:val="00F05B69"/>
    <w:rsid w:val="00F7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658F"/>
  <w15:chartTrackingRefBased/>
  <w15:docId w15:val="{42D9047A-448F-4348-AF52-42D0A22F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McAleer, Jeremy</dc:creator>
  <cp:keywords/>
  <dc:description/>
  <cp:lastModifiedBy>McAleer, Jeremy</cp:lastModifiedBy>
  <cp:revision>27</cp:revision>
  <dcterms:created xsi:type="dcterms:W3CDTF">2018-01-02T14:39:00Z</dcterms:created>
  <dcterms:modified xsi:type="dcterms:W3CDTF">2018-06-26T19:03:00Z</dcterms:modified>
</cp:coreProperties>
</file>