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D4A31" w14:textId="77777777" w:rsidR="00F63FC6" w:rsidRDefault="00F63FC6" w:rsidP="00F63FC6">
      <w:pPr>
        <w:keepNext/>
      </w:pPr>
      <w:r>
        <w:rPr>
          <w:noProof/>
        </w:rPr>
        <w:drawing>
          <wp:inline distT="0" distB="0" distL="0" distR="0" wp14:anchorId="2130FBED" wp14:editId="6662A423">
            <wp:extent cx="8863330" cy="45789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38C7A" w14:textId="4144C031" w:rsidR="00E06E99" w:rsidRPr="00F63FC6" w:rsidRDefault="00F63FC6" w:rsidP="00F63FC6">
      <w:pPr>
        <w:pStyle w:val="Caption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F63F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Supplementary Figure 2</w:t>
      </w:r>
      <w:r w:rsidR="00FF3E8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:</w:t>
      </w:r>
      <w:r w:rsidRPr="00F63F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 Age-specified rates of sepsis events including first events in each calendar-year.</w:t>
      </w:r>
    </w:p>
    <w:p w14:paraId="4CF825A7" w14:textId="11F4A61D" w:rsidR="00F63FC6" w:rsidRPr="00F63FC6" w:rsidRDefault="00F63FC6" w:rsidP="00F63FC6">
      <w:pPr>
        <w:rPr>
          <w:rFonts w:ascii="Arial" w:hAnsi="Arial" w:cs="Arial"/>
        </w:rPr>
      </w:pPr>
      <w:r w:rsidRPr="00F63FC6">
        <w:rPr>
          <w:rFonts w:ascii="Arial" w:hAnsi="Arial" w:cs="Arial"/>
        </w:rPr>
        <w:t>CPRD, Clinical Practice Research Datalink; HES, Hospital Episode Statistics; ONS, Office for National Statistics</w:t>
      </w:r>
    </w:p>
    <w:sectPr w:rsidR="00F63FC6" w:rsidRPr="00F63FC6" w:rsidSect="00F63F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C6"/>
    <w:rsid w:val="003D568B"/>
    <w:rsid w:val="00BD0265"/>
    <w:rsid w:val="00E06E99"/>
    <w:rsid w:val="00F63FC6"/>
    <w:rsid w:val="00FF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61DE"/>
  <w15:chartTrackingRefBased/>
  <w15:docId w15:val="{884BC0D7-7324-4716-9205-0D4F5BDA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63FC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Rezel-Potts, Emma</dc:creator>
  <cp:keywords/>
  <dc:description/>
  <cp:lastModifiedBy>Rezel-Potts, Emma</cp:lastModifiedBy>
  <cp:revision>2</cp:revision>
  <dcterms:created xsi:type="dcterms:W3CDTF">2020-10-12T15:03:00Z</dcterms:created>
  <dcterms:modified xsi:type="dcterms:W3CDTF">2020-10-12T15:09:00Z</dcterms:modified>
</cp:coreProperties>
</file>