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4DAD" w14:textId="61D5A6CD" w:rsidR="005D2C85" w:rsidRDefault="0032610A" w:rsidP="005D2C85">
      <w:pPr>
        <w:pStyle w:val="Title1"/>
        <w:spacing w:before="240" w:after="240" w:line="240" w:lineRule="atLeast"/>
        <w:jc w:val="center"/>
        <w:rPr>
          <w:rFonts w:cs="Arial"/>
          <w:szCs w:val="32"/>
          <w:lang w:val="en-US"/>
        </w:rPr>
      </w:pPr>
      <w:bookmarkStart w:id="0" w:name="_Hlk109048647"/>
      <w:r>
        <w:rPr>
          <w:rFonts w:cs="Arial"/>
          <w:szCs w:val="32"/>
          <w:lang w:val="en-US"/>
        </w:rPr>
        <w:t>Supplementary</w:t>
      </w:r>
      <w:r w:rsidR="005D2C85">
        <w:rPr>
          <w:rFonts w:cs="Arial"/>
          <w:szCs w:val="32"/>
          <w:lang w:val="en-US"/>
        </w:rPr>
        <w:t xml:space="preserve"> Information</w:t>
      </w:r>
    </w:p>
    <w:p w14:paraId="78299ADF" w14:textId="77777777" w:rsidR="005D2C85" w:rsidRPr="005D2C85" w:rsidRDefault="005D2C85" w:rsidP="005D2C85">
      <w:pPr>
        <w:rPr>
          <w:lang w:eastAsia="ja-JP"/>
        </w:rPr>
      </w:pPr>
    </w:p>
    <w:p w14:paraId="359E70A1" w14:textId="5F947953" w:rsidR="002C1925" w:rsidRDefault="002C1925" w:rsidP="002C1925">
      <w:pPr>
        <w:pStyle w:val="Title1"/>
        <w:spacing w:before="240" w:after="240" w:line="240" w:lineRule="atLeast"/>
        <w:rPr>
          <w:rFonts w:cs="Arial"/>
          <w:szCs w:val="32"/>
          <w:lang w:val="en-US"/>
        </w:rPr>
      </w:pPr>
      <w:r w:rsidRPr="00B62198">
        <w:rPr>
          <w:rFonts w:cs="Arial"/>
          <w:szCs w:val="32"/>
          <w:lang w:val="en-US"/>
        </w:rPr>
        <w:t>Bacterial Geosmin Biosynthesis is Compartmentalized Inside a Two-Component Protein Shell</w:t>
      </w:r>
    </w:p>
    <w:p w14:paraId="0F3DD9F2" w14:textId="77777777" w:rsidR="002C1925" w:rsidRDefault="002C1925" w:rsidP="002C1925">
      <w:pPr>
        <w:rPr>
          <w:lang w:eastAsia="ja-JP"/>
        </w:rPr>
      </w:pPr>
    </w:p>
    <w:p w14:paraId="12848FB0" w14:textId="2426DDCB" w:rsidR="002C1925" w:rsidRPr="00B62198" w:rsidRDefault="002C1925" w:rsidP="002C1925">
      <w:pPr>
        <w:pStyle w:val="Authors"/>
        <w:spacing w:before="240" w:after="240" w:line="240" w:lineRule="atLeast"/>
        <w:rPr>
          <w:rFonts w:cs="Arial"/>
          <w:sz w:val="20"/>
          <w:szCs w:val="20"/>
          <w:lang w:val="en-US"/>
        </w:rPr>
      </w:pPr>
      <w:r>
        <w:rPr>
          <w:rFonts w:cs="Arial"/>
          <w:sz w:val="20"/>
          <w:szCs w:val="20"/>
          <w:lang w:val="en-US"/>
        </w:rPr>
        <w:t>Asif Fazal</w:t>
      </w:r>
      <w:r w:rsidRPr="00B62198">
        <w:rPr>
          <w:rFonts w:cs="Arial"/>
          <w:sz w:val="20"/>
          <w:szCs w:val="20"/>
          <w:lang w:val="en-US"/>
        </w:rPr>
        <w:t>,</w:t>
      </w:r>
      <w:r>
        <w:rPr>
          <w:rFonts w:cs="Arial"/>
          <w:sz w:val="20"/>
          <w:szCs w:val="20"/>
          <w:lang w:val="en-US"/>
        </w:rPr>
        <w:t xml:space="preserve"> Cassandra A. Dutcher, Michael P. Andreas,</w:t>
      </w:r>
      <w:r w:rsidRPr="00B62198">
        <w:rPr>
          <w:rFonts w:cs="Arial"/>
          <w:sz w:val="20"/>
          <w:szCs w:val="20"/>
          <w:lang w:val="en-US"/>
        </w:rPr>
        <w:t xml:space="preserve"> and</w:t>
      </w:r>
      <w:r>
        <w:rPr>
          <w:rFonts w:cs="Arial"/>
          <w:sz w:val="20"/>
          <w:szCs w:val="20"/>
          <w:lang w:val="en-US"/>
        </w:rPr>
        <w:t xml:space="preserve"> Tobias W. Giessen</w:t>
      </w:r>
      <w:r w:rsidRPr="00B62198">
        <w:rPr>
          <w:rFonts w:cs="Arial"/>
          <w:sz w:val="20"/>
          <w:szCs w:val="20"/>
          <w:lang w:val="en-US"/>
        </w:rPr>
        <w:t>*</w:t>
      </w:r>
    </w:p>
    <w:p w14:paraId="48202C54" w14:textId="77777777" w:rsidR="002C1925" w:rsidRPr="002C1925" w:rsidRDefault="002C1925" w:rsidP="002C1925">
      <w:pPr>
        <w:rPr>
          <w:lang w:eastAsia="ja-JP"/>
        </w:rPr>
      </w:pPr>
    </w:p>
    <w:bookmarkEnd w:id="0"/>
    <w:p w14:paraId="5A16BEB1" w14:textId="6013548B" w:rsidR="002C1925" w:rsidRDefault="002C1925">
      <w:pPr>
        <w:rPr>
          <w:b/>
          <w:bCs/>
          <w:sz w:val="32"/>
          <w:szCs w:val="32"/>
        </w:rPr>
      </w:pPr>
      <w:r>
        <w:rPr>
          <w:b/>
          <w:bCs/>
          <w:sz w:val="32"/>
          <w:szCs w:val="32"/>
        </w:rPr>
        <w:br w:type="page"/>
      </w:r>
    </w:p>
    <w:sdt>
      <w:sdtPr>
        <w:rPr>
          <w:rFonts w:asciiTheme="minorHAnsi" w:eastAsiaTheme="minorHAnsi" w:hAnsiTheme="minorHAnsi" w:cstheme="minorBidi"/>
          <w:b w:val="0"/>
          <w:bCs w:val="0"/>
          <w:color w:val="auto"/>
          <w:kern w:val="2"/>
          <w:sz w:val="24"/>
          <w:szCs w:val="24"/>
          <w14:ligatures w14:val="standardContextual"/>
        </w:rPr>
        <w:id w:val="1584270342"/>
        <w:docPartObj>
          <w:docPartGallery w:val="Table of Contents"/>
          <w:docPartUnique/>
        </w:docPartObj>
      </w:sdtPr>
      <w:sdtEndPr>
        <w:rPr>
          <w:noProof/>
        </w:rPr>
      </w:sdtEndPr>
      <w:sdtContent>
        <w:p w14:paraId="2C9CC64C" w14:textId="5A31452D" w:rsidR="005D2C85" w:rsidRDefault="005D2C85">
          <w:pPr>
            <w:pStyle w:val="TOCHeading"/>
          </w:pPr>
          <w:r>
            <w:t>Table of Contents</w:t>
          </w:r>
        </w:p>
        <w:p w14:paraId="7509F001" w14:textId="4A2A16B4" w:rsidR="005D2C85" w:rsidRDefault="005D2C85">
          <w:pPr>
            <w:pStyle w:val="TOC2"/>
            <w:tabs>
              <w:tab w:val="right" w:leader="dot" w:pos="9350"/>
            </w:tabs>
            <w:rPr>
              <w:rFonts w:eastAsiaTheme="minorEastAsia"/>
              <w:b w:val="0"/>
              <w:bCs w:val="0"/>
              <w:smallCaps w:val="0"/>
              <w:noProof/>
              <w:sz w:val="24"/>
              <w:szCs w:val="24"/>
            </w:rPr>
          </w:pPr>
          <w:r>
            <w:rPr>
              <w:b w:val="0"/>
              <w:bCs w:val="0"/>
            </w:rPr>
            <w:fldChar w:fldCharType="begin"/>
          </w:r>
          <w:r>
            <w:instrText xml:space="preserve"> TOC \o "1-3" \h \z \u </w:instrText>
          </w:r>
          <w:r>
            <w:rPr>
              <w:b w:val="0"/>
              <w:bCs w:val="0"/>
            </w:rPr>
            <w:fldChar w:fldCharType="separate"/>
          </w:r>
          <w:hyperlink w:anchor="_Toc235467993" w:history="1">
            <w:r w:rsidRPr="00025B32">
              <w:rPr>
                <w:rStyle w:val="Hyperlink"/>
                <w:noProof/>
              </w:rPr>
              <w:t>Methods</w:t>
            </w:r>
            <w:r>
              <w:rPr>
                <w:noProof/>
                <w:webHidden/>
              </w:rPr>
              <w:tab/>
            </w:r>
            <w:r>
              <w:rPr>
                <w:noProof/>
                <w:webHidden/>
              </w:rPr>
              <w:fldChar w:fldCharType="begin"/>
            </w:r>
            <w:r>
              <w:rPr>
                <w:noProof/>
                <w:webHidden/>
              </w:rPr>
              <w:instrText xml:space="preserve"> PAGEREF _Toc235467993 \h </w:instrText>
            </w:r>
            <w:r>
              <w:rPr>
                <w:noProof/>
                <w:webHidden/>
              </w:rPr>
            </w:r>
            <w:r>
              <w:rPr>
                <w:noProof/>
                <w:webHidden/>
              </w:rPr>
              <w:fldChar w:fldCharType="separate"/>
            </w:r>
            <w:r>
              <w:rPr>
                <w:noProof/>
                <w:webHidden/>
              </w:rPr>
              <w:t>2</w:t>
            </w:r>
            <w:r>
              <w:rPr>
                <w:noProof/>
                <w:webHidden/>
              </w:rPr>
              <w:fldChar w:fldCharType="end"/>
            </w:r>
          </w:hyperlink>
        </w:p>
        <w:p w14:paraId="19495778" w14:textId="16C451A8" w:rsidR="005D2C85" w:rsidRDefault="005D2C85">
          <w:pPr>
            <w:pStyle w:val="TOC2"/>
            <w:tabs>
              <w:tab w:val="right" w:leader="dot" w:pos="9350"/>
            </w:tabs>
            <w:rPr>
              <w:rFonts w:eastAsiaTheme="minorEastAsia"/>
              <w:b w:val="0"/>
              <w:bCs w:val="0"/>
              <w:smallCaps w:val="0"/>
              <w:noProof/>
              <w:sz w:val="24"/>
              <w:szCs w:val="24"/>
            </w:rPr>
          </w:pPr>
          <w:hyperlink w:anchor="_Toc235467994" w:history="1">
            <w:r w:rsidRPr="00025B32">
              <w:rPr>
                <w:rStyle w:val="Hyperlink"/>
                <w:noProof/>
              </w:rPr>
              <w:t>Supplementary Fig. 1</w:t>
            </w:r>
            <w:r>
              <w:rPr>
                <w:noProof/>
                <w:webHidden/>
              </w:rPr>
              <w:tab/>
            </w:r>
            <w:r>
              <w:rPr>
                <w:noProof/>
                <w:webHidden/>
              </w:rPr>
              <w:fldChar w:fldCharType="begin"/>
            </w:r>
            <w:r>
              <w:rPr>
                <w:noProof/>
                <w:webHidden/>
              </w:rPr>
              <w:instrText xml:space="preserve"> PAGEREF _Toc235467994 \h </w:instrText>
            </w:r>
            <w:r>
              <w:rPr>
                <w:noProof/>
                <w:webHidden/>
              </w:rPr>
            </w:r>
            <w:r>
              <w:rPr>
                <w:noProof/>
                <w:webHidden/>
              </w:rPr>
              <w:fldChar w:fldCharType="separate"/>
            </w:r>
            <w:r>
              <w:rPr>
                <w:noProof/>
                <w:webHidden/>
              </w:rPr>
              <w:t>9</w:t>
            </w:r>
            <w:r>
              <w:rPr>
                <w:noProof/>
                <w:webHidden/>
              </w:rPr>
              <w:fldChar w:fldCharType="end"/>
            </w:r>
          </w:hyperlink>
        </w:p>
        <w:p w14:paraId="2DAD48DF" w14:textId="5552AE90" w:rsidR="005D2C85" w:rsidRDefault="005D2C85">
          <w:pPr>
            <w:pStyle w:val="TOC2"/>
            <w:tabs>
              <w:tab w:val="right" w:leader="dot" w:pos="9350"/>
            </w:tabs>
            <w:rPr>
              <w:rFonts w:eastAsiaTheme="minorEastAsia"/>
              <w:b w:val="0"/>
              <w:bCs w:val="0"/>
              <w:smallCaps w:val="0"/>
              <w:noProof/>
              <w:sz w:val="24"/>
              <w:szCs w:val="24"/>
            </w:rPr>
          </w:pPr>
          <w:hyperlink w:anchor="_Toc235467995" w:history="1">
            <w:r w:rsidRPr="00025B32">
              <w:rPr>
                <w:rStyle w:val="Hyperlink"/>
                <w:noProof/>
              </w:rPr>
              <w:t>Supplementary Fig. 2</w:t>
            </w:r>
            <w:r>
              <w:rPr>
                <w:noProof/>
                <w:webHidden/>
              </w:rPr>
              <w:tab/>
            </w:r>
            <w:r>
              <w:rPr>
                <w:noProof/>
                <w:webHidden/>
              </w:rPr>
              <w:fldChar w:fldCharType="begin"/>
            </w:r>
            <w:r>
              <w:rPr>
                <w:noProof/>
                <w:webHidden/>
              </w:rPr>
              <w:instrText xml:space="preserve"> PAGEREF _Toc235467995 \h </w:instrText>
            </w:r>
            <w:r>
              <w:rPr>
                <w:noProof/>
                <w:webHidden/>
              </w:rPr>
            </w:r>
            <w:r>
              <w:rPr>
                <w:noProof/>
                <w:webHidden/>
              </w:rPr>
              <w:fldChar w:fldCharType="separate"/>
            </w:r>
            <w:r>
              <w:rPr>
                <w:noProof/>
                <w:webHidden/>
              </w:rPr>
              <w:t>10</w:t>
            </w:r>
            <w:r>
              <w:rPr>
                <w:noProof/>
                <w:webHidden/>
              </w:rPr>
              <w:fldChar w:fldCharType="end"/>
            </w:r>
          </w:hyperlink>
        </w:p>
        <w:p w14:paraId="6BD16847" w14:textId="6E5A518D" w:rsidR="005D2C85" w:rsidRDefault="005D2C85">
          <w:pPr>
            <w:pStyle w:val="TOC2"/>
            <w:tabs>
              <w:tab w:val="right" w:leader="dot" w:pos="9350"/>
            </w:tabs>
            <w:rPr>
              <w:rFonts w:eastAsiaTheme="minorEastAsia"/>
              <w:b w:val="0"/>
              <w:bCs w:val="0"/>
              <w:smallCaps w:val="0"/>
              <w:noProof/>
              <w:sz w:val="24"/>
              <w:szCs w:val="24"/>
            </w:rPr>
          </w:pPr>
          <w:hyperlink w:anchor="_Toc235467996" w:history="1">
            <w:r w:rsidRPr="00025B32">
              <w:rPr>
                <w:rStyle w:val="Hyperlink"/>
                <w:noProof/>
              </w:rPr>
              <w:t>Supplementary Fig. 3</w:t>
            </w:r>
            <w:r>
              <w:rPr>
                <w:noProof/>
                <w:webHidden/>
              </w:rPr>
              <w:tab/>
            </w:r>
            <w:r>
              <w:rPr>
                <w:noProof/>
                <w:webHidden/>
              </w:rPr>
              <w:fldChar w:fldCharType="begin"/>
            </w:r>
            <w:r>
              <w:rPr>
                <w:noProof/>
                <w:webHidden/>
              </w:rPr>
              <w:instrText xml:space="preserve"> PAGEREF _Toc235467996 \h </w:instrText>
            </w:r>
            <w:r>
              <w:rPr>
                <w:noProof/>
                <w:webHidden/>
              </w:rPr>
            </w:r>
            <w:r>
              <w:rPr>
                <w:noProof/>
                <w:webHidden/>
              </w:rPr>
              <w:fldChar w:fldCharType="separate"/>
            </w:r>
            <w:r>
              <w:rPr>
                <w:noProof/>
                <w:webHidden/>
              </w:rPr>
              <w:t>11</w:t>
            </w:r>
            <w:r>
              <w:rPr>
                <w:noProof/>
                <w:webHidden/>
              </w:rPr>
              <w:fldChar w:fldCharType="end"/>
            </w:r>
          </w:hyperlink>
        </w:p>
        <w:p w14:paraId="5B9A60C1" w14:textId="47E0ABA0" w:rsidR="005D2C85" w:rsidRDefault="005D2C85">
          <w:pPr>
            <w:pStyle w:val="TOC2"/>
            <w:tabs>
              <w:tab w:val="right" w:leader="dot" w:pos="9350"/>
            </w:tabs>
            <w:rPr>
              <w:rFonts w:eastAsiaTheme="minorEastAsia"/>
              <w:b w:val="0"/>
              <w:bCs w:val="0"/>
              <w:smallCaps w:val="0"/>
              <w:noProof/>
              <w:sz w:val="24"/>
              <w:szCs w:val="24"/>
            </w:rPr>
          </w:pPr>
          <w:hyperlink w:anchor="_Toc235467997" w:history="1">
            <w:r w:rsidRPr="00025B32">
              <w:rPr>
                <w:rStyle w:val="Hyperlink"/>
                <w:noProof/>
              </w:rPr>
              <w:t>Supplementary Fig. 4</w:t>
            </w:r>
            <w:r>
              <w:rPr>
                <w:noProof/>
                <w:webHidden/>
              </w:rPr>
              <w:tab/>
            </w:r>
            <w:r>
              <w:rPr>
                <w:noProof/>
                <w:webHidden/>
              </w:rPr>
              <w:fldChar w:fldCharType="begin"/>
            </w:r>
            <w:r>
              <w:rPr>
                <w:noProof/>
                <w:webHidden/>
              </w:rPr>
              <w:instrText xml:space="preserve"> PAGEREF _Toc235467997 \h </w:instrText>
            </w:r>
            <w:r>
              <w:rPr>
                <w:noProof/>
                <w:webHidden/>
              </w:rPr>
            </w:r>
            <w:r>
              <w:rPr>
                <w:noProof/>
                <w:webHidden/>
              </w:rPr>
              <w:fldChar w:fldCharType="separate"/>
            </w:r>
            <w:r>
              <w:rPr>
                <w:noProof/>
                <w:webHidden/>
              </w:rPr>
              <w:t>12</w:t>
            </w:r>
            <w:r>
              <w:rPr>
                <w:noProof/>
                <w:webHidden/>
              </w:rPr>
              <w:fldChar w:fldCharType="end"/>
            </w:r>
          </w:hyperlink>
        </w:p>
        <w:p w14:paraId="4C7EBAC8" w14:textId="51086539" w:rsidR="005D2C85" w:rsidRDefault="005D2C85">
          <w:pPr>
            <w:pStyle w:val="TOC2"/>
            <w:tabs>
              <w:tab w:val="right" w:leader="dot" w:pos="9350"/>
            </w:tabs>
            <w:rPr>
              <w:rFonts w:eastAsiaTheme="minorEastAsia"/>
              <w:b w:val="0"/>
              <w:bCs w:val="0"/>
              <w:smallCaps w:val="0"/>
              <w:noProof/>
              <w:sz w:val="24"/>
              <w:szCs w:val="24"/>
            </w:rPr>
          </w:pPr>
          <w:hyperlink w:anchor="_Toc235467998" w:history="1">
            <w:r w:rsidRPr="00025B32">
              <w:rPr>
                <w:rStyle w:val="Hyperlink"/>
                <w:noProof/>
              </w:rPr>
              <w:t>Supplementary Fig. 5</w:t>
            </w:r>
            <w:r>
              <w:rPr>
                <w:noProof/>
                <w:webHidden/>
              </w:rPr>
              <w:tab/>
            </w:r>
            <w:r>
              <w:rPr>
                <w:noProof/>
                <w:webHidden/>
              </w:rPr>
              <w:fldChar w:fldCharType="begin"/>
            </w:r>
            <w:r>
              <w:rPr>
                <w:noProof/>
                <w:webHidden/>
              </w:rPr>
              <w:instrText xml:space="preserve"> PAGEREF _Toc235467998 \h </w:instrText>
            </w:r>
            <w:r>
              <w:rPr>
                <w:noProof/>
                <w:webHidden/>
              </w:rPr>
            </w:r>
            <w:r>
              <w:rPr>
                <w:noProof/>
                <w:webHidden/>
              </w:rPr>
              <w:fldChar w:fldCharType="separate"/>
            </w:r>
            <w:r>
              <w:rPr>
                <w:noProof/>
                <w:webHidden/>
              </w:rPr>
              <w:t>14</w:t>
            </w:r>
            <w:r>
              <w:rPr>
                <w:noProof/>
                <w:webHidden/>
              </w:rPr>
              <w:fldChar w:fldCharType="end"/>
            </w:r>
          </w:hyperlink>
        </w:p>
        <w:p w14:paraId="34D06F5C" w14:textId="4AE1D94D" w:rsidR="005D2C85" w:rsidRDefault="005D2C85">
          <w:pPr>
            <w:pStyle w:val="TOC2"/>
            <w:tabs>
              <w:tab w:val="right" w:leader="dot" w:pos="9350"/>
            </w:tabs>
            <w:rPr>
              <w:rFonts w:eastAsiaTheme="minorEastAsia"/>
              <w:b w:val="0"/>
              <w:bCs w:val="0"/>
              <w:smallCaps w:val="0"/>
              <w:noProof/>
              <w:sz w:val="24"/>
              <w:szCs w:val="24"/>
            </w:rPr>
          </w:pPr>
          <w:hyperlink w:anchor="_Toc235467999" w:history="1">
            <w:r w:rsidRPr="00025B32">
              <w:rPr>
                <w:rStyle w:val="Hyperlink"/>
                <w:noProof/>
              </w:rPr>
              <w:t>Supplementary Fig. 6</w:t>
            </w:r>
            <w:r>
              <w:rPr>
                <w:noProof/>
                <w:webHidden/>
              </w:rPr>
              <w:tab/>
            </w:r>
            <w:r>
              <w:rPr>
                <w:noProof/>
                <w:webHidden/>
              </w:rPr>
              <w:fldChar w:fldCharType="begin"/>
            </w:r>
            <w:r>
              <w:rPr>
                <w:noProof/>
                <w:webHidden/>
              </w:rPr>
              <w:instrText xml:space="preserve"> PAGEREF _Toc235467999 \h </w:instrText>
            </w:r>
            <w:r>
              <w:rPr>
                <w:noProof/>
                <w:webHidden/>
              </w:rPr>
            </w:r>
            <w:r>
              <w:rPr>
                <w:noProof/>
                <w:webHidden/>
              </w:rPr>
              <w:fldChar w:fldCharType="separate"/>
            </w:r>
            <w:r>
              <w:rPr>
                <w:noProof/>
                <w:webHidden/>
              </w:rPr>
              <w:t>15</w:t>
            </w:r>
            <w:r>
              <w:rPr>
                <w:noProof/>
                <w:webHidden/>
              </w:rPr>
              <w:fldChar w:fldCharType="end"/>
            </w:r>
          </w:hyperlink>
        </w:p>
        <w:p w14:paraId="3B4CFB0F" w14:textId="7FE684E1" w:rsidR="005D2C85" w:rsidRDefault="005D2C85">
          <w:pPr>
            <w:pStyle w:val="TOC2"/>
            <w:tabs>
              <w:tab w:val="right" w:leader="dot" w:pos="9350"/>
            </w:tabs>
            <w:rPr>
              <w:rFonts w:eastAsiaTheme="minorEastAsia"/>
              <w:b w:val="0"/>
              <w:bCs w:val="0"/>
              <w:smallCaps w:val="0"/>
              <w:noProof/>
              <w:sz w:val="24"/>
              <w:szCs w:val="24"/>
            </w:rPr>
          </w:pPr>
          <w:hyperlink w:anchor="_Toc235468000" w:history="1">
            <w:r w:rsidRPr="00025B32">
              <w:rPr>
                <w:rStyle w:val="Hyperlink"/>
                <w:noProof/>
              </w:rPr>
              <w:t>Supplementary Fig. 7</w:t>
            </w:r>
            <w:r>
              <w:rPr>
                <w:noProof/>
                <w:webHidden/>
              </w:rPr>
              <w:tab/>
            </w:r>
            <w:r>
              <w:rPr>
                <w:noProof/>
                <w:webHidden/>
              </w:rPr>
              <w:fldChar w:fldCharType="begin"/>
            </w:r>
            <w:r>
              <w:rPr>
                <w:noProof/>
                <w:webHidden/>
              </w:rPr>
              <w:instrText xml:space="preserve"> PAGEREF _Toc235468000 \h </w:instrText>
            </w:r>
            <w:r>
              <w:rPr>
                <w:noProof/>
                <w:webHidden/>
              </w:rPr>
            </w:r>
            <w:r>
              <w:rPr>
                <w:noProof/>
                <w:webHidden/>
              </w:rPr>
              <w:fldChar w:fldCharType="separate"/>
            </w:r>
            <w:r>
              <w:rPr>
                <w:noProof/>
                <w:webHidden/>
              </w:rPr>
              <w:t>16</w:t>
            </w:r>
            <w:r>
              <w:rPr>
                <w:noProof/>
                <w:webHidden/>
              </w:rPr>
              <w:fldChar w:fldCharType="end"/>
            </w:r>
          </w:hyperlink>
        </w:p>
        <w:p w14:paraId="134831BD" w14:textId="01B0EF22" w:rsidR="005D2C85" w:rsidRDefault="005D2C85">
          <w:pPr>
            <w:pStyle w:val="TOC2"/>
            <w:tabs>
              <w:tab w:val="right" w:leader="dot" w:pos="9350"/>
            </w:tabs>
            <w:rPr>
              <w:rFonts w:eastAsiaTheme="minorEastAsia"/>
              <w:b w:val="0"/>
              <w:bCs w:val="0"/>
              <w:smallCaps w:val="0"/>
              <w:noProof/>
              <w:sz w:val="24"/>
              <w:szCs w:val="24"/>
            </w:rPr>
          </w:pPr>
          <w:hyperlink w:anchor="_Toc235468001" w:history="1">
            <w:r w:rsidRPr="00025B32">
              <w:rPr>
                <w:rStyle w:val="Hyperlink"/>
                <w:noProof/>
              </w:rPr>
              <w:t>Supplementary Fig. 8</w:t>
            </w:r>
            <w:r>
              <w:rPr>
                <w:noProof/>
                <w:webHidden/>
              </w:rPr>
              <w:tab/>
            </w:r>
            <w:r>
              <w:rPr>
                <w:noProof/>
                <w:webHidden/>
              </w:rPr>
              <w:fldChar w:fldCharType="begin"/>
            </w:r>
            <w:r>
              <w:rPr>
                <w:noProof/>
                <w:webHidden/>
              </w:rPr>
              <w:instrText xml:space="preserve"> PAGEREF _Toc235468001 \h </w:instrText>
            </w:r>
            <w:r>
              <w:rPr>
                <w:noProof/>
                <w:webHidden/>
              </w:rPr>
            </w:r>
            <w:r>
              <w:rPr>
                <w:noProof/>
                <w:webHidden/>
              </w:rPr>
              <w:fldChar w:fldCharType="separate"/>
            </w:r>
            <w:r>
              <w:rPr>
                <w:noProof/>
                <w:webHidden/>
              </w:rPr>
              <w:t>17</w:t>
            </w:r>
            <w:r>
              <w:rPr>
                <w:noProof/>
                <w:webHidden/>
              </w:rPr>
              <w:fldChar w:fldCharType="end"/>
            </w:r>
          </w:hyperlink>
        </w:p>
        <w:p w14:paraId="53A8D77B" w14:textId="58A5ADE4" w:rsidR="005D2C85" w:rsidRDefault="005D2C85">
          <w:pPr>
            <w:pStyle w:val="TOC2"/>
            <w:tabs>
              <w:tab w:val="right" w:leader="dot" w:pos="9350"/>
            </w:tabs>
            <w:rPr>
              <w:rFonts w:eastAsiaTheme="minorEastAsia"/>
              <w:b w:val="0"/>
              <w:bCs w:val="0"/>
              <w:smallCaps w:val="0"/>
              <w:noProof/>
              <w:sz w:val="24"/>
              <w:szCs w:val="24"/>
            </w:rPr>
          </w:pPr>
          <w:hyperlink w:anchor="_Toc235468002" w:history="1">
            <w:r w:rsidRPr="00025B32">
              <w:rPr>
                <w:rStyle w:val="Hyperlink"/>
                <w:noProof/>
              </w:rPr>
              <w:t>Supplementary Fig. 9</w:t>
            </w:r>
            <w:r>
              <w:rPr>
                <w:noProof/>
                <w:webHidden/>
              </w:rPr>
              <w:tab/>
            </w:r>
            <w:r>
              <w:rPr>
                <w:noProof/>
                <w:webHidden/>
              </w:rPr>
              <w:fldChar w:fldCharType="begin"/>
            </w:r>
            <w:r>
              <w:rPr>
                <w:noProof/>
                <w:webHidden/>
              </w:rPr>
              <w:instrText xml:space="preserve"> PAGEREF _Toc235468002 \h </w:instrText>
            </w:r>
            <w:r>
              <w:rPr>
                <w:noProof/>
                <w:webHidden/>
              </w:rPr>
            </w:r>
            <w:r>
              <w:rPr>
                <w:noProof/>
                <w:webHidden/>
              </w:rPr>
              <w:fldChar w:fldCharType="separate"/>
            </w:r>
            <w:r>
              <w:rPr>
                <w:noProof/>
                <w:webHidden/>
              </w:rPr>
              <w:t>18</w:t>
            </w:r>
            <w:r>
              <w:rPr>
                <w:noProof/>
                <w:webHidden/>
              </w:rPr>
              <w:fldChar w:fldCharType="end"/>
            </w:r>
          </w:hyperlink>
        </w:p>
        <w:p w14:paraId="0F5F6FE4" w14:textId="72E8C311" w:rsidR="005D2C85" w:rsidRDefault="005D2C85">
          <w:pPr>
            <w:pStyle w:val="TOC2"/>
            <w:tabs>
              <w:tab w:val="right" w:leader="dot" w:pos="9350"/>
            </w:tabs>
            <w:rPr>
              <w:rFonts w:eastAsiaTheme="minorEastAsia"/>
              <w:b w:val="0"/>
              <w:bCs w:val="0"/>
              <w:smallCaps w:val="0"/>
              <w:noProof/>
              <w:sz w:val="24"/>
              <w:szCs w:val="24"/>
            </w:rPr>
          </w:pPr>
          <w:hyperlink w:anchor="_Toc235468003" w:history="1">
            <w:r w:rsidRPr="00025B32">
              <w:rPr>
                <w:rStyle w:val="Hyperlink"/>
                <w:noProof/>
              </w:rPr>
              <w:t>Supplementary Fig. 10</w:t>
            </w:r>
            <w:r>
              <w:rPr>
                <w:noProof/>
                <w:webHidden/>
              </w:rPr>
              <w:tab/>
            </w:r>
            <w:r>
              <w:rPr>
                <w:noProof/>
                <w:webHidden/>
              </w:rPr>
              <w:fldChar w:fldCharType="begin"/>
            </w:r>
            <w:r>
              <w:rPr>
                <w:noProof/>
                <w:webHidden/>
              </w:rPr>
              <w:instrText xml:space="preserve"> PAGEREF _Toc235468003 \h </w:instrText>
            </w:r>
            <w:r>
              <w:rPr>
                <w:noProof/>
                <w:webHidden/>
              </w:rPr>
            </w:r>
            <w:r>
              <w:rPr>
                <w:noProof/>
                <w:webHidden/>
              </w:rPr>
              <w:fldChar w:fldCharType="separate"/>
            </w:r>
            <w:r>
              <w:rPr>
                <w:noProof/>
                <w:webHidden/>
              </w:rPr>
              <w:t>19</w:t>
            </w:r>
            <w:r>
              <w:rPr>
                <w:noProof/>
                <w:webHidden/>
              </w:rPr>
              <w:fldChar w:fldCharType="end"/>
            </w:r>
          </w:hyperlink>
        </w:p>
        <w:p w14:paraId="5B542803" w14:textId="4B781B0A" w:rsidR="005D2C85" w:rsidRDefault="005D2C85">
          <w:pPr>
            <w:pStyle w:val="TOC2"/>
            <w:tabs>
              <w:tab w:val="right" w:leader="dot" w:pos="9350"/>
            </w:tabs>
            <w:rPr>
              <w:rFonts w:eastAsiaTheme="minorEastAsia"/>
              <w:b w:val="0"/>
              <w:bCs w:val="0"/>
              <w:smallCaps w:val="0"/>
              <w:noProof/>
              <w:sz w:val="24"/>
              <w:szCs w:val="24"/>
            </w:rPr>
          </w:pPr>
          <w:hyperlink w:anchor="_Toc235468004" w:history="1">
            <w:r w:rsidRPr="00025B32">
              <w:rPr>
                <w:rStyle w:val="Hyperlink"/>
                <w:rFonts w:cs="Arial"/>
                <w:noProof/>
              </w:rPr>
              <w:t>Supplementary Table 1</w:t>
            </w:r>
            <w:r>
              <w:rPr>
                <w:noProof/>
                <w:webHidden/>
              </w:rPr>
              <w:tab/>
            </w:r>
            <w:r>
              <w:rPr>
                <w:noProof/>
                <w:webHidden/>
              </w:rPr>
              <w:fldChar w:fldCharType="begin"/>
            </w:r>
            <w:r>
              <w:rPr>
                <w:noProof/>
                <w:webHidden/>
              </w:rPr>
              <w:instrText xml:space="preserve"> PAGEREF _Toc235468004 \h </w:instrText>
            </w:r>
            <w:r>
              <w:rPr>
                <w:noProof/>
                <w:webHidden/>
              </w:rPr>
            </w:r>
            <w:r>
              <w:rPr>
                <w:noProof/>
                <w:webHidden/>
              </w:rPr>
              <w:fldChar w:fldCharType="separate"/>
            </w:r>
            <w:r>
              <w:rPr>
                <w:noProof/>
                <w:webHidden/>
              </w:rPr>
              <w:t>20</w:t>
            </w:r>
            <w:r>
              <w:rPr>
                <w:noProof/>
                <w:webHidden/>
              </w:rPr>
              <w:fldChar w:fldCharType="end"/>
            </w:r>
          </w:hyperlink>
        </w:p>
        <w:p w14:paraId="468FDF0B" w14:textId="20FE7032" w:rsidR="005D2C85" w:rsidRDefault="005D2C85">
          <w:pPr>
            <w:pStyle w:val="TOC2"/>
            <w:tabs>
              <w:tab w:val="right" w:leader="dot" w:pos="9350"/>
            </w:tabs>
            <w:rPr>
              <w:rFonts w:eastAsiaTheme="minorEastAsia"/>
              <w:b w:val="0"/>
              <w:bCs w:val="0"/>
              <w:smallCaps w:val="0"/>
              <w:noProof/>
              <w:sz w:val="24"/>
              <w:szCs w:val="24"/>
            </w:rPr>
          </w:pPr>
          <w:hyperlink w:anchor="_Toc235468005" w:history="1">
            <w:r w:rsidRPr="00025B32">
              <w:rPr>
                <w:rStyle w:val="Hyperlink"/>
                <w:noProof/>
              </w:rPr>
              <w:t>Supplementary Table 2</w:t>
            </w:r>
            <w:r>
              <w:rPr>
                <w:noProof/>
                <w:webHidden/>
              </w:rPr>
              <w:tab/>
            </w:r>
            <w:r>
              <w:rPr>
                <w:noProof/>
                <w:webHidden/>
              </w:rPr>
              <w:fldChar w:fldCharType="begin"/>
            </w:r>
            <w:r>
              <w:rPr>
                <w:noProof/>
                <w:webHidden/>
              </w:rPr>
              <w:instrText xml:space="preserve"> PAGEREF _Toc235468005 \h </w:instrText>
            </w:r>
            <w:r>
              <w:rPr>
                <w:noProof/>
                <w:webHidden/>
              </w:rPr>
            </w:r>
            <w:r>
              <w:rPr>
                <w:noProof/>
                <w:webHidden/>
              </w:rPr>
              <w:fldChar w:fldCharType="separate"/>
            </w:r>
            <w:r>
              <w:rPr>
                <w:noProof/>
                <w:webHidden/>
              </w:rPr>
              <w:t>21</w:t>
            </w:r>
            <w:r>
              <w:rPr>
                <w:noProof/>
                <w:webHidden/>
              </w:rPr>
              <w:fldChar w:fldCharType="end"/>
            </w:r>
          </w:hyperlink>
        </w:p>
        <w:p w14:paraId="186C8EAD" w14:textId="419BBDB9" w:rsidR="005D2C85" w:rsidRDefault="005D2C85">
          <w:pPr>
            <w:pStyle w:val="TOC2"/>
            <w:tabs>
              <w:tab w:val="right" w:leader="dot" w:pos="9350"/>
            </w:tabs>
            <w:rPr>
              <w:rFonts w:eastAsiaTheme="minorEastAsia"/>
              <w:b w:val="0"/>
              <w:bCs w:val="0"/>
              <w:smallCaps w:val="0"/>
              <w:noProof/>
              <w:sz w:val="24"/>
              <w:szCs w:val="24"/>
            </w:rPr>
          </w:pPr>
          <w:hyperlink w:anchor="_Toc235468006" w:history="1">
            <w:r w:rsidRPr="00025B32">
              <w:rPr>
                <w:rStyle w:val="Hyperlink"/>
                <w:noProof/>
              </w:rPr>
              <w:t>Supplementary References</w:t>
            </w:r>
            <w:r>
              <w:rPr>
                <w:noProof/>
                <w:webHidden/>
              </w:rPr>
              <w:tab/>
            </w:r>
            <w:r>
              <w:rPr>
                <w:noProof/>
                <w:webHidden/>
              </w:rPr>
              <w:fldChar w:fldCharType="begin"/>
            </w:r>
            <w:r>
              <w:rPr>
                <w:noProof/>
                <w:webHidden/>
              </w:rPr>
              <w:instrText xml:space="preserve"> PAGEREF _Toc235468006 \h </w:instrText>
            </w:r>
            <w:r>
              <w:rPr>
                <w:noProof/>
                <w:webHidden/>
              </w:rPr>
            </w:r>
            <w:r>
              <w:rPr>
                <w:noProof/>
                <w:webHidden/>
              </w:rPr>
              <w:fldChar w:fldCharType="separate"/>
            </w:r>
            <w:r>
              <w:rPr>
                <w:noProof/>
                <w:webHidden/>
              </w:rPr>
              <w:t>24</w:t>
            </w:r>
            <w:r>
              <w:rPr>
                <w:noProof/>
                <w:webHidden/>
              </w:rPr>
              <w:fldChar w:fldCharType="end"/>
            </w:r>
          </w:hyperlink>
        </w:p>
        <w:p w14:paraId="1570277B" w14:textId="17AA48FC" w:rsidR="005D2C85" w:rsidRDefault="005D2C85">
          <w:r>
            <w:rPr>
              <w:b/>
              <w:bCs/>
              <w:noProof/>
            </w:rPr>
            <w:fldChar w:fldCharType="end"/>
          </w:r>
        </w:p>
      </w:sdtContent>
    </w:sdt>
    <w:p w14:paraId="5F0F16B9" w14:textId="413116AC" w:rsidR="005D2C85" w:rsidRDefault="005D2C85">
      <w:pPr>
        <w:rPr>
          <w:b/>
          <w:bCs/>
          <w:sz w:val="32"/>
          <w:szCs w:val="32"/>
        </w:rPr>
      </w:pPr>
      <w:r>
        <w:rPr>
          <w:b/>
          <w:bCs/>
          <w:sz w:val="32"/>
          <w:szCs w:val="32"/>
        </w:rPr>
        <w:br w:type="page"/>
      </w:r>
    </w:p>
    <w:p w14:paraId="2A818A42" w14:textId="24334C9E" w:rsidR="00674AA9" w:rsidRPr="005D2C85" w:rsidRDefault="00674AA9" w:rsidP="005D2C85">
      <w:pPr>
        <w:pStyle w:val="Heading2"/>
        <w:rPr>
          <w:rFonts w:asciiTheme="minorHAnsi" w:hAnsiTheme="minorHAnsi"/>
          <w:b/>
          <w:bCs/>
          <w:color w:val="000000" w:themeColor="text1"/>
        </w:rPr>
      </w:pPr>
      <w:bookmarkStart w:id="1" w:name="_Toc235467993"/>
      <w:r w:rsidRPr="005D2C85">
        <w:rPr>
          <w:rFonts w:asciiTheme="minorHAnsi" w:hAnsiTheme="minorHAnsi"/>
          <w:b/>
          <w:bCs/>
          <w:color w:val="000000" w:themeColor="text1"/>
        </w:rPr>
        <w:lastRenderedPageBreak/>
        <w:t>Methods</w:t>
      </w:r>
      <w:bookmarkEnd w:id="1"/>
    </w:p>
    <w:p w14:paraId="46A1DB78" w14:textId="77777777" w:rsidR="00674AA9" w:rsidRDefault="00674AA9" w:rsidP="00674AA9">
      <w:pPr>
        <w:jc w:val="both"/>
        <w:rPr>
          <w:b/>
          <w:bCs/>
        </w:rPr>
      </w:pPr>
      <w:r>
        <w:rPr>
          <w:b/>
          <w:bCs/>
        </w:rPr>
        <w:t>Growth media, strains, plasmids and other reagents</w:t>
      </w:r>
    </w:p>
    <w:p w14:paraId="4A6D6E19" w14:textId="10A948A8" w:rsidR="00674AA9" w:rsidRPr="00C272C2" w:rsidRDefault="00674AA9" w:rsidP="00674AA9">
      <w:pPr>
        <w:jc w:val="both"/>
      </w:pPr>
      <w:r w:rsidRPr="00C272C2">
        <w:rPr>
          <w:i/>
          <w:iCs/>
        </w:rPr>
        <w:t>Escherichia coli</w:t>
      </w:r>
      <w:r>
        <w:t xml:space="preserve"> strains were cultivated using Lennox agar (LA) or </w:t>
      </w:r>
      <w:r w:rsidR="00B9014B">
        <w:t xml:space="preserve">lysogeny </w:t>
      </w:r>
      <w:r>
        <w:t xml:space="preserve">broth (LB). Culture media was supplemented with antibiotics as required at the following concentrations: ampicillin (100 </w:t>
      </w:r>
      <w:proofErr w:type="spellStart"/>
      <w:r>
        <w:t>μg</w:t>
      </w:r>
      <w:proofErr w:type="spellEnd"/>
      <w:r>
        <w:t xml:space="preserve">/ml), kanamycin (50 </w:t>
      </w:r>
      <w:proofErr w:type="spellStart"/>
      <w:r>
        <w:t>μg</w:t>
      </w:r>
      <w:proofErr w:type="spellEnd"/>
      <w:r>
        <w:t xml:space="preserve">/ml). Oligonucleotides and gene fragments were purchased from Integrated DNA Technologies and enzymes were purchased from New England Biolabs unless otherwise stated. All grids and electron microscopy supplies were purchased from Electron Microscopy Services. Reagents for the </w:t>
      </w:r>
      <w:proofErr w:type="spellStart"/>
      <w:r>
        <w:t>EnzChek</w:t>
      </w:r>
      <w:proofErr w:type="spellEnd"/>
      <w:r>
        <w:t xml:space="preserve"> pyrophosphate assay kit were purchased from </w:t>
      </w:r>
      <w:proofErr w:type="spellStart"/>
      <w:r>
        <w:t>Thermo</w:t>
      </w:r>
      <w:proofErr w:type="spellEnd"/>
      <w:r>
        <w:t xml:space="preserve"> Fisher Scientific, and all other solvents and reagents required for various analyses were purchased from </w:t>
      </w:r>
      <w:proofErr w:type="spellStart"/>
      <w:r>
        <w:t>MilliporeSigma</w:t>
      </w:r>
      <w:proofErr w:type="spellEnd"/>
      <w:r>
        <w:t>, unless otherwise stated.</w:t>
      </w:r>
    </w:p>
    <w:p w14:paraId="63259750" w14:textId="77777777" w:rsidR="00674AA9" w:rsidRDefault="00674AA9" w:rsidP="00674AA9">
      <w:pPr>
        <w:jc w:val="both"/>
        <w:rPr>
          <w:b/>
          <w:bCs/>
        </w:rPr>
      </w:pPr>
      <w:r w:rsidRPr="008B1501">
        <w:rPr>
          <w:b/>
          <w:bCs/>
        </w:rPr>
        <w:t>Computational and phylogenetic analysis</w:t>
      </w:r>
    </w:p>
    <w:p w14:paraId="342AB6EC" w14:textId="445F7FB3" w:rsidR="00674AA9" w:rsidRDefault="00674AA9" w:rsidP="00674AA9">
      <w:pPr>
        <w:jc w:val="both"/>
      </w:pPr>
      <w:r>
        <w:t>Analysis of all family 2B encapsulin clusters involved in terpenoid biosynthesis was carried out previously, as detailed</w:t>
      </w:r>
      <w:r w:rsidR="00C427A6">
        <w:t xml:space="preserve"> [33]</w:t>
      </w:r>
      <w:r>
        <w:t xml:space="preserve">. For analysis of all </w:t>
      </w:r>
      <w:proofErr w:type="spellStart"/>
      <w:r>
        <w:t>GeoA</w:t>
      </w:r>
      <w:proofErr w:type="spellEnd"/>
      <w:r>
        <w:t xml:space="preserve"> homologs, a sequence similarity network (SSN) for </w:t>
      </w:r>
      <w:proofErr w:type="spellStart"/>
      <w:r>
        <w:t>GeoA</w:t>
      </w:r>
      <w:proofErr w:type="spellEnd"/>
      <w:r>
        <w:t xml:space="preserve"> was created using the EFI-EST server, initially in summer 2025</w:t>
      </w:r>
      <w:r w:rsidR="00C427A6">
        <w:t xml:space="preserve"> [67, 68]</w:t>
      </w:r>
      <w:r>
        <w:t xml:space="preserve">. </w:t>
      </w:r>
      <w:r w:rsidRPr="00DE788C">
        <w:t xml:space="preserve">The amino acid sequence of </w:t>
      </w:r>
      <w:proofErr w:type="spellStart"/>
      <w:r>
        <w:t>GeoA</w:t>
      </w:r>
      <w:proofErr w:type="spellEnd"/>
      <w:r w:rsidRPr="00DE788C">
        <w:t xml:space="preserve"> from </w:t>
      </w:r>
      <w:r w:rsidRPr="00DE788C">
        <w:rPr>
          <w:i/>
          <w:iCs/>
        </w:rPr>
        <w:t>M. xanthus</w:t>
      </w:r>
      <w:r w:rsidRPr="00DE788C">
        <w:t xml:space="preserve"> (Uniprot ID:</w:t>
      </w:r>
      <w:r>
        <w:t xml:space="preserve"> </w:t>
      </w:r>
      <w:r w:rsidRPr="00DE788C">
        <w:t>A0A7Y4MRP8) was used as a BLAST query in EFI-EST with an E-value of −5, a maximum of 5000 sequence hits</w:t>
      </w:r>
      <w:r>
        <w:t xml:space="preserve">. This returned 4607 putative </w:t>
      </w:r>
      <w:proofErr w:type="spellStart"/>
      <w:r>
        <w:t>GeoA</w:t>
      </w:r>
      <w:proofErr w:type="spellEnd"/>
      <w:r>
        <w:t xml:space="preserve"> homologs, which reduced to 1627 homologs upon applying a minimum sequence limit of 600 amino acids. The genome neighborhoods of these </w:t>
      </w:r>
      <w:proofErr w:type="spellStart"/>
      <w:r>
        <w:t>GeoA</w:t>
      </w:r>
      <w:proofErr w:type="spellEnd"/>
      <w:r>
        <w:t xml:space="preserve"> homologs were visualized with the EFI-GNT server and classified on the basis of the presence or absence of a second Family 2B encapsulin or a polyprenyl transferase (PPT) encoding gene</w:t>
      </w:r>
      <w:r w:rsidR="00C427A6">
        <w:t xml:space="preserve"> [67, 68]</w:t>
      </w:r>
      <w:r>
        <w:t>. All identified clusters were then used to assemble a phylogenetic tree using the NGhylogeny.fr server</w:t>
      </w:r>
      <w:r w:rsidR="00C427A6">
        <w:t xml:space="preserve"> [69]</w:t>
      </w:r>
      <w:r>
        <w:t>. This was carried out via MAFFT alignment</w:t>
      </w:r>
      <w:r w:rsidR="00C427A6">
        <w:t xml:space="preserve"> [70]</w:t>
      </w:r>
      <w:r>
        <w:t xml:space="preserve">, curation with </w:t>
      </w:r>
      <w:proofErr w:type="spellStart"/>
      <w:r>
        <w:t>trimAI</w:t>
      </w:r>
      <w:proofErr w:type="spellEnd"/>
      <w:r>
        <w:t xml:space="preserve"> and phylogenetic tree assembly with the FastTree algorithm with 1000 bootstraps</w:t>
      </w:r>
      <w:r w:rsidR="00C427A6">
        <w:t xml:space="preserve"> [71-73]</w:t>
      </w:r>
      <w:r>
        <w:t xml:space="preserve">. The tree was visualized and annotated in </w:t>
      </w:r>
      <w:proofErr w:type="spellStart"/>
      <w:r>
        <w:t>iTol</w:t>
      </w:r>
      <w:proofErr w:type="spellEnd"/>
      <w:r>
        <w:t xml:space="preserve"> v6</w:t>
      </w:r>
      <w:r w:rsidR="00C427A6">
        <w:t xml:space="preserve"> [74]</w:t>
      </w:r>
      <w:r>
        <w:t>. Additionally, f</w:t>
      </w:r>
      <w:r w:rsidRPr="005D2C25">
        <w:t xml:space="preserve">or SSN analysis of the </w:t>
      </w:r>
      <w:proofErr w:type="spellStart"/>
      <w:r>
        <w:t>GeoA</w:t>
      </w:r>
      <w:proofErr w:type="spellEnd"/>
      <w:r w:rsidRPr="005D2C25">
        <w:t xml:space="preserve"> proteins within the final dataset, the EFI-EST server was used to assemble an initial SSN, which was then annotated using Cytoscape v3.1.0 to </w:t>
      </w:r>
      <w:r>
        <w:t>retain</w:t>
      </w:r>
      <w:r w:rsidRPr="005D2C25">
        <w:t xml:space="preserve"> only edges with </w:t>
      </w:r>
      <w:r>
        <w:t>minimally</w:t>
      </w:r>
      <w:r w:rsidRPr="005D2C25">
        <w:t xml:space="preserve"> </w:t>
      </w:r>
      <w:r>
        <w:t>7</w:t>
      </w:r>
      <w:r w:rsidRPr="005D2C25">
        <w:t>5% sequence identity</w:t>
      </w:r>
      <w:r w:rsidR="00570DBC">
        <w:t xml:space="preserve"> [75]</w:t>
      </w:r>
      <w:r w:rsidRPr="005D2C25">
        <w:t>.</w:t>
      </w:r>
    </w:p>
    <w:p w14:paraId="65B853EC" w14:textId="77777777" w:rsidR="00674AA9" w:rsidRDefault="00674AA9" w:rsidP="00674AA9">
      <w:pPr>
        <w:jc w:val="both"/>
        <w:rPr>
          <w:b/>
          <w:bCs/>
        </w:rPr>
      </w:pPr>
      <w:r>
        <w:rPr>
          <w:b/>
          <w:bCs/>
        </w:rPr>
        <w:t>Molecular cloning</w:t>
      </w:r>
    </w:p>
    <w:p w14:paraId="6B787CEB" w14:textId="7DAB1B08" w:rsidR="00674AA9" w:rsidRDefault="00674AA9" w:rsidP="00674AA9">
      <w:pPr>
        <w:jc w:val="both"/>
      </w:pPr>
      <w:r>
        <w:t xml:space="preserve">To produce cargo-loaded or unloaded encapsulin shells in </w:t>
      </w:r>
      <w:r>
        <w:rPr>
          <w:i/>
          <w:iCs/>
        </w:rPr>
        <w:t>E</w:t>
      </w:r>
      <w:r w:rsidR="00F075C0">
        <w:rPr>
          <w:i/>
          <w:iCs/>
        </w:rPr>
        <w:t>.</w:t>
      </w:r>
      <w:r>
        <w:rPr>
          <w:i/>
          <w:iCs/>
        </w:rPr>
        <w:t xml:space="preserve"> coli</w:t>
      </w:r>
      <w:r w:rsidR="00F075C0" w:rsidRPr="00F075C0">
        <w:t>,</w:t>
      </w:r>
      <w:r w:rsidR="00F075C0">
        <w:t xml:space="preserve"> </w:t>
      </w:r>
      <w:r>
        <w:t>pET-Duet vectors were utilized, containing either one or both encapsulin-encoding genes (</w:t>
      </w:r>
      <w:r>
        <w:rPr>
          <w:i/>
          <w:iCs/>
        </w:rPr>
        <w:t>MxEnc1, MxEnc2</w:t>
      </w:r>
      <w:r>
        <w:t>) and with or without the geosmin synthase encoding gene (</w:t>
      </w:r>
      <w:proofErr w:type="spellStart"/>
      <w:r>
        <w:rPr>
          <w:i/>
          <w:iCs/>
        </w:rPr>
        <w:t>geoA</w:t>
      </w:r>
      <w:proofErr w:type="spellEnd"/>
      <w:r>
        <w:t>). Each of the genes (</w:t>
      </w:r>
      <w:r>
        <w:rPr>
          <w:i/>
          <w:iCs/>
        </w:rPr>
        <w:t xml:space="preserve">MxEnc1, MxEnc2, </w:t>
      </w:r>
      <w:proofErr w:type="spellStart"/>
      <w:r>
        <w:rPr>
          <w:i/>
          <w:iCs/>
        </w:rPr>
        <w:t>GeoA</w:t>
      </w:r>
      <w:proofErr w:type="spellEnd"/>
      <w:r>
        <w:t xml:space="preserve">) were ordered as synthetic gene fragments with twenty nucleotide overlapping sequence, required for Gibson Assembly, after which DNA was used to transform </w:t>
      </w:r>
      <w:r>
        <w:rPr>
          <w:i/>
          <w:iCs/>
        </w:rPr>
        <w:t xml:space="preserve">E. coli </w:t>
      </w:r>
      <w:r>
        <w:t xml:space="preserve">DP10 and plated on ampicillin selective agar plates. Clones were checked </w:t>
      </w:r>
      <w:r>
        <w:lastRenderedPageBreak/>
        <w:t xml:space="preserve">for gene insertion by colony PCR, and those containing inserts were whole plasmid sequenced using the Nanopore sequencing service from Eurofins Genomics. Sequenced clones were then used to transform </w:t>
      </w:r>
      <w:r>
        <w:rPr>
          <w:i/>
          <w:iCs/>
        </w:rPr>
        <w:t xml:space="preserve">E. coli </w:t>
      </w:r>
      <w:r>
        <w:t xml:space="preserve">BL21 and used for protein expression and purification. For expression and purification of </w:t>
      </w:r>
      <w:proofErr w:type="spellStart"/>
      <w:r>
        <w:t>GeoA</w:t>
      </w:r>
      <w:proofErr w:type="spellEnd"/>
      <w:r>
        <w:t xml:space="preserve"> in isolation, a pET28a-</w:t>
      </w:r>
      <w:r>
        <w:rPr>
          <w:i/>
          <w:iCs/>
        </w:rPr>
        <w:t>geoA</w:t>
      </w:r>
      <w:r>
        <w:t xml:space="preserve"> construct was utilized. The coding sequence of </w:t>
      </w:r>
      <w:proofErr w:type="spellStart"/>
      <w:r>
        <w:rPr>
          <w:i/>
          <w:iCs/>
        </w:rPr>
        <w:t>geoA</w:t>
      </w:r>
      <w:proofErr w:type="spellEnd"/>
      <w:r>
        <w:rPr>
          <w:i/>
          <w:iCs/>
        </w:rPr>
        <w:t xml:space="preserve"> </w:t>
      </w:r>
      <w:r>
        <w:t xml:space="preserve">was PCR amplified using primers containing NdeI and </w:t>
      </w:r>
      <w:proofErr w:type="spellStart"/>
      <w:r>
        <w:t>HindIII</w:t>
      </w:r>
      <w:proofErr w:type="spellEnd"/>
      <w:r>
        <w:t xml:space="preserve"> sites, so that the product fragment contained these sites at the 5’ and 3’ ends, respectively. This insert and the empty pET28a vector were both digested using these same enzymes and the complete plasmid was generated using T4 DNA ligase and used to transform </w:t>
      </w:r>
      <w:r>
        <w:rPr>
          <w:i/>
          <w:iCs/>
        </w:rPr>
        <w:t xml:space="preserve">E. coli </w:t>
      </w:r>
      <w:r>
        <w:t>DP10. Clones were confirmed using colony PCR and sequencing and subsequently used for protein expression and purification, as detailed previously.</w:t>
      </w:r>
    </w:p>
    <w:p w14:paraId="085D2AB3" w14:textId="70118D95" w:rsidR="00674AA9" w:rsidRPr="00AA3E06" w:rsidRDefault="00674AA9" w:rsidP="00674AA9">
      <w:pPr>
        <w:jc w:val="both"/>
      </w:pPr>
      <w:r>
        <w:t xml:space="preserve">The mutation of cargo loading peptide (CLP) regions in the </w:t>
      </w:r>
      <w:proofErr w:type="spellStart"/>
      <w:r>
        <w:rPr>
          <w:i/>
          <w:iCs/>
        </w:rPr>
        <w:t>geoA</w:t>
      </w:r>
      <w:proofErr w:type="spellEnd"/>
      <w:r>
        <w:rPr>
          <w:i/>
          <w:iCs/>
        </w:rPr>
        <w:t xml:space="preserve"> </w:t>
      </w:r>
      <w:r>
        <w:t xml:space="preserve">coding sequence was achieved using specific </w:t>
      </w:r>
      <w:r w:rsidR="00783351">
        <w:t>oligonucleotides</w:t>
      </w:r>
      <w:r>
        <w:t xml:space="preserve"> in PCR, followed by Gibson Assembly. For any deletion mutants, oligonucleotide primers were used to amplify the </w:t>
      </w:r>
      <w:proofErr w:type="spellStart"/>
      <w:r>
        <w:rPr>
          <w:i/>
          <w:iCs/>
        </w:rPr>
        <w:t>geoA</w:t>
      </w:r>
      <w:proofErr w:type="spellEnd"/>
      <w:r>
        <w:rPr>
          <w:i/>
          <w:iCs/>
        </w:rPr>
        <w:t xml:space="preserve"> </w:t>
      </w:r>
      <w:r>
        <w:t xml:space="preserve">gene omitting the sequence encoding for the CLP (two overlapping linear fragments for internal deletion, one fragment for C-terminal deletion) and used in Gibson Assembly with the linearized pET-Duet vector. To achieve mutation of the internal CLP, a set of oligonucleotide primers containing the requisite mutations were used to amplify the </w:t>
      </w:r>
      <w:proofErr w:type="spellStart"/>
      <w:r>
        <w:rPr>
          <w:i/>
          <w:iCs/>
        </w:rPr>
        <w:t>geoA</w:t>
      </w:r>
      <w:proofErr w:type="spellEnd"/>
      <w:r>
        <w:rPr>
          <w:i/>
          <w:iCs/>
        </w:rPr>
        <w:t xml:space="preserve"> </w:t>
      </w:r>
      <w:r>
        <w:t xml:space="preserve">coding sequence, with required overlapping sequence for Gibson Assembly, in two parts. A three-piece Gibson Assembly was performed to clone the mutated </w:t>
      </w:r>
      <w:proofErr w:type="spellStart"/>
      <w:r>
        <w:rPr>
          <w:i/>
          <w:iCs/>
        </w:rPr>
        <w:t>geoA</w:t>
      </w:r>
      <w:proofErr w:type="spellEnd"/>
      <w:r>
        <w:rPr>
          <w:i/>
          <w:iCs/>
        </w:rPr>
        <w:t xml:space="preserve"> </w:t>
      </w:r>
      <w:r>
        <w:t>sequence into the pET-Duet vector, containing the encapsulin-encoding genes.</w:t>
      </w:r>
    </w:p>
    <w:p w14:paraId="793BDB15" w14:textId="77777777" w:rsidR="00674AA9" w:rsidRDefault="00674AA9" w:rsidP="00674AA9">
      <w:pPr>
        <w:jc w:val="both"/>
        <w:rPr>
          <w:b/>
          <w:bCs/>
        </w:rPr>
      </w:pPr>
      <w:r>
        <w:rPr>
          <w:b/>
          <w:bCs/>
        </w:rPr>
        <w:t>Protein expression and purification</w:t>
      </w:r>
    </w:p>
    <w:p w14:paraId="0850AE77" w14:textId="4400090A" w:rsidR="00674AA9" w:rsidRDefault="00674AA9" w:rsidP="00674AA9">
      <w:pPr>
        <w:jc w:val="both"/>
      </w:pPr>
      <w:r>
        <w:t xml:space="preserve">For overproduction of recombinant proteins from </w:t>
      </w:r>
      <w:r>
        <w:rPr>
          <w:i/>
          <w:iCs/>
        </w:rPr>
        <w:t xml:space="preserve">E. coli </w:t>
      </w:r>
      <w:r>
        <w:t xml:space="preserve">BL21, a starter culture of </w:t>
      </w:r>
      <w:r w:rsidRPr="008723BA">
        <w:rPr>
          <w:i/>
          <w:iCs/>
        </w:rPr>
        <w:t>E. coli</w:t>
      </w:r>
      <w:r>
        <w:t xml:space="preserve"> cells harboring the requisite pET-Duet or pET28a plasmid was cultured overnight in 6 ml LB supplemented with either ampicillin or kanamycin while shaking (220 rpm) at 37°C. The complete starter culture was used to inoculate 500 mL of LB media and cultured at 37°C with shaking at 220 rpm, until the cells reached an OD</w:t>
      </w:r>
      <w:r>
        <w:rPr>
          <w:vertAlign w:val="subscript"/>
        </w:rPr>
        <w:t xml:space="preserve">600 </w:t>
      </w:r>
      <w:r>
        <w:t>of 0.6. Protein production was then induced by the addition of 0.2 mM IPTG, followed by shaking at 220 rpm and 18°C for 18 hours. This protocol was utilized for all constructs, apart from pET28a-</w:t>
      </w:r>
      <w:r>
        <w:rPr>
          <w:i/>
          <w:iCs/>
        </w:rPr>
        <w:t xml:space="preserve">geoA </w:t>
      </w:r>
      <w:r>
        <w:t>and pET-Duet-</w:t>
      </w:r>
      <w:r>
        <w:rPr>
          <w:i/>
          <w:iCs/>
        </w:rPr>
        <w:t>MxEnc1-MxEnc2-geoA</w:t>
      </w:r>
      <w:r>
        <w:t>, for which auto-induction media was utilized to optimize yield of protein production. For expression in auto</w:t>
      </w:r>
      <w:r w:rsidR="00563A55">
        <w:t>-</w:t>
      </w:r>
      <w:r>
        <w:t>induction media, a starter culture was again grown overnight in 6 m</w:t>
      </w:r>
      <w:r w:rsidR="00563A55">
        <w:t>L</w:t>
      </w:r>
      <w:r>
        <w:t xml:space="preserve"> LB supplemented with either ampicillin or kanamycin while shaking (220 rpm) at 37°C. The complete starter culture was used to inoculate 500 mL ZY media, supplemented with 1x M and 1x 5052, as described. Cultures were shaken at 220 rpm and at 18°C for 64 hours, after which cells were harvested.</w:t>
      </w:r>
    </w:p>
    <w:p w14:paraId="1A41CC0C" w14:textId="7CC4116B" w:rsidR="00674AA9" w:rsidRPr="000D679C" w:rsidRDefault="00674AA9" w:rsidP="00674AA9">
      <w:pPr>
        <w:jc w:val="both"/>
      </w:pPr>
      <w:r>
        <w:t xml:space="preserve">Recombinant protein purification for all constructs was achieved as follows. Bacterial cells were collected by centrifugation and resuspended in lysis buffer (50 mM HEPES, 500 mM </w:t>
      </w:r>
      <w:r>
        <w:lastRenderedPageBreak/>
        <w:t xml:space="preserve">NaCl, 10 mM imidazole, protease inhibitor cocktail tablet (Roche), </w:t>
      </w:r>
      <w:proofErr w:type="spellStart"/>
      <w:r>
        <w:t>DNAse</w:t>
      </w:r>
      <w:proofErr w:type="spellEnd"/>
      <w:r>
        <w:t xml:space="preserve"> I, pH 7.5). Cells were lysed by sonication using a Model 120 Sonic Dismembrator (Fisher Scientific Inc.) for three minutes (1s on, 1s off, 84 W power), followed by clarification of the cell lysates by centrifugation (18,000 </w:t>
      </w:r>
      <w:proofErr w:type="spellStart"/>
      <w:r>
        <w:t>xg</w:t>
      </w:r>
      <w:proofErr w:type="spellEnd"/>
      <w:r>
        <w:t xml:space="preserve">, 20 minutes). The clarified lysates were then passed through a </w:t>
      </w:r>
      <w:proofErr w:type="spellStart"/>
      <w:r>
        <w:t>BioRad</w:t>
      </w:r>
      <w:proofErr w:type="spellEnd"/>
      <w:r>
        <w:t xml:space="preserve"> Econo Pac column loaded with 2 mL Ni-NTA resin (Fisher Scientific Inc.) by gravity flow, before the resin was washed with wash buffer (50 mM HEPES, 200 mM NaCl, 50 mM imidazole, pH 7.5). Protein was eluted from the resin with elution buffer (50 mM HEPES, 200 mM NaCl, 300 mM imidazole, pH 7.5) and analyzed by SDS-PAGE. Elution fractions containing proteins of interest were pooled, concentrated using an Amicon spin filter (Merck, 10 </w:t>
      </w:r>
      <w:proofErr w:type="spellStart"/>
      <w:r>
        <w:t>kDA</w:t>
      </w:r>
      <w:proofErr w:type="spellEnd"/>
      <w:r>
        <w:t xml:space="preserve"> MW cut-off for free enzyme, 100 kDa MW cut-off for encapsulins) and injected on to an ÄKTA Pure system (</w:t>
      </w:r>
      <w:proofErr w:type="spellStart"/>
      <w:r>
        <w:t>Cytiva</w:t>
      </w:r>
      <w:proofErr w:type="spellEnd"/>
      <w:r>
        <w:t xml:space="preserve">), equipped with either a </w:t>
      </w:r>
      <w:proofErr w:type="spellStart"/>
      <w:r>
        <w:t>Superdex</w:t>
      </w:r>
      <w:proofErr w:type="spellEnd"/>
      <w:r>
        <w:t xml:space="preserve"> 200 increase 10/300 </w:t>
      </w:r>
      <w:proofErr w:type="spellStart"/>
      <w:r>
        <w:t>gl</w:t>
      </w:r>
      <w:proofErr w:type="spellEnd"/>
      <w:r>
        <w:t xml:space="preserve"> (free enzyme) or a Superose 6 Increase 10/300 </w:t>
      </w:r>
      <w:proofErr w:type="spellStart"/>
      <w:r>
        <w:t>gl</w:t>
      </w:r>
      <w:proofErr w:type="spellEnd"/>
      <w:r>
        <w:t xml:space="preserve"> (encapsulin systems) column running a buffer system of 20 mM Tris, 150 mM NaCl, pH 7.5. Resultant fractions from gel filtration showing absorbance at UV280 were collected and analyzed by SDS-PAGE. Fractions containing required proteins were pooled and concentrated using an Amicon spin filter and stored at </w:t>
      </w:r>
      <w:r w:rsidR="00563A55">
        <w:t>-</w:t>
      </w:r>
      <w:r>
        <w:t>80°C, or used immediately.</w:t>
      </w:r>
    </w:p>
    <w:p w14:paraId="693DA067" w14:textId="77777777" w:rsidR="00674AA9" w:rsidRDefault="00674AA9" w:rsidP="00674AA9">
      <w:pPr>
        <w:jc w:val="both"/>
        <w:rPr>
          <w:b/>
          <w:bCs/>
        </w:rPr>
      </w:pPr>
      <w:r>
        <w:rPr>
          <w:b/>
          <w:bCs/>
        </w:rPr>
        <w:t>Negative stain transmission electron microscopy (TEM)</w:t>
      </w:r>
    </w:p>
    <w:p w14:paraId="7C3F8A86" w14:textId="5FB6D694" w:rsidR="00674AA9" w:rsidRDefault="00674AA9" w:rsidP="00674AA9">
      <w:pPr>
        <w:jc w:val="both"/>
      </w:pPr>
      <w:r>
        <w:t>Encapsulin protein samples for TEM were diluted to a concentration between 0.1 and 0.15 mg/mL, and applied to freshly glow-discharged (PELCO easiGlow, 60 s, 5 mA) 200 mesh gold</w:t>
      </w:r>
      <w:r w:rsidR="00BB4148">
        <w:t xml:space="preserve"> </w:t>
      </w:r>
      <w:r>
        <w:t xml:space="preserve">formvar/carbon square mesh grids (EMS). Samples were allowed to rest on grids for 60 s to achieve sample adsorption, before liquid was blotted of the grid with filter paper. This was followed by two rounds of staining with 0.75% uranyl formate, achieved by application of a 5 </w:t>
      </w:r>
      <w:r>
        <w:sym w:font="Symbol" w:char="F06D"/>
      </w:r>
      <w:r>
        <w:t xml:space="preserve">L drop of the stain and blotting with filter paper. After the application of the second drop of stain, the grid was blotted after one minute to achieve optimal sample staining. TEM micrographs were recorded using either a FEI Morgagni TEM operating at 100 kV or a FEI </w:t>
      </w:r>
      <w:proofErr w:type="spellStart"/>
      <w:r>
        <w:t>Tecnai</w:t>
      </w:r>
      <w:proofErr w:type="spellEnd"/>
      <w:r>
        <w:t xml:space="preserve"> 12 operating at 120 kV, both at the Life Sciences Institute at the University of Michigan.</w:t>
      </w:r>
    </w:p>
    <w:p w14:paraId="2CB2213B" w14:textId="55894E2C" w:rsidR="00674AA9" w:rsidRDefault="00FE1E0E" w:rsidP="00674AA9">
      <w:pPr>
        <w:jc w:val="both"/>
        <w:rPr>
          <w:b/>
          <w:bCs/>
        </w:rPr>
      </w:pPr>
      <w:r>
        <w:rPr>
          <w:b/>
          <w:bCs/>
        </w:rPr>
        <w:t>Single particle cryo-electron microscopy (cryo-EM)</w:t>
      </w:r>
    </w:p>
    <w:p w14:paraId="1AA57796" w14:textId="77777777" w:rsidR="008D5FA4" w:rsidRDefault="00FE1E0E" w:rsidP="00FE1E0E">
      <w:pPr>
        <w:jc w:val="both"/>
      </w:pPr>
      <w:r w:rsidRPr="00FE1E0E">
        <w:t xml:space="preserve">Sample preparation: </w:t>
      </w:r>
      <w:r>
        <w:t>Purified</w:t>
      </w:r>
      <w:r w:rsidRPr="00FE1E0E">
        <w:t xml:space="preserve"> sample</w:t>
      </w:r>
      <w:r>
        <w:t>s</w:t>
      </w:r>
      <w:r w:rsidRPr="00FE1E0E">
        <w:t xml:space="preserve"> of</w:t>
      </w:r>
      <w:r>
        <w:t xml:space="preserve"> </w:t>
      </w:r>
      <w:proofErr w:type="spellStart"/>
      <w:r>
        <w:t>GeoA</w:t>
      </w:r>
      <w:proofErr w:type="spellEnd"/>
      <w:r>
        <w:t>-loaded His-MxEnc1-only and MxEnc1/His-MxEnc2 mixed shells</w:t>
      </w:r>
      <w:r w:rsidRPr="00FE1E0E">
        <w:t xml:space="preserve"> w</w:t>
      </w:r>
      <w:r>
        <w:t>ere</w:t>
      </w:r>
      <w:r w:rsidRPr="00FE1E0E">
        <w:t xml:space="preserve"> concentrated to </w:t>
      </w:r>
      <w:r>
        <w:t>0.1</w:t>
      </w:r>
      <w:r w:rsidRPr="00FE1E0E">
        <w:t xml:space="preserve"> mg/mL </w:t>
      </w:r>
      <w:r>
        <w:t xml:space="preserve">and 3 mg/mL </w:t>
      </w:r>
      <w:r w:rsidRPr="00FE1E0E">
        <w:t>in 150 mM NaCl, 25 mM Tris pH 8.0</w:t>
      </w:r>
      <w:r>
        <w:t>, respectively</w:t>
      </w:r>
      <w:r w:rsidRPr="00FE1E0E">
        <w:t xml:space="preserve">. 3.5 µL of protein sample were applied to freshly glow discharged </w:t>
      </w:r>
      <w:r>
        <w:t xml:space="preserve">grids (MxEnc1-only: Quantifoil </w:t>
      </w:r>
      <w:r w:rsidRPr="00FE1E0E">
        <w:t>R1.2/1.3, 400 mesh, Quantifoil Au holey grid, Graphene coated</w:t>
      </w:r>
      <w:r>
        <w:t xml:space="preserve">; MxEnc1/MxEnc2-mixed: </w:t>
      </w:r>
      <w:r w:rsidRPr="00FE1E0E">
        <w:t>Quantifoil R1.2/1.3 Cu 200 mesh</w:t>
      </w:r>
      <w:r w:rsidR="008D5FA4">
        <w:t xml:space="preserve">) </w:t>
      </w:r>
      <w:r w:rsidRPr="00FE1E0E">
        <w:t xml:space="preserve">and prepared by plunge freezing in liquid ethane using an FEI Vitrobot Mark IV (100% humidity, 22°C, blot force 0, blot time 4 seconds, wait time </w:t>
      </w:r>
      <w:r w:rsidR="008D5FA4">
        <w:t>30</w:t>
      </w:r>
      <w:r w:rsidRPr="00FE1E0E">
        <w:t xml:space="preserve"> s). The grids were immediately clipped and stored in liquid nitrogen until data collection.</w:t>
      </w:r>
    </w:p>
    <w:p w14:paraId="66067EA7" w14:textId="2B8FC351" w:rsidR="00FE1E0E" w:rsidRPr="00FE1E0E" w:rsidRDefault="00FE1E0E" w:rsidP="00FE1E0E">
      <w:pPr>
        <w:jc w:val="both"/>
      </w:pPr>
      <w:r w:rsidRPr="00FE1E0E">
        <w:lastRenderedPageBreak/>
        <w:t>Data collection: Cryo-EM movies were collected using a ThermoFisher Scientific Titan Krios G</w:t>
      </w:r>
      <w:r w:rsidR="003A0860">
        <w:t>3</w:t>
      </w:r>
      <w:r w:rsidRPr="00FE1E0E">
        <w:t xml:space="preserve">i cryo-electron microscope operating at 300 kV equipped with a Gatan K3 direct electron detector with a </w:t>
      </w:r>
      <w:proofErr w:type="spellStart"/>
      <w:r w:rsidRPr="00FE1E0E">
        <w:t>BioQuantum</w:t>
      </w:r>
      <w:proofErr w:type="spellEnd"/>
      <w:r w:rsidRPr="00FE1E0E">
        <w:t xml:space="preserve"> imaging filter. </w:t>
      </w:r>
      <w:r w:rsidR="008D5FA4">
        <w:t>For the Enc1-only sample, 4</w:t>
      </w:r>
      <w:r w:rsidRPr="00FE1E0E">
        <w:t>,5</w:t>
      </w:r>
      <w:r w:rsidR="008D5FA4">
        <w:t>96</w:t>
      </w:r>
      <w:r w:rsidRPr="00FE1E0E">
        <w:t xml:space="preserve"> movies were collected from a single grid using the SerialEM</w:t>
      </w:r>
      <w:r w:rsidR="00B00147">
        <w:t xml:space="preserve"> [76] </w:t>
      </w:r>
      <w:r w:rsidRPr="00FE1E0E">
        <w:t xml:space="preserve">software package at a magnification of 105,000x, pixel size of 0.834 Å, defocus range of -1.0 µm to -1.8 µm, and a total dose of </w:t>
      </w:r>
      <w:r w:rsidR="008D5FA4">
        <w:t>4</w:t>
      </w:r>
      <w:r w:rsidRPr="00FE1E0E">
        <w:t>7.</w:t>
      </w:r>
      <w:r w:rsidR="008D5FA4">
        <w:t>4</w:t>
      </w:r>
      <w:r w:rsidRPr="00FE1E0E">
        <w:t>2 e</w:t>
      </w:r>
      <w:r w:rsidRPr="00FE1E0E">
        <w:rPr>
          <w:vertAlign w:val="superscript"/>
        </w:rPr>
        <w:t>-</w:t>
      </w:r>
      <w:r w:rsidRPr="00FE1E0E">
        <w:t>/Å</w:t>
      </w:r>
      <w:r w:rsidRPr="00FE1E0E">
        <w:rPr>
          <w:vertAlign w:val="superscript"/>
        </w:rPr>
        <w:t>2</w:t>
      </w:r>
      <w:r w:rsidRPr="00FE1E0E">
        <w:t xml:space="preserve">. </w:t>
      </w:r>
      <w:r w:rsidR="003A0860">
        <w:t xml:space="preserve"> For the mixed MxEnc1/His-MxEnc2 s</w:t>
      </w:r>
      <w:r w:rsidR="000A5EC2">
        <w:t>a</w:t>
      </w:r>
      <w:r w:rsidR="003A0860">
        <w:t>mple, 861 movies were collected from a single grid using SerialEM at a magnification of 105,00x, pixel size of 0.832</w:t>
      </w:r>
      <w:r w:rsidR="003A0860" w:rsidRPr="003A0860">
        <w:t xml:space="preserve"> </w:t>
      </w:r>
      <w:r w:rsidR="003A0860" w:rsidRPr="00FE1E0E">
        <w:t xml:space="preserve">Å, defocus range of -1.0 µm to -1.8 µm, and a total dose of </w:t>
      </w:r>
      <w:r w:rsidR="003A0860">
        <w:t>45</w:t>
      </w:r>
      <w:r w:rsidR="003A0860" w:rsidRPr="00FE1E0E">
        <w:t>.</w:t>
      </w:r>
      <w:r w:rsidR="003A0860">
        <w:t>11</w:t>
      </w:r>
      <w:r w:rsidR="003A0860" w:rsidRPr="00FE1E0E">
        <w:t xml:space="preserve"> e</w:t>
      </w:r>
      <w:r w:rsidR="003A0860" w:rsidRPr="00FE1E0E">
        <w:rPr>
          <w:vertAlign w:val="superscript"/>
        </w:rPr>
        <w:t>-</w:t>
      </w:r>
      <w:r w:rsidR="003A0860" w:rsidRPr="00FE1E0E">
        <w:t>/Å</w:t>
      </w:r>
      <w:r w:rsidR="003A0860" w:rsidRPr="00FE1E0E">
        <w:rPr>
          <w:vertAlign w:val="superscript"/>
        </w:rPr>
        <w:t>2</w:t>
      </w:r>
      <w:r w:rsidR="003A0860" w:rsidRPr="00FE1E0E">
        <w:t>.</w:t>
      </w:r>
    </w:p>
    <w:p w14:paraId="2235B079" w14:textId="5C0FC16E" w:rsidR="00FE1E0E" w:rsidRPr="00654FC8" w:rsidRDefault="00FE1E0E" w:rsidP="00FE1E0E">
      <w:pPr>
        <w:jc w:val="both"/>
      </w:pPr>
      <w:r w:rsidRPr="00654FC8">
        <w:t>Data processing: CryoSPARC 4.</w:t>
      </w:r>
      <w:r w:rsidR="00654FC8" w:rsidRPr="00654FC8">
        <w:t>7</w:t>
      </w:r>
      <w:r w:rsidR="00B00147">
        <w:t xml:space="preserve"> [77]</w:t>
      </w:r>
      <w:r w:rsidRPr="00654FC8">
        <w:t xml:space="preserve"> was used to process the dataset</w:t>
      </w:r>
      <w:r w:rsidR="00654FC8" w:rsidRPr="00654FC8">
        <w:t>s</w:t>
      </w:r>
      <w:r w:rsidRPr="00654FC8">
        <w:t xml:space="preserve"> (</w:t>
      </w:r>
      <w:r w:rsidRPr="003A72B3">
        <w:t>Supplementary Fig</w:t>
      </w:r>
      <w:r w:rsidR="00D975BB" w:rsidRPr="003A72B3">
        <w:t>s</w:t>
      </w:r>
      <w:r w:rsidRPr="003A72B3">
        <w:t xml:space="preserve">. </w:t>
      </w:r>
      <w:r w:rsidR="003A72B3">
        <w:t>4</w:t>
      </w:r>
      <w:r w:rsidR="00D975BB">
        <w:t xml:space="preserve"> </w:t>
      </w:r>
      <w:r w:rsidR="00D975BB" w:rsidRPr="003A72B3">
        <w:t xml:space="preserve">and </w:t>
      </w:r>
      <w:r w:rsidR="003A72B3">
        <w:t>5</w:t>
      </w:r>
      <w:r w:rsidRPr="00654FC8">
        <w:t xml:space="preserve">). </w:t>
      </w:r>
      <w:r w:rsidR="00654FC8">
        <w:t xml:space="preserve">For </w:t>
      </w:r>
      <w:r w:rsidR="008F57AE">
        <w:t>Mx</w:t>
      </w:r>
      <w:r w:rsidR="00654FC8">
        <w:t>Enc1-only, 4</w:t>
      </w:r>
      <w:r w:rsidRPr="00654FC8">
        <w:t>,5</w:t>
      </w:r>
      <w:r w:rsidR="00654FC8">
        <w:t>96</w:t>
      </w:r>
      <w:r w:rsidRPr="00654FC8">
        <w:t xml:space="preserve"> movies were imported, motion corrected by patch motion correction, and the CTF fit was estimated using patch CTF estimation. Exposures with CTF fit resolutions worse than 6 Å were discarded from the dataset, resulting in </w:t>
      </w:r>
      <w:r w:rsidR="00654FC8">
        <w:t>4</w:t>
      </w:r>
      <w:r w:rsidRPr="00654FC8">
        <w:t>,</w:t>
      </w:r>
      <w:r w:rsidR="00654FC8">
        <w:t>586</w:t>
      </w:r>
      <w:r w:rsidRPr="00654FC8">
        <w:t xml:space="preserve"> remaining movies. </w:t>
      </w:r>
      <w:r w:rsidR="00654FC8">
        <w:t>200</w:t>
      </w:r>
      <w:r w:rsidRPr="00654FC8">
        <w:t xml:space="preserve"> particles were selected manually and used to create templates for template-based particle picking. Template picker was then used to select </w:t>
      </w:r>
      <w:r w:rsidR="00654FC8">
        <w:t>133</w:t>
      </w:r>
      <w:r w:rsidRPr="00654FC8">
        <w:t>,</w:t>
      </w:r>
      <w:r w:rsidR="00654FC8">
        <w:t>678</w:t>
      </w:r>
      <w:r w:rsidRPr="00654FC8">
        <w:t xml:space="preserve"> particles, which were then extracted using a box size of </w:t>
      </w:r>
      <w:r w:rsidR="00654FC8">
        <w:t>480</w:t>
      </w:r>
      <w:r w:rsidRPr="00654FC8">
        <w:t xml:space="preserve"> pixels. </w:t>
      </w:r>
      <w:r w:rsidR="00654FC8">
        <w:t xml:space="preserve">Particles </w:t>
      </w:r>
      <w:r w:rsidRPr="00654FC8">
        <w:t xml:space="preserve">subsequently sorted by two rounds of 2D classification, resulting in </w:t>
      </w:r>
      <w:r w:rsidR="00654FC8">
        <w:t>121</w:t>
      </w:r>
      <w:r w:rsidRPr="00654FC8">
        <w:t>,8</w:t>
      </w:r>
      <w:r w:rsidR="00654FC8">
        <w:t>1</w:t>
      </w:r>
      <w:r w:rsidRPr="00654FC8">
        <w:t xml:space="preserve">8 remaining particles. An initial volume was created by ab-initio reconstruction using </w:t>
      </w:r>
      <w:r w:rsidR="00654FC8">
        <w:t>two</w:t>
      </w:r>
      <w:r w:rsidRPr="00654FC8">
        <w:t xml:space="preserve"> classes and I symmetry, resulting in a majority class containing </w:t>
      </w:r>
      <w:r w:rsidR="00654FC8">
        <w:t>121</w:t>
      </w:r>
      <w:r w:rsidRPr="00654FC8">
        <w:t>,5</w:t>
      </w:r>
      <w:r w:rsidR="00654FC8">
        <w:t>97</w:t>
      </w:r>
      <w:r w:rsidRPr="00654FC8">
        <w:t xml:space="preserve"> particles. These particles were then used for homogeneous refinement against the ab-initio map with I symmetry imposed, per-particle defocus optimization, per-group CTF parameterization, and Ewald sphere correction enabled using a </w:t>
      </w:r>
      <w:r w:rsidR="00654FC8">
        <w:t>negative</w:t>
      </w:r>
      <w:r w:rsidRPr="00654FC8">
        <w:t xml:space="preserve"> curvature sign, resulting in a 2.</w:t>
      </w:r>
      <w:r w:rsidR="00654FC8">
        <w:t>31</w:t>
      </w:r>
      <w:r w:rsidRPr="00654FC8">
        <w:t xml:space="preserve"> Å map.</w:t>
      </w:r>
      <w:r w:rsidR="008F57AE">
        <w:t xml:space="preserve"> For MxEnc1/His-MxEnc2,</w:t>
      </w:r>
      <w:r w:rsidR="008F57AE" w:rsidRPr="008F57AE">
        <w:t xml:space="preserve"> </w:t>
      </w:r>
      <w:r w:rsidR="008F57AE">
        <w:t>861</w:t>
      </w:r>
      <w:r w:rsidR="008F57AE" w:rsidRPr="00654FC8">
        <w:t xml:space="preserve"> movies were imported, motion corrected by patch motion correction, and the CTF fit was estimated using patch CTF estimation. Exposures with CTF fit resolutions worse than 6 Å were discarded from the dataset, resulting in </w:t>
      </w:r>
      <w:r w:rsidR="008F57AE">
        <w:t>861</w:t>
      </w:r>
      <w:r w:rsidR="008F57AE" w:rsidRPr="00654FC8">
        <w:t xml:space="preserve"> remaining movies. </w:t>
      </w:r>
      <w:r w:rsidR="008F57AE">
        <w:t>200</w:t>
      </w:r>
      <w:r w:rsidR="008F57AE" w:rsidRPr="00654FC8">
        <w:t xml:space="preserve"> particles were selected manually and used to create templates for template-based particle picking. Template picker was then used to select </w:t>
      </w:r>
      <w:r w:rsidR="008F57AE">
        <w:t>34</w:t>
      </w:r>
      <w:r w:rsidR="008F57AE" w:rsidRPr="00654FC8">
        <w:t>,</w:t>
      </w:r>
      <w:r w:rsidR="008F57AE">
        <w:t>983</w:t>
      </w:r>
      <w:r w:rsidR="008F57AE" w:rsidRPr="00654FC8">
        <w:t xml:space="preserve"> particles, which were then extracted using a box size of </w:t>
      </w:r>
      <w:r w:rsidR="008F57AE">
        <w:t>480</w:t>
      </w:r>
      <w:r w:rsidR="008F57AE" w:rsidRPr="00654FC8">
        <w:t xml:space="preserve"> pixels. </w:t>
      </w:r>
      <w:r w:rsidR="008F57AE">
        <w:t xml:space="preserve">Particles </w:t>
      </w:r>
      <w:r w:rsidR="008F57AE" w:rsidRPr="00654FC8">
        <w:t xml:space="preserve">subsequently sorted by two rounds of 2D classification, resulting in </w:t>
      </w:r>
      <w:r w:rsidR="008F57AE">
        <w:t>34</w:t>
      </w:r>
      <w:r w:rsidR="008F57AE" w:rsidRPr="00654FC8">
        <w:t>,</w:t>
      </w:r>
      <w:r w:rsidR="008F57AE">
        <w:t>935</w:t>
      </w:r>
      <w:r w:rsidR="008F57AE" w:rsidRPr="00654FC8">
        <w:t xml:space="preserve"> remaining particles. An initial volume was created by ab-initio reconstruction using </w:t>
      </w:r>
      <w:r w:rsidR="008F57AE">
        <w:t>three</w:t>
      </w:r>
      <w:r w:rsidR="008F57AE" w:rsidRPr="00654FC8">
        <w:t xml:space="preserve"> classes and I symmetry, resulting in a majority class containing </w:t>
      </w:r>
      <w:r w:rsidR="008F57AE">
        <w:t>34</w:t>
      </w:r>
      <w:r w:rsidR="008F57AE" w:rsidRPr="00654FC8">
        <w:t>,</w:t>
      </w:r>
      <w:r w:rsidR="008F57AE">
        <w:t>935</w:t>
      </w:r>
      <w:r w:rsidR="008F57AE" w:rsidRPr="00654FC8">
        <w:t xml:space="preserve"> particles. These particles were then used for homogeneous refinement against the ab-initio map with I symmetry imposed, per-particle defocus optimization, per-group CTF parameterization, and Ewald sphere correction enabled using a </w:t>
      </w:r>
      <w:r w:rsidR="008F57AE">
        <w:t>negative</w:t>
      </w:r>
      <w:r w:rsidR="008F57AE" w:rsidRPr="00654FC8">
        <w:t xml:space="preserve"> curvature sign, resulting in a 2.</w:t>
      </w:r>
      <w:r w:rsidR="008F57AE">
        <w:t>27</w:t>
      </w:r>
      <w:r w:rsidR="008F57AE" w:rsidRPr="00654FC8">
        <w:t xml:space="preserve"> Å </w:t>
      </w:r>
      <w:r w:rsidR="008F57AE">
        <w:t xml:space="preserve">consensus </w:t>
      </w:r>
      <w:r w:rsidR="008F57AE" w:rsidRPr="00654FC8">
        <w:t>map.</w:t>
      </w:r>
      <w:r w:rsidR="008F57AE">
        <w:t xml:space="preserve"> For two-fold pore analysis, particles were symmetry expanded in I resulting in 2,096,200 particles of which 250,000 were used for subsequent 3D classification. Masked 3D classification utilizing a mask encompassing two protomers spanning the two-fold axis of symmetry was carried out with 6 classes, a target resolution of 4.5 </w:t>
      </w:r>
      <w:r w:rsidR="008F57AE" w:rsidRPr="00654FC8">
        <w:t>Å</w:t>
      </w:r>
      <w:r w:rsidR="008F57AE">
        <w:t xml:space="preserve">, O-EM learning rate init: 0.75, and force hard classification enabled. This yielded one </w:t>
      </w:r>
      <w:r w:rsidR="008F57AE">
        <w:lastRenderedPageBreak/>
        <w:t xml:space="preserve">class with a closed two-fold pore and unresolved CBDs containing 67,839 particles. Subsequent Homogeneous reconstruction of this class resulted in a closed two-fold pore map with a resolution of 2.71 </w:t>
      </w:r>
      <w:r w:rsidR="008F57AE" w:rsidRPr="00654FC8">
        <w:t>Å</w:t>
      </w:r>
      <w:r w:rsidR="008F57AE">
        <w:t>.</w:t>
      </w:r>
    </w:p>
    <w:p w14:paraId="00BFE9B4" w14:textId="11C7D3A6" w:rsidR="00FE1E0E" w:rsidRPr="00FE1E0E" w:rsidRDefault="00FE1E0E" w:rsidP="00FE1E0E">
      <w:pPr>
        <w:jc w:val="both"/>
      </w:pPr>
      <w:r w:rsidRPr="00502229">
        <w:t>Model building: For building the model of</w:t>
      </w:r>
      <w:r w:rsidR="00502229" w:rsidRPr="00502229">
        <w:t xml:space="preserve"> the MxEnc1-only shell</w:t>
      </w:r>
      <w:r w:rsidRPr="00502229">
        <w:t>, a starting model was generated using AlphaFold3</w:t>
      </w:r>
      <w:r w:rsidR="00502229" w:rsidRPr="00502229">
        <w:t xml:space="preserve"> (Q1CYZ6)</w:t>
      </w:r>
      <w:r w:rsidR="00B00147">
        <w:t xml:space="preserve"> [78]</w:t>
      </w:r>
      <w:r w:rsidRPr="00502229">
        <w:t xml:space="preserve">. The </w:t>
      </w:r>
      <w:r w:rsidR="009F5D2F">
        <w:t xml:space="preserve">AF3 </w:t>
      </w:r>
      <w:r w:rsidR="00502229" w:rsidRPr="00502229">
        <w:t xml:space="preserve">MxEnc1 </w:t>
      </w:r>
      <w:r w:rsidRPr="00502229">
        <w:t>model was manually placed into the map using ChimeraX v.1.</w:t>
      </w:r>
      <w:r w:rsidR="00502229">
        <w:t>11.1</w:t>
      </w:r>
      <w:r w:rsidR="00B00147">
        <w:t xml:space="preserve"> [79]</w:t>
      </w:r>
      <w:r w:rsidRPr="00502229">
        <w:t>,</w:t>
      </w:r>
      <w:r w:rsidR="00B00147" w:rsidRPr="00502229">
        <w:t xml:space="preserve"> </w:t>
      </w:r>
      <w:r w:rsidRPr="00502229">
        <w:t xml:space="preserve">followed by improved map fit using the fit-in-map command. The model was then manually refined against the density map using Coot </w:t>
      </w:r>
      <w:r w:rsidR="00502229">
        <w:t>v1.2</w:t>
      </w:r>
      <w:r w:rsidR="00B00147">
        <w:t xml:space="preserve"> [80, 81]</w:t>
      </w:r>
      <w:r w:rsidRPr="00502229">
        <w:t>.</w:t>
      </w:r>
      <w:r w:rsidR="00B00147" w:rsidRPr="00502229">
        <w:t xml:space="preserve"> </w:t>
      </w:r>
      <w:r w:rsidRPr="00502229">
        <w:t>Phenix v</w:t>
      </w:r>
      <w:r w:rsidR="00502229">
        <w:t>2</w:t>
      </w:r>
      <w:r w:rsidRPr="00502229">
        <w:t>.0.</w:t>
      </w:r>
      <w:r w:rsidR="00502229">
        <w:t>5885</w:t>
      </w:r>
      <w:r w:rsidR="00B00147">
        <w:t xml:space="preserve"> [82, 83]</w:t>
      </w:r>
      <w:r w:rsidRPr="00502229">
        <w:t xml:space="preserve"> was then used to further refine the model by real-space refinement with three macrocycles, </w:t>
      </w:r>
      <w:proofErr w:type="spellStart"/>
      <w:r w:rsidRPr="00502229">
        <w:t>minimization_global</w:t>
      </w:r>
      <w:proofErr w:type="spellEnd"/>
      <w:r w:rsidRPr="00502229">
        <w:t xml:space="preserve"> enabled, </w:t>
      </w:r>
      <w:proofErr w:type="spellStart"/>
      <w:r w:rsidRPr="00502229">
        <w:t>local_grid_search</w:t>
      </w:r>
      <w:proofErr w:type="spellEnd"/>
      <w:r w:rsidRPr="00502229">
        <w:t xml:space="preserve"> enabled, and </w:t>
      </w:r>
      <w:proofErr w:type="spellStart"/>
      <w:r w:rsidRPr="00502229">
        <w:t>adp</w:t>
      </w:r>
      <w:proofErr w:type="spellEnd"/>
      <w:r w:rsidRPr="00502229">
        <w:t xml:space="preserve"> refinement enabled. NCS operators were then identified from the map using map_symmetry and applied to the model using apply_ncs to generate the icosahedral shell. The NCS-expanded shell was then refined again using real-space refinement with three macrocycles, </w:t>
      </w:r>
      <w:proofErr w:type="spellStart"/>
      <w:r w:rsidRPr="00502229">
        <w:t>minimization_global</w:t>
      </w:r>
      <w:proofErr w:type="spellEnd"/>
      <w:r w:rsidRPr="00502229">
        <w:t xml:space="preserve"> enabled, </w:t>
      </w:r>
      <w:proofErr w:type="spellStart"/>
      <w:r w:rsidRPr="00502229">
        <w:t>local_grid_search</w:t>
      </w:r>
      <w:proofErr w:type="spellEnd"/>
      <w:r w:rsidRPr="00502229">
        <w:t xml:space="preserve"> enabled, </w:t>
      </w:r>
      <w:proofErr w:type="spellStart"/>
      <w:r w:rsidRPr="00502229">
        <w:t>adp</w:t>
      </w:r>
      <w:proofErr w:type="spellEnd"/>
      <w:r w:rsidRPr="00502229">
        <w:t xml:space="preserve"> refinement enabled, and NCS constraints enabled. The BIOMT operators were identified using the </w:t>
      </w:r>
      <w:proofErr w:type="spellStart"/>
      <w:r w:rsidRPr="00502229">
        <w:t>find_ncs</w:t>
      </w:r>
      <w:proofErr w:type="spellEnd"/>
      <w:r w:rsidRPr="00502229">
        <w:t xml:space="preserve"> command and manually placed into the header of the .</w:t>
      </w:r>
      <w:proofErr w:type="spellStart"/>
      <w:r w:rsidRPr="00502229">
        <w:t>pdb</w:t>
      </w:r>
      <w:proofErr w:type="spellEnd"/>
      <w:r w:rsidRPr="00502229">
        <w:t xml:space="preserve"> file of the NCS-refined model </w:t>
      </w:r>
      <w:r w:rsidRPr="003A72B3">
        <w:t xml:space="preserve">(Supplementary Table </w:t>
      </w:r>
      <w:r w:rsidR="003A72B3" w:rsidRPr="003A72B3">
        <w:t>1</w:t>
      </w:r>
      <w:r w:rsidRPr="00502229">
        <w:t>).</w:t>
      </w:r>
      <w:r w:rsidRPr="00FE1E0E">
        <w:t xml:space="preserve"> </w:t>
      </w:r>
      <w:r w:rsidR="000A5EC2">
        <w:t xml:space="preserve">For generating the closed two-fold model, </w:t>
      </w:r>
      <w:r w:rsidR="007A6E84">
        <w:t xml:space="preserve">four MxEnc1 copies were manually placed into the two-fold pore map using ChimeraX v.1.11.1, followed by the fit-in-map command. The model was then manually refined using Coot v1.2, followed by further real-space </w:t>
      </w:r>
      <w:proofErr w:type="spellStart"/>
      <w:r w:rsidR="007A6E84">
        <w:t>refinment</w:t>
      </w:r>
      <w:proofErr w:type="spellEnd"/>
      <w:r w:rsidR="007A6E84">
        <w:t xml:space="preserve"> in Phenix v2.0.5885 with </w:t>
      </w:r>
      <w:r w:rsidR="007A6E84" w:rsidRPr="00502229">
        <w:t xml:space="preserve">three macrocycles, </w:t>
      </w:r>
      <w:proofErr w:type="spellStart"/>
      <w:r w:rsidR="007A6E84" w:rsidRPr="00502229">
        <w:t>minimization_global</w:t>
      </w:r>
      <w:proofErr w:type="spellEnd"/>
      <w:r w:rsidR="007A6E84" w:rsidRPr="00502229">
        <w:t xml:space="preserve"> enabled, </w:t>
      </w:r>
      <w:proofErr w:type="spellStart"/>
      <w:r w:rsidR="007A6E84" w:rsidRPr="00502229">
        <w:t>local_grid_search</w:t>
      </w:r>
      <w:proofErr w:type="spellEnd"/>
      <w:r w:rsidR="007A6E84" w:rsidRPr="00502229">
        <w:t xml:space="preserve"> enabled, and </w:t>
      </w:r>
      <w:proofErr w:type="spellStart"/>
      <w:r w:rsidR="007A6E84" w:rsidRPr="00502229">
        <w:t>adp</w:t>
      </w:r>
      <w:proofErr w:type="spellEnd"/>
      <w:r w:rsidR="007A6E84" w:rsidRPr="00502229">
        <w:t xml:space="preserve"> refinement enabled.</w:t>
      </w:r>
    </w:p>
    <w:p w14:paraId="5F66F3EA" w14:textId="77777777" w:rsidR="00674AA9" w:rsidRDefault="00674AA9" w:rsidP="00674AA9">
      <w:pPr>
        <w:jc w:val="both"/>
        <w:rPr>
          <w:b/>
          <w:bCs/>
        </w:rPr>
      </w:pPr>
      <w:proofErr w:type="spellStart"/>
      <w:r>
        <w:rPr>
          <w:b/>
          <w:bCs/>
        </w:rPr>
        <w:t>GeoA</w:t>
      </w:r>
      <w:proofErr w:type="spellEnd"/>
      <w:r>
        <w:rPr>
          <w:b/>
          <w:bCs/>
        </w:rPr>
        <w:t xml:space="preserve"> activity assays</w:t>
      </w:r>
    </w:p>
    <w:p w14:paraId="0BA8536B" w14:textId="3F2ED64E" w:rsidR="00674AA9" w:rsidRPr="00D97F64" w:rsidRDefault="00674AA9" w:rsidP="00674AA9">
      <w:pPr>
        <w:jc w:val="both"/>
      </w:pPr>
      <w:proofErr w:type="spellStart"/>
      <w:r>
        <w:t>GeoA</w:t>
      </w:r>
      <w:proofErr w:type="spellEnd"/>
      <w:r>
        <w:t xml:space="preserve"> activity assays were carried out utilizing the </w:t>
      </w:r>
      <w:proofErr w:type="spellStart"/>
      <w:r>
        <w:t>EnzChek</w:t>
      </w:r>
      <w:proofErr w:type="spellEnd"/>
      <w:r>
        <w:t xml:space="preserve"> pyrophosphate assay kit (</w:t>
      </w:r>
      <w:proofErr w:type="spellStart"/>
      <w:r>
        <w:t>Thermo</w:t>
      </w:r>
      <w:proofErr w:type="spellEnd"/>
      <w:r>
        <w:t xml:space="preserve"> Fisher Scientific). Briefly, to assay buffer (50 mM HEPES, 200 mM NaCl, 10 mM MgCl</w:t>
      </w:r>
      <w:r>
        <w:rPr>
          <w:vertAlign w:val="subscript"/>
        </w:rPr>
        <w:t>2</w:t>
      </w:r>
      <w:r>
        <w:t xml:space="preserve">, pH 7.5) was added 2-amino-6-mercapto-7-methyl purine ribonucleoside (MESG), purine nucleoside phosphorylase (PNP) and inorganic pyrophosphatase (IP). This standard mixture was aliquoted at required volumes (total assay volume 100 </w:t>
      </w:r>
      <w:r>
        <w:sym w:font="Symbol" w:char="F06D"/>
      </w:r>
      <w:r>
        <w:t xml:space="preserve">L) into wells of 96-well plates, followed by the addition of either free </w:t>
      </w:r>
      <w:proofErr w:type="spellStart"/>
      <w:r>
        <w:t>GeoA</w:t>
      </w:r>
      <w:proofErr w:type="spellEnd"/>
      <w:r>
        <w:t xml:space="preserve"> enzyme or encapsulin-</w:t>
      </w:r>
      <w:proofErr w:type="spellStart"/>
      <w:r>
        <w:t>GeoA</w:t>
      </w:r>
      <w:proofErr w:type="spellEnd"/>
      <w:r>
        <w:t xml:space="preserve"> systems (concentrations ranging from 0 to 4 </w:t>
      </w:r>
      <w:r>
        <w:sym w:font="Symbol" w:char="F06D"/>
      </w:r>
      <w:r>
        <w:t>M, with encapsulin-</w:t>
      </w:r>
      <w:proofErr w:type="spellStart"/>
      <w:r>
        <w:t>GeoA</w:t>
      </w:r>
      <w:proofErr w:type="spellEnd"/>
      <w:r>
        <w:t xml:space="preserve"> concentrations based on concentration of internal cargo enzyme). Reactions were initiated by the addition of the farnesyl pyrophosphate substrate at varying concentrations from 0 to 100 </w:t>
      </w:r>
      <w:r>
        <w:sym w:font="Symbol" w:char="F06D"/>
      </w:r>
      <w:r>
        <w:t xml:space="preserve">M. </w:t>
      </w:r>
      <w:r w:rsidRPr="00B15D07">
        <w:t>Absorbance at 360</w:t>
      </w:r>
      <w:r w:rsidR="00F41531">
        <w:t xml:space="preserve"> </w:t>
      </w:r>
      <w:r w:rsidRPr="00B15D07">
        <w:t>nm</w:t>
      </w:r>
      <w:r>
        <w:t xml:space="preserve"> was </w:t>
      </w:r>
      <w:r w:rsidR="00F41531">
        <w:t>recorded</w:t>
      </w:r>
      <w:r>
        <w:t>,</w:t>
      </w:r>
      <w:r w:rsidRPr="00B15D07">
        <w:t xml:space="preserve"> corresponding to the conversion of MESG to ribose 1-phosphate and 2- amino-6-mercapto-7-methylpurine by PNP</w:t>
      </w:r>
      <w:r>
        <w:t>.</w:t>
      </w:r>
      <w:r w:rsidRPr="00B15D07">
        <w:t xml:space="preserve"> </w:t>
      </w:r>
      <w:r>
        <w:t xml:space="preserve">Readings were collected </w:t>
      </w:r>
      <w:r w:rsidRPr="00B15D07">
        <w:t xml:space="preserve">every </w:t>
      </w:r>
      <w:r>
        <w:t>15</w:t>
      </w:r>
      <w:r w:rsidRPr="00B15D07">
        <w:t xml:space="preserve"> s in sweep mode using a </w:t>
      </w:r>
      <w:proofErr w:type="spellStart"/>
      <w:r w:rsidRPr="00B15D07">
        <w:t>BioTek</w:t>
      </w:r>
      <w:proofErr w:type="spellEnd"/>
      <w:r w:rsidRPr="00B15D07">
        <w:t xml:space="preserve"> Synergy H1 microplate reader. Slopes were calculated in the linear reaction periods (</w:t>
      </w:r>
      <w:r>
        <w:t>4 to 10</w:t>
      </w:r>
      <w:r w:rsidRPr="00B15D07">
        <w:t xml:space="preserve"> min</w:t>
      </w:r>
      <w:r>
        <w:t>s</w:t>
      </w:r>
      <w:r w:rsidRPr="00B15D07">
        <w:t>) and used to calculate reaction velocities using a pyrophosphate standard curve. Velocities were plotted and curves were fitted in GraphPad Prism 9.10</w:t>
      </w:r>
      <w:r>
        <w:t xml:space="preserve"> or using </w:t>
      </w:r>
      <w:proofErr w:type="spellStart"/>
      <w:r>
        <w:t>MatPlotLib</w:t>
      </w:r>
      <w:proofErr w:type="spellEnd"/>
      <w:r w:rsidRPr="00B15D07">
        <w:t>.</w:t>
      </w:r>
    </w:p>
    <w:p w14:paraId="5394E991" w14:textId="77777777" w:rsidR="00674AA9" w:rsidRDefault="00674AA9" w:rsidP="00674AA9">
      <w:pPr>
        <w:jc w:val="both"/>
        <w:rPr>
          <w:b/>
          <w:bCs/>
        </w:rPr>
      </w:pPr>
      <w:r>
        <w:rPr>
          <w:b/>
          <w:bCs/>
        </w:rPr>
        <w:lastRenderedPageBreak/>
        <w:t>Gas chromatography mass spectrometry (GCMS)</w:t>
      </w:r>
    </w:p>
    <w:p w14:paraId="12D13446" w14:textId="04E17F66" w:rsidR="00674AA9" w:rsidRPr="00082D0E" w:rsidRDefault="00674AA9" w:rsidP="00674AA9">
      <w:pPr>
        <w:jc w:val="both"/>
      </w:pPr>
      <w:r>
        <w:t>Reactions for subsequent GCMS analysis were prepared in sealed vials to prevent loss of volatile products. In each vial, to assay buffer (50 mM HEPES, 200 mM NaCl, 10 mM MgCl</w:t>
      </w:r>
      <w:r>
        <w:rPr>
          <w:vertAlign w:val="subscript"/>
        </w:rPr>
        <w:t>2</w:t>
      </w:r>
      <w:r>
        <w:t xml:space="preserve">, pH 7.5) was added either free </w:t>
      </w:r>
      <w:proofErr w:type="spellStart"/>
      <w:r>
        <w:t>GeoA</w:t>
      </w:r>
      <w:proofErr w:type="spellEnd"/>
      <w:r>
        <w:t xml:space="preserve"> (4 </w:t>
      </w:r>
      <w:r>
        <w:sym w:font="Symbol" w:char="F06D"/>
      </w:r>
      <w:r>
        <w:t xml:space="preserve">M) or </w:t>
      </w:r>
      <w:proofErr w:type="spellStart"/>
      <w:r>
        <w:t>EncGeoA</w:t>
      </w:r>
      <w:proofErr w:type="spellEnd"/>
      <w:r>
        <w:t xml:space="preserve"> (4 </w:t>
      </w:r>
      <w:r>
        <w:sym w:font="Symbol" w:char="F06D"/>
      </w:r>
      <w:r>
        <w:t xml:space="preserve">M internal </w:t>
      </w:r>
      <w:proofErr w:type="spellStart"/>
      <w:r>
        <w:t>GeoA</w:t>
      </w:r>
      <w:proofErr w:type="spellEnd"/>
      <w:r>
        <w:t xml:space="preserve"> cargo concentration). Reactions were initiated with the addition of the substrate FPP at concentrations ranging from to 0 to 400 </w:t>
      </w:r>
      <w:r>
        <w:sym w:font="Symbol" w:char="F06D"/>
      </w:r>
      <w:r>
        <w:t xml:space="preserve">M to achieve a total assay volume of 100 </w:t>
      </w:r>
      <w:r>
        <w:sym w:font="Symbol" w:char="F06D"/>
      </w:r>
      <w:r>
        <w:t xml:space="preserve">L, and incubated for eighteen hours at 30°C. Pentane (200 </w:t>
      </w:r>
      <w:r>
        <w:sym w:font="Symbol" w:char="F06D"/>
      </w:r>
      <w:r>
        <w:t xml:space="preserve">L) was added to the vial by syringe to avoid volatile product loss, and mixed by vortexing to transfer pentane-soluble products to the organic layer. The pentane layer was then removed and added to a clean, empty vial. The pentane extraction process was repeated on the aqueous layer to extract any remaining organic compounds. The combined pentane layers were then dried with sodium sulfate and concentrated using a dry nitrogen stream. The pentane extraction was also carried out on control assays containing proteins or substrates only, as well as an assay sample containing 400 </w:t>
      </w:r>
      <w:r>
        <w:sym w:font="Symbol" w:char="F06D"/>
      </w:r>
      <w:r>
        <w:t xml:space="preserve">M geosmin standard. 2 </w:t>
      </w:r>
      <w:r>
        <w:sym w:font="Symbol" w:char="F06D"/>
      </w:r>
      <w:r>
        <w:t xml:space="preserve">L of each concentrated extract was injected onto a Shimadzu QP-2010 GCMS instrument equipped with a DB-5 column, and run in splitless EI mode. The column flow rate was maintained at 1.0 mL/min with a temperature ramp of 60°C to 280°C at 20°C/min. Analysis of collected data was carried out in </w:t>
      </w:r>
      <w:proofErr w:type="spellStart"/>
      <w:r>
        <w:t>GCMSsolution</w:t>
      </w:r>
      <w:proofErr w:type="spellEnd"/>
      <w:r>
        <w:t xml:space="preserve"> (Shimadzu) and plotted in </w:t>
      </w:r>
      <w:r w:rsidRPr="00B15D07">
        <w:t>GraphPad Prism 9.10</w:t>
      </w:r>
      <w:r>
        <w:t>.</w:t>
      </w:r>
    </w:p>
    <w:p w14:paraId="7ECF17AD" w14:textId="77777777" w:rsidR="00674AA9" w:rsidRDefault="00674AA9" w:rsidP="00674AA9">
      <w:pPr>
        <w:jc w:val="both"/>
        <w:rPr>
          <w:b/>
          <w:bCs/>
        </w:rPr>
      </w:pPr>
      <w:r>
        <w:rPr>
          <w:b/>
          <w:bCs/>
        </w:rPr>
        <w:t>Differential scanning fluorimetry</w:t>
      </w:r>
    </w:p>
    <w:p w14:paraId="69CC352A" w14:textId="127F53DC" w:rsidR="000A6751" w:rsidRDefault="00674AA9" w:rsidP="00674AA9">
      <w:pPr>
        <w:jc w:val="both"/>
      </w:pPr>
      <w:r>
        <w:t>Thermal melts of empty encapsulin, or cargo-loaded encapsulin proteins, was carried out using an Uncle instrument (Unchained Labs). Samples for DSF were either captured using intrinsic tryptophan fluorescence, or contained 10x SYPRO orange dye (from 5000x DMSO stock, Invitrogen), incubated with 1 mg/mL encapsulin protein in storage buffer (20 mM Tris, 150 mM NaCl, pH 7.5). Additional cofactors and binding partners were added into the buffer as required (cAMP, 1mM). Thermal ramps were initiated at 25°C and progressed at 1°C/min, until a final temperature of 95°C was reached. Samples were monitored by obtaining fluorescence emission spectra from 250 to 720 nm, with an excitation wavelength of 473 nm. Data analysis was carried out in Uncle Analysis V5.04, which was used to calculate the area under the curve between 510 and 680 nm and represent thermal transition curves.</w:t>
      </w:r>
    </w:p>
    <w:p w14:paraId="2A0A617A" w14:textId="77777777" w:rsidR="000A6751" w:rsidRDefault="000A6751">
      <w:r>
        <w:br w:type="page"/>
      </w:r>
    </w:p>
    <w:p w14:paraId="60688120" w14:textId="7F52F343" w:rsidR="00674AA9" w:rsidRDefault="00525529" w:rsidP="00674AA9">
      <w:pPr>
        <w:jc w:val="both"/>
      </w:pPr>
      <w:r>
        <w:rPr>
          <w:noProof/>
        </w:rPr>
        <w:lastRenderedPageBreak/>
        <w:drawing>
          <wp:inline distT="0" distB="0" distL="0" distR="0" wp14:anchorId="2C4B51FE" wp14:editId="6D479E6E">
            <wp:extent cx="5943600" cy="2977515"/>
            <wp:effectExtent l="0" t="0" r="0" b="0"/>
            <wp:docPr id="363915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15460" name="Picture 36391546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77515"/>
                    </a:xfrm>
                    <a:prstGeom prst="rect">
                      <a:avLst/>
                    </a:prstGeom>
                  </pic:spPr>
                </pic:pic>
              </a:graphicData>
            </a:graphic>
          </wp:inline>
        </w:drawing>
      </w:r>
    </w:p>
    <w:p w14:paraId="2534C933" w14:textId="5A9E23BD" w:rsidR="00DE3DE4" w:rsidRDefault="000D5F48" w:rsidP="000D5F48">
      <w:pPr>
        <w:jc w:val="both"/>
        <w:rPr>
          <w:sz w:val="22"/>
          <w:szCs w:val="22"/>
        </w:rPr>
      </w:pPr>
      <w:bookmarkStart w:id="2" w:name="_Toc235467994"/>
      <w:r w:rsidRPr="005D2C85">
        <w:rPr>
          <w:rStyle w:val="Heading2Char"/>
          <w:rFonts w:asciiTheme="minorHAnsi" w:hAnsiTheme="minorHAnsi"/>
          <w:b/>
          <w:bCs/>
          <w:color w:val="000000" w:themeColor="text1"/>
          <w:sz w:val="22"/>
          <w:szCs w:val="22"/>
        </w:rPr>
        <w:t>Supplementary Fig. 1</w:t>
      </w:r>
      <w:bookmarkEnd w:id="2"/>
      <w:r w:rsidRPr="00FB7EEE">
        <w:rPr>
          <w:b/>
          <w:bCs/>
          <w:sz w:val="22"/>
          <w:szCs w:val="22"/>
        </w:rPr>
        <w:t xml:space="preserve">. SDS-PAGE, TEM, and mass spectral analysis of encapsulated </w:t>
      </w:r>
      <w:proofErr w:type="spellStart"/>
      <w:r w:rsidRPr="00FB7EEE">
        <w:rPr>
          <w:b/>
          <w:bCs/>
          <w:sz w:val="22"/>
          <w:szCs w:val="22"/>
        </w:rPr>
        <w:t>GeoA</w:t>
      </w:r>
      <w:proofErr w:type="spellEnd"/>
      <w:r w:rsidRPr="00FB7EEE">
        <w:rPr>
          <w:b/>
          <w:bCs/>
          <w:sz w:val="22"/>
          <w:szCs w:val="22"/>
        </w:rPr>
        <w:t>.</w:t>
      </w:r>
      <w:r>
        <w:rPr>
          <w:sz w:val="22"/>
          <w:szCs w:val="22"/>
        </w:rPr>
        <w:t xml:space="preserve"> (A) Schematic overview of the His-Enc1_His-Enc2_GeoA expressed construct. SDS-PAGE and TEM analysis of the purified protein showed coelution of the shell and cargo proteins and discrete shell formation. (B) Overview of the </w:t>
      </w:r>
      <w:r w:rsidR="004227F8">
        <w:rPr>
          <w:sz w:val="22"/>
          <w:szCs w:val="22"/>
        </w:rPr>
        <w:t xml:space="preserve">geosmin biosynthetic pathway and </w:t>
      </w:r>
      <w:r w:rsidR="00B757B1">
        <w:rPr>
          <w:sz w:val="22"/>
          <w:szCs w:val="22"/>
        </w:rPr>
        <w:t xml:space="preserve">the intermediates formed </w:t>
      </w:r>
      <w:proofErr w:type="spellStart"/>
      <w:r w:rsidR="00B757B1">
        <w:rPr>
          <w:sz w:val="22"/>
          <w:szCs w:val="22"/>
        </w:rPr>
        <w:t>en</w:t>
      </w:r>
      <w:proofErr w:type="spellEnd"/>
      <w:r w:rsidR="00B757B1">
        <w:rPr>
          <w:sz w:val="22"/>
          <w:szCs w:val="22"/>
        </w:rPr>
        <w:t xml:space="preserve"> route to geosmin. A schematic of an encapsulin pore is shown, illustrating how diffusive substrate and product entry/exit may occur.</w:t>
      </w:r>
      <w:r w:rsidR="00707657">
        <w:rPr>
          <w:sz w:val="22"/>
          <w:szCs w:val="22"/>
        </w:rPr>
        <w:t xml:space="preserve"> (C) Results obtained from mass spectral analysis of </w:t>
      </w:r>
      <w:proofErr w:type="spellStart"/>
      <w:r w:rsidR="00707657">
        <w:rPr>
          <w:sz w:val="22"/>
          <w:szCs w:val="22"/>
        </w:rPr>
        <w:t>EncGeoA</w:t>
      </w:r>
      <w:proofErr w:type="spellEnd"/>
      <w:r w:rsidR="00707657">
        <w:rPr>
          <w:sz w:val="22"/>
          <w:szCs w:val="22"/>
        </w:rPr>
        <w:t xml:space="preserve"> samples.</w:t>
      </w:r>
      <w:r w:rsidR="00DE3DE4">
        <w:rPr>
          <w:sz w:val="22"/>
          <w:szCs w:val="22"/>
        </w:rPr>
        <w:t xml:space="preserve"> The overall number of peptides observed across all three samples is shown, as well as averaged peptide score</w:t>
      </w:r>
      <w:r w:rsidR="002F37FB">
        <w:rPr>
          <w:sz w:val="22"/>
          <w:szCs w:val="22"/>
        </w:rPr>
        <w:t>s</w:t>
      </w:r>
      <w:r w:rsidR="00DE3DE4">
        <w:rPr>
          <w:sz w:val="22"/>
          <w:szCs w:val="22"/>
        </w:rPr>
        <w:t xml:space="preserve">. The raw mass spectral abundance for each sample is shown for each of the encapsulin proteins and </w:t>
      </w:r>
      <w:proofErr w:type="spellStart"/>
      <w:r w:rsidR="00DE3DE4">
        <w:rPr>
          <w:sz w:val="22"/>
          <w:szCs w:val="22"/>
        </w:rPr>
        <w:t>GeoA</w:t>
      </w:r>
      <w:proofErr w:type="spellEnd"/>
      <w:r w:rsidR="00DE3DE4">
        <w:rPr>
          <w:sz w:val="22"/>
          <w:szCs w:val="22"/>
        </w:rPr>
        <w:t xml:space="preserve"> (samples 1 and 2 – gel slice of encapsulin proteins; sample 3 – gel slice of </w:t>
      </w:r>
      <w:proofErr w:type="spellStart"/>
      <w:r w:rsidR="00DE3DE4">
        <w:rPr>
          <w:sz w:val="22"/>
          <w:szCs w:val="22"/>
        </w:rPr>
        <w:t>GeoA</w:t>
      </w:r>
      <w:proofErr w:type="spellEnd"/>
      <w:r w:rsidR="00DE3DE4">
        <w:rPr>
          <w:sz w:val="22"/>
          <w:szCs w:val="22"/>
        </w:rPr>
        <w:t xml:space="preserve"> protein).</w:t>
      </w:r>
    </w:p>
    <w:p w14:paraId="6EA9BA5C" w14:textId="77777777" w:rsidR="00DE3DE4" w:rsidRDefault="00DE3DE4" w:rsidP="000D5F48">
      <w:pPr>
        <w:jc w:val="both"/>
        <w:rPr>
          <w:sz w:val="22"/>
          <w:szCs w:val="22"/>
        </w:rPr>
      </w:pPr>
    </w:p>
    <w:p w14:paraId="475F3503" w14:textId="2A3E777C" w:rsidR="00525529" w:rsidRPr="000D5F48" w:rsidRDefault="00525529" w:rsidP="000D5F48">
      <w:pPr>
        <w:jc w:val="both"/>
        <w:rPr>
          <w:sz w:val="22"/>
          <w:szCs w:val="22"/>
        </w:rPr>
      </w:pPr>
      <w:r>
        <w:br w:type="page"/>
      </w:r>
      <w:r w:rsidR="00DE3DE4">
        <w:lastRenderedPageBreak/>
        <w:t xml:space="preserve"> </w:t>
      </w:r>
      <w:r>
        <w:rPr>
          <w:noProof/>
        </w:rPr>
        <w:drawing>
          <wp:inline distT="0" distB="0" distL="0" distR="0" wp14:anchorId="097D9F26" wp14:editId="0B08D7B3">
            <wp:extent cx="5943600" cy="5641340"/>
            <wp:effectExtent l="0" t="0" r="0" b="0"/>
            <wp:docPr id="8791148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14834" name="Picture 8791148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641340"/>
                    </a:xfrm>
                    <a:prstGeom prst="rect">
                      <a:avLst/>
                    </a:prstGeom>
                  </pic:spPr>
                </pic:pic>
              </a:graphicData>
            </a:graphic>
          </wp:inline>
        </w:drawing>
      </w:r>
    </w:p>
    <w:p w14:paraId="48EFA23F" w14:textId="6A19973B" w:rsidR="00BD4AF7" w:rsidRPr="0026778E" w:rsidRDefault="00BD4AF7" w:rsidP="005C184D">
      <w:pPr>
        <w:jc w:val="both"/>
        <w:rPr>
          <w:sz w:val="22"/>
          <w:szCs w:val="22"/>
        </w:rPr>
      </w:pPr>
      <w:bookmarkStart w:id="3" w:name="_Toc235467995"/>
      <w:r w:rsidRPr="005D2C85">
        <w:rPr>
          <w:rStyle w:val="Heading2Char"/>
          <w:rFonts w:asciiTheme="minorHAnsi" w:hAnsiTheme="minorHAnsi"/>
          <w:b/>
          <w:bCs/>
          <w:color w:val="000000" w:themeColor="text1"/>
          <w:sz w:val="22"/>
          <w:szCs w:val="22"/>
        </w:rPr>
        <w:t>Supplementary Fig. 2</w:t>
      </w:r>
      <w:bookmarkEnd w:id="3"/>
      <w:r w:rsidRPr="00FB7EEE">
        <w:rPr>
          <w:b/>
          <w:bCs/>
          <w:sz w:val="22"/>
          <w:szCs w:val="22"/>
        </w:rPr>
        <w:t xml:space="preserve">. Sequence similarity networks for </w:t>
      </w:r>
      <w:proofErr w:type="spellStart"/>
      <w:r w:rsidRPr="00FB7EEE">
        <w:rPr>
          <w:b/>
          <w:bCs/>
          <w:sz w:val="22"/>
          <w:szCs w:val="22"/>
        </w:rPr>
        <w:t>GeoA</w:t>
      </w:r>
      <w:proofErr w:type="spellEnd"/>
      <w:r w:rsidRPr="00FB7EEE">
        <w:rPr>
          <w:b/>
          <w:bCs/>
          <w:sz w:val="22"/>
          <w:szCs w:val="22"/>
        </w:rPr>
        <w:t xml:space="preserve"> and overview of </w:t>
      </w:r>
      <w:proofErr w:type="spellStart"/>
      <w:r w:rsidRPr="00FB7EEE">
        <w:rPr>
          <w:b/>
          <w:bCs/>
          <w:sz w:val="22"/>
          <w:szCs w:val="22"/>
        </w:rPr>
        <w:t>GeoA</w:t>
      </w:r>
      <w:proofErr w:type="spellEnd"/>
      <w:r w:rsidRPr="00FB7EEE">
        <w:rPr>
          <w:b/>
          <w:bCs/>
          <w:sz w:val="22"/>
          <w:szCs w:val="22"/>
        </w:rPr>
        <w:t xml:space="preserve"> systems containing Family 2A encapsulin shells.</w:t>
      </w:r>
      <w:r w:rsidRPr="0026778E">
        <w:rPr>
          <w:sz w:val="22"/>
          <w:szCs w:val="22"/>
        </w:rPr>
        <w:t xml:space="preserve"> (A) Sequence similarity network (SSN) of all analyzed </w:t>
      </w:r>
      <w:proofErr w:type="spellStart"/>
      <w:r w:rsidRPr="0026778E">
        <w:rPr>
          <w:sz w:val="22"/>
          <w:szCs w:val="22"/>
        </w:rPr>
        <w:t>GeoA</w:t>
      </w:r>
      <w:proofErr w:type="spellEnd"/>
      <w:r w:rsidRPr="0026778E">
        <w:rPr>
          <w:sz w:val="22"/>
          <w:szCs w:val="22"/>
        </w:rPr>
        <w:t xml:space="preserve"> homologs. Circles highlighted in orange are single encapsulin-containing systems, whereas those highlighted in yellow contain two distinct encapsulin genes. (B) SSN of </w:t>
      </w:r>
      <w:proofErr w:type="spellStart"/>
      <w:r w:rsidRPr="0026778E">
        <w:rPr>
          <w:sz w:val="22"/>
          <w:szCs w:val="22"/>
        </w:rPr>
        <w:t>GeoA</w:t>
      </w:r>
      <w:proofErr w:type="spellEnd"/>
      <w:r w:rsidRPr="0026778E">
        <w:rPr>
          <w:sz w:val="22"/>
          <w:szCs w:val="22"/>
        </w:rPr>
        <w:t xml:space="preserve"> systems containing Family 2A encapsulins, as well the </w:t>
      </w:r>
      <w:proofErr w:type="spellStart"/>
      <w:r w:rsidRPr="0026778E">
        <w:rPr>
          <w:sz w:val="22"/>
          <w:szCs w:val="22"/>
        </w:rPr>
        <w:t>GeoA</w:t>
      </w:r>
      <w:proofErr w:type="spellEnd"/>
      <w:r w:rsidRPr="0026778E">
        <w:rPr>
          <w:sz w:val="22"/>
          <w:szCs w:val="22"/>
        </w:rPr>
        <w:t xml:space="preserve"> systems from </w:t>
      </w:r>
      <w:r w:rsidRPr="0026778E">
        <w:rPr>
          <w:i/>
          <w:iCs/>
          <w:sz w:val="22"/>
          <w:szCs w:val="22"/>
        </w:rPr>
        <w:t xml:space="preserve">S. coelicolor </w:t>
      </w:r>
      <w:r w:rsidRPr="0026778E">
        <w:rPr>
          <w:sz w:val="22"/>
          <w:szCs w:val="22"/>
        </w:rPr>
        <w:t xml:space="preserve">and </w:t>
      </w:r>
      <w:r w:rsidRPr="0026778E">
        <w:rPr>
          <w:i/>
          <w:iCs/>
          <w:sz w:val="22"/>
          <w:szCs w:val="22"/>
        </w:rPr>
        <w:t xml:space="preserve">M. xanthus </w:t>
      </w:r>
      <w:r w:rsidRPr="0026778E">
        <w:rPr>
          <w:sz w:val="22"/>
          <w:szCs w:val="22"/>
        </w:rPr>
        <w:t xml:space="preserve">as comparisons. The different Family 2A operon types observed are listed above. (C) Schematic overview of four </w:t>
      </w:r>
      <w:proofErr w:type="spellStart"/>
      <w:r w:rsidRPr="0026778E">
        <w:rPr>
          <w:sz w:val="22"/>
          <w:szCs w:val="22"/>
        </w:rPr>
        <w:t>GeoA</w:t>
      </w:r>
      <w:proofErr w:type="spellEnd"/>
      <w:r w:rsidRPr="0026778E">
        <w:rPr>
          <w:sz w:val="22"/>
          <w:szCs w:val="22"/>
        </w:rPr>
        <w:t>-containing clusters found to also encode Family 2A encapsulin genes, as well as AlphaFold analysis of encoded encapsulins. Different system types, either containing one or two encapsulin genes, or either one or both of Family 2A and Family 2B encapsulins, were observed.</w:t>
      </w:r>
    </w:p>
    <w:p w14:paraId="4B317ED9" w14:textId="77777777" w:rsidR="005C184D" w:rsidRDefault="00525529">
      <w:r>
        <w:rPr>
          <w:noProof/>
        </w:rPr>
        <w:lastRenderedPageBreak/>
        <w:drawing>
          <wp:inline distT="0" distB="0" distL="0" distR="0" wp14:anchorId="4D81182D" wp14:editId="2BEF0112">
            <wp:extent cx="5943600" cy="5755005"/>
            <wp:effectExtent l="0" t="0" r="0" b="0"/>
            <wp:docPr id="506492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92489" name="Picture 5064924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755005"/>
                    </a:xfrm>
                    <a:prstGeom prst="rect">
                      <a:avLst/>
                    </a:prstGeom>
                  </pic:spPr>
                </pic:pic>
              </a:graphicData>
            </a:graphic>
          </wp:inline>
        </w:drawing>
      </w:r>
    </w:p>
    <w:p w14:paraId="461ABB1F" w14:textId="0814513F" w:rsidR="005C184D" w:rsidRPr="0026778E" w:rsidRDefault="005C184D" w:rsidP="005C184D">
      <w:pPr>
        <w:jc w:val="both"/>
        <w:rPr>
          <w:sz w:val="22"/>
          <w:szCs w:val="22"/>
        </w:rPr>
      </w:pPr>
      <w:bookmarkStart w:id="4" w:name="_Toc235467996"/>
      <w:r w:rsidRPr="005D2C85">
        <w:rPr>
          <w:rStyle w:val="Heading2Char"/>
          <w:rFonts w:asciiTheme="minorHAnsi" w:hAnsiTheme="minorHAnsi"/>
          <w:b/>
          <w:bCs/>
          <w:color w:val="000000" w:themeColor="text1"/>
          <w:sz w:val="22"/>
          <w:szCs w:val="22"/>
        </w:rPr>
        <w:t>Supplementary Fig. 3</w:t>
      </w:r>
      <w:bookmarkEnd w:id="4"/>
      <w:r w:rsidRPr="00FB7EEE">
        <w:rPr>
          <w:b/>
          <w:bCs/>
          <w:sz w:val="22"/>
          <w:szCs w:val="22"/>
        </w:rPr>
        <w:t xml:space="preserve">. Pairwise sequence and structural analysis of the </w:t>
      </w:r>
      <w:proofErr w:type="spellStart"/>
      <w:r w:rsidRPr="00FB7EEE">
        <w:rPr>
          <w:b/>
          <w:bCs/>
          <w:sz w:val="22"/>
          <w:szCs w:val="22"/>
        </w:rPr>
        <w:t>GeoA</w:t>
      </w:r>
      <w:proofErr w:type="spellEnd"/>
      <w:r w:rsidRPr="00FB7EEE">
        <w:rPr>
          <w:b/>
          <w:bCs/>
          <w:sz w:val="22"/>
          <w:szCs w:val="22"/>
        </w:rPr>
        <w:t xml:space="preserve"> proteins encoded by </w:t>
      </w:r>
      <w:r w:rsidRPr="00FB7EEE">
        <w:rPr>
          <w:b/>
          <w:bCs/>
          <w:i/>
          <w:iCs/>
          <w:sz w:val="22"/>
          <w:szCs w:val="22"/>
        </w:rPr>
        <w:t xml:space="preserve">M. xanthus </w:t>
      </w:r>
      <w:r w:rsidRPr="00FB7EEE">
        <w:rPr>
          <w:b/>
          <w:bCs/>
          <w:sz w:val="22"/>
          <w:szCs w:val="22"/>
        </w:rPr>
        <w:t>(</w:t>
      </w:r>
      <w:proofErr w:type="spellStart"/>
      <w:r w:rsidRPr="00FB7EEE">
        <w:rPr>
          <w:b/>
          <w:bCs/>
          <w:sz w:val="22"/>
          <w:szCs w:val="22"/>
        </w:rPr>
        <w:t>MxGeoA</w:t>
      </w:r>
      <w:proofErr w:type="spellEnd"/>
      <w:r w:rsidRPr="00FB7EEE">
        <w:rPr>
          <w:b/>
          <w:bCs/>
          <w:sz w:val="22"/>
          <w:szCs w:val="22"/>
        </w:rPr>
        <w:t>)</w:t>
      </w:r>
      <w:r w:rsidRPr="00FB7EEE">
        <w:rPr>
          <w:b/>
          <w:bCs/>
          <w:i/>
          <w:iCs/>
          <w:sz w:val="22"/>
          <w:szCs w:val="22"/>
        </w:rPr>
        <w:t xml:space="preserve"> </w:t>
      </w:r>
      <w:r w:rsidRPr="00FB7EEE">
        <w:rPr>
          <w:b/>
          <w:bCs/>
          <w:sz w:val="22"/>
          <w:szCs w:val="22"/>
        </w:rPr>
        <w:t xml:space="preserve">and </w:t>
      </w:r>
      <w:r w:rsidRPr="00FB7EEE">
        <w:rPr>
          <w:b/>
          <w:bCs/>
          <w:i/>
          <w:iCs/>
          <w:sz w:val="22"/>
          <w:szCs w:val="22"/>
        </w:rPr>
        <w:t xml:space="preserve">S. coelicolor </w:t>
      </w:r>
      <w:r w:rsidRPr="00FB7EEE">
        <w:rPr>
          <w:b/>
          <w:bCs/>
          <w:sz w:val="22"/>
          <w:szCs w:val="22"/>
        </w:rPr>
        <w:t>(</w:t>
      </w:r>
      <w:proofErr w:type="spellStart"/>
      <w:r w:rsidRPr="00FB7EEE">
        <w:rPr>
          <w:b/>
          <w:bCs/>
          <w:sz w:val="22"/>
          <w:szCs w:val="22"/>
        </w:rPr>
        <w:t>ScoGeoA</w:t>
      </w:r>
      <w:proofErr w:type="spellEnd"/>
      <w:r w:rsidRPr="00FB7EEE">
        <w:rPr>
          <w:b/>
          <w:bCs/>
          <w:sz w:val="22"/>
          <w:szCs w:val="22"/>
        </w:rPr>
        <w:t>).</w:t>
      </w:r>
      <w:r w:rsidRPr="0026778E">
        <w:rPr>
          <w:sz w:val="22"/>
          <w:szCs w:val="22"/>
        </w:rPr>
        <w:t xml:space="preserve"> (A) Pairwise sequence alignment of </w:t>
      </w:r>
      <w:proofErr w:type="spellStart"/>
      <w:r w:rsidRPr="0026778E">
        <w:rPr>
          <w:sz w:val="22"/>
          <w:szCs w:val="22"/>
        </w:rPr>
        <w:t>MxGeoA</w:t>
      </w:r>
      <w:proofErr w:type="spellEnd"/>
      <w:r w:rsidRPr="0026778E">
        <w:rPr>
          <w:sz w:val="22"/>
          <w:szCs w:val="22"/>
        </w:rPr>
        <w:t xml:space="preserve"> (top) and </w:t>
      </w:r>
      <w:proofErr w:type="spellStart"/>
      <w:r w:rsidRPr="0026778E">
        <w:rPr>
          <w:sz w:val="22"/>
          <w:szCs w:val="22"/>
        </w:rPr>
        <w:t>ScoGeoA</w:t>
      </w:r>
      <w:proofErr w:type="spellEnd"/>
      <w:r w:rsidRPr="0026778E">
        <w:rPr>
          <w:sz w:val="22"/>
          <w:szCs w:val="22"/>
        </w:rPr>
        <w:t xml:space="preserve"> (bottom). The sequences showed 55.5% identity and 70.1% sequence similarity. (B) Alignments of AlphaFold predicted structures for </w:t>
      </w:r>
      <w:proofErr w:type="spellStart"/>
      <w:r w:rsidRPr="0026778E">
        <w:rPr>
          <w:sz w:val="22"/>
          <w:szCs w:val="22"/>
        </w:rPr>
        <w:t>MxGeoA</w:t>
      </w:r>
      <w:proofErr w:type="spellEnd"/>
      <w:r w:rsidRPr="0026778E">
        <w:rPr>
          <w:sz w:val="22"/>
          <w:szCs w:val="22"/>
        </w:rPr>
        <w:t xml:space="preserve"> (green) and </w:t>
      </w:r>
      <w:proofErr w:type="spellStart"/>
      <w:r w:rsidRPr="0026778E">
        <w:rPr>
          <w:sz w:val="22"/>
          <w:szCs w:val="22"/>
        </w:rPr>
        <w:t>ScoGeoA</w:t>
      </w:r>
      <w:proofErr w:type="spellEnd"/>
      <w:r w:rsidRPr="0026778E">
        <w:rPr>
          <w:sz w:val="22"/>
          <w:szCs w:val="22"/>
        </w:rPr>
        <w:t xml:space="preserve"> (brown). Minor structural differences were only observed at the N- and C- termini of the two proteins.</w:t>
      </w:r>
    </w:p>
    <w:p w14:paraId="57629552" w14:textId="77777777" w:rsidR="005C184D" w:rsidRDefault="005C184D"/>
    <w:p w14:paraId="3F28576B" w14:textId="77777777" w:rsidR="005C184D" w:rsidRDefault="005C184D"/>
    <w:p w14:paraId="611A6759" w14:textId="7C074D2B" w:rsidR="005119CB" w:rsidRDefault="00525529">
      <w:r>
        <w:rPr>
          <w:noProof/>
        </w:rPr>
        <w:lastRenderedPageBreak/>
        <w:drawing>
          <wp:inline distT="0" distB="0" distL="0" distR="0" wp14:anchorId="63AEB245" wp14:editId="6B3002F9">
            <wp:extent cx="5943600" cy="6690995"/>
            <wp:effectExtent l="0" t="0" r="0" b="1905"/>
            <wp:docPr id="1338460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60500" name="Picture 13384605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690995"/>
                    </a:xfrm>
                    <a:prstGeom prst="rect">
                      <a:avLst/>
                    </a:prstGeom>
                  </pic:spPr>
                </pic:pic>
              </a:graphicData>
            </a:graphic>
          </wp:inline>
        </w:drawing>
      </w:r>
    </w:p>
    <w:p w14:paraId="0728D2D5" w14:textId="4EEB72B0" w:rsidR="00EA7A5B" w:rsidRPr="0026778E" w:rsidRDefault="00EA7A5B" w:rsidP="004568E3">
      <w:pPr>
        <w:jc w:val="both"/>
        <w:rPr>
          <w:sz w:val="22"/>
          <w:szCs w:val="22"/>
        </w:rPr>
      </w:pPr>
      <w:bookmarkStart w:id="5" w:name="_Toc235467997"/>
      <w:r w:rsidRPr="005D2C85">
        <w:rPr>
          <w:rStyle w:val="Heading2Char"/>
          <w:rFonts w:asciiTheme="minorHAnsi" w:hAnsiTheme="minorHAnsi"/>
          <w:b/>
          <w:bCs/>
          <w:color w:val="000000" w:themeColor="text1"/>
          <w:sz w:val="22"/>
          <w:szCs w:val="22"/>
        </w:rPr>
        <w:t>Supplementary Fig. 4</w:t>
      </w:r>
      <w:bookmarkEnd w:id="5"/>
      <w:r w:rsidRPr="00FB7EEE">
        <w:rPr>
          <w:b/>
          <w:bCs/>
          <w:sz w:val="22"/>
          <w:szCs w:val="22"/>
        </w:rPr>
        <w:t>. Cryo-EM workflow for MxEnc1_GeoA.</w:t>
      </w:r>
      <w:r w:rsidRPr="0026778E">
        <w:rPr>
          <w:sz w:val="22"/>
          <w:szCs w:val="22"/>
        </w:rPr>
        <w:t xml:space="preserve"> (A) Representative micrograph for MxEnc1_GeoA. (B) Representative 2D-classes for MxEnc1_GeoA. (C) Overall cryo-EM data collection and analysis workflow carried out for MxEnc1_GeoA.</w:t>
      </w:r>
    </w:p>
    <w:p w14:paraId="51C632F1" w14:textId="77777777" w:rsidR="00EA7A5B" w:rsidRDefault="00EA7A5B"/>
    <w:p w14:paraId="05F6A095" w14:textId="3B9D3A44" w:rsidR="00525529" w:rsidRDefault="00525529">
      <w:r>
        <w:rPr>
          <w:noProof/>
        </w:rPr>
        <w:lastRenderedPageBreak/>
        <w:drawing>
          <wp:inline distT="0" distB="0" distL="0" distR="0" wp14:anchorId="6213B993" wp14:editId="5C6D0088">
            <wp:extent cx="4876212" cy="7766462"/>
            <wp:effectExtent l="0" t="0" r="635" b="6350"/>
            <wp:docPr id="1461905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05132" name="Picture 14619051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76212" cy="7766462"/>
                    </a:xfrm>
                    <a:prstGeom prst="rect">
                      <a:avLst/>
                    </a:prstGeom>
                  </pic:spPr>
                </pic:pic>
              </a:graphicData>
            </a:graphic>
          </wp:inline>
        </w:drawing>
      </w:r>
    </w:p>
    <w:p w14:paraId="3DBE9E34" w14:textId="723DAB20" w:rsidR="004568E3" w:rsidRPr="0026778E" w:rsidRDefault="004568E3" w:rsidP="004568E3">
      <w:pPr>
        <w:jc w:val="both"/>
        <w:rPr>
          <w:sz w:val="22"/>
          <w:szCs w:val="22"/>
        </w:rPr>
      </w:pPr>
      <w:bookmarkStart w:id="6" w:name="_Toc235467998"/>
      <w:r w:rsidRPr="005D2C85">
        <w:rPr>
          <w:rStyle w:val="Heading2Char"/>
          <w:rFonts w:asciiTheme="minorHAnsi" w:hAnsiTheme="minorHAnsi"/>
          <w:b/>
          <w:bCs/>
          <w:color w:val="000000" w:themeColor="text1"/>
          <w:sz w:val="22"/>
          <w:szCs w:val="22"/>
        </w:rPr>
        <w:lastRenderedPageBreak/>
        <w:t>Supplementary Fig. 5</w:t>
      </w:r>
      <w:bookmarkEnd w:id="6"/>
      <w:r w:rsidRPr="00FB7EEE">
        <w:rPr>
          <w:b/>
          <w:bCs/>
          <w:sz w:val="22"/>
          <w:szCs w:val="22"/>
        </w:rPr>
        <w:t>. Cryo-EM workflow for MxEnc1</w:t>
      </w:r>
      <w:r w:rsidR="00DB6224">
        <w:rPr>
          <w:b/>
          <w:bCs/>
          <w:sz w:val="22"/>
          <w:szCs w:val="22"/>
        </w:rPr>
        <w:t>-His-Mx</w:t>
      </w:r>
      <w:r w:rsidRPr="00FB7EEE">
        <w:rPr>
          <w:b/>
          <w:bCs/>
          <w:sz w:val="22"/>
          <w:szCs w:val="22"/>
        </w:rPr>
        <w:t>Enc2_GeoA.</w:t>
      </w:r>
      <w:r w:rsidRPr="0026778E">
        <w:rPr>
          <w:sz w:val="22"/>
          <w:szCs w:val="22"/>
        </w:rPr>
        <w:t xml:space="preserve"> (A) Representative micrograph for MxEnc</w:t>
      </w:r>
      <w:r w:rsidR="00DB6224">
        <w:rPr>
          <w:sz w:val="22"/>
          <w:szCs w:val="22"/>
        </w:rPr>
        <w:t>1-His-Mx</w:t>
      </w:r>
      <w:r w:rsidRPr="0026778E">
        <w:rPr>
          <w:sz w:val="22"/>
          <w:szCs w:val="22"/>
        </w:rPr>
        <w:t>Enc2_GeoA. (B) Representative 2D-classes. (C) Overall cryo-EM data collection and analysis workflow carried out for MxEnc1</w:t>
      </w:r>
      <w:r w:rsidR="00DB6224">
        <w:rPr>
          <w:sz w:val="22"/>
          <w:szCs w:val="22"/>
        </w:rPr>
        <w:t>-His-Mx</w:t>
      </w:r>
      <w:r w:rsidRPr="0026778E">
        <w:rPr>
          <w:sz w:val="22"/>
          <w:szCs w:val="22"/>
        </w:rPr>
        <w:t>Enc2_GeoA.</w:t>
      </w:r>
    </w:p>
    <w:p w14:paraId="70D86BE2" w14:textId="39AFB058" w:rsidR="004568E3" w:rsidRDefault="0026778E">
      <w:r>
        <w:br w:type="page"/>
      </w:r>
    </w:p>
    <w:p w14:paraId="2453C474" w14:textId="1C7F9BE3" w:rsidR="00525529" w:rsidRDefault="00525529">
      <w:r>
        <w:rPr>
          <w:noProof/>
        </w:rPr>
        <w:lastRenderedPageBreak/>
        <w:drawing>
          <wp:inline distT="0" distB="0" distL="0" distR="0" wp14:anchorId="668C0B6F" wp14:editId="303EB5C3">
            <wp:extent cx="5867400" cy="3263900"/>
            <wp:effectExtent l="0" t="0" r="0" b="0"/>
            <wp:docPr id="19325839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83912" name="Picture 19325839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67400" cy="3263900"/>
                    </a:xfrm>
                    <a:prstGeom prst="rect">
                      <a:avLst/>
                    </a:prstGeom>
                  </pic:spPr>
                </pic:pic>
              </a:graphicData>
            </a:graphic>
          </wp:inline>
        </w:drawing>
      </w:r>
    </w:p>
    <w:p w14:paraId="5FFC4766" w14:textId="6CDF7719" w:rsidR="0026778E" w:rsidRPr="0026778E" w:rsidRDefault="0026778E" w:rsidP="0026778E">
      <w:pPr>
        <w:jc w:val="both"/>
        <w:rPr>
          <w:sz w:val="22"/>
          <w:szCs w:val="22"/>
        </w:rPr>
      </w:pPr>
      <w:bookmarkStart w:id="7" w:name="_Toc235467999"/>
      <w:r w:rsidRPr="005D2C85">
        <w:rPr>
          <w:rStyle w:val="Heading2Char"/>
          <w:rFonts w:asciiTheme="minorHAnsi" w:hAnsiTheme="minorHAnsi"/>
          <w:b/>
          <w:bCs/>
          <w:color w:val="000000" w:themeColor="text1"/>
          <w:sz w:val="22"/>
          <w:szCs w:val="22"/>
        </w:rPr>
        <w:t>Supplementary Fig. 6</w:t>
      </w:r>
      <w:bookmarkEnd w:id="7"/>
      <w:r w:rsidRPr="00FB7EEE">
        <w:rPr>
          <w:b/>
          <w:bCs/>
          <w:sz w:val="22"/>
          <w:szCs w:val="22"/>
        </w:rPr>
        <w:t>. Structural overview of the three p</w:t>
      </w:r>
      <w:r w:rsidR="006E038F">
        <w:rPr>
          <w:b/>
          <w:bCs/>
          <w:sz w:val="22"/>
          <w:szCs w:val="22"/>
        </w:rPr>
        <w:t>o</w:t>
      </w:r>
      <w:r w:rsidRPr="00FB7EEE">
        <w:rPr>
          <w:b/>
          <w:bCs/>
          <w:sz w:val="22"/>
          <w:szCs w:val="22"/>
        </w:rPr>
        <w:t xml:space="preserve">re types observed in </w:t>
      </w:r>
      <w:proofErr w:type="spellStart"/>
      <w:r w:rsidRPr="00FB7EEE">
        <w:rPr>
          <w:b/>
          <w:bCs/>
          <w:sz w:val="22"/>
          <w:szCs w:val="22"/>
        </w:rPr>
        <w:t>MxEnc</w:t>
      </w:r>
      <w:proofErr w:type="spellEnd"/>
      <w:r w:rsidRPr="00FB7EEE">
        <w:rPr>
          <w:b/>
          <w:bCs/>
          <w:sz w:val="22"/>
          <w:szCs w:val="22"/>
        </w:rPr>
        <w:t xml:space="preserve"> encapsulin shells.</w:t>
      </w:r>
      <w:r>
        <w:rPr>
          <w:sz w:val="22"/>
          <w:szCs w:val="22"/>
        </w:rPr>
        <w:t xml:space="preserve"> (Left) View over the five-fold pore of MxEnc</w:t>
      </w:r>
      <w:r w:rsidR="006E038F">
        <w:rPr>
          <w:sz w:val="22"/>
          <w:szCs w:val="22"/>
        </w:rPr>
        <w:t>1</w:t>
      </w:r>
      <w:r>
        <w:rPr>
          <w:sz w:val="22"/>
          <w:szCs w:val="22"/>
        </w:rPr>
        <w:t xml:space="preserve"> shells, colored by charge distribution. The computed size of the pore at its widest is 6</w:t>
      </w:r>
      <w:r w:rsidRPr="0026778E">
        <w:t xml:space="preserve"> </w:t>
      </w:r>
      <w:r w:rsidRPr="0026778E">
        <w:rPr>
          <w:sz w:val="22"/>
          <w:szCs w:val="22"/>
        </w:rPr>
        <w:t>Å</w:t>
      </w:r>
      <w:r>
        <w:rPr>
          <w:sz w:val="22"/>
          <w:szCs w:val="22"/>
        </w:rPr>
        <w:t>. (Center) View over the three-fold pore of MxEnc</w:t>
      </w:r>
      <w:r w:rsidR="006E038F">
        <w:rPr>
          <w:sz w:val="22"/>
          <w:szCs w:val="22"/>
        </w:rPr>
        <w:t>1</w:t>
      </w:r>
      <w:r>
        <w:rPr>
          <w:sz w:val="22"/>
          <w:szCs w:val="22"/>
        </w:rPr>
        <w:t xml:space="preserve"> shells, colored by charge distribution. The computed size of the pore at its widest is 5</w:t>
      </w:r>
      <w:r w:rsidRPr="0026778E">
        <w:t xml:space="preserve"> </w:t>
      </w:r>
      <w:r w:rsidRPr="0026778E">
        <w:rPr>
          <w:sz w:val="22"/>
          <w:szCs w:val="22"/>
        </w:rPr>
        <w:t>Å</w:t>
      </w:r>
      <w:r>
        <w:rPr>
          <w:sz w:val="22"/>
          <w:szCs w:val="22"/>
        </w:rPr>
        <w:t>. (Right) View over the two-fold pore of MxEnc</w:t>
      </w:r>
      <w:r w:rsidR="006E038F">
        <w:rPr>
          <w:sz w:val="22"/>
          <w:szCs w:val="22"/>
        </w:rPr>
        <w:t>1</w:t>
      </w:r>
      <w:r>
        <w:rPr>
          <w:sz w:val="22"/>
          <w:szCs w:val="22"/>
        </w:rPr>
        <w:t xml:space="preserve"> shells, colored by charge distribution. The external CBDs have been removed </w:t>
      </w:r>
      <w:r w:rsidR="006E038F">
        <w:rPr>
          <w:sz w:val="22"/>
          <w:szCs w:val="22"/>
        </w:rPr>
        <w:t xml:space="preserve">for visual clarity, </w:t>
      </w:r>
      <w:r>
        <w:rPr>
          <w:sz w:val="22"/>
          <w:szCs w:val="22"/>
        </w:rPr>
        <w:t>and the</w:t>
      </w:r>
      <w:r w:rsidR="006E038F">
        <w:rPr>
          <w:sz w:val="22"/>
          <w:szCs w:val="22"/>
        </w:rPr>
        <w:t>ir</w:t>
      </w:r>
      <w:r>
        <w:rPr>
          <w:sz w:val="22"/>
          <w:szCs w:val="22"/>
        </w:rPr>
        <w:t xml:space="preserve"> outline is indicated above the pore</w:t>
      </w:r>
      <w:r w:rsidR="006E038F">
        <w:rPr>
          <w:sz w:val="22"/>
          <w:szCs w:val="22"/>
        </w:rPr>
        <w:t>.</w:t>
      </w:r>
      <w:r>
        <w:rPr>
          <w:sz w:val="22"/>
          <w:szCs w:val="22"/>
        </w:rPr>
        <w:t xml:space="preserve"> The computed size of the pore at its widest is </w:t>
      </w:r>
      <w:r w:rsidR="006E038F">
        <w:rPr>
          <w:sz w:val="22"/>
          <w:szCs w:val="22"/>
        </w:rPr>
        <w:t xml:space="preserve">ca. </w:t>
      </w:r>
      <w:r>
        <w:rPr>
          <w:sz w:val="22"/>
          <w:szCs w:val="22"/>
        </w:rPr>
        <w:t>20</w:t>
      </w:r>
      <w:r w:rsidRPr="0026778E">
        <w:t xml:space="preserve"> </w:t>
      </w:r>
      <w:r w:rsidRPr="0026778E">
        <w:rPr>
          <w:sz w:val="22"/>
          <w:szCs w:val="22"/>
        </w:rPr>
        <w:t>Å</w:t>
      </w:r>
      <w:r>
        <w:rPr>
          <w:sz w:val="22"/>
          <w:szCs w:val="22"/>
        </w:rPr>
        <w:t xml:space="preserve">, with the longitudinal size measured as </w:t>
      </w:r>
      <w:r w:rsidR="006E038F">
        <w:rPr>
          <w:sz w:val="22"/>
          <w:szCs w:val="22"/>
        </w:rPr>
        <w:t xml:space="preserve">ca. </w:t>
      </w:r>
      <w:r>
        <w:rPr>
          <w:sz w:val="22"/>
          <w:szCs w:val="22"/>
        </w:rPr>
        <w:t xml:space="preserve">60 </w:t>
      </w:r>
      <w:r w:rsidRPr="0026778E">
        <w:rPr>
          <w:sz w:val="22"/>
          <w:szCs w:val="22"/>
        </w:rPr>
        <w:t>Å</w:t>
      </w:r>
      <w:r>
        <w:rPr>
          <w:sz w:val="22"/>
          <w:szCs w:val="22"/>
        </w:rPr>
        <w:t>.</w:t>
      </w:r>
    </w:p>
    <w:p w14:paraId="3C2DEB1C" w14:textId="77777777" w:rsidR="0026778E" w:rsidRDefault="0026778E"/>
    <w:p w14:paraId="70A7C562" w14:textId="77777777" w:rsidR="0026778E" w:rsidRDefault="0026778E"/>
    <w:p w14:paraId="5AE63603" w14:textId="77777777" w:rsidR="0026778E" w:rsidRDefault="0026778E"/>
    <w:p w14:paraId="75358F0C" w14:textId="3738AB0C" w:rsidR="00525529" w:rsidRDefault="00525529">
      <w:r>
        <w:br w:type="page"/>
      </w:r>
      <w:r>
        <w:rPr>
          <w:noProof/>
        </w:rPr>
        <w:lastRenderedPageBreak/>
        <w:drawing>
          <wp:inline distT="0" distB="0" distL="0" distR="0" wp14:anchorId="1F4E619A" wp14:editId="08D87A5E">
            <wp:extent cx="5943600" cy="3989705"/>
            <wp:effectExtent l="0" t="0" r="0" b="0"/>
            <wp:docPr id="7196121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12133" name="Picture 71961213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89705"/>
                    </a:xfrm>
                    <a:prstGeom prst="rect">
                      <a:avLst/>
                    </a:prstGeom>
                  </pic:spPr>
                </pic:pic>
              </a:graphicData>
            </a:graphic>
          </wp:inline>
        </w:drawing>
      </w:r>
    </w:p>
    <w:p w14:paraId="6EDB8E43" w14:textId="01A00F14" w:rsidR="006B0A4E" w:rsidRPr="00375EE8" w:rsidRDefault="006B0A4E" w:rsidP="00375EE8">
      <w:pPr>
        <w:jc w:val="both"/>
        <w:rPr>
          <w:sz w:val="22"/>
          <w:szCs w:val="22"/>
        </w:rPr>
      </w:pPr>
      <w:bookmarkStart w:id="8" w:name="_Toc235468000"/>
      <w:r w:rsidRPr="005D2C85">
        <w:rPr>
          <w:rStyle w:val="Heading2Char"/>
          <w:rFonts w:asciiTheme="minorHAnsi" w:hAnsiTheme="minorHAnsi"/>
          <w:b/>
          <w:bCs/>
          <w:color w:val="000000" w:themeColor="text1"/>
          <w:sz w:val="22"/>
          <w:szCs w:val="22"/>
        </w:rPr>
        <w:t>Supplementary Fig. 7</w:t>
      </w:r>
      <w:bookmarkEnd w:id="8"/>
      <w:r w:rsidRPr="00FB7EEE">
        <w:rPr>
          <w:b/>
          <w:bCs/>
          <w:sz w:val="22"/>
          <w:szCs w:val="22"/>
        </w:rPr>
        <w:t xml:space="preserve">. </w:t>
      </w:r>
      <w:r w:rsidR="00375EE8" w:rsidRPr="00FB7EEE">
        <w:rPr>
          <w:b/>
          <w:bCs/>
          <w:sz w:val="22"/>
          <w:szCs w:val="22"/>
        </w:rPr>
        <w:t xml:space="preserve">Computed sequence logo for the complete </w:t>
      </w:r>
      <w:proofErr w:type="spellStart"/>
      <w:r w:rsidR="00375EE8" w:rsidRPr="00FB7EEE">
        <w:rPr>
          <w:b/>
          <w:bCs/>
          <w:sz w:val="22"/>
          <w:szCs w:val="22"/>
        </w:rPr>
        <w:t>MxGeoA</w:t>
      </w:r>
      <w:proofErr w:type="spellEnd"/>
      <w:r w:rsidR="00375EE8" w:rsidRPr="00FB7EEE">
        <w:rPr>
          <w:b/>
          <w:bCs/>
          <w:sz w:val="22"/>
          <w:szCs w:val="22"/>
        </w:rPr>
        <w:t xml:space="preserve"> protein.</w:t>
      </w:r>
      <w:r w:rsidR="00375EE8" w:rsidRPr="00375EE8">
        <w:rPr>
          <w:sz w:val="22"/>
          <w:szCs w:val="22"/>
        </w:rPr>
        <w:t xml:space="preserve"> The approximate N-terminal domain is shown on the left and the C-terminal domain on the right.</w:t>
      </w:r>
      <w:r w:rsidR="00375EE8">
        <w:rPr>
          <w:sz w:val="22"/>
          <w:szCs w:val="22"/>
        </w:rPr>
        <w:t xml:space="preserve"> Residues in every position are colored by the nature of the amino acid (blue – hydrophilic, black – hydrophobic, green – neutral).</w:t>
      </w:r>
    </w:p>
    <w:p w14:paraId="7285429E" w14:textId="77777777" w:rsidR="006B0A4E" w:rsidRDefault="006B0A4E"/>
    <w:p w14:paraId="18E9F7CA" w14:textId="7D59ADE4" w:rsidR="006B0A4E" w:rsidRDefault="00525529">
      <w:r>
        <w:br w:type="page"/>
      </w:r>
    </w:p>
    <w:p w14:paraId="14678258" w14:textId="10F81929" w:rsidR="00525529" w:rsidRDefault="00525529">
      <w:r>
        <w:rPr>
          <w:noProof/>
        </w:rPr>
        <w:lastRenderedPageBreak/>
        <w:drawing>
          <wp:inline distT="0" distB="0" distL="0" distR="0" wp14:anchorId="1EFFE53C" wp14:editId="381E98CB">
            <wp:extent cx="5943600" cy="4288790"/>
            <wp:effectExtent l="0" t="0" r="0" b="3810"/>
            <wp:docPr id="604381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81071" name="Picture 60438107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288790"/>
                    </a:xfrm>
                    <a:prstGeom prst="rect">
                      <a:avLst/>
                    </a:prstGeom>
                  </pic:spPr>
                </pic:pic>
              </a:graphicData>
            </a:graphic>
          </wp:inline>
        </w:drawing>
      </w:r>
    </w:p>
    <w:p w14:paraId="6A752E83" w14:textId="68B29243" w:rsidR="006E3A42" w:rsidRPr="006E3A42" w:rsidRDefault="006E3A42" w:rsidP="006E3A42">
      <w:pPr>
        <w:jc w:val="both"/>
        <w:rPr>
          <w:sz w:val="22"/>
          <w:szCs w:val="22"/>
        </w:rPr>
      </w:pPr>
      <w:bookmarkStart w:id="9" w:name="_Toc235468001"/>
      <w:r w:rsidRPr="005D2C85">
        <w:rPr>
          <w:rStyle w:val="Heading2Char"/>
          <w:rFonts w:asciiTheme="minorHAnsi" w:hAnsiTheme="minorHAnsi"/>
          <w:b/>
          <w:bCs/>
          <w:color w:val="000000" w:themeColor="text1"/>
          <w:sz w:val="22"/>
          <w:szCs w:val="22"/>
        </w:rPr>
        <w:t>Supplementary Fig. 8</w:t>
      </w:r>
      <w:bookmarkEnd w:id="9"/>
      <w:r w:rsidRPr="00FB7EEE">
        <w:rPr>
          <w:b/>
          <w:bCs/>
          <w:sz w:val="22"/>
          <w:szCs w:val="22"/>
        </w:rPr>
        <w:t xml:space="preserve">. </w:t>
      </w:r>
      <w:proofErr w:type="spellStart"/>
      <w:r w:rsidRPr="00FB7EEE">
        <w:rPr>
          <w:b/>
          <w:bCs/>
          <w:sz w:val="22"/>
          <w:szCs w:val="22"/>
        </w:rPr>
        <w:t>MxGeoA</w:t>
      </w:r>
      <w:proofErr w:type="spellEnd"/>
      <w:r w:rsidRPr="00FB7EEE">
        <w:rPr>
          <w:b/>
          <w:bCs/>
          <w:sz w:val="22"/>
          <w:szCs w:val="22"/>
        </w:rPr>
        <w:t xml:space="preserve"> sequence conservation.</w:t>
      </w:r>
      <w:r>
        <w:rPr>
          <w:sz w:val="22"/>
          <w:szCs w:val="22"/>
        </w:rPr>
        <w:t xml:space="preserve"> </w:t>
      </w:r>
      <w:r w:rsidRPr="006E3A42">
        <w:rPr>
          <w:sz w:val="22"/>
          <w:szCs w:val="22"/>
        </w:rPr>
        <w:t xml:space="preserve">The sequence of </w:t>
      </w:r>
      <w:proofErr w:type="spellStart"/>
      <w:r w:rsidR="00733766">
        <w:rPr>
          <w:sz w:val="22"/>
          <w:szCs w:val="22"/>
        </w:rPr>
        <w:t>GeoA</w:t>
      </w:r>
      <w:proofErr w:type="spellEnd"/>
      <w:r w:rsidRPr="006E3A42">
        <w:rPr>
          <w:sz w:val="22"/>
          <w:szCs w:val="22"/>
        </w:rPr>
        <w:t xml:space="preserve"> colored by the sequence conservation as computed by ConSurf analysis of</w:t>
      </w:r>
      <w:r>
        <w:rPr>
          <w:sz w:val="22"/>
          <w:szCs w:val="22"/>
        </w:rPr>
        <w:t xml:space="preserve"> 1538 </w:t>
      </w:r>
      <w:proofErr w:type="spellStart"/>
      <w:r>
        <w:rPr>
          <w:sz w:val="22"/>
          <w:szCs w:val="22"/>
        </w:rPr>
        <w:t>GeoA</w:t>
      </w:r>
      <w:proofErr w:type="spellEnd"/>
      <w:r>
        <w:rPr>
          <w:sz w:val="22"/>
          <w:szCs w:val="22"/>
        </w:rPr>
        <w:t xml:space="preserve"> homologs</w:t>
      </w:r>
      <w:r w:rsidRPr="006E3A42">
        <w:rPr>
          <w:sz w:val="22"/>
          <w:szCs w:val="22"/>
        </w:rPr>
        <w:t xml:space="preserve">. </w:t>
      </w:r>
      <w:r>
        <w:rPr>
          <w:sz w:val="22"/>
          <w:szCs w:val="22"/>
        </w:rPr>
        <w:t>Residues are colored and annotated according to the legend on the right.</w:t>
      </w:r>
    </w:p>
    <w:p w14:paraId="35426231" w14:textId="77777777" w:rsidR="006E3A42" w:rsidRDefault="006E3A42"/>
    <w:p w14:paraId="72634ADA" w14:textId="6A2F38AF" w:rsidR="00525529" w:rsidRDefault="00525529">
      <w:r>
        <w:br w:type="page"/>
      </w:r>
    </w:p>
    <w:p w14:paraId="309E8377" w14:textId="56D27ED2" w:rsidR="00525529" w:rsidRDefault="00862C6C">
      <w:r>
        <w:rPr>
          <w:noProof/>
        </w:rPr>
        <w:lastRenderedPageBreak/>
        <w:drawing>
          <wp:inline distT="0" distB="0" distL="0" distR="0" wp14:anchorId="64581787" wp14:editId="5EEC2C9F">
            <wp:extent cx="5943600" cy="5661025"/>
            <wp:effectExtent l="0" t="0" r="0" b="3175"/>
            <wp:docPr id="11722840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84042" name="Picture 11722840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661025"/>
                    </a:xfrm>
                    <a:prstGeom prst="rect">
                      <a:avLst/>
                    </a:prstGeom>
                  </pic:spPr>
                </pic:pic>
              </a:graphicData>
            </a:graphic>
          </wp:inline>
        </w:drawing>
      </w:r>
    </w:p>
    <w:p w14:paraId="27B40844" w14:textId="00A1FD23" w:rsidR="008242AE" w:rsidRPr="008242AE" w:rsidRDefault="008242AE" w:rsidP="008242AE">
      <w:pPr>
        <w:jc w:val="both"/>
        <w:rPr>
          <w:sz w:val="22"/>
          <w:szCs w:val="22"/>
        </w:rPr>
      </w:pPr>
      <w:bookmarkStart w:id="10" w:name="_Toc235468002"/>
      <w:r w:rsidRPr="005D2C85">
        <w:rPr>
          <w:rStyle w:val="Heading2Char"/>
          <w:rFonts w:asciiTheme="minorHAnsi" w:hAnsiTheme="minorHAnsi"/>
          <w:b/>
          <w:bCs/>
          <w:color w:val="000000" w:themeColor="text1"/>
          <w:sz w:val="22"/>
          <w:szCs w:val="22"/>
        </w:rPr>
        <w:t xml:space="preserve">Supplementary Fig. </w:t>
      </w:r>
      <w:r w:rsidR="00BC24EA" w:rsidRPr="005D2C85">
        <w:rPr>
          <w:rStyle w:val="Heading2Char"/>
          <w:rFonts w:asciiTheme="minorHAnsi" w:hAnsiTheme="minorHAnsi"/>
          <w:b/>
          <w:bCs/>
          <w:color w:val="000000" w:themeColor="text1"/>
          <w:sz w:val="22"/>
          <w:szCs w:val="22"/>
        </w:rPr>
        <w:t>9</w:t>
      </w:r>
      <w:bookmarkEnd w:id="10"/>
      <w:r w:rsidRPr="00FB7EEE">
        <w:rPr>
          <w:b/>
          <w:bCs/>
          <w:sz w:val="22"/>
          <w:szCs w:val="22"/>
        </w:rPr>
        <w:t xml:space="preserve">. Catalytic analysis of free and encapsulated </w:t>
      </w:r>
      <w:proofErr w:type="spellStart"/>
      <w:r w:rsidRPr="00FB7EEE">
        <w:rPr>
          <w:b/>
          <w:bCs/>
          <w:sz w:val="22"/>
          <w:szCs w:val="22"/>
        </w:rPr>
        <w:t>GeoA</w:t>
      </w:r>
      <w:proofErr w:type="spellEnd"/>
      <w:r>
        <w:rPr>
          <w:sz w:val="22"/>
          <w:szCs w:val="22"/>
        </w:rPr>
        <w:t xml:space="preserve">. (A) Mechanistic overview of the </w:t>
      </w:r>
      <w:proofErr w:type="spellStart"/>
      <w:r>
        <w:rPr>
          <w:sz w:val="22"/>
          <w:szCs w:val="22"/>
        </w:rPr>
        <w:t>EnzChek</w:t>
      </w:r>
      <w:proofErr w:type="spellEnd"/>
      <w:r>
        <w:rPr>
          <w:sz w:val="22"/>
          <w:szCs w:val="22"/>
        </w:rPr>
        <w:t xml:space="preserve"> assay used to track catalytic activity of both free and encapsulated </w:t>
      </w:r>
      <w:proofErr w:type="spellStart"/>
      <w:r>
        <w:rPr>
          <w:sz w:val="22"/>
          <w:szCs w:val="22"/>
        </w:rPr>
        <w:t>GeoA</w:t>
      </w:r>
      <w:proofErr w:type="spellEnd"/>
      <w:r>
        <w:rPr>
          <w:sz w:val="22"/>
          <w:szCs w:val="22"/>
        </w:rPr>
        <w:t xml:space="preserve"> enzymes (left). Examples of raw absorbance curves obtained </w:t>
      </w:r>
      <w:r w:rsidR="00293BA5">
        <w:rPr>
          <w:sz w:val="22"/>
          <w:szCs w:val="22"/>
        </w:rPr>
        <w:t xml:space="preserve">from </w:t>
      </w:r>
      <w:proofErr w:type="spellStart"/>
      <w:r w:rsidR="00293BA5">
        <w:rPr>
          <w:sz w:val="22"/>
          <w:szCs w:val="22"/>
        </w:rPr>
        <w:t>EnzChek</w:t>
      </w:r>
      <w:proofErr w:type="spellEnd"/>
      <w:r w:rsidR="00293BA5">
        <w:rPr>
          <w:sz w:val="22"/>
          <w:szCs w:val="22"/>
        </w:rPr>
        <w:t xml:space="preserve"> assays with encapsulated </w:t>
      </w:r>
      <w:proofErr w:type="spellStart"/>
      <w:r w:rsidR="00293BA5">
        <w:rPr>
          <w:sz w:val="22"/>
          <w:szCs w:val="22"/>
        </w:rPr>
        <w:t>GeoA</w:t>
      </w:r>
      <w:proofErr w:type="spellEnd"/>
      <w:r w:rsidR="00293BA5">
        <w:rPr>
          <w:sz w:val="22"/>
          <w:szCs w:val="22"/>
        </w:rPr>
        <w:t xml:space="preserve"> (green (50 </w:t>
      </w:r>
      <w:r w:rsidR="00293BA5">
        <w:rPr>
          <w:sz w:val="22"/>
          <w:szCs w:val="22"/>
        </w:rPr>
        <w:sym w:font="Symbol" w:char="F06D"/>
      </w:r>
      <w:r w:rsidR="00293BA5">
        <w:rPr>
          <w:sz w:val="22"/>
          <w:szCs w:val="22"/>
        </w:rPr>
        <w:t>M FPP)</w:t>
      </w:r>
      <w:r w:rsidR="00733766">
        <w:rPr>
          <w:sz w:val="22"/>
          <w:szCs w:val="22"/>
        </w:rPr>
        <w:t>,</w:t>
      </w:r>
      <w:r w:rsidR="00293BA5">
        <w:rPr>
          <w:sz w:val="22"/>
          <w:szCs w:val="22"/>
        </w:rPr>
        <w:t xml:space="preserve"> 5 </w:t>
      </w:r>
      <w:r w:rsidR="00293BA5">
        <w:rPr>
          <w:sz w:val="22"/>
          <w:szCs w:val="22"/>
        </w:rPr>
        <w:sym w:font="Symbol" w:char="F06D"/>
      </w:r>
      <w:r w:rsidR="00293BA5">
        <w:rPr>
          <w:sz w:val="22"/>
          <w:szCs w:val="22"/>
        </w:rPr>
        <w:t>M FPP</w:t>
      </w:r>
      <w:r w:rsidR="00733766">
        <w:rPr>
          <w:sz w:val="22"/>
          <w:szCs w:val="22"/>
        </w:rPr>
        <w:t xml:space="preserve"> controls (blue and orange</w:t>
      </w:r>
      <w:r w:rsidR="00293BA5">
        <w:rPr>
          <w:sz w:val="22"/>
          <w:szCs w:val="22"/>
        </w:rPr>
        <w:t>)</w:t>
      </w:r>
      <w:r w:rsidR="00733766">
        <w:rPr>
          <w:sz w:val="22"/>
          <w:szCs w:val="22"/>
        </w:rPr>
        <w:t>,</w:t>
      </w:r>
      <w:r w:rsidR="00293BA5">
        <w:rPr>
          <w:sz w:val="22"/>
          <w:szCs w:val="22"/>
        </w:rPr>
        <w:t xml:space="preserve"> and free </w:t>
      </w:r>
      <w:proofErr w:type="spellStart"/>
      <w:r w:rsidR="00293BA5">
        <w:rPr>
          <w:sz w:val="22"/>
          <w:szCs w:val="22"/>
        </w:rPr>
        <w:t>MxGeoA</w:t>
      </w:r>
      <w:proofErr w:type="spellEnd"/>
      <w:r w:rsidR="00293BA5">
        <w:rPr>
          <w:sz w:val="22"/>
          <w:szCs w:val="22"/>
        </w:rPr>
        <w:t xml:space="preserve"> (purple</w:t>
      </w:r>
      <w:r w:rsidR="00733766">
        <w:rPr>
          <w:sz w:val="22"/>
          <w:szCs w:val="22"/>
        </w:rPr>
        <w:t xml:space="preserve">, </w:t>
      </w:r>
      <w:r w:rsidR="00293BA5">
        <w:rPr>
          <w:sz w:val="22"/>
          <w:szCs w:val="22"/>
        </w:rPr>
        <w:t xml:space="preserve">50 </w:t>
      </w:r>
      <w:r w:rsidR="00293BA5">
        <w:rPr>
          <w:sz w:val="22"/>
          <w:szCs w:val="22"/>
        </w:rPr>
        <w:sym w:font="Symbol" w:char="F06D"/>
      </w:r>
      <w:r w:rsidR="00293BA5">
        <w:rPr>
          <w:sz w:val="22"/>
          <w:szCs w:val="22"/>
        </w:rPr>
        <w:t>M FPP).</w:t>
      </w:r>
      <w:r>
        <w:rPr>
          <w:sz w:val="22"/>
          <w:szCs w:val="22"/>
        </w:rPr>
        <w:t xml:space="preserve"> </w:t>
      </w:r>
      <w:r w:rsidR="00261168">
        <w:rPr>
          <w:sz w:val="22"/>
          <w:szCs w:val="22"/>
        </w:rPr>
        <w:t xml:space="preserve">(B) </w:t>
      </w:r>
      <w:proofErr w:type="spellStart"/>
      <w:r w:rsidR="000E380E">
        <w:rPr>
          <w:sz w:val="22"/>
          <w:szCs w:val="22"/>
        </w:rPr>
        <w:t>Mechansitic</w:t>
      </w:r>
      <w:proofErr w:type="spellEnd"/>
      <w:r w:rsidR="000E380E">
        <w:rPr>
          <w:sz w:val="22"/>
          <w:szCs w:val="22"/>
        </w:rPr>
        <w:t xml:space="preserve"> overview of GCMS assay, used to analyze intermediate and product formation from assays containing substrate FPP and either free or encapsulated </w:t>
      </w:r>
      <w:proofErr w:type="spellStart"/>
      <w:r w:rsidR="000E380E">
        <w:rPr>
          <w:sz w:val="22"/>
          <w:szCs w:val="22"/>
        </w:rPr>
        <w:t>GeoA</w:t>
      </w:r>
      <w:proofErr w:type="spellEnd"/>
      <w:r w:rsidR="00255A1E">
        <w:rPr>
          <w:sz w:val="22"/>
          <w:szCs w:val="22"/>
        </w:rPr>
        <w:t xml:space="preserve"> (left). Example total ion chromatograms (TICs) observed in GCMS runs of assays with </w:t>
      </w:r>
      <w:proofErr w:type="spellStart"/>
      <w:r w:rsidR="00255A1E">
        <w:rPr>
          <w:sz w:val="22"/>
          <w:szCs w:val="22"/>
        </w:rPr>
        <w:t>MxGeoA</w:t>
      </w:r>
      <w:proofErr w:type="spellEnd"/>
      <w:r w:rsidR="00255A1E">
        <w:rPr>
          <w:sz w:val="22"/>
          <w:szCs w:val="22"/>
        </w:rPr>
        <w:t xml:space="preserve"> or </w:t>
      </w:r>
      <w:proofErr w:type="spellStart"/>
      <w:r w:rsidR="00255A1E">
        <w:rPr>
          <w:sz w:val="22"/>
          <w:szCs w:val="22"/>
        </w:rPr>
        <w:t>EncGeoA</w:t>
      </w:r>
      <w:proofErr w:type="spellEnd"/>
      <w:r w:rsidR="00255A1E">
        <w:rPr>
          <w:sz w:val="22"/>
          <w:szCs w:val="22"/>
        </w:rPr>
        <w:t xml:space="preserve"> with FPP, or a geosmin standard (right). (C) </w:t>
      </w:r>
      <w:r w:rsidR="00502CE9">
        <w:rPr>
          <w:sz w:val="22"/>
          <w:szCs w:val="22"/>
        </w:rPr>
        <w:t xml:space="preserve">Mass spectra obtained for </w:t>
      </w:r>
      <w:proofErr w:type="spellStart"/>
      <w:r w:rsidR="00502CE9">
        <w:rPr>
          <w:sz w:val="22"/>
          <w:szCs w:val="22"/>
        </w:rPr>
        <w:t>germacradienol</w:t>
      </w:r>
      <w:proofErr w:type="spellEnd"/>
      <w:r w:rsidR="00502CE9">
        <w:rPr>
          <w:sz w:val="22"/>
          <w:szCs w:val="22"/>
        </w:rPr>
        <w:t xml:space="preserve"> (upper left) and geosmin (upper right) and software-generated comparative spectra for compound assignment confirmation (bottom).</w:t>
      </w:r>
    </w:p>
    <w:p w14:paraId="5C0FEE20" w14:textId="33E83991" w:rsidR="00862C6C" w:rsidRDefault="00862C6C">
      <w:r>
        <w:br w:type="page"/>
      </w:r>
    </w:p>
    <w:p w14:paraId="6EF534C2" w14:textId="64345512" w:rsidR="00525529" w:rsidRDefault="00862C6C">
      <w:r>
        <w:rPr>
          <w:noProof/>
        </w:rPr>
        <w:lastRenderedPageBreak/>
        <w:drawing>
          <wp:inline distT="0" distB="0" distL="0" distR="0" wp14:anchorId="46B08F05" wp14:editId="49550D4D">
            <wp:extent cx="5943600" cy="1785620"/>
            <wp:effectExtent l="0" t="0" r="0" b="5080"/>
            <wp:docPr id="17033438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43816" name="Picture 17033438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785620"/>
                    </a:xfrm>
                    <a:prstGeom prst="rect">
                      <a:avLst/>
                    </a:prstGeom>
                  </pic:spPr>
                </pic:pic>
              </a:graphicData>
            </a:graphic>
          </wp:inline>
        </w:drawing>
      </w:r>
    </w:p>
    <w:p w14:paraId="79C3E183" w14:textId="5A9110E7" w:rsidR="00864149" w:rsidRPr="00864149" w:rsidRDefault="003A0B64" w:rsidP="00864149">
      <w:pPr>
        <w:jc w:val="both"/>
        <w:rPr>
          <w:sz w:val="22"/>
          <w:szCs w:val="22"/>
        </w:rPr>
      </w:pPr>
      <w:bookmarkStart w:id="11" w:name="_Toc235468003"/>
      <w:r w:rsidRPr="005D2C85">
        <w:rPr>
          <w:rStyle w:val="Heading2Char"/>
          <w:rFonts w:asciiTheme="minorHAnsi" w:hAnsiTheme="minorHAnsi"/>
          <w:b/>
          <w:bCs/>
          <w:color w:val="000000" w:themeColor="text1"/>
          <w:sz w:val="22"/>
          <w:szCs w:val="22"/>
        </w:rPr>
        <w:t>Supplementary Fig. 1</w:t>
      </w:r>
      <w:r w:rsidR="00BC24EA" w:rsidRPr="005D2C85">
        <w:rPr>
          <w:rStyle w:val="Heading2Char"/>
          <w:rFonts w:asciiTheme="minorHAnsi" w:hAnsiTheme="minorHAnsi"/>
          <w:b/>
          <w:bCs/>
          <w:color w:val="000000" w:themeColor="text1"/>
          <w:sz w:val="22"/>
          <w:szCs w:val="22"/>
        </w:rPr>
        <w:t>0</w:t>
      </w:r>
      <w:bookmarkEnd w:id="11"/>
      <w:r w:rsidRPr="00FB7EEE">
        <w:rPr>
          <w:b/>
          <w:bCs/>
          <w:sz w:val="22"/>
          <w:szCs w:val="22"/>
        </w:rPr>
        <w:t xml:space="preserve">. </w:t>
      </w:r>
      <w:r w:rsidR="00864149" w:rsidRPr="00FB7EEE">
        <w:rPr>
          <w:b/>
          <w:bCs/>
          <w:sz w:val="22"/>
          <w:szCs w:val="22"/>
        </w:rPr>
        <w:t xml:space="preserve">Differential scanning fluorimetry (DSF) thermal melts of </w:t>
      </w:r>
      <w:proofErr w:type="spellStart"/>
      <w:r w:rsidR="00864149" w:rsidRPr="00FB7EEE">
        <w:rPr>
          <w:b/>
          <w:bCs/>
          <w:sz w:val="22"/>
          <w:szCs w:val="22"/>
        </w:rPr>
        <w:t>GeoA</w:t>
      </w:r>
      <w:proofErr w:type="spellEnd"/>
      <w:r w:rsidR="00864149" w:rsidRPr="00FB7EEE">
        <w:rPr>
          <w:b/>
          <w:bCs/>
          <w:sz w:val="22"/>
          <w:szCs w:val="22"/>
        </w:rPr>
        <w:t xml:space="preserve">-loaded </w:t>
      </w:r>
      <w:proofErr w:type="spellStart"/>
      <w:r w:rsidR="00864149" w:rsidRPr="00FB7EEE">
        <w:rPr>
          <w:b/>
          <w:bCs/>
          <w:sz w:val="22"/>
          <w:szCs w:val="22"/>
        </w:rPr>
        <w:t>MxEnc</w:t>
      </w:r>
      <w:proofErr w:type="spellEnd"/>
      <w:r w:rsidR="00FB7EEE" w:rsidRPr="00FB7EEE">
        <w:rPr>
          <w:b/>
          <w:bCs/>
          <w:sz w:val="22"/>
          <w:szCs w:val="22"/>
        </w:rPr>
        <w:t>.</w:t>
      </w:r>
      <w:r w:rsidR="00FB7EEE">
        <w:rPr>
          <w:sz w:val="22"/>
          <w:szCs w:val="22"/>
        </w:rPr>
        <w:t xml:space="preserve"> Melt data was collected </w:t>
      </w:r>
      <w:r w:rsidR="00864149" w:rsidRPr="00864149">
        <w:rPr>
          <w:sz w:val="22"/>
          <w:szCs w:val="22"/>
        </w:rPr>
        <w:t>in the absence</w:t>
      </w:r>
      <w:r w:rsidR="00864149">
        <w:rPr>
          <w:sz w:val="22"/>
          <w:szCs w:val="22"/>
        </w:rPr>
        <w:t xml:space="preserve"> (orange, yellow)</w:t>
      </w:r>
      <w:r w:rsidR="00864149" w:rsidRPr="00864149">
        <w:rPr>
          <w:sz w:val="22"/>
          <w:szCs w:val="22"/>
        </w:rPr>
        <w:t xml:space="preserve"> or pre</w:t>
      </w:r>
      <w:r w:rsidR="00864149">
        <w:rPr>
          <w:sz w:val="22"/>
          <w:szCs w:val="22"/>
        </w:rPr>
        <w:t>sence (blue, grey)</w:t>
      </w:r>
      <w:r w:rsidR="00864149" w:rsidRPr="00864149">
        <w:rPr>
          <w:sz w:val="22"/>
          <w:szCs w:val="22"/>
        </w:rPr>
        <w:t xml:space="preserve"> of cAMP</w:t>
      </w:r>
      <w:r w:rsidR="00864149">
        <w:rPr>
          <w:sz w:val="22"/>
          <w:szCs w:val="22"/>
        </w:rPr>
        <w:t>. Calculated curves from intrinsic fluorescence are shown (left) as well as single light scattering curves at 266 nm (right).</w:t>
      </w:r>
    </w:p>
    <w:p w14:paraId="719949DF" w14:textId="6AAF44A4" w:rsidR="003A0B64" w:rsidRPr="003A0B64" w:rsidRDefault="003A0B64" w:rsidP="003A0B64">
      <w:pPr>
        <w:jc w:val="both"/>
        <w:rPr>
          <w:sz w:val="22"/>
          <w:szCs w:val="22"/>
        </w:rPr>
      </w:pPr>
    </w:p>
    <w:p w14:paraId="088A122F" w14:textId="17624DFE" w:rsidR="00862C6C" w:rsidRDefault="00862C6C">
      <w:r>
        <w:br w:type="page"/>
      </w:r>
    </w:p>
    <w:p w14:paraId="43AB6D28" w14:textId="74ADA855" w:rsidR="000D5F48" w:rsidRPr="000D5F48" w:rsidRDefault="000D5F48" w:rsidP="000D5F48">
      <w:pPr>
        <w:spacing w:after="0" w:line="240" w:lineRule="auto"/>
        <w:rPr>
          <w:rFonts w:ascii="Arial" w:hAnsi="Arial" w:cs="Arial"/>
          <w:b/>
          <w:bCs/>
          <w:sz w:val="22"/>
          <w:szCs w:val="22"/>
        </w:rPr>
      </w:pPr>
      <w:bookmarkStart w:id="12" w:name="_Toc235468004"/>
      <w:r w:rsidRPr="005D2C85">
        <w:rPr>
          <w:rStyle w:val="Heading2Char"/>
          <w:rFonts w:asciiTheme="minorHAnsi" w:hAnsiTheme="minorHAnsi" w:cs="Arial"/>
          <w:b/>
          <w:bCs/>
          <w:color w:val="000000" w:themeColor="text1"/>
          <w:sz w:val="22"/>
          <w:szCs w:val="22"/>
        </w:rPr>
        <w:lastRenderedPageBreak/>
        <w:t xml:space="preserve">Supplementary Table </w:t>
      </w:r>
      <w:r w:rsidR="00B63DAC" w:rsidRPr="005D2C85">
        <w:rPr>
          <w:rStyle w:val="Heading2Char"/>
          <w:rFonts w:asciiTheme="minorHAnsi" w:hAnsiTheme="minorHAnsi" w:cs="Arial"/>
          <w:b/>
          <w:bCs/>
          <w:color w:val="000000" w:themeColor="text1"/>
          <w:sz w:val="22"/>
          <w:szCs w:val="22"/>
        </w:rPr>
        <w:t>1</w:t>
      </w:r>
      <w:bookmarkEnd w:id="12"/>
      <w:r w:rsidRPr="005D2C85">
        <w:rPr>
          <w:rFonts w:cs="Arial"/>
          <w:b/>
          <w:bCs/>
          <w:sz w:val="22"/>
          <w:szCs w:val="22"/>
        </w:rPr>
        <w:t>. Cryo-EM data collection and refinement statistics</w:t>
      </w:r>
      <w:r w:rsidRPr="000D5F48">
        <w:rPr>
          <w:rFonts w:ascii="Arial" w:hAnsi="Arial" w:cs="Arial"/>
          <w:b/>
          <w:bCs/>
          <w:sz w:val="22"/>
          <w:szCs w:val="22"/>
        </w:rPr>
        <w:t>.</w:t>
      </w:r>
    </w:p>
    <w:tbl>
      <w:tblPr>
        <w:tblW w:w="0" w:type="auto"/>
        <w:tblLayout w:type="fixed"/>
        <w:tblLook w:val="00A0" w:firstRow="1" w:lastRow="0" w:firstColumn="1" w:lastColumn="0" w:noHBand="0" w:noVBand="0"/>
      </w:tblPr>
      <w:tblGrid>
        <w:gridCol w:w="2882"/>
        <w:gridCol w:w="1619"/>
        <w:gridCol w:w="1620"/>
        <w:gridCol w:w="1529"/>
        <w:gridCol w:w="1710"/>
      </w:tblGrid>
      <w:tr w:rsidR="000D5F48" w:rsidRPr="000D5F48" w14:paraId="41B83971" w14:textId="77777777" w:rsidTr="00FB11A4">
        <w:tc>
          <w:tcPr>
            <w:tcW w:w="2882" w:type="dxa"/>
            <w:tcBorders>
              <w:top w:val="single" w:sz="4" w:space="0" w:color="auto"/>
              <w:bottom w:val="single" w:sz="4" w:space="0" w:color="auto"/>
            </w:tcBorders>
          </w:tcPr>
          <w:p w14:paraId="22877904" w14:textId="77777777" w:rsidR="000D5F48" w:rsidRPr="000D5F48" w:rsidRDefault="000D5F48" w:rsidP="000D5F48">
            <w:pPr>
              <w:spacing w:after="0" w:line="240" w:lineRule="auto"/>
              <w:rPr>
                <w:rFonts w:ascii="Arial" w:eastAsia="Times New Roman" w:hAnsi="Arial" w:cs="Arial"/>
                <w:kern w:val="0"/>
                <w:sz w:val="18"/>
                <w:szCs w:val="18"/>
                <w14:ligatures w14:val="none"/>
              </w:rPr>
            </w:pPr>
          </w:p>
        </w:tc>
        <w:tc>
          <w:tcPr>
            <w:tcW w:w="1619" w:type="dxa"/>
            <w:tcBorders>
              <w:top w:val="single" w:sz="4" w:space="0" w:color="auto"/>
              <w:bottom w:val="single" w:sz="4" w:space="0" w:color="auto"/>
            </w:tcBorders>
          </w:tcPr>
          <w:p w14:paraId="423A4DFE"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Enc1GeoA-I</w:t>
            </w:r>
          </w:p>
          <w:p w14:paraId="51CEE450"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(EMD-77551)</w:t>
            </w:r>
          </w:p>
          <w:p w14:paraId="09199F24" w14:textId="77777777" w:rsidR="000D5F48" w:rsidRPr="000D5F48" w:rsidRDefault="000D5F48" w:rsidP="000D5F48">
            <w:pPr>
              <w:spacing w:after="0" w:line="240" w:lineRule="auto"/>
              <w:jc w:val="center"/>
              <w:rPr>
                <w:rFonts w:ascii="Arial" w:eastAsia="Times New Roman" w:hAnsi="Arial" w:cs="Arial"/>
                <w:b/>
                <w:bCs/>
                <w:kern w:val="0"/>
                <w:sz w:val="18"/>
                <w:szCs w:val="18"/>
                <w:highlight w:val="yellow"/>
                <w14:ligatures w14:val="none"/>
              </w:rPr>
            </w:pPr>
            <w:r w:rsidRPr="000D5F48">
              <w:rPr>
                <w:rFonts w:ascii="Arial" w:eastAsia="Times New Roman" w:hAnsi="Arial" w:cs="Arial"/>
                <w:b/>
                <w:bCs/>
                <w:kern w:val="0"/>
                <w:sz w:val="18"/>
                <w:szCs w:val="18"/>
                <w14:ligatures w14:val="none"/>
              </w:rPr>
              <w:t>(PDB 36GO)</w:t>
            </w:r>
          </w:p>
        </w:tc>
        <w:tc>
          <w:tcPr>
            <w:tcW w:w="1620" w:type="dxa"/>
            <w:tcBorders>
              <w:top w:val="single" w:sz="4" w:space="0" w:color="auto"/>
              <w:bottom w:val="single" w:sz="4" w:space="0" w:color="auto"/>
            </w:tcBorders>
          </w:tcPr>
          <w:p w14:paraId="36FAE5E5"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Enc1Enc2GeoA-closed 2fold</w:t>
            </w:r>
          </w:p>
          <w:p w14:paraId="52525669"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(EMD-77555)</w:t>
            </w:r>
          </w:p>
          <w:p w14:paraId="3BC9DA47" w14:textId="77777777" w:rsidR="000D5F48" w:rsidRPr="000D5F48" w:rsidRDefault="000D5F48" w:rsidP="000D5F48">
            <w:pPr>
              <w:spacing w:after="0" w:line="240" w:lineRule="auto"/>
              <w:jc w:val="center"/>
              <w:rPr>
                <w:rFonts w:ascii="Arial" w:eastAsia="Times New Roman" w:hAnsi="Arial" w:cs="Arial"/>
                <w:b/>
                <w:bCs/>
                <w:kern w:val="0"/>
                <w:sz w:val="18"/>
                <w:szCs w:val="18"/>
                <w:highlight w:val="yellow"/>
                <w14:ligatures w14:val="none"/>
              </w:rPr>
            </w:pPr>
            <w:r w:rsidRPr="000D5F48">
              <w:rPr>
                <w:rFonts w:ascii="Arial" w:eastAsia="Times New Roman" w:hAnsi="Arial" w:cs="Arial"/>
                <w:b/>
                <w:bCs/>
                <w:kern w:val="0"/>
                <w:sz w:val="18"/>
                <w:szCs w:val="18"/>
                <w14:ligatures w14:val="none"/>
              </w:rPr>
              <w:t>(PDB 36GU)</w:t>
            </w:r>
          </w:p>
        </w:tc>
        <w:tc>
          <w:tcPr>
            <w:tcW w:w="1529" w:type="dxa"/>
            <w:tcBorders>
              <w:top w:val="single" w:sz="4" w:space="0" w:color="auto"/>
              <w:bottom w:val="single" w:sz="4" w:space="0" w:color="auto"/>
            </w:tcBorders>
          </w:tcPr>
          <w:p w14:paraId="49C7B15B"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Enc1GeoA-C1</w:t>
            </w:r>
          </w:p>
          <w:p w14:paraId="0CEBC88D"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(EMD-77550)</w:t>
            </w:r>
          </w:p>
        </w:tc>
        <w:tc>
          <w:tcPr>
            <w:tcW w:w="1710" w:type="dxa"/>
            <w:tcBorders>
              <w:top w:val="single" w:sz="4" w:space="0" w:color="auto"/>
              <w:bottom w:val="single" w:sz="4" w:space="0" w:color="auto"/>
            </w:tcBorders>
          </w:tcPr>
          <w:p w14:paraId="4C79908E"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Enc1Enc2GeoA-I</w:t>
            </w:r>
          </w:p>
          <w:p w14:paraId="6EAB6E6D" w14:textId="77777777" w:rsidR="000D5F48" w:rsidRPr="000D5F48" w:rsidRDefault="000D5F48" w:rsidP="000D5F48">
            <w:pPr>
              <w:spacing w:after="0" w:line="240" w:lineRule="auto"/>
              <w:jc w:val="center"/>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(EMD-77552)</w:t>
            </w:r>
          </w:p>
        </w:tc>
      </w:tr>
      <w:tr w:rsidR="000D5F48" w:rsidRPr="000D5F48" w14:paraId="470E196C" w14:textId="77777777" w:rsidTr="00FB11A4">
        <w:tc>
          <w:tcPr>
            <w:tcW w:w="2882" w:type="dxa"/>
            <w:tcBorders>
              <w:top w:val="single" w:sz="4" w:space="0" w:color="auto"/>
            </w:tcBorders>
          </w:tcPr>
          <w:p w14:paraId="538088D4" w14:textId="77777777" w:rsidR="000D5F48" w:rsidRPr="000D5F48" w:rsidRDefault="000D5F48" w:rsidP="000D5F48">
            <w:pPr>
              <w:spacing w:after="0" w:line="240" w:lineRule="auto"/>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Data collection and processing</w:t>
            </w:r>
          </w:p>
        </w:tc>
        <w:tc>
          <w:tcPr>
            <w:tcW w:w="1619" w:type="dxa"/>
            <w:tcBorders>
              <w:top w:val="single" w:sz="4" w:space="0" w:color="auto"/>
            </w:tcBorders>
          </w:tcPr>
          <w:p w14:paraId="050E129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620" w:type="dxa"/>
            <w:tcBorders>
              <w:top w:val="single" w:sz="4" w:space="0" w:color="auto"/>
            </w:tcBorders>
          </w:tcPr>
          <w:p w14:paraId="07ED1CE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529" w:type="dxa"/>
            <w:tcBorders>
              <w:top w:val="single" w:sz="4" w:space="0" w:color="auto"/>
            </w:tcBorders>
          </w:tcPr>
          <w:p w14:paraId="2E7B8EA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710" w:type="dxa"/>
            <w:tcBorders>
              <w:top w:val="single" w:sz="4" w:space="0" w:color="auto"/>
            </w:tcBorders>
          </w:tcPr>
          <w:p w14:paraId="551CA5B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r>
      <w:tr w:rsidR="000D5F48" w:rsidRPr="000D5F48" w14:paraId="27DC8E0F" w14:textId="77777777" w:rsidTr="00FB11A4">
        <w:tc>
          <w:tcPr>
            <w:tcW w:w="2882" w:type="dxa"/>
          </w:tcPr>
          <w:p w14:paraId="02F22A11"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Magnification   </w:t>
            </w:r>
          </w:p>
        </w:tc>
        <w:tc>
          <w:tcPr>
            <w:tcW w:w="1619" w:type="dxa"/>
          </w:tcPr>
          <w:p w14:paraId="1F447BE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105,000x</w:t>
            </w:r>
          </w:p>
        </w:tc>
        <w:tc>
          <w:tcPr>
            <w:tcW w:w="1620" w:type="dxa"/>
          </w:tcPr>
          <w:p w14:paraId="21515F4D"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105,000x</w:t>
            </w:r>
          </w:p>
        </w:tc>
        <w:tc>
          <w:tcPr>
            <w:tcW w:w="1529" w:type="dxa"/>
          </w:tcPr>
          <w:p w14:paraId="49C1E16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105,000x</w:t>
            </w:r>
          </w:p>
        </w:tc>
        <w:tc>
          <w:tcPr>
            <w:tcW w:w="1710" w:type="dxa"/>
          </w:tcPr>
          <w:p w14:paraId="2DF1948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105,000x</w:t>
            </w:r>
          </w:p>
        </w:tc>
      </w:tr>
      <w:tr w:rsidR="000D5F48" w:rsidRPr="000D5F48" w14:paraId="7FEBCBCA" w14:textId="77777777" w:rsidTr="00FB11A4">
        <w:trPr>
          <w:trHeight w:val="22"/>
        </w:trPr>
        <w:tc>
          <w:tcPr>
            <w:tcW w:w="2882" w:type="dxa"/>
          </w:tcPr>
          <w:p w14:paraId="5342AF10"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Voltage (kV)</w:t>
            </w:r>
          </w:p>
        </w:tc>
        <w:tc>
          <w:tcPr>
            <w:tcW w:w="1619" w:type="dxa"/>
          </w:tcPr>
          <w:p w14:paraId="4042DBF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300</w:t>
            </w:r>
          </w:p>
        </w:tc>
        <w:tc>
          <w:tcPr>
            <w:tcW w:w="1620" w:type="dxa"/>
          </w:tcPr>
          <w:p w14:paraId="5FFC924D"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300</w:t>
            </w:r>
          </w:p>
        </w:tc>
        <w:tc>
          <w:tcPr>
            <w:tcW w:w="1529" w:type="dxa"/>
          </w:tcPr>
          <w:p w14:paraId="7785876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300</w:t>
            </w:r>
          </w:p>
        </w:tc>
        <w:tc>
          <w:tcPr>
            <w:tcW w:w="1710" w:type="dxa"/>
          </w:tcPr>
          <w:p w14:paraId="58A9AA0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300</w:t>
            </w:r>
          </w:p>
        </w:tc>
      </w:tr>
      <w:tr w:rsidR="000D5F48" w:rsidRPr="000D5F48" w14:paraId="17075319" w14:textId="77777777" w:rsidTr="00FB11A4">
        <w:trPr>
          <w:trHeight w:val="22"/>
        </w:trPr>
        <w:tc>
          <w:tcPr>
            <w:tcW w:w="2882" w:type="dxa"/>
          </w:tcPr>
          <w:p w14:paraId="13F60603"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bCs/>
                <w:iCs/>
                <w:kern w:val="0"/>
                <w:sz w:val="18"/>
                <w:szCs w:val="18"/>
                <w14:ligatures w14:val="none"/>
              </w:rPr>
              <w:t>Electron exposure (e</w:t>
            </w:r>
            <w:r w:rsidRPr="000D5F48">
              <w:rPr>
                <w:rFonts w:ascii="Arial" w:eastAsia="Times New Roman" w:hAnsi="Arial" w:cs="Arial"/>
                <w:bCs/>
                <w:iCs/>
                <w:kern w:val="0"/>
                <w:sz w:val="18"/>
                <w:szCs w:val="18"/>
                <w:vertAlign w:val="superscript"/>
                <w14:ligatures w14:val="none"/>
              </w:rPr>
              <w:t>-</w:t>
            </w:r>
            <w:r w:rsidRPr="000D5F48">
              <w:rPr>
                <w:rFonts w:ascii="Arial" w:eastAsia="Times New Roman" w:hAnsi="Arial" w:cs="Arial"/>
                <w:bCs/>
                <w:iCs/>
                <w:kern w:val="0"/>
                <w:sz w:val="18"/>
                <w:szCs w:val="18"/>
                <w14:ligatures w14:val="none"/>
              </w:rPr>
              <w:t>/Å</w:t>
            </w:r>
            <w:r w:rsidRPr="000D5F48">
              <w:rPr>
                <w:rFonts w:ascii="Arial" w:eastAsia="Times New Roman" w:hAnsi="Arial" w:cs="Arial"/>
                <w:bCs/>
                <w:iCs/>
                <w:kern w:val="0"/>
                <w:sz w:val="18"/>
                <w:szCs w:val="18"/>
                <w:vertAlign w:val="superscript"/>
                <w14:ligatures w14:val="none"/>
              </w:rPr>
              <w:t>2</w:t>
            </w:r>
            <w:r w:rsidRPr="000D5F48">
              <w:rPr>
                <w:rFonts w:ascii="Arial" w:eastAsia="Times New Roman" w:hAnsi="Arial" w:cs="Arial"/>
                <w:bCs/>
                <w:iCs/>
                <w:kern w:val="0"/>
                <w:sz w:val="18"/>
                <w:szCs w:val="18"/>
                <w14:ligatures w14:val="none"/>
              </w:rPr>
              <w:t>)</w:t>
            </w:r>
          </w:p>
        </w:tc>
        <w:tc>
          <w:tcPr>
            <w:tcW w:w="1619" w:type="dxa"/>
          </w:tcPr>
          <w:p w14:paraId="60515DB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47.42</w:t>
            </w:r>
          </w:p>
        </w:tc>
        <w:tc>
          <w:tcPr>
            <w:tcW w:w="1620" w:type="dxa"/>
          </w:tcPr>
          <w:p w14:paraId="2C84C09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48.23</w:t>
            </w:r>
          </w:p>
        </w:tc>
        <w:tc>
          <w:tcPr>
            <w:tcW w:w="1529" w:type="dxa"/>
          </w:tcPr>
          <w:p w14:paraId="7BDC766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47.42</w:t>
            </w:r>
          </w:p>
        </w:tc>
        <w:tc>
          <w:tcPr>
            <w:tcW w:w="1710" w:type="dxa"/>
          </w:tcPr>
          <w:p w14:paraId="53B6632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48.23</w:t>
            </w:r>
          </w:p>
        </w:tc>
      </w:tr>
      <w:tr w:rsidR="000D5F48" w:rsidRPr="000D5F48" w14:paraId="1CD50810" w14:textId="77777777" w:rsidTr="00FB11A4">
        <w:trPr>
          <w:trHeight w:val="22"/>
        </w:trPr>
        <w:tc>
          <w:tcPr>
            <w:tcW w:w="2882" w:type="dxa"/>
          </w:tcPr>
          <w:p w14:paraId="0F0B9DD5"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Defocus range (mm)</w:t>
            </w:r>
          </w:p>
        </w:tc>
        <w:tc>
          <w:tcPr>
            <w:tcW w:w="1619" w:type="dxa"/>
          </w:tcPr>
          <w:p w14:paraId="4BB2AD4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 to -1.8</w:t>
            </w:r>
          </w:p>
        </w:tc>
        <w:tc>
          <w:tcPr>
            <w:tcW w:w="1620" w:type="dxa"/>
          </w:tcPr>
          <w:p w14:paraId="20AD44E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 to -1.8</w:t>
            </w:r>
          </w:p>
        </w:tc>
        <w:tc>
          <w:tcPr>
            <w:tcW w:w="1529" w:type="dxa"/>
          </w:tcPr>
          <w:p w14:paraId="3239CEF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 to -1.8</w:t>
            </w:r>
          </w:p>
        </w:tc>
        <w:tc>
          <w:tcPr>
            <w:tcW w:w="1710" w:type="dxa"/>
          </w:tcPr>
          <w:p w14:paraId="6EC5297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 to -1.8</w:t>
            </w:r>
          </w:p>
        </w:tc>
      </w:tr>
      <w:tr w:rsidR="000D5F48" w:rsidRPr="000D5F48" w14:paraId="041E5003" w14:textId="77777777" w:rsidTr="00FB11A4">
        <w:trPr>
          <w:trHeight w:val="22"/>
        </w:trPr>
        <w:tc>
          <w:tcPr>
            <w:tcW w:w="2882" w:type="dxa"/>
          </w:tcPr>
          <w:p w14:paraId="33A30017"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Pixel size (Å)</w:t>
            </w:r>
          </w:p>
        </w:tc>
        <w:tc>
          <w:tcPr>
            <w:tcW w:w="1619" w:type="dxa"/>
          </w:tcPr>
          <w:p w14:paraId="0F4747A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0.834</w:t>
            </w:r>
          </w:p>
        </w:tc>
        <w:tc>
          <w:tcPr>
            <w:tcW w:w="1620" w:type="dxa"/>
          </w:tcPr>
          <w:p w14:paraId="3C9393BA"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0.832</w:t>
            </w:r>
          </w:p>
        </w:tc>
        <w:tc>
          <w:tcPr>
            <w:tcW w:w="1529" w:type="dxa"/>
          </w:tcPr>
          <w:p w14:paraId="04970EC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0.834</w:t>
            </w:r>
          </w:p>
        </w:tc>
        <w:tc>
          <w:tcPr>
            <w:tcW w:w="1710" w:type="dxa"/>
          </w:tcPr>
          <w:p w14:paraId="321FAC3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0.832</w:t>
            </w:r>
          </w:p>
        </w:tc>
      </w:tr>
      <w:tr w:rsidR="000D5F48" w:rsidRPr="000D5F48" w14:paraId="72A8CC0B" w14:textId="77777777" w:rsidTr="00FB11A4">
        <w:trPr>
          <w:trHeight w:val="22"/>
        </w:trPr>
        <w:tc>
          <w:tcPr>
            <w:tcW w:w="2882" w:type="dxa"/>
          </w:tcPr>
          <w:p w14:paraId="19F04601"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Symmetry imposed</w:t>
            </w:r>
          </w:p>
        </w:tc>
        <w:tc>
          <w:tcPr>
            <w:tcW w:w="1619" w:type="dxa"/>
          </w:tcPr>
          <w:p w14:paraId="31BA4FB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I</w:t>
            </w:r>
          </w:p>
        </w:tc>
        <w:tc>
          <w:tcPr>
            <w:tcW w:w="1620" w:type="dxa"/>
          </w:tcPr>
          <w:p w14:paraId="5390A73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C1</w:t>
            </w:r>
          </w:p>
        </w:tc>
        <w:tc>
          <w:tcPr>
            <w:tcW w:w="1529" w:type="dxa"/>
          </w:tcPr>
          <w:p w14:paraId="6F6B1E3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C1</w:t>
            </w:r>
          </w:p>
        </w:tc>
        <w:tc>
          <w:tcPr>
            <w:tcW w:w="1710" w:type="dxa"/>
          </w:tcPr>
          <w:p w14:paraId="7B72801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I</w:t>
            </w:r>
          </w:p>
        </w:tc>
      </w:tr>
      <w:tr w:rsidR="000D5F48" w:rsidRPr="000D5F48" w14:paraId="4B1212F7" w14:textId="77777777" w:rsidTr="00FB11A4">
        <w:trPr>
          <w:trHeight w:val="22"/>
        </w:trPr>
        <w:tc>
          <w:tcPr>
            <w:tcW w:w="2882" w:type="dxa"/>
          </w:tcPr>
          <w:p w14:paraId="50A8AC2B"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Initial particle images (no.)</w:t>
            </w:r>
          </w:p>
        </w:tc>
        <w:tc>
          <w:tcPr>
            <w:tcW w:w="1619" w:type="dxa"/>
          </w:tcPr>
          <w:p w14:paraId="71E1D64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133,678</w:t>
            </w:r>
          </w:p>
        </w:tc>
        <w:tc>
          <w:tcPr>
            <w:tcW w:w="1620" w:type="dxa"/>
          </w:tcPr>
          <w:p w14:paraId="7FE6F1E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2,098,980</w:t>
            </w:r>
            <w:r w:rsidRPr="000D5F48">
              <w:rPr>
                <w:rFonts w:ascii="Arial" w:eastAsia="Times New Roman" w:hAnsi="Arial" w:cs="Arial"/>
                <w:kern w:val="0"/>
                <w:sz w:val="18"/>
                <w:szCs w:val="18"/>
                <w14:ligatures w14:val="none"/>
              </w:rPr>
              <w:br/>
              <w:t>(symmetry expanded)</w:t>
            </w:r>
          </w:p>
        </w:tc>
        <w:tc>
          <w:tcPr>
            <w:tcW w:w="1529" w:type="dxa"/>
          </w:tcPr>
          <w:p w14:paraId="59DC2CD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133,678</w:t>
            </w:r>
          </w:p>
        </w:tc>
        <w:tc>
          <w:tcPr>
            <w:tcW w:w="1710" w:type="dxa"/>
          </w:tcPr>
          <w:p w14:paraId="6EB2592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34,983</w:t>
            </w:r>
          </w:p>
        </w:tc>
      </w:tr>
      <w:tr w:rsidR="000D5F48" w:rsidRPr="000D5F48" w14:paraId="4769A060" w14:textId="77777777" w:rsidTr="00FB11A4">
        <w:trPr>
          <w:trHeight w:val="22"/>
        </w:trPr>
        <w:tc>
          <w:tcPr>
            <w:tcW w:w="2882" w:type="dxa"/>
          </w:tcPr>
          <w:p w14:paraId="0F6E6E9E"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Final  particle images (no.)</w:t>
            </w:r>
          </w:p>
        </w:tc>
        <w:tc>
          <w:tcPr>
            <w:tcW w:w="1619" w:type="dxa"/>
          </w:tcPr>
          <w:p w14:paraId="1A96518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121,597</w:t>
            </w:r>
          </w:p>
        </w:tc>
        <w:tc>
          <w:tcPr>
            <w:tcW w:w="1620" w:type="dxa"/>
          </w:tcPr>
          <w:p w14:paraId="13C38A3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275,964 </w:t>
            </w:r>
          </w:p>
        </w:tc>
        <w:tc>
          <w:tcPr>
            <w:tcW w:w="1529" w:type="dxa"/>
          </w:tcPr>
          <w:p w14:paraId="4F9AC48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121,597</w:t>
            </w:r>
          </w:p>
        </w:tc>
        <w:tc>
          <w:tcPr>
            <w:tcW w:w="1710" w:type="dxa"/>
          </w:tcPr>
          <w:p w14:paraId="7F71AF9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34,935</w:t>
            </w:r>
          </w:p>
        </w:tc>
      </w:tr>
      <w:tr w:rsidR="000D5F48" w:rsidRPr="000D5F48" w14:paraId="40B07E65" w14:textId="77777777" w:rsidTr="00FB11A4">
        <w:trPr>
          <w:trHeight w:val="22"/>
        </w:trPr>
        <w:tc>
          <w:tcPr>
            <w:tcW w:w="2882" w:type="dxa"/>
          </w:tcPr>
          <w:p w14:paraId="3A3A5406"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Map resolution (Å)</w:t>
            </w:r>
          </w:p>
          <w:p w14:paraId="6AB63927"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FSC threshold</w:t>
            </w:r>
          </w:p>
        </w:tc>
        <w:tc>
          <w:tcPr>
            <w:tcW w:w="1619" w:type="dxa"/>
          </w:tcPr>
          <w:p w14:paraId="6BBB783D"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2.31</w:t>
            </w:r>
          </w:p>
          <w:p w14:paraId="1200ABA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0.143</w:t>
            </w:r>
          </w:p>
        </w:tc>
        <w:tc>
          <w:tcPr>
            <w:tcW w:w="1620" w:type="dxa"/>
          </w:tcPr>
          <w:p w14:paraId="3EC60A4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2.71</w:t>
            </w:r>
          </w:p>
          <w:p w14:paraId="4E85DD4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0.143</w:t>
            </w:r>
          </w:p>
        </w:tc>
        <w:tc>
          <w:tcPr>
            <w:tcW w:w="1529" w:type="dxa"/>
          </w:tcPr>
          <w:p w14:paraId="0086B43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3.34</w:t>
            </w:r>
          </w:p>
          <w:p w14:paraId="4ABBE65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0.143</w:t>
            </w:r>
          </w:p>
        </w:tc>
        <w:tc>
          <w:tcPr>
            <w:tcW w:w="1710" w:type="dxa"/>
          </w:tcPr>
          <w:p w14:paraId="25805AF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2.27</w:t>
            </w:r>
          </w:p>
          <w:p w14:paraId="482EA65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0.143</w:t>
            </w:r>
          </w:p>
        </w:tc>
      </w:tr>
      <w:tr w:rsidR="000D5F48" w:rsidRPr="000D5F48" w14:paraId="228938CA" w14:textId="77777777" w:rsidTr="00FB11A4">
        <w:tc>
          <w:tcPr>
            <w:tcW w:w="2882" w:type="dxa"/>
          </w:tcPr>
          <w:p w14:paraId="4DEDCF45" w14:textId="77777777" w:rsidR="000D5F48" w:rsidRPr="000D5F48" w:rsidRDefault="000D5F48" w:rsidP="000D5F48">
            <w:pPr>
              <w:spacing w:after="0" w:line="240" w:lineRule="auto"/>
              <w:rPr>
                <w:rFonts w:ascii="Arial" w:eastAsia="Times New Roman" w:hAnsi="Arial" w:cs="Arial"/>
                <w:b/>
                <w:bCs/>
                <w:kern w:val="0"/>
                <w:sz w:val="18"/>
                <w:szCs w:val="18"/>
                <w14:ligatures w14:val="none"/>
              </w:rPr>
            </w:pPr>
          </w:p>
          <w:p w14:paraId="37355718" w14:textId="77777777" w:rsidR="000D5F48" w:rsidRPr="000D5F48" w:rsidRDefault="000D5F48" w:rsidP="000D5F48">
            <w:pPr>
              <w:spacing w:after="0" w:line="240" w:lineRule="auto"/>
              <w:rPr>
                <w:rFonts w:ascii="Arial" w:eastAsia="Times New Roman" w:hAnsi="Arial" w:cs="Arial"/>
                <w:b/>
                <w:bCs/>
                <w:kern w:val="0"/>
                <w:sz w:val="18"/>
                <w:szCs w:val="18"/>
                <w14:ligatures w14:val="none"/>
              </w:rPr>
            </w:pPr>
            <w:r w:rsidRPr="000D5F48">
              <w:rPr>
                <w:rFonts w:ascii="Arial" w:eastAsia="Times New Roman" w:hAnsi="Arial" w:cs="Arial"/>
                <w:b/>
                <w:bCs/>
                <w:kern w:val="0"/>
                <w:sz w:val="18"/>
                <w:szCs w:val="18"/>
                <w14:ligatures w14:val="none"/>
              </w:rPr>
              <w:t>Refinement</w:t>
            </w:r>
          </w:p>
        </w:tc>
        <w:tc>
          <w:tcPr>
            <w:tcW w:w="1619" w:type="dxa"/>
          </w:tcPr>
          <w:p w14:paraId="145B031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620" w:type="dxa"/>
          </w:tcPr>
          <w:p w14:paraId="02918AB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529" w:type="dxa"/>
          </w:tcPr>
          <w:p w14:paraId="2483DC7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c>
          <w:tcPr>
            <w:tcW w:w="1710" w:type="dxa"/>
          </w:tcPr>
          <w:p w14:paraId="71AD5B0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tc>
      </w:tr>
      <w:tr w:rsidR="000D5F48" w:rsidRPr="000D5F48" w14:paraId="13905A0D" w14:textId="77777777" w:rsidTr="00FB11A4">
        <w:tc>
          <w:tcPr>
            <w:tcW w:w="2882" w:type="dxa"/>
          </w:tcPr>
          <w:p w14:paraId="055467CA"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Initial model used (PDB code)</w:t>
            </w:r>
          </w:p>
        </w:tc>
        <w:tc>
          <w:tcPr>
            <w:tcW w:w="1619" w:type="dxa"/>
          </w:tcPr>
          <w:p w14:paraId="121E720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AlphaFold</w:t>
            </w:r>
          </w:p>
        </w:tc>
        <w:tc>
          <w:tcPr>
            <w:tcW w:w="1620" w:type="dxa"/>
          </w:tcPr>
          <w:p w14:paraId="3509082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AlphaFold</w:t>
            </w:r>
          </w:p>
        </w:tc>
        <w:tc>
          <w:tcPr>
            <w:tcW w:w="1529" w:type="dxa"/>
          </w:tcPr>
          <w:p w14:paraId="368A8DF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7C74453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66712125" w14:textId="77777777" w:rsidTr="00FB11A4">
        <w:tc>
          <w:tcPr>
            <w:tcW w:w="2882" w:type="dxa"/>
          </w:tcPr>
          <w:p w14:paraId="23DB5CFF"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Model resolution (Å)</w:t>
            </w:r>
          </w:p>
          <w:p w14:paraId="318B65EC"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FSC threshold</w:t>
            </w:r>
          </w:p>
        </w:tc>
        <w:tc>
          <w:tcPr>
            <w:tcW w:w="1619" w:type="dxa"/>
          </w:tcPr>
          <w:p w14:paraId="4BD1ECE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2.5</w:t>
            </w:r>
          </w:p>
          <w:p w14:paraId="4F7AD99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0.5</w:t>
            </w:r>
          </w:p>
        </w:tc>
        <w:tc>
          <w:tcPr>
            <w:tcW w:w="1620" w:type="dxa"/>
          </w:tcPr>
          <w:p w14:paraId="36F9ACF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2.9</w:t>
            </w:r>
          </w:p>
          <w:p w14:paraId="236CCA3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0.5</w:t>
            </w:r>
          </w:p>
        </w:tc>
        <w:tc>
          <w:tcPr>
            <w:tcW w:w="1529" w:type="dxa"/>
          </w:tcPr>
          <w:p w14:paraId="1F971F1D"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039161A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7B5CB78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2EFACC0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66269384" w14:textId="77777777" w:rsidTr="00FB11A4">
        <w:tc>
          <w:tcPr>
            <w:tcW w:w="2882" w:type="dxa"/>
          </w:tcPr>
          <w:p w14:paraId="1D118008"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iCs/>
                <w:kern w:val="0"/>
                <w:sz w:val="18"/>
                <w:szCs w:val="18"/>
                <w14:ligatures w14:val="none"/>
              </w:rPr>
              <w:t xml:space="preserve">Map sharpening </w:t>
            </w:r>
            <w:r w:rsidRPr="000D5F48">
              <w:rPr>
                <w:rFonts w:ascii="Arial" w:eastAsia="Times New Roman" w:hAnsi="Arial" w:cs="Arial"/>
                <w:i/>
                <w:iCs/>
                <w:kern w:val="0"/>
                <w:sz w:val="18"/>
                <w:szCs w:val="18"/>
                <w14:ligatures w14:val="none"/>
              </w:rPr>
              <w:t>B</w:t>
            </w:r>
            <w:r w:rsidRPr="000D5F48">
              <w:rPr>
                <w:rFonts w:ascii="Arial" w:eastAsia="Times New Roman" w:hAnsi="Arial" w:cs="Arial"/>
                <w:iCs/>
                <w:kern w:val="0"/>
                <w:sz w:val="18"/>
                <w:szCs w:val="18"/>
                <w14:ligatures w14:val="none"/>
              </w:rPr>
              <w:t xml:space="preserve"> factor (Å</w:t>
            </w:r>
            <w:r w:rsidRPr="000D5F48">
              <w:rPr>
                <w:rFonts w:ascii="Arial" w:eastAsia="Times New Roman" w:hAnsi="Arial" w:cs="Arial"/>
                <w:iCs/>
                <w:kern w:val="0"/>
                <w:sz w:val="18"/>
                <w:szCs w:val="18"/>
                <w:vertAlign w:val="superscript"/>
                <w14:ligatures w14:val="none"/>
              </w:rPr>
              <w:t>2</w:t>
            </w:r>
            <w:r w:rsidRPr="000D5F48">
              <w:rPr>
                <w:rFonts w:ascii="Arial" w:eastAsia="Times New Roman" w:hAnsi="Arial" w:cs="Arial"/>
                <w:kern w:val="0"/>
                <w:sz w:val="18"/>
                <w:szCs w:val="18"/>
                <w14:ligatures w14:val="none"/>
              </w:rPr>
              <w:t>)</w:t>
            </w:r>
          </w:p>
        </w:tc>
        <w:tc>
          <w:tcPr>
            <w:tcW w:w="1619" w:type="dxa"/>
          </w:tcPr>
          <w:p w14:paraId="4369627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-80.6</w:t>
            </w:r>
          </w:p>
        </w:tc>
        <w:tc>
          <w:tcPr>
            <w:tcW w:w="1620" w:type="dxa"/>
          </w:tcPr>
          <w:p w14:paraId="3CF4160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-86.7</w:t>
            </w:r>
          </w:p>
        </w:tc>
        <w:tc>
          <w:tcPr>
            <w:tcW w:w="1529" w:type="dxa"/>
          </w:tcPr>
          <w:p w14:paraId="7AFCC78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-105.8</w:t>
            </w:r>
          </w:p>
        </w:tc>
        <w:tc>
          <w:tcPr>
            <w:tcW w:w="1710" w:type="dxa"/>
          </w:tcPr>
          <w:p w14:paraId="4E7E80F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-72.0</w:t>
            </w:r>
          </w:p>
        </w:tc>
      </w:tr>
      <w:tr w:rsidR="000D5F48" w:rsidRPr="000D5F48" w14:paraId="0E57A0E1" w14:textId="77777777" w:rsidTr="00FB11A4">
        <w:tc>
          <w:tcPr>
            <w:tcW w:w="2882" w:type="dxa"/>
          </w:tcPr>
          <w:p w14:paraId="70F61E98" w14:textId="77777777" w:rsidR="000D5F48" w:rsidRPr="000D5F48" w:rsidRDefault="000D5F48" w:rsidP="000D5F48">
            <w:pPr>
              <w:spacing w:after="0" w:line="240" w:lineRule="auto"/>
              <w:rPr>
                <w:rFonts w:ascii="Arial" w:eastAsia="Times New Roman" w:hAnsi="Arial" w:cs="Arial"/>
                <w:bCs/>
                <w:iCs/>
                <w:kern w:val="0"/>
                <w:sz w:val="18"/>
                <w:szCs w:val="18"/>
                <w14:ligatures w14:val="none"/>
              </w:rPr>
            </w:pPr>
            <w:r w:rsidRPr="000D5F48">
              <w:rPr>
                <w:rFonts w:ascii="Arial" w:eastAsia="Times New Roman" w:hAnsi="Arial" w:cs="Arial"/>
                <w:bCs/>
                <w:iCs/>
                <w:kern w:val="0"/>
                <w:sz w:val="18"/>
                <w:szCs w:val="18"/>
                <w14:ligatures w14:val="none"/>
              </w:rPr>
              <w:t>Model composition</w:t>
            </w:r>
          </w:p>
          <w:p w14:paraId="2D009FC9" w14:textId="77777777" w:rsidR="000D5F48" w:rsidRPr="000D5F48" w:rsidRDefault="000D5F48" w:rsidP="000D5F48">
            <w:pPr>
              <w:spacing w:after="0" w:line="240" w:lineRule="auto"/>
              <w:rPr>
                <w:rFonts w:ascii="Arial" w:eastAsia="Times New Roman" w:hAnsi="Arial" w:cs="Arial"/>
                <w:bCs/>
                <w:iCs/>
                <w:kern w:val="0"/>
                <w:sz w:val="18"/>
                <w:szCs w:val="18"/>
                <w14:ligatures w14:val="none"/>
              </w:rPr>
            </w:pPr>
            <w:r w:rsidRPr="000D5F48">
              <w:rPr>
                <w:rFonts w:ascii="Arial" w:eastAsia="Times New Roman" w:hAnsi="Arial" w:cs="Arial"/>
                <w:bCs/>
                <w:iCs/>
                <w:kern w:val="0"/>
                <w:sz w:val="18"/>
                <w:szCs w:val="18"/>
                <w14:ligatures w14:val="none"/>
              </w:rPr>
              <w:t xml:space="preserve">    Non-hydrogen atoms</w:t>
            </w:r>
          </w:p>
          <w:p w14:paraId="0BFEB186" w14:textId="77777777" w:rsidR="000D5F48" w:rsidRPr="000D5F48" w:rsidRDefault="000D5F48" w:rsidP="000D5F48">
            <w:pPr>
              <w:spacing w:after="0" w:line="240" w:lineRule="auto"/>
              <w:rPr>
                <w:rFonts w:ascii="Arial" w:eastAsia="Times New Roman" w:hAnsi="Arial" w:cs="Arial"/>
                <w:bCs/>
                <w:iCs/>
                <w:kern w:val="0"/>
                <w:sz w:val="18"/>
                <w:szCs w:val="18"/>
                <w14:ligatures w14:val="none"/>
              </w:rPr>
            </w:pPr>
            <w:r w:rsidRPr="000D5F48">
              <w:rPr>
                <w:rFonts w:ascii="Arial" w:eastAsia="Times New Roman" w:hAnsi="Arial" w:cs="Arial"/>
                <w:bCs/>
                <w:iCs/>
                <w:kern w:val="0"/>
                <w:sz w:val="18"/>
                <w:szCs w:val="18"/>
                <w14:ligatures w14:val="none"/>
              </w:rPr>
              <w:t xml:space="preserve">    Protein residues</w:t>
            </w:r>
          </w:p>
          <w:p w14:paraId="44ED0A71" w14:textId="77777777" w:rsidR="000D5F48" w:rsidRPr="000D5F48" w:rsidRDefault="000D5F48" w:rsidP="000D5F48">
            <w:pPr>
              <w:spacing w:after="0" w:line="240" w:lineRule="auto"/>
              <w:rPr>
                <w:rFonts w:ascii="Arial" w:eastAsia="Times New Roman" w:hAnsi="Arial" w:cs="Arial"/>
                <w:bCs/>
                <w:iCs/>
                <w:kern w:val="0"/>
                <w:sz w:val="18"/>
                <w:szCs w:val="18"/>
                <w14:ligatures w14:val="none"/>
              </w:rPr>
            </w:pPr>
            <w:r w:rsidRPr="000D5F48">
              <w:rPr>
                <w:rFonts w:ascii="Arial" w:eastAsia="Times New Roman" w:hAnsi="Arial" w:cs="Arial"/>
                <w:bCs/>
                <w:iCs/>
                <w:kern w:val="0"/>
                <w:sz w:val="18"/>
                <w:szCs w:val="18"/>
                <w14:ligatures w14:val="none"/>
              </w:rPr>
              <w:t xml:space="preserve">    Ligands</w:t>
            </w:r>
          </w:p>
        </w:tc>
        <w:tc>
          <w:tcPr>
            <w:tcW w:w="1619" w:type="dxa"/>
          </w:tcPr>
          <w:p w14:paraId="54B663B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741B8AEA"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1,876</w:t>
            </w:r>
          </w:p>
          <w:p w14:paraId="5FAD186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237</w:t>
            </w:r>
          </w:p>
          <w:p w14:paraId="0E8D5EAA"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620" w:type="dxa"/>
          </w:tcPr>
          <w:p w14:paraId="60756B4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13A1ACF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7,854</w:t>
            </w:r>
          </w:p>
          <w:p w14:paraId="3C74F9E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1000</w:t>
            </w:r>
          </w:p>
          <w:p w14:paraId="6EA34CD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529" w:type="dxa"/>
          </w:tcPr>
          <w:p w14:paraId="09C8742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6A1BF88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4E19DAA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50E759A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5666E24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4402FD9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41C6FD6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09F4C5D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68CE7DDB" w14:textId="77777777" w:rsidTr="00FB11A4">
        <w:tc>
          <w:tcPr>
            <w:tcW w:w="2882" w:type="dxa"/>
          </w:tcPr>
          <w:p w14:paraId="52C3994D"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i/>
                <w:kern w:val="0"/>
                <w:sz w:val="18"/>
                <w:szCs w:val="18"/>
                <w14:ligatures w14:val="none"/>
              </w:rPr>
              <w:t>B</w:t>
            </w:r>
            <w:r w:rsidRPr="000D5F48">
              <w:rPr>
                <w:rFonts w:ascii="Arial" w:eastAsia="Times New Roman" w:hAnsi="Arial" w:cs="Arial"/>
                <w:kern w:val="0"/>
                <w:sz w:val="18"/>
                <w:szCs w:val="18"/>
                <w14:ligatures w14:val="none"/>
              </w:rPr>
              <w:t xml:space="preserve"> factors (Å</w:t>
            </w:r>
            <w:r w:rsidRPr="000D5F48">
              <w:rPr>
                <w:rFonts w:ascii="Arial" w:eastAsia="Times New Roman" w:hAnsi="Arial" w:cs="Arial"/>
                <w:kern w:val="0"/>
                <w:sz w:val="18"/>
                <w:szCs w:val="18"/>
                <w:vertAlign w:val="superscript"/>
                <w14:ligatures w14:val="none"/>
              </w:rPr>
              <w:t>2</w:t>
            </w:r>
            <w:r w:rsidRPr="000D5F48">
              <w:rPr>
                <w:rFonts w:ascii="Arial" w:eastAsia="Times New Roman" w:hAnsi="Arial" w:cs="Arial"/>
                <w:kern w:val="0"/>
                <w:sz w:val="18"/>
                <w:szCs w:val="18"/>
                <w14:ligatures w14:val="none"/>
              </w:rPr>
              <w:t>)</w:t>
            </w:r>
          </w:p>
          <w:p w14:paraId="34DCF657"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Protein</w:t>
            </w:r>
          </w:p>
          <w:p w14:paraId="1BE33981"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Ligands</w:t>
            </w:r>
          </w:p>
        </w:tc>
        <w:tc>
          <w:tcPr>
            <w:tcW w:w="1619" w:type="dxa"/>
          </w:tcPr>
          <w:p w14:paraId="7721D1C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677A40F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44.46</w:t>
            </w:r>
          </w:p>
          <w:p w14:paraId="581B5D6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620" w:type="dxa"/>
          </w:tcPr>
          <w:p w14:paraId="2CDB4D8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7439F95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33.18</w:t>
            </w:r>
          </w:p>
          <w:p w14:paraId="6F1FCC3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529" w:type="dxa"/>
          </w:tcPr>
          <w:p w14:paraId="31E9F74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77C0398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246BEEF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5BBB94C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4646A93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1FD5D16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1FE35D8C" w14:textId="77777777" w:rsidTr="00FB11A4">
        <w:tc>
          <w:tcPr>
            <w:tcW w:w="2882" w:type="dxa"/>
          </w:tcPr>
          <w:p w14:paraId="54BF31EB" w14:textId="77777777" w:rsidR="000D5F48" w:rsidRPr="000D5F48" w:rsidRDefault="000D5F48" w:rsidP="000D5F48">
            <w:pPr>
              <w:spacing w:after="0" w:line="240" w:lineRule="auto"/>
              <w:rPr>
                <w:rFonts w:ascii="Arial" w:eastAsia="Times New Roman" w:hAnsi="Arial" w:cs="Arial"/>
                <w:kern w:val="0"/>
                <w:sz w:val="18"/>
                <w:szCs w:val="18"/>
                <w14:ligatures w14:val="none"/>
              </w:rPr>
            </w:pPr>
            <w:proofErr w:type="spellStart"/>
            <w:r w:rsidRPr="000D5F48">
              <w:rPr>
                <w:rFonts w:ascii="Arial" w:eastAsia="Times New Roman" w:hAnsi="Arial" w:cs="Arial"/>
                <w:kern w:val="0"/>
                <w:sz w:val="18"/>
                <w:szCs w:val="18"/>
                <w14:ligatures w14:val="none"/>
              </w:rPr>
              <w:t>r.m.s.</w:t>
            </w:r>
            <w:proofErr w:type="spellEnd"/>
            <w:r w:rsidRPr="000D5F48">
              <w:rPr>
                <w:rFonts w:ascii="Arial" w:eastAsia="Times New Roman" w:hAnsi="Arial" w:cs="Arial"/>
                <w:kern w:val="0"/>
                <w:sz w:val="18"/>
                <w:szCs w:val="18"/>
                <w14:ligatures w14:val="none"/>
              </w:rPr>
              <w:t xml:space="preserve"> deviations</w:t>
            </w:r>
          </w:p>
          <w:p w14:paraId="45EAEBC6"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Bond lengths (Å)</w:t>
            </w:r>
          </w:p>
          <w:p w14:paraId="6063D7E1"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Bond angles (°)</w:t>
            </w:r>
          </w:p>
        </w:tc>
        <w:tc>
          <w:tcPr>
            <w:tcW w:w="1619" w:type="dxa"/>
          </w:tcPr>
          <w:p w14:paraId="715DC17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34D4775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0.004</w:t>
            </w:r>
          </w:p>
          <w:p w14:paraId="55F3B8A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1.055</w:t>
            </w:r>
          </w:p>
        </w:tc>
        <w:tc>
          <w:tcPr>
            <w:tcW w:w="1620" w:type="dxa"/>
          </w:tcPr>
          <w:p w14:paraId="01FF82F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424EE15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0.008</w:t>
            </w:r>
          </w:p>
          <w:p w14:paraId="6728A51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1.131</w:t>
            </w:r>
          </w:p>
        </w:tc>
        <w:tc>
          <w:tcPr>
            <w:tcW w:w="1529" w:type="dxa"/>
          </w:tcPr>
          <w:p w14:paraId="1D537C2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26CF324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75C95BA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48CF2CC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4EF4BC68"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1DECC8E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01DE7411" w14:textId="77777777" w:rsidTr="00FB11A4">
        <w:tc>
          <w:tcPr>
            <w:tcW w:w="2882" w:type="dxa"/>
          </w:tcPr>
          <w:p w14:paraId="7088765C"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Validation</w:t>
            </w:r>
          </w:p>
          <w:p w14:paraId="3E319199"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w:t>
            </w:r>
            <w:proofErr w:type="spellStart"/>
            <w:r w:rsidRPr="000D5F48">
              <w:rPr>
                <w:rFonts w:ascii="Arial" w:eastAsia="Times New Roman" w:hAnsi="Arial" w:cs="Arial"/>
                <w:kern w:val="0"/>
                <w:sz w:val="18"/>
                <w:szCs w:val="18"/>
                <w14:ligatures w14:val="none"/>
              </w:rPr>
              <w:t>MolProbity</w:t>
            </w:r>
            <w:proofErr w:type="spellEnd"/>
            <w:r w:rsidRPr="000D5F48">
              <w:rPr>
                <w:rFonts w:ascii="Arial" w:eastAsia="Times New Roman" w:hAnsi="Arial" w:cs="Arial"/>
                <w:kern w:val="0"/>
                <w:sz w:val="18"/>
                <w:szCs w:val="18"/>
                <w14:ligatures w14:val="none"/>
              </w:rPr>
              <w:t xml:space="preserve"> score</w:t>
            </w:r>
          </w:p>
          <w:p w14:paraId="0EAB5CE6"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w:t>
            </w:r>
            <w:proofErr w:type="spellStart"/>
            <w:r w:rsidRPr="000D5F48">
              <w:rPr>
                <w:rFonts w:ascii="Arial" w:eastAsia="Times New Roman" w:hAnsi="Arial" w:cs="Arial"/>
                <w:kern w:val="0"/>
                <w:sz w:val="18"/>
                <w:szCs w:val="18"/>
                <w14:ligatures w14:val="none"/>
              </w:rPr>
              <w:t>Clashscore</w:t>
            </w:r>
            <w:proofErr w:type="spellEnd"/>
          </w:p>
          <w:p w14:paraId="5F178D83"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Poor rotamers (%)   </w:t>
            </w:r>
          </w:p>
        </w:tc>
        <w:tc>
          <w:tcPr>
            <w:tcW w:w="1619" w:type="dxa"/>
          </w:tcPr>
          <w:p w14:paraId="259CD00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0BE4820B"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1.95</w:t>
            </w:r>
          </w:p>
          <w:p w14:paraId="585DA50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9.04</w:t>
            </w:r>
          </w:p>
          <w:p w14:paraId="1B8FFC5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2.91</w:t>
            </w:r>
          </w:p>
        </w:tc>
        <w:tc>
          <w:tcPr>
            <w:tcW w:w="1620" w:type="dxa"/>
          </w:tcPr>
          <w:p w14:paraId="7DD1764A"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67B3F469"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1.50</w:t>
            </w:r>
          </w:p>
          <w:p w14:paraId="7DB43FD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4.88</w:t>
            </w:r>
          </w:p>
          <w:p w14:paraId="0701802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1.28</w:t>
            </w:r>
          </w:p>
        </w:tc>
        <w:tc>
          <w:tcPr>
            <w:tcW w:w="1529" w:type="dxa"/>
          </w:tcPr>
          <w:p w14:paraId="5F9D633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33F3AD5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264DA83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0C3B1602"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Pr>
          <w:p w14:paraId="51C7FDE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0064631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2639E02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155891C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r w:rsidR="000D5F48" w:rsidRPr="000D5F48" w14:paraId="61FEA630" w14:textId="77777777" w:rsidTr="00FB11A4">
        <w:tc>
          <w:tcPr>
            <w:tcW w:w="2882" w:type="dxa"/>
            <w:tcBorders>
              <w:bottom w:val="single" w:sz="4" w:space="0" w:color="auto"/>
            </w:tcBorders>
          </w:tcPr>
          <w:p w14:paraId="4E1756B0"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Ramachandran plot</w:t>
            </w:r>
          </w:p>
          <w:p w14:paraId="706585B7"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Favored (%)</w:t>
            </w:r>
          </w:p>
          <w:p w14:paraId="01C79DEB"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Allowed (%)</w:t>
            </w:r>
          </w:p>
          <w:p w14:paraId="6201EB27" w14:textId="77777777" w:rsidR="000D5F48" w:rsidRPr="000D5F48" w:rsidRDefault="000D5F48" w:rsidP="000D5F48">
            <w:pPr>
              <w:spacing w:after="0" w:line="240" w:lineRule="auto"/>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 xml:space="preserve">    Disallowed (%)</w:t>
            </w:r>
          </w:p>
        </w:tc>
        <w:tc>
          <w:tcPr>
            <w:tcW w:w="1619" w:type="dxa"/>
            <w:tcBorders>
              <w:bottom w:val="single" w:sz="4" w:space="0" w:color="auto"/>
            </w:tcBorders>
          </w:tcPr>
          <w:p w14:paraId="7EA72C8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6E6352F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97.4</w:t>
            </w:r>
          </w:p>
          <w:p w14:paraId="7371A79D"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2.6</w:t>
            </w:r>
          </w:p>
          <w:p w14:paraId="6A38179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w:t>
            </w:r>
          </w:p>
        </w:tc>
        <w:tc>
          <w:tcPr>
            <w:tcW w:w="1620" w:type="dxa"/>
            <w:tcBorders>
              <w:bottom w:val="single" w:sz="4" w:space="0" w:color="auto"/>
            </w:tcBorders>
          </w:tcPr>
          <w:p w14:paraId="04ECCDF3"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0BA5A691"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97.05</w:t>
            </w:r>
          </w:p>
          <w:p w14:paraId="6CF3C07F"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2.74</w:t>
            </w:r>
          </w:p>
          <w:p w14:paraId="5E2CAE56"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0.20</w:t>
            </w:r>
          </w:p>
        </w:tc>
        <w:tc>
          <w:tcPr>
            <w:tcW w:w="1529" w:type="dxa"/>
            <w:tcBorders>
              <w:bottom w:val="single" w:sz="4" w:space="0" w:color="auto"/>
            </w:tcBorders>
          </w:tcPr>
          <w:p w14:paraId="73291027"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095D8C2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64D566F0"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69DAF1AE"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c>
          <w:tcPr>
            <w:tcW w:w="1710" w:type="dxa"/>
            <w:tcBorders>
              <w:bottom w:val="single" w:sz="4" w:space="0" w:color="auto"/>
            </w:tcBorders>
          </w:tcPr>
          <w:p w14:paraId="0F76A104"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p>
          <w:p w14:paraId="550BD325"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41B0113A"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p w14:paraId="1A91AF4C" w14:textId="77777777" w:rsidR="000D5F48" w:rsidRPr="000D5F48" w:rsidRDefault="000D5F48" w:rsidP="000D5F48">
            <w:pPr>
              <w:spacing w:after="0" w:line="240" w:lineRule="auto"/>
              <w:jc w:val="center"/>
              <w:rPr>
                <w:rFonts w:ascii="Arial" w:eastAsia="Times New Roman" w:hAnsi="Arial" w:cs="Arial"/>
                <w:kern w:val="0"/>
                <w:sz w:val="18"/>
                <w:szCs w:val="18"/>
                <w14:ligatures w14:val="none"/>
              </w:rPr>
            </w:pPr>
            <w:r w:rsidRPr="000D5F48">
              <w:rPr>
                <w:rFonts w:ascii="Arial" w:eastAsia="Times New Roman" w:hAnsi="Arial" w:cs="Arial"/>
                <w:kern w:val="0"/>
                <w:sz w:val="18"/>
                <w:szCs w:val="18"/>
                <w14:ligatures w14:val="none"/>
              </w:rPr>
              <w:t>-</w:t>
            </w:r>
          </w:p>
        </w:tc>
      </w:tr>
    </w:tbl>
    <w:p w14:paraId="013A6665" w14:textId="77777777" w:rsidR="000D5F48" w:rsidRPr="000D5F48" w:rsidRDefault="000D5F48" w:rsidP="000D5F48">
      <w:pPr>
        <w:spacing w:after="0" w:line="240" w:lineRule="auto"/>
      </w:pPr>
    </w:p>
    <w:p w14:paraId="168FE1C3" w14:textId="77777777" w:rsidR="000E60AE" w:rsidRDefault="000E60AE"/>
    <w:p w14:paraId="050B1097" w14:textId="77777777" w:rsidR="000E60AE" w:rsidRDefault="000E60AE"/>
    <w:p w14:paraId="430F6345" w14:textId="77777777" w:rsidR="000E60AE" w:rsidRDefault="000E60AE"/>
    <w:p w14:paraId="3156BDCD" w14:textId="14881161" w:rsidR="000D5F48" w:rsidRDefault="000D5F48">
      <w:r>
        <w:br w:type="page"/>
      </w:r>
    </w:p>
    <w:tbl>
      <w:tblPr>
        <w:tblStyle w:val="PlainTable3"/>
        <w:tblpPr w:leftFromText="180" w:rightFromText="180" w:vertAnchor="page" w:horzAnchor="margin" w:tblpY="1849"/>
        <w:tblW w:w="0" w:type="auto"/>
        <w:tblLayout w:type="fixed"/>
        <w:tblLook w:val="04A0" w:firstRow="1" w:lastRow="0" w:firstColumn="1" w:lastColumn="0" w:noHBand="0" w:noVBand="1"/>
      </w:tblPr>
      <w:tblGrid>
        <w:gridCol w:w="1170"/>
        <w:gridCol w:w="8190"/>
      </w:tblGrid>
      <w:tr w:rsidR="00B63DAC" w14:paraId="33DA7935" w14:textId="77777777" w:rsidTr="000E60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70" w:type="dxa"/>
          </w:tcPr>
          <w:p w14:paraId="66F81F35" w14:textId="0482DD71" w:rsidR="00B63DAC" w:rsidRDefault="000E60AE" w:rsidP="000E60AE">
            <w:r>
              <w:rPr>
                <w:noProof/>
              </w:rPr>
              <w:lastRenderedPageBreak/>
              <mc:AlternateContent>
                <mc:Choice Requires="wps">
                  <w:drawing>
                    <wp:anchor distT="0" distB="0" distL="114300" distR="114300" simplePos="0" relativeHeight="251659264" behindDoc="0" locked="0" layoutInCell="1" allowOverlap="1" wp14:anchorId="2B75E9E1" wp14:editId="45FD5377">
                      <wp:simplePos x="0" y="0"/>
                      <wp:positionH relativeFrom="column">
                        <wp:posOffset>-45720</wp:posOffset>
                      </wp:positionH>
                      <wp:positionV relativeFrom="paragraph">
                        <wp:posOffset>-289560</wp:posOffset>
                      </wp:positionV>
                      <wp:extent cx="5913120" cy="274320"/>
                      <wp:effectExtent l="0" t="0" r="5080" b="5080"/>
                      <wp:wrapNone/>
                      <wp:docPr id="558304337" name="Text Box 1"/>
                      <wp:cNvGraphicFramePr/>
                      <a:graphic xmlns:a="http://schemas.openxmlformats.org/drawingml/2006/main">
                        <a:graphicData uri="http://schemas.microsoft.com/office/word/2010/wordprocessingShape">
                          <wps:wsp>
                            <wps:cNvSpPr txBox="1"/>
                            <wps:spPr>
                              <a:xfrm>
                                <a:off x="0" y="0"/>
                                <a:ext cx="5913120" cy="274320"/>
                              </a:xfrm>
                              <a:prstGeom prst="rect">
                                <a:avLst/>
                              </a:prstGeom>
                              <a:solidFill>
                                <a:schemeClr val="lt1"/>
                              </a:solidFill>
                              <a:ln w="6350">
                                <a:noFill/>
                              </a:ln>
                            </wps:spPr>
                            <wps:txbx>
                              <w:txbxContent>
                                <w:p w14:paraId="57EA66CB" w14:textId="6178CD07" w:rsidR="000E60AE" w:rsidRPr="00FB7EEE" w:rsidRDefault="000E60AE">
                                  <w:pPr>
                                    <w:rPr>
                                      <w:b/>
                                      <w:bCs/>
                                      <w:sz w:val="22"/>
                                      <w:szCs w:val="22"/>
                                    </w:rPr>
                                  </w:pPr>
                                  <w:bookmarkStart w:id="13" w:name="_Toc235468005"/>
                                  <w:r w:rsidRPr="005D2C85">
                                    <w:rPr>
                                      <w:rStyle w:val="Heading2Char"/>
                                      <w:rFonts w:asciiTheme="minorHAnsi" w:hAnsiTheme="minorHAnsi"/>
                                      <w:b/>
                                      <w:bCs/>
                                      <w:color w:val="000000" w:themeColor="text1"/>
                                      <w:sz w:val="22"/>
                                      <w:szCs w:val="22"/>
                                    </w:rPr>
                                    <w:t>Supplementary T</w:t>
                                  </w:r>
                                  <w:r w:rsidR="0033692A" w:rsidRPr="005D2C85">
                                    <w:rPr>
                                      <w:rStyle w:val="Heading2Char"/>
                                      <w:rFonts w:asciiTheme="minorHAnsi" w:hAnsiTheme="minorHAnsi"/>
                                      <w:b/>
                                      <w:bCs/>
                                      <w:color w:val="000000" w:themeColor="text1"/>
                                      <w:sz w:val="22"/>
                                      <w:szCs w:val="22"/>
                                    </w:rPr>
                                    <w:t>able 2</w:t>
                                  </w:r>
                                  <w:bookmarkEnd w:id="13"/>
                                  <w:r w:rsidR="0033692A" w:rsidRPr="00FB7EEE">
                                    <w:rPr>
                                      <w:b/>
                                      <w:bCs/>
                                      <w:sz w:val="22"/>
                                      <w:szCs w:val="22"/>
                                    </w:rPr>
                                    <w:t>. Protein sequences of constructs used in this study</w:t>
                                  </w:r>
                                  <w:r w:rsidR="00733766">
                                    <w:rPr>
                                      <w:b/>
                                      <w:bCs/>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75E9E1" id="_x0000_t202" coordsize="21600,21600" o:spt="202" path="m,l,21600r21600,l21600,xe">
                      <v:stroke joinstyle="miter"/>
                      <v:path gradientshapeok="t" o:connecttype="rect"/>
                    </v:shapetype>
                    <v:shape id="Text Box 1" o:spid="_x0000_s1026" type="#_x0000_t202" style="position:absolute;margin-left:-3.6pt;margin-top:-22.8pt;width:465.6pt;height:21.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" fillcolor="white [3201]" stroked="f" strokeweight=".5pt">
                      <v:textbox>
                        <w:txbxContent>
                          <w:p w14:paraId="57EA66CB" w14:textId="6178CD07" w:rsidR="000E60AE" w:rsidRPr="00FB7EEE" w:rsidRDefault="000E60AE">
                            <w:pPr>
                              <w:rPr>
                                <w:b/>
                                <w:bCs/>
                                <w:sz w:val="22"/>
                                <w:szCs w:val="22"/>
                              </w:rPr>
                            </w:pPr>
                            <w:bookmarkStart w:id="14" w:name="_Toc235468005"/>
                            <w:r w:rsidRPr="005D2C85">
                              <w:rPr>
                                <w:rStyle w:val="Heading2Char"/>
                                <w:rFonts w:asciiTheme="minorHAnsi" w:hAnsiTheme="minorHAnsi"/>
                                <w:b/>
                                <w:bCs/>
                                <w:color w:val="000000" w:themeColor="text1"/>
                                <w:sz w:val="22"/>
                                <w:szCs w:val="22"/>
                              </w:rPr>
                              <w:t>Supplementary T</w:t>
                            </w:r>
                            <w:r w:rsidR="0033692A" w:rsidRPr="005D2C85">
                              <w:rPr>
                                <w:rStyle w:val="Heading2Char"/>
                                <w:rFonts w:asciiTheme="minorHAnsi" w:hAnsiTheme="minorHAnsi"/>
                                <w:b/>
                                <w:bCs/>
                                <w:color w:val="000000" w:themeColor="text1"/>
                                <w:sz w:val="22"/>
                                <w:szCs w:val="22"/>
                              </w:rPr>
                              <w:t>able 2</w:t>
                            </w:r>
                            <w:bookmarkEnd w:id="14"/>
                            <w:r w:rsidR="0033692A" w:rsidRPr="00FB7EEE">
                              <w:rPr>
                                <w:b/>
                                <w:bCs/>
                                <w:sz w:val="22"/>
                                <w:szCs w:val="22"/>
                              </w:rPr>
                              <w:t>. Protein sequences of constructs used in this study</w:t>
                            </w:r>
                            <w:r w:rsidR="00733766">
                              <w:rPr>
                                <w:b/>
                                <w:bCs/>
                                <w:sz w:val="22"/>
                                <w:szCs w:val="22"/>
                              </w:rPr>
                              <w:t>.</w:t>
                            </w:r>
                          </w:p>
                        </w:txbxContent>
                      </v:textbox>
                    </v:shape>
                  </w:pict>
                </mc:Fallback>
              </mc:AlternateContent>
            </w:r>
            <w:r w:rsidR="00B63DAC">
              <w:rPr>
                <w:caps w:val="0"/>
              </w:rPr>
              <w:t>Name</w:t>
            </w:r>
          </w:p>
        </w:tc>
        <w:tc>
          <w:tcPr>
            <w:tcW w:w="8190" w:type="dxa"/>
          </w:tcPr>
          <w:p w14:paraId="57D224CC" w14:textId="1109DF04" w:rsidR="00B63DAC" w:rsidRDefault="00B63DAC" w:rsidP="000E60AE">
            <w:pPr>
              <w:cnfStyle w:val="100000000000" w:firstRow="1" w:lastRow="0" w:firstColumn="0" w:lastColumn="0" w:oddVBand="0" w:evenVBand="0" w:oddHBand="0" w:evenHBand="0" w:firstRowFirstColumn="0" w:firstRowLastColumn="0" w:lastRowFirstColumn="0" w:lastRowLastColumn="0"/>
            </w:pPr>
            <w:r>
              <w:rPr>
                <w:caps w:val="0"/>
              </w:rPr>
              <w:t>Protein Sequence</w:t>
            </w:r>
          </w:p>
        </w:tc>
      </w:tr>
      <w:tr w:rsidR="00B63DAC" w14:paraId="3DDC6119"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5F68AA96" w14:textId="37678D0D" w:rsidR="00B63DAC" w:rsidRDefault="00DE3D59" w:rsidP="000E60AE">
            <w:r>
              <w:rPr>
                <w:caps w:val="0"/>
              </w:rPr>
              <w:t>His-</w:t>
            </w:r>
            <w:proofErr w:type="spellStart"/>
            <w:r>
              <w:rPr>
                <w:caps w:val="0"/>
              </w:rPr>
              <w:t>MxGeo</w:t>
            </w:r>
            <w:r w:rsidR="00927B12">
              <w:rPr>
                <w:caps w:val="0"/>
              </w:rPr>
              <w:t>A</w:t>
            </w:r>
            <w:proofErr w:type="spellEnd"/>
          </w:p>
        </w:tc>
        <w:tc>
          <w:tcPr>
            <w:tcW w:w="8190" w:type="dxa"/>
          </w:tcPr>
          <w:p w14:paraId="4D652F82" w14:textId="2C4A72B3" w:rsidR="00B63DAC" w:rsidRPr="00DE3D59" w:rsidRDefault="00DE3D59" w:rsidP="000E60AE">
            <w:pPr>
              <w:jc w:val="both"/>
              <w:cnfStyle w:val="000000100000" w:firstRow="0" w:lastRow="0" w:firstColumn="0" w:lastColumn="0" w:oddVBand="0" w:evenVBand="0" w:oddHBand="1" w:evenHBand="0" w:firstRowFirstColumn="0" w:firstRowLastColumn="0" w:lastRowFirstColumn="0" w:lastRowLastColumn="0"/>
              <w:rPr>
                <w:sz w:val="22"/>
                <w:szCs w:val="22"/>
              </w:rPr>
            </w:pPr>
            <w:r w:rsidRPr="00DE3D59">
              <w:rPr>
                <w:sz w:val="22"/>
                <w:szCs w:val="22"/>
              </w:rPr>
              <w:t>M</w:t>
            </w:r>
            <w:r w:rsidRPr="0063128A">
              <w:rPr>
                <w:sz w:val="22"/>
                <w:szCs w:val="22"/>
                <w:u w:val="single"/>
              </w:rPr>
              <w:t>HHHHHHGGGSENLYFQG</w:t>
            </w:r>
            <w:r w:rsidRPr="00DE3D59">
              <w:rPr>
                <w:sz w:val="22"/>
                <w:szCs w:val="22"/>
              </w:rPr>
              <w:t xml:space="preserve">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SGGAGGFFLGPNGLGTSAARLPQSPTALGLTRLKNFSHVPYQPVGPVKLPKFYMPYSTKPS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QWWMSGVLIWHQTVDRYKEFELRASRKLAPRLSSGPTGLGTSAARITSLFANLRSGA* </w:t>
            </w:r>
          </w:p>
        </w:tc>
      </w:tr>
      <w:tr w:rsidR="00B63DAC" w14:paraId="1C126914" w14:textId="77777777" w:rsidTr="000E60AE">
        <w:tc>
          <w:tcPr>
            <w:cnfStyle w:val="001000000000" w:firstRow="0" w:lastRow="0" w:firstColumn="1" w:lastColumn="0" w:oddVBand="0" w:evenVBand="0" w:oddHBand="0" w:evenHBand="0" w:firstRowFirstColumn="0" w:firstRowLastColumn="0" w:lastRowFirstColumn="0" w:lastRowLastColumn="0"/>
            <w:tcW w:w="1170" w:type="dxa"/>
          </w:tcPr>
          <w:p w14:paraId="4A85D1E0" w14:textId="3BFCB382" w:rsidR="00B63DAC" w:rsidRDefault="00DE3D59" w:rsidP="000E60AE">
            <w:r>
              <w:rPr>
                <w:caps w:val="0"/>
              </w:rPr>
              <w:t>His-MxEnc1</w:t>
            </w:r>
          </w:p>
        </w:tc>
        <w:tc>
          <w:tcPr>
            <w:tcW w:w="8190" w:type="dxa"/>
          </w:tcPr>
          <w:p w14:paraId="0AD15765" w14:textId="189582FA" w:rsidR="00B63DAC" w:rsidRPr="00DE3D59" w:rsidRDefault="00DE3D59" w:rsidP="000E60AE">
            <w:pPr>
              <w:cnfStyle w:val="000000000000" w:firstRow="0" w:lastRow="0" w:firstColumn="0" w:lastColumn="0" w:oddVBand="0" w:evenVBand="0" w:oddHBand="0" w:evenHBand="0" w:firstRowFirstColumn="0" w:firstRowLastColumn="0" w:lastRowFirstColumn="0" w:lastRowLastColumn="0"/>
              <w:rPr>
                <w:sz w:val="22"/>
                <w:szCs w:val="22"/>
              </w:rPr>
            </w:pPr>
            <w:r w:rsidRPr="00DE3D59">
              <w:rPr>
                <w:sz w:val="22"/>
                <w:szCs w:val="22"/>
              </w:rPr>
              <w:t>M</w:t>
            </w:r>
            <w:r w:rsidRPr="0063128A">
              <w:rPr>
                <w:sz w:val="22"/>
                <w:szCs w:val="22"/>
                <w:u w:val="single"/>
              </w:rPr>
              <w:t>HHHHHH</w:t>
            </w:r>
            <w:r w:rsidRPr="00DE3D59">
              <w:rPr>
                <w:sz w:val="22"/>
                <w:szCs w:val="22"/>
              </w:rPr>
              <w:t xml:space="preserve">SNIIKPGSDAEKSQLSLGTAAARQLATTTKSVPQMQGISSRWLLKLLPWVQVS GGVYRVNRRLSYAVGDGRVTFTTTGAKVQVIPQELCELPLLRSYDDVEVLTALANRFEQK TYKAGDVITEVGKEADCIVLIAHGKVNKIGAGKYGDATVLGVLADGDHYSYEALLESQD YWKFTAKAATASTVLVLQQSDFEAVMAQSPSLHKHVEQFKARSKKKQDTTGQAEIELAA GHTGEPVLPGTYVDYETSPREYELSVAQTVLQIHTRVADLFNEPMNQTEQQLRLTVEALK ERKEHELINNREFGLLHNADLKQRIHTRRGPPTPDDMDELLATVWKEPSFFLAHPRAIAAF GQECSRKGIYPTSVDFNGNMVPAWRGVPIFPCSKIPVSDSRTTSIMLMRAGEKNQGVIGLH PGTIPDEIEAGLNVRFMGINEKAIINYLVTSYFSAAVLVPDALGILESVEIGRGD* </w:t>
            </w:r>
          </w:p>
        </w:tc>
      </w:tr>
      <w:tr w:rsidR="00DE3D59" w14:paraId="3132338B"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0955DE44" w14:textId="60CD4298" w:rsidR="00DE3D59" w:rsidRDefault="00DE3D59" w:rsidP="000E60AE">
            <w:r>
              <w:rPr>
                <w:caps w:val="0"/>
              </w:rPr>
              <w:t>His-MxEnc2</w:t>
            </w:r>
          </w:p>
        </w:tc>
        <w:tc>
          <w:tcPr>
            <w:tcW w:w="8190" w:type="dxa"/>
          </w:tcPr>
          <w:p w14:paraId="3E3C7A72" w14:textId="3249034B" w:rsidR="00DE3D59" w:rsidRPr="00DE3D59" w:rsidRDefault="00DE3D59" w:rsidP="000E60AE">
            <w:pPr>
              <w:cnfStyle w:val="000000100000" w:firstRow="0" w:lastRow="0" w:firstColumn="0" w:lastColumn="0" w:oddVBand="0" w:evenVBand="0" w:oddHBand="1" w:evenHBand="0" w:firstRowFirstColumn="0" w:firstRowLastColumn="0" w:lastRowFirstColumn="0" w:lastRowLastColumn="0"/>
              <w:rPr>
                <w:sz w:val="22"/>
                <w:szCs w:val="22"/>
              </w:rPr>
            </w:pPr>
            <w:r w:rsidRPr="00DE3D59">
              <w:rPr>
                <w:sz w:val="22"/>
                <w:szCs w:val="22"/>
              </w:rPr>
              <w:t>M</w:t>
            </w:r>
            <w:r w:rsidRPr="0063128A">
              <w:rPr>
                <w:sz w:val="22"/>
                <w:szCs w:val="22"/>
                <w:u w:val="single"/>
              </w:rPr>
              <w:t>HHHHHH</w:t>
            </w:r>
            <w:r w:rsidRPr="00DE3D59">
              <w:rPr>
                <w:sz w:val="22"/>
                <w:szCs w:val="22"/>
              </w:rPr>
              <w:t xml:space="preserve">TKFVKTGDDTPRLSLGTAAARQLATTTKTVPQMQGITPRWLLRMLPWVEVT GGTYRVNRRLSYAVADDRLVFSNIGAKVQVIPQELLKLPLLRGLSGDDEVIAALASQFTQA EYKAGDVIVEAGAPAEHVFLLAHGKARKLRAGPYGAPVTLDVLADGDHFGDQAVVESD DVWTFTVKATTPCTVLSLPQQVFEGLIARSATLRAQVERYRERLKKPQDKLGQAAIPLAA GHSGEPDIQGGYVDYELTPREYELSVAQTVLRVHTRVSDVFSDPMDQTEQQLRLTIEALRE RQEHELINNRDFGLLHNADLKQRVHTRNGPPTPDDLDELLSRRRKSRFFLAHPRTIAAFGR ECTRRGIYPTPIEVQGTPCMAWRGVPLLPCDKIPITEQRTSSILVLRTGQEDQGVIGLRRTGL PDEVEPGLSVRRMDVTDKAITNYLVSTYFSAALLIPDALGVLENVELGG* </w:t>
            </w:r>
          </w:p>
        </w:tc>
      </w:tr>
      <w:tr w:rsidR="00DE3D59" w14:paraId="05AFDB55" w14:textId="77777777" w:rsidTr="000E60AE">
        <w:tc>
          <w:tcPr>
            <w:cnfStyle w:val="001000000000" w:firstRow="0" w:lastRow="0" w:firstColumn="1" w:lastColumn="0" w:oddVBand="0" w:evenVBand="0" w:oddHBand="0" w:evenHBand="0" w:firstRowFirstColumn="0" w:firstRowLastColumn="0" w:lastRowFirstColumn="0" w:lastRowLastColumn="0"/>
            <w:tcW w:w="1170" w:type="dxa"/>
          </w:tcPr>
          <w:p w14:paraId="2642C73D" w14:textId="445D0316" w:rsidR="00DE3D59" w:rsidRDefault="00DE3D59" w:rsidP="000E60AE">
            <w:proofErr w:type="spellStart"/>
            <w:r>
              <w:rPr>
                <w:caps w:val="0"/>
              </w:rPr>
              <w:t>MxGeo</w:t>
            </w:r>
            <w:r w:rsidR="00927B12">
              <w:rPr>
                <w:caps w:val="0"/>
              </w:rPr>
              <w:t>A</w:t>
            </w:r>
            <w:proofErr w:type="spellEnd"/>
          </w:p>
        </w:tc>
        <w:tc>
          <w:tcPr>
            <w:tcW w:w="8190" w:type="dxa"/>
          </w:tcPr>
          <w:p w14:paraId="6AE2464D" w14:textId="344EB3B9" w:rsidR="00DE3D59" w:rsidRDefault="00DE3D59" w:rsidP="000E60AE">
            <w:pPr>
              <w:cnfStyle w:val="000000000000" w:firstRow="0" w:lastRow="0" w:firstColumn="0" w:lastColumn="0" w:oddVBand="0" w:evenVBand="0" w:oddHBand="0" w:evenHBand="0" w:firstRowFirstColumn="0" w:firstRowLastColumn="0" w:lastRowFirstColumn="0" w:lastRowLastColumn="0"/>
            </w:pPr>
            <w:r w:rsidRPr="00DE3D59">
              <w:rPr>
                <w:sz w:val="22"/>
                <w:szCs w:val="22"/>
              </w:rPr>
              <w:t xml:space="preserve">MSTAKNKQPFELPDFYVPWPARLNPNLEGARVHSKAWAREL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SGGAGGFFLGPNGLGTSAARLPQSPTALGLTRLKNFSHVPYQPVGPVKLPKFYMPYSTKPS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QWWMSGVLIWHQTVDRYKEFELRASRKLAPRLSSGPTGLGTSAARITSLFANLRSGA* </w:t>
            </w:r>
          </w:p>
        </w:tc>
      </w:tr>
      <w:tr w:rsidR="00DE3D59" w14:paraId="04669850"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333A2983" w14:textId="3F403DD4" w:rsidR="00DE3D59" w:rsidRDefault="00DE3D59" w:rsidP="000E60AE">
            <w:r>
              <w:rPr>
                <w:caps w:val="0"/>
              </w:rPr>
              <w:t>MxEnc1</w:t>
            </w:r>
          </w:p>
        </w:tc>
        <w:tc>
          <w:tcPr>
            <w:tcW w:w="8190" w:type="dxa"/>
          </w:tcPr>
          <w:p w14:paraId="595747B4" w14:textId="019F81FD" w:rsidR="00DE3D59" w:rsidRDefault="00DE3D59" w:rsidP="000E60AE">
            <w:pPr>
              <w:cnfStyle w:val="000000100000" w:firstRow="0" w:lastRow="0" w:firstColumn="0" w:lastColumn="0" w:oddVBand="0" w:evenVBand="0" w:oddHBand="1" w:evenHBand="0" w:firstRowFirstColumn="0" w:firstRowLastColumn="0" w:lastRowFirstColumn="0" w:lastRowLastColumn="0"/>
            </w:pPr>
            <w:r w:rsidRPr="00DE3D59">
              <w:rPr>
                <w:sz w:val="22"/>
                <w:szCs w:val="22"/>
              </w:rPr>
              <w:t xml:space="preserve">MSNIIKPGSDAEKSQLSLGTAAARQLATTTKSVPQMQGISSRWLLKLLPWVQVS GGVYRVNRRLSYAVGDGRVTFTTTGAKVQVIPQELCELPLLRSYDDVEVLTALANRFEQK TYKAGDVITEVGKEADCIVLIAHGKVNKIGAGKYGDATVLGVLADGDHYSYEALLESQD </w:t>
            </w:r>
            <w:r w:rsidRPr="00DE3D59">
              <w:rPr>
                <w:sz w:val="22"/>
                <w:szCs w:val="22"/>
              </w:rPr>
              <w:lastRenderedPageBreak/>
              <w:t xml:space="preserve">YWKFTAKAATASTVLVLQQSDFEAVMAQSPSLHKHVEQFKARSKKKQDTTGQAEIELAA GHTGEPVLPGTYVDYETSPREYELSVAQTVLQIHTRVADLFNEPMNQTEQQLRLTVEALK ERKEHELINNREFGLLHNADLKQRIHTRRGPPTPDDMDELLATVWKEPSFFLAHPRAIAAF GQECSRKGIYPTSVDFNGNMVPAWRGVPIFPCSKIPVSDSRTTSIMLMRAGEKNQGVIGLH PGTIPDEIEAGLNVRFMGINEKAIINYLVTSYFSAAVLVPDALGILESVEIGRGD* </w:t>
            </w:r>
          </w:p>
        </w:tc>
      </w:tr>
      <w:tr w:rsidR="00DE3D59" w14:paraId="3393AA00" w14:textId="77777777" w:rsidTr="000E60AE">
        <w:tc>
          <w:tcPr>
            <w:cnfStyle w:val="001000000000" w:firstRow="0" w:lastRow="0" w:firstColumn="1" w:lastColumn="0" w:oddVBand="0" w:evenVBand="0" w:oddHBand="0" w:evenHBand="0" w:firstRowFirstColumn="0" w:firstRowLastColumn="0" w:lastRowFirstColumn="0" w:lastRowLastColumn="0"/>
            <w:tcW w:w="1170" w:type="dxa"/>
          </w:tcPr>
          <w:p w14:paraId="4218938C" w14:textId="3E9EBC39" w:rsidR="00DE3D59" w:rsidRDefault="00927B12" w:rsidP="000E60AE">
            <w:r>
              <w:rPr>
                <w:caps w:val="0"/>
              </w:rPr>
              <w:lastRenderedPageBreak/>
              <w:t>His-</w:t>
            </w:r>
            <w:proofErr w:type="spellStart"/>
            <w:r>
              <w:rPr>
                <w:caps w:val="0"/>
              </w:rPr>
              <w:t>MxGeoA</w:t>
            </w:r>
            <w:proofErr w:type="spellEnd"/>
            <w:r>
              <w:rPr>
                <w:caps w:val="0"/>
              </w:rPr>
              <w:t xml:space="preserve"> NTD</w:t>
            </w:r>
          </w:p>
        </w:tc>
        <w:tc>
          <w:tcPr>
            <w:tcW w:w="8190" w:type="dxa"/>
          </w:tcPr>
          <w:p w14:paraId="43E14151" w14:textId="2F444244" w:rsidR="00DE3D59" w:rsidRPr="00927B12" w:rsidRDefault="00927B12" w:rsidP="000E60AE">
            <w:pPr>
              <w:cnfStyle w:val="000000000000" w:firstRow="0" w:lastRow="0" w:firstColumn="0" w:lastColumn="0" w:oddVBand="0" w:evenVBand="0" w:oddHBand="0" w:evenHBand="0" w:firstRowFirstColumn="0" w:firstRowLastColumn="0" w:lastRowFirstColumn="0" w:lastRowLastColumn="0"/>
              <w:rPr>
                <w:sz w:val="22"/>
                <w:szCs w:val="22"/>
              </w:rPr>
            </w:pPr>
            <w:r w:rsidRPr="00927B12">
              <w:rPr>
                <w:sz w:val="22"/>
                <w:szCs w:val="22"/>
              </w:rPr>
              <w:t>M</w:t>
            </w:r>
            <w:r w:rsidRPr="0063128A">
              <w:rPr>
                <w:sz w:val="22"/>
                <w:szCs w:val="22"/>
                <w:u w:val="single"/>
              </w:rPr>
              <w:t>GSSHHHHHHSSGLVPRGSH</w:t>
            </w:r>
            <w:r w:rsidRPr="00927B12">
              <w:rPr>
                <w:sz w:val="22"/>
                <w:szCs w:val="22"/>
              </w:rPr>
              <w:t>MSTAKNKQPFELPDFYVPWPARLNPNLEGARVHSKAWARELGIIGRPKDGSAPEIWSEAKFDAMDYALLCAYTHPEAPGPELDLVTDWYVWVFYFDDHFLELYKRPQDQVGAKAYLDRLPLFMPVDPAATPPPPTNPVEAGLLDLWNRTVPSRSMAWRRRFFESTKHLLDESSWELSNISDRRVSNPIEYIEMRRKVGGAPWSANLVEHAVFAEVPDRVAASRPMRVLKDTFSDAVHLRNDLFSYEREILEEGELSNGVLVMEKFLNISPPSAAHLVNEVLTSRLQQFENTVLTELPSLFVEFGLNPVEQAQVLTYVRGLQDWQSGGHEWHMRSSRYMNKGSGGAGGFFLGPNGLGTS</w:t>
            </w:r>
            <w:r>
              <w:rPr>
                <w:sz w:val="22"/>
                <w:szCs w:val="22"/>
              </w:rPr>
              <w:t>*</w:t>
            </w:r>
          </w:p>
        </w:tc>
      </w:tr>
      <w:tr w:rsidR="00DE3D59" w14:paraId="46E07D61"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4A9FAACE" w14:textId="729AB3CD" w:rsidR="00DE3D59" w:rsidRDefault="00927B12" w:rsidP="000E60AE">
            <w:r>
              <w:rPr>
                <w:caps w:val="0"/>
              </w:rPr>
              <w:t>His-</w:t>
            </w:r>
            <w:proofErr w:type="spellStart"/>
            <w:r>
              <w:rPr>
                <w:caps w:val="0"/>
              </w:rPr>
              <w:t>MxGeoA</w:t>
            </w:r>
            <w:proofErr w:type="spellEnd"/>
            <w:r>
              <w:rPr>
                <w:caps w:val="0"/>
              </w:rPr>
              <w:t xml:space="preserve"> CTD</w:t>
            </w:r>
          </w:p>
        </w:tc>
        <w:tc>
          <w:tcPr>
            <w:tcW w:w="8190" w:type="dxa"/>
          </w:tcPr>
          <w:p w14:paraId="6A6885C3" w14:textId="68AEE705" w:rsidR="00DE3D59" w:rsidRPr="00927B12" w:rsidRDefault="00927B12" w:rsidP="000E60AE">
            <w:pPr>
              <w:cnfStyle w:val="000000100000" w:firstRow="0" w:lastRow="0" w:firstColumn="0" w:lastColumn="0" w:oddVBand="0" w:evenVBand="0" w:oddHBand="1" w:evenHBand="0" w:firstRowFirstColumn="0" w:firstRowLastColumn="0" w:lastRowFirstColumn="0" w:lastRowLastColumn="0"/>
              <w:rPr>
                <w:sz w:val="22"/>
                <w:szCs w:val="22"/>
              </w:rPr>
            </w:pPr>
            <w:r w:rsidRPr="00927B12">
              <w:rPr>
                <w:sz w:val="22"/>
                <w:szCs w:val="22"/>
              </w:rPr>
              <w:t>M</w:t>
            </w:r>
            <w:r w:rsidRPr="0063128A">
              <w:rPr>
                <w:sz w:val="22"/>
                <w:szCs w:val="22"/>
                <w:u w:val="single"/>
              </w:rPr>
              <w:t>GSSHHHHHHSSGLVPRGSH</w:t>
            </w:r>
            <w:r w:rsidRPr="00927B12">
              <w:rPr>
                <w:sz w:val="22"/>
                <w:szCs w:val="22"/>
              </w:rPr>
              <w:t>MAARLPQSPTALGLTRLKNFSHVPYQPVGPVKLPKFYMPYSTKPSPHLDAARRDSKAWARRMGMLDVLPGVPGGYIWDDHKFDVADVALCGALIHPHATAAQLNLSSCWLVWGTYADDYFPAFYGHTKDMAGAKVFNARLALFVPEDAGAVVPPPTNPVERGLADLWARTTEGVTPASRSLFRKAILDMTESWVWELANQIQNRIPDPIDYVEMRRQTFGSDLTMSLSRLAHGDALPPEVFHTRPIRSLENSAADYACLINDVFSYQKEIEFEGELNNGVLVVQRFLDLDPARAVSVVNDLMTARMQQFEYIIANELEPLARNFNLDGKAQDKLKQYVQKLQWWMSGVLIWHQTVDRYKEFELRASRKLAPRLSSGPTGLGTSAARITSLFANLRSGA</w:t>
            </w:r>
            <w:r>
              <w:rPr>
                <w:sz w:val="22"/>
                <w:szCs w:val="22"/>
              </w:rPr>
              <w:t>*</w:t>
            </w:r>
          </w:p>
        </w:tc>
      </w:tr>
      <w:tr w:rsidR="00927B12" w14:paraId="118605CB" w14:textId="77777777" w:rsidTr="000E60AE">
        <w:tc>
          <w:tcPr>
            <w:cnfStyle w:val="001000000000" w:firstRow="0" w:lastRow="0" w:firstColumn="1" w:lastColumn="0" w:oddVBand="0" w:evenVBand="0" w:oddHBand="0" w:evenHBand="0" w:firstRowFirstColumn="0" w:firstRowLastColumn="0" w:lastRowFirstColumn="0" w:lastRowLastColumn="0"/>
            <w:tcW w:w="1170" w:type="dxa"/>
          </w:tcPr>
          <w:p w14:paraId="4BC79779" w14:textId="13366150" w:rsidR="00927B12" w:rsidRDefault="00927B12" w:rsidP="000E60AE">
            <w:proofErr w:type="spellStart"/>
            <w:r>
              <w:rPr>
                <w:caps w:val="0"/>
              </w:rPr>
              <w:t>MxGeoA</w:t>
            </w:r>
            <w:proofErr w:type="spellEnd"/>
            <w:r>
              <w:rPr>
                <w:caps w:val="0"/>
              </w:rPr>
              <w:t xml:space="preserve"> </w:t>
            </w:r>
            <w:r>
              <w:rPr>
                <w:caps w:val="0"/>
              </w:rPr>
              <w:sym w:font="Symbol" w:char="F044"/>
            </w:r>
            <w:r>
              <w:rPr>
                <w:caps w:val="0"/>
              </w:rPr>
              <w:t>CLP1</w:t>
            </w:r>
          </w:p>
        </w:tc>
        <w:tc>
          <w:tcPr>
            <w:tcW w:w="8190" w:type="dxa"/>
          </w:tcPr>
          <w:p w14:paraId="430AD479" w14:textId="2B1175BA" w:rsidR="00927B12" w:rsidRDefault="00927B12" w:rsidP="000E60AE">
            <w:pPr>
              <w:cnfStyle w:val="000000000000" w:firstRow="0" w:lastRow="0" w:firstColumn="0" w:lastColumn="0" w:oddVBand="0" w:evenVBand="0" w:oddHBand="0" w:evenHBand="0" w:firstRowFirstColumn="0" w:firstRowLastColumn="0" w:lastRowFirstColumn="0" w:lastRowLastColumn="0"/>
            </w:pPr>
            <w:r w:rsidRPr="00DE3D59">
              <w:rPr>
                <w:sz w:val="22"/>
                <w:szCs w:val="22"/>
              </w:rPr>
              <w:t xml:space="preserve">MSTAKNKQPFELPDFYVPWPARLNPNLEGARVHSKAWAREL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QWWMSGVLIWHQTVDRYKEFELRASRKLAPRLSSGPTGLGTSAARITSLFANLRSGA* </w:t>
            </w:r>
          </w:p>
        </w:tc>
      </w:tr>
      <w:tr w:rsidR="00CB5C9C" w14:paraId="0D9B786D"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1CA994A1" w14:textId="351D7E0E" w:rsidR="00CB5C9C" w:rsidRDefault="00CB5C9C" w:rsidP="000E60AE">
            <w:proofErr w:type="spellStart"/>
            <w:r>
              <w:rPr>
                <w:caps w:val="0"/>
              </w:rPr>
              <w:t>MxGeoA</w:t>
            </w:r>
            <w:proofErr w:type="spellEnd"/>
            <w:r>
              <w:rPr>
                <w:caps w:val="0"/>
              </w:rPr>
              <w:t xml:space="preserve"> </w:t>
            </w:r>
            <w:r>
              <w:rPr>
                <w:caps w:val="0"/>
              </w:rPr>
              <w:sym w:font="Symbol" w:char="F044"/>
            </w:r>
            <w:r>
              <w:rPr>
                <w:caps w:val="0"/>
              </w:rPr>
              <w:t>CLP2</w:t>
            </w:r>
          </w:p>
        </w:tc>
        <w:tc>
          <w:tcPr>
            <w:tcW w:w="8190" w:type="dxa"/>
          </w:tcPr>
          <w:p w14:paraId="30B79352" w14:textId="3769A873" w:rsidR="00CB5C9C" w:rsidRDefault="00CB5C9C" w:rsidP="000E60AE">
            <w:pPr>
              <w:cnfStyle w:val="000000100000" w:firstRow="0" w:lastRow="0" w:firstColumn="0" w:lastColumn="0" w:oddVBand="0" w:evenVBand="0" w:oddHBand="1" w:evenHBand="0" w:firstRowFirstColumn="0" w:firstRowLastColumn="0" w:lastRowFirstColumn="0" w:lastRowLastColumn="0"/>
            </w:pPr>
            <w:r w:rsidRPr="00DE3D59">
              <w:rPr>
                <w:sz w:val="22"/>
                <w:szCs w:val="22"/>
              </w:rPr>
              <w:t xml:space="preserve">MSTAKNKQPFELPDFYVPWPARLNPNLEGARVHSKAWAREL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SGGAGGFFLGPNGLGTSAARLPQSPTALGLTRLKNFSHVPYQPVGPVKLPKFYMPYSTKPS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 </w:t>
            </w:r>
          </w:p>
        </w:tc>
      </w:tr>
      <w:tr w:rsidR="00E22D4D" w14:paraId="78F19AB6" w14:textId="77777777" w:rsidTr="000E60AE">
        <w:tc>
          <w:tcPr>
            <w:cnfStyle w:val="001000000000" w:firstRow="0" w:lastRow="0" w:firstColumn="1" w:lastColumn="0" w:oddVBand="0" w:evenVBand="0" w:oddHBand="0" w:evenHBand="0" w:firstRowFirstColumn="0" w:firstRowLastColumn="0" w:lastRowFirstColumn="0" w:lastRowLastColumn="0"/>
            <w:tcW w:w="1170" w:type="dxa"/>
          </w:tcPr>
          <w:p w14:paraId="038C5195" w14:textId="101A2A28" w:rsidR="00E22D4D" w:rsidRDefault="00E22D4D" w:rsidP="000E60AE">
            <w:pPr>
              <w:rPr>
                <w:caps w:val="0"/>
              </w:rPr>
            </w:pPr>
            <w:proofErr w:type="spellStart"/>
            <w:r>
              <w:rPr>
                <w:caps w:val="0"/>
              </w:rPr>
              <w:lastRenderedPageBreak/>
              <w:t>MxGeoA</w:t>
            </w:r>
            <w:proofErr w:type="spellEnd"/>
            <w:r>
              <w:rPr>
                <w:caps w:val="0"/>
              </w:rPr>
              <w:t xml:space="preserve"> mutCLP1</w:t>
            </w:r>
          </w:p>
        </w:tc>
        <w:tc>
          <w:tcPr>
            <w:tcW w:w="8190" w:type="dxa"/>
          </w:tcPr>
          <w:p w14:paraId="39226E63" w14:textId="60C8A67D" w:rsidR="00E22D4D" w:rsidRDefault="00E22D4D" w:rsidP="000E60AE">
            <w:pPr>
              <w:cnfStyle w:val="000000000000" w:firstRow="0" w:lastRow="0" w:firstColumn="0" w:lastColumn="0" w:oddVBand="0" w:evenVBand="0" w:oddHBand="0" w:evenHBand="0" w:firstRowFirstColumn="0" w:firstRowLastColumn="0" w:lastRowFirstColumn="0" w:lastRowLastColumn="0"/>
            </w:pPr>
            <w:r w:rsidRPr="00DE3D59">
              <w:rPr>
                <w:sz w:val="22"/>
                <w:szCs w:val="22"/>
              </w:rPr>
              <w:t>MSTAKNKQPFELPDFYVPWPARLNPNLEGARVHSKAWAREL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w:t>
            </w:r>
            <w:r>
              <w:rPr>
                <w:sz w:val="22"/>
                <w:szCs w:val="22"/>
              </w:rPr>
              <w:t>ASSASSA</w:t>
            </w:r>
            <w:r w:rsidRPr="00DE3D59">
              <w:rPr>
                <w:sz w:val="22"/>
                <w:szCs w:val="22"/>
              </w:rPr>
              <w:t xml:space="preserve">SAARLPQSPTALGLTRLKNFSHVPYQPVGPVKLPKFYMPYSTKPS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QWWMSGVLIWHQTVDRYKEFELRASRKLAPRLSSGPTGLGTSAARITSLFANLRSGA* </w:t>
            </w:r>
          </w:p>
        </w:tc>
      </w:tr>
      <w:tr w:rsidR="00E22D4D" w14:paraId="6FBB0E8F" w14:textId="77777777" w:rsidTr="000E60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651A0A9D" w14:textId="1B153030" w:rsidR="00E22D4D" w:rsidRDefault="00E22D4D" w:rsidP="000E60AE">
            <w:pPr>
              <w:rPr>
                <w:caps w:val="0"/>
              </w:rPr>
            </w:pPr>
            <w:proofErr w:type="spellStart"/>
            <w:r>
              <w:rPr>
                <w:caps w:val="0"/>
              </w:rPr>
              <w:t>MxGeoA</w:t>
            </w:r>
            <w:proofErr w:type="spellEnd"/>
            <w:r>
              <w:rPr>
                <w:caps w:val="0"/>
              </w:rPr>
              <w:t xml:space="preserve"> mutCLP1</w:t>
            </w:r>
            <w:r>
              <w:rPr>
                <w:caps w:val="0"/>
              </w:rPr>
              <w:sym w:font="Symbol" w:char="F044"/>
            </w:r>
            <w:r>
              <w:rPr>
                <w:caps w:val="0"/>
              </w:rPr>
              <w:t>CLP2</w:t>
            </w:r>
          </w:p>
        </w:tc>
        <w:tc>
          <w:tcPr>
            <w:tcW w:w="8190" w:type="dxa"/>
          </w:tcPr>
          <w:p w14:paraId="33160B44" w14:textId="0E39BC79" w:rsidR="00E22D4D" w:rsidRDefault="00E22D4D" w:rsidP="000E60AE">
            <w:pPr>
              <w:cnfStyle w:val="000000100000" w:firstRow="0" w:lastRow="0" w:firstColumn="0" w:lastColumn="0" w:oddVBand="0" w:evenVBand="0" w:oddHBand="1" w:evenHBand="0" w:firstRowFirstColumn="0" w:firstRowLastColumn="0" w:lastRowFirstColumn="0" w:lastRowLastColumn="0"/>
            </w:pPr>
            <w:r w:rsidRPr="00DE3D59">
              <w:rPr>
                <w:sz w:val="22"/>
                <w:szCs w:val="22"/>
              </w:rPr>
              <w:t>MSTAKNKQPFELPDFYVPWPARLNPNLEGARVHSKAWAREL GIIGRPKDGSAPEIWSEAKFDAMDYALLCAYTHPEAPGPELDLVTDWYVWVFYFDDHFLE LYKRPQDQVGAKAYLDRLPLFMPVDPAATPPPPTNPVEAGLLDLWNRTVPSRSMAWRRR FFESTKHLLDESSWELSNISDRRVSNPIEYIEMRRKVGGAPWSANLVEHAVFAEVPDRVAA SRPMRVLKDTFSDAVHLRNDLFSYEREILEEGELSNGVLVMEKFLNISPPSAAHLVNEVLT SRLQQFENTVLTELPSLFVEFGLNPVEQAQVLTYVRGLQDWQSGGHEWHMRSSRYMNKG SGGAGGFFL</w:t>
            </w:r>
            <w:r>
              <w:rPr>
                <w:sz w:val="22"/>
                <w:szCs w:val="22"/>
              </w:rPr>
              <w:t>ASSASSA</w:t>
            </w:r>
            <w:r w:rsidRPr="00DE3D59">
              <w:rPr>
                <w:sz w:val="22"/>
                <w:szCs w:val="22"/>
              </w:rPr>
              <w:t xml:space="preserve">SAARLPQSPTALGLTRLKNFSHVPYQPVGPVKLPKFYMPYSTKPS PHLDAARRDSKAWARRMGMLDVLPGVPGGYIWDDHKFDVADVALCGALIHPHATAAQL NLSSCWLVWGTYADDYFPAFYGHTKDMAGAKVFNARLALFVPEDAGAVVPPPTNPVER GLADLWARTTEGVTPASRSLFRKAILDMTESWVWELANQIQNRIPDPIDYVEMRRQTFGS DLTMSLSRLAHGDALPPEVFHTRPIRSLENSAADYACLINDVFSYQKEIEFEGELNNGVLV VQRFLDLDPARAVSVVNDLMTARMQQFEYIIANELEPLARNFNLDGKAQDKLKQYVQKL QWWMSGVLIWHQTVDRYKEFELRASRKLAPRLSS* </w:t>
            </w:r>
          </w:p>
        </w:tc>
      </w:tr>
    </w:tbl>
    <w:p w14:paraId="7357DA91" w14:textId="67127BFF" w:rsidR="00BE576E" w:rsidRPr="0033692A" w:rsidRDefault="0033692A" w:rsidP="00C25EB3">
      <w:pPr>
        <w:rPr>
          <w:sz w:val="22"/>
          <w:szCs w:val="22"/>
        </w:rPr>
      </w:pPr>
      <w:r w:rsidRPr="0033692A">
        <w:rPr>
          <w:vertAlign w:val="superscript"/>
        </w:rPr>
        <w:t>1</w:t>
      </w:r>
      <w:r w:rsidRPr="0033692A">
        <w:rPr>
          <w:sz w:val="22"/>
          <w:szCs w:val="22"/>
        </w:rPr>
        <w:t>Stops are represented by asterisks</w:t>
      </w:r>
    </w:p>
    <w:p w14:paraId="6AC4A150" w14:textId="1F4ED64E" w:rsidR="00C76366" w:rsidRDefault="0033692A" w:rsidP="00C25EB3">
      <w:pPr>
        <w:rPr>
          <w:sz w:val="22"/>
          <w:szCs w:val="22"/>
        </w:rPr>
      </w:pPr>
      <w:r w:rsidRPr="0033692A">
        <w:rPr>
          <w:sz w:val="22"/>
          <w:szCs w:val="22"/>
          <w:vertAlign w:val="superscript"/>
        </w:rPr>
        <w:t>2</w:t>
      </w:r>
      <w:r w:rsidRPr="0033692A">
        <w:rPr>
          <w:sz w:val="22"/>
          <w:szCs w:val="22"/>
        </w:rPr>
        <w:t>Underlined amino acids represent expression tags</w:t>
      </w:r>
    </w:p>
    <w:p w14:paraId="2E802F73" w14:textId="77777777" w:rsidR="00C76366" w:rsidRDefault="00C76366">
      <w:pPr>
        <w:rPr>
          <w:sz w:val="22"/>
          <w:szCs w:val="22"/>
        </w:rPr>
      </w:pPr>
      <w:r>
        <w:rPr>
          <w:sz w:val="22"/>
          <w:szCs w:val="22"/>
        </w:rPr>
        <w:br w:type="page"/>
      </w:r>
    </w:p>
    <w:p w14:paraId="7D2F6BFD" w14:textId="221F6AE8" w:rsidR="0033692A" w:rsidRPr="005D2C85" w:rsidRDefault="00C76366" w:rsidP="005D2C85">
      <w:pPr>
        <w:pStyle w:val="Heading2"/>
        <w:rPr>
          <w:rFonts w:asciiTheme="minorHAnsi" w:hAnsiTheme="minorHAnsi"/>
          <w:b/>
          <w:bCs/>
          <w:color w:val="000000" w:themeColor="text1"/>
          <w:sz w:val="22"/>
          <w:szCs w:val="22"/>
        </w:rPr>
      </w:pPr>
      <w:bookmarkStart w:id="15" w:name="_Toc235468006"/>
      <w:r w:rsidRPr="005D2C85">
        <w:rPr>
          <w:rFonts w:asciiTheme="minorHAnsi" w:hAnsiTheme="minorHAnsi"/>
          <w:b/>
          <w:bCs/>
          <w:color w:val="000000" w:themeColor="text1"/>
          <w:sz w:val="22"/>
          <w:szCs w:val="22"/>
        </w:rPr>
        <w:lastRenderedPageBreak/>
        <w:t>Supplementary References</w:t>
      </w:r>
      <w:bookmarkEnd w:id="15"/>
    </w:p>
    <w:p w14:paraId="5844947A" w14:textId="243B4CE6" w:rsidR="00C76366" w:rsidRPr="009B13CA" w:rsidRDefault="00C76366" w:rsidP="00C76366">
      <w:pPr>
        <w:pStyle w:val="EndNoteBibliography"/>
        <w:ind w:left="720" w:hanging="720"/>
        <w:rPr>
          <w:i/>
          <w:iCs/>
          <w:noProof/>
        </w:rPr>
      </w:pPr>
      <w:r w:rsidRPr="00B62198">
        <w:rPr>
          <w:color w:val="FF0000"/>
          <w:sz w:val="20"/>
          <w:lang w:val="en-US"/>
        </w:rPr>
        <w:fldChar w:fldCharType="begin"/>
      </w:r>
      <w:r w:rsidRPr="00B62198">
        <w:rPr>
          <w:color w:val="FF0000"/>
          <w:sz w:val="20"/>
          <w:lang w:val="en-US"/>
        </w:rPr>
        <w:instrText xml:space="preserve"> ADDIN EN.REFLIST </w:instrText>
      </w:r>
      <w:r w:rsidRPr="00B62198">
        <w:rPr>
          <w:color w:val="FF0000"/>
          <w:sz w:val="20"/>
          <w:lang w:val="en-US"/>
        </w:rPr>
        <w:fldChar w:fldCharType="separate"/>
      </w:r>
    </w:p>
    <w:p w14:paraId="115F1C50" w14:textId="45F3730D" w:rsidR="00C76366" w:rsidRPr="00711880" w:rsidRDefault="00C76366" w:rsidP="00C76366">
      <w:pPr>
        <w:pStyle w:val="EndNoteBibliography"/>
        <w:ind w:left="720" w:hanging="720"/>
        <w:rPr>
          <w:noProof/>
        </w:rPr>
      </w:pPr>
      <w:r w:rsidRPr="009B13CA">
        <w:rPr>
          <w:i/>
          <w:iCs/>
          <w:noProof/>
        </w:rPr>
        <w:t xml:space="preserve"> </w:t>
      </w:r>
    </w:p>
    <w:p w14:paraId="08CDE04A" w14:textId="77777777" w:rsidR="00C76366" w:rsidRPr="00711880" w:rsidRDefault="00C76366" w:rsidP="00C76366">
      <w:pPr>
        <w:pStyle w:val="EndNoteBibliography"/>
        <w:ind w:left="720" w:hanging="720"/>
        <w:rPr>
          <w:noProof/>
        </w:rPr>
      </w:pPr>
      <w:r w:rsidRPr="00711880">
        <w:rPr>
          <w:noProof/>
        </w:rPr>
        <w:t>67.</w:t>
      </w:r>
      <w:r w:rsidRPr="00711880">
        <w:rPr>
          <w:noProof/>
        </w:rPr>
        <w:tab/>
      </w:r>
      <w:r>
        <w:rPr>
          <w:noProof/>
        </w:rPr>
        <w:t xml:space="preserve">R. </w:t>
      </w:r>
      <w:r w:rsidRPr="00711880">
        <w:rPr>
          <w:noProof/>
        </w:rPr>
        <w:t xml:space="preserve">Zallot, N. Oberg, and J.A. Gerlt, </w:t>
      </w:r>
      <w:r>
        <w:rPr>
          <w:noProof/>
        </w:rPr>
        <w:t>"</w:t>
      </w:r>
      <w:r w:rsidRPr="006A20A1">
        <w:rPr>
          <w:iCs/>
          <w:noProof/>
        </w:rPr>
        <w:t>The EFI Web Resource for Genomic Enzymology Tools: Leveraging Protein, Genome, and Metagenome Databases to Discover Novel Enzymes and Metabolic Pathways</w:t>
      </w:r>
      <w:r>
        <w:rPr>
          <w:iCs/>
          <w:noProof/>
        </w:rPr>
        <w:t>,"</w:t>
      </w:r>
      <w:r w:rsidRPr="006A20A1">
        <w:rPr>
          <w:iCs/>
          <w:noProof/>
        </w:rPr>
        <w:t xml:space="preserve"> </w:t>
      </w:r>
      <w:r w:rsidRPr="006A20A1">
        <w:rPr>
          <w:i/>
          <w:iCs/>
          <w:noProof/>
        </w:rPr>
        <w:t>Biochemistry</w:t>
      </w:r>
      <w:r w:rsidRPr="00711880">
        <w:rPr>
          <w:noProof/>
        </w:rPr>
        <w:t xml:space="preserve"> </w:t>
      </w:r>
      <w:r>
        <w:rPr>
          <w:noProof/>
        </w:rPr>
        <w:t>58 (</w:t>
      </w:r>
      <w:r w:rsidRPr="00711880">
        <w:rPr>
          <w:noProof/>
        </w:rPr>
        <w:t>2019</w:t>
      </w:r>
      <w:r>
        <w:rPr>
          <w:noProof/>
        </w:rPr>
        <w:t>)</w:t>
      </w:r>
      <w:r w:rsidRPr="00711880">
        <w:rPr>
          <w:noProof/>
        </w:rPr>
        <w:t>: 4169-4182.</w:t>
      </w:r>
    </w:p>
    <w:p w14:paraId="5D222556" w14:textId="77777777" w:rsidR="00C76366" w:rsidRPr="00711880" w:rsidRDefault="00C76366" w:rsidP="00C76366">
      <w:pPr>
        <w:pStyle w:val="EndNoteBibliography"/>
        <w:ind w:left="720" w:hanging="720"/>
        <w:rPr>
          <w:noProof/>
        </w:rPr>
      </w:pPr>
      <w:r w:rsidRPr="00711880">
        <w:rPr>
          <w:noProof/>
        </w:rPr>
        <w:t>68.</w:t>
      </w:r>
      <w:r w:rsidRPr="00711880">
        <w:rPr>
          <w:noProof/>
        </w:rPr>
        <w:tab/>
      </w:r>
      <w:r>
        <w:rPr>
          <w:noProof/>
        </w:rPr>
        <w:t xml:space="preserve">N. </w:t>
      </w:r>
      <w:r w:rsidRPr="00711880">
        <w:rPr>
          <w:noProof/>
        </w:rPr>
        <w:t xml:space="preserve">Oberg, R. Zallot, and J.A. Gerlt, </w:t>
      </w:r>
      <w:r>
        <w:rPr>
          <w:noProof/>
        </w:rPr>
        <w:t>"</w:t>
      </w:r>
      <w:r w:rsidRPr="006A20A1">
        <w:rPr>
          <w:iCs/>
          <w:noProof/>
        </w:rPr>
        <w:t>EFI-EST, EFI-GNT, and EFI-CGFP: Enzyme Function Initiative (EFI) Web Resource for Genomic Enzymology Tools</w:t>
      </w:r>
      <w:r>
        <w:rPr>
          <w:iCs/>
          <w:noProof/>
        </w:rPr>
        <w:t>,"</w:t>
      </w:r>
      <w:r w:rsidRPr="006A20A1">
        <w:rPr>
          <w:iCs/>
          <w:noProof/>
        </w:rPr>
        <w:t xml:space="preserve"> </w:t>
      </w:r>
      <w:r w:rsidRPr="00EC3783">
        <w:rPr>
          <w:i/>
          <w:iCs/>
          <w:noProof/>
        </w:rPr>
        <w:t>Journal of Molecular Biology</w:t>
      </w:r>
      <w:r>
        <w:rPr>
          <w:noProof/>
        </w:rPr>
        <w:t xml:space="preserve"> 435 (</w:t>
      </w:r>
      <w:r w:rsidRPr="00711880">
        <w:rPr>
          <w:noProof/>
        </w:rPr>
        <w:t>2023</w:t>
      </w:r>
      <w:r>
        <w:rPr>
          <w:noProof/>
        </w:rPr>
        <w:t>)</w:t>
      </w:r>
      <w:r w:rsidRPr="00711880">
        <w:rPr>
          <w:noProof/>
        </w:rPr>
        <w:t>: 168018.</w:t>
      </w:r>
    </w:p>
    <w:p w14:paraId="01FF45C3" w14:textId="77777777" w:rsidR="00C76366" w:rsidRPr="00711880" w:rsidRDefault="00C76366" w:rsidP="00C76366">
      <w:pPr>
        <w:pStyle w:val="EndNoteBibliography"/>
        <w:ind w:left="720" w:hanging="720"/>
        <w:rPr>
          <w:noProof/>
        </w:rPr>
      </w:pPr>
      <w:r w:rsidRPr="00711880">
        <w:rPr>
          <w:noProof/>
        </w:rPr>
        <w:t>69.</w:t>
      </w:r>
      <w:r w:rsidRPr="00711880">
        <w:rPr>
          <w:noProof/>
        </w:rPr>
        <w:tab/>
      </w:r>
      <w:r>
        <w:rPr>
          <w:noProof/>
        </w:rPr>
        <w:t xml:space="preserve">F. </w:t>
      </w:r>
      <w:r w:rsidRPr="00711880">
        <w:rPr>
          <w:noProof/>
        </w:rPr>
        <w:t>Lemoine,</w:t>
      </w:r>
      <w:r>
        <w:rPr>
          <w:noProof/>
        </w:rPr>
        <w:t xml:space="preserve"> D. Correia, V. Lefort,</w:t>
      </w:r>
      <w:r w:rsidRPr="00711880">
        <w:rPr>
          <w:noProof/>
        </w:rPr>
        <w:t xml:space="preserve"> et al., </w:t>
      </w:r>
      <w:r>
        <w:rPr>
          <w:noProof/>
        </w:rPr>
        <w:t>"</w:t>
      </w:r>
      <w:r w:rsidRPr="00EC3783">
        <w:rPr>
          <w:iCs/>
          <w:noProof/>
        </w:rPr>
        <w:t>NGPhylogeny.fr: new generation phylogenetic services for non-specialists</w:t>
      </w:r>
      <w:r>
        <w:rPr>
          <w:iCs/>
          <w:noProof/>
        </w:rPr>
        <w:t>,"</w:t>
      </w:r>
      <w:r w:rsidRPr="00711880">
        <w:rPr>
          <w:noProof/>
        </w:rPr>
        <w:t xml:space="preserve"> </w:t>
      </w:r>
      <w:r w:rsidRPr="00EC3783">
        <w:rPr>
          <w:i/>
          <w:iCs/>
          <w:noProof/>
        </w:rPr>
        <w:t>Nucleic Acids Research</w:t>
      </w:r>
      <w:r w:rsidRPr="00711880">
        <w:rPr>
          <w:noProof/>
        </w:rPr>
        <w:t xml:space="preserve"> </w:t>
      </w:r>
      <w:r>
        <w:rPr>
          <w:noProof/>
        </w:rPr>
        <w:t>47 (</w:t>
      </w:r>
      <w:r w:rsidRPr="00711880">
        <w:rPr>
          <w:noProof/>
        </w:rPr>
        <w:t>2019</w:t>
      </w:r>
      <w:r>
        <w:rPr>
          <w:noProof/>
        </w:rPr>
        <w:t>)</w:t>
      </w:r>
      <w:r w:rsidRPr="00711880">
        <w:rPr>
          <w:noProof/>
        </w:rPr>
        <w:t>: 260-265.</w:t>
      </w:r>
    </w:p>
    <w:p w14:paraId="3924046F" w14:textId="77777777" w:rsidR="00C76366" w:rsidRPr="00711880" w:rsidRDefault="00C76366" w:rsidP="00C76366">
      <w:pPr>
        <w:pStyle w:val="EndNoteBibliography"/>
        <w:ind w:left="720" w:hanging="720"/>
        <w:rPr>
          <w:noProof/>
        </w:rPr>
      </w:pPr>
      <w:r w:rsidRPr="00711880">
        <w:rPr>
          <w:noProof/>
        </w:rPr>
        <w:t>70.</w:t>
      </w:r>
      <w:r w:rsidRPr="00711880">
        <w:rPr>
          <w:noProof/>
        </w:rPr>
        <w:tab/>
      </w:r>
      <w:r>
        <w:rPr>
          <w:noProof/>
        </w:rPr>
        <w:t xml:space="preserve">K. </w:t>
      </w:r>
      <w:r w:rsidRPr="00711880">
        <w:rPr>
          <w:noProof/>
        </w:rPr>
        <w:t xml:space="preserve">Katoh, and D.M. Standley, </w:t>
      </w:r>
      <w:r>
        <w:rPr>
          <w:noProof/>
        </w:rPr>
        <w:t>"</w:t>
      </w:r>
      <w:r w:rsidRPr="00EC3783">
        <w:rPr>
          <w:iCs/>
          <w:noProof/>
        </w:rPr>
        <w:t>MAFFT Multiple Sequence Alignment Software Version 7: Improvements in Performance and Usability</w:t>
      </w:r>
      <w:r>
        <w:rPr>
          <w:iCs/>
          <w:noProof/>
        </w:rPr>
        <w:t>,"</w:t>
      </w:r>
      <w:r w:rsidRPr="00711880">
        <w:rPr>
          <w:noProof/>
        </w:rPr>
        <w:t xml:space="preserve"> </w:t>
      </w:r>
      <w:r w:rsidRPr="00EC3783">
        <w:rPr>
          <w:i/>
          <w:iCs/>
          <w:noProof/>
        </w:rPr>
        <w:t>Molecular Biology and Evolution</w:t>
      </w:r>
      <w:r w:rsidRPr="00711880">
        <w:rPr>
          <w:noProof/>
        </w:rPr>
        <w:t xml:space="preserve"> </w:t>
      </w:r>
      <w:r>
        <w:rPr>
          <w:noProof/>
        </w:rPr>
        <w:t>30 (</w:t>
      </w:r>
      <w:r w:rsidRPr="00711880">
        <w:rPr>
          <w:noProof/>
        </w:rPr>
        <w:t>2013</w:t>
      </w:r>
      <w:r>
        <w:rPr>
          <w:noProof/>
        </w:rPr>
        <w:t>)</w:t>
      </w:r>
      <w:r w:rsidRPr="00711880">
        <w:rPr>
          <w:noProof/>
        </w:rPr>
        <w:t>: 772-780.</w:t>
      </w:r>
    </w:p>
    <w:p w14:paraId="35CAF1D1" w14:textId="77777777" w:rsidR="00C76366" w:rsidRPr="00711880" w:rsidRDefault="00C76366" w:rsidP="00C76366">
      <w:pPr>
        <w:pStyle w:val="EndNoteBibliography"/>
        <w:ind w:left="720" w:hanging="720"/>
        <w:rPr>
          <w:noProof/>
        </w:rPr>
      </w:pPr>
      <w:r w:rsidRPr="00711880">
        <w:rPr>
          <w:noProof/>
        </w:rPr>
        <w:t>71.</w:t>
      </w:r>
      <w:r w:rsidRPr="00711880">
        <w:rPr>
          <w:noProof/>
        </w:rPr>
        <w:tab/>
      </w:r>
      <w:r>
        <w:rPr>
          <w:noProof/>
        </w:rPr>
        <w:t xml:space="preserve">M.N. </w:t>
      </w:r>
      <w:r w:rsidRPr="00711880">
        <w:rPr>
          <w:noProof/>
        </w:rPr>
        <w:t xml:space="preserve">Price, P.S. Dehal, and A.P. Arkin, </w:t>
      </w:r>
      <w:r>
        <w:rPr>
          <w:noProof/>
        </w:rPr>
        <w:t>"</w:t>
      </w:r>
      <w:r w:rsidRPr="00EC3783">
        <w:rPr>
          <w:iCs/>
          <w:noProof/>
        </w:rPr>
        <w:t>FastTree: Computing Large Minimum Evolution Trees with Profiles instead of a Distance Matrix</w:t>
      </w:r>
      <w:r>
        <w:rPr>
          <w:iCs/>
          <w:noProof/>
        </w:rPr>
        <w:t>,"</w:t>
      </w:r>
      <w:r w:rsidRPr="00EC3783">
        <w:rPr>
          <w:iCs/>
          <w:noProof/>
        </w:rPr>
        <w:t xml:space="preserve"> </w:t>
      </w:r>
      <w:r w:rsidRPr="00EC3783">
        <w:rPr>
          <w:i/>
          <w:iCs/>
          <w:noProof/>
        </w:rPr>
        <w:t>Molecular Biology and Evolution</w:t>
      </w:r>
      <w:r w:rsidRPr="00711880">
        <w:rPr>
          <w:noProof/>
        </w:rPr>
        <w:t xml:space="preserve"> </w:t>
      </w:r>
      <w:r>
        <w:rPr>
          <w:noProof/>
        </w:rPr>
        <w:t>26 (</w:t>
      </w:r>
      <w:r w:rsidRPr="00711880">
        <w:rPr>
          <w:noProof/>
        </w:rPr>
        <w:t>2009</w:t>
      </w:r>
      <w:r>
        <w:rPr>
          <w:noProof/>
        </w:rPr>
        <w:t>)</w:t>
      </w:r>
      <w:r w:rsidRPr="00711880">
        <w:rPr>
          <w:noProof/>
        </w:rPr>
        <w:t>: 1641-1650.</w:t>
      </w:r>
    </w:p>
    <w:p w14:paraId="45ABA116" w14:textId="77777777" w:rsidR="00C76366" w:rsidRPr="00711880" w:rsidRDefault="00C76366" w:rsidP="00C76366">
      <w:pPr>
        <w:pStyle w:val="EndNoteBibliography"/>
        <w:ind w:left="720" w:hanging="720"/>
        <w:rPr>
          <w:noProof/>
        </w:rPr>
      </w:pPr>
      <w:r w:rsidRPr="00711880">
        <w:rPr>
          <w:noProof/>
        </w:rPr>
        <w:t>72.</w:t>
      </w:r>
      <w:r w:rsidRPr="00711880">
        <w:rPr>
          <w:noProof/>
        </w:rPr>
        <w:tab/>
      </w:r>
      <w:r>
        <w:rPr>
          <w:noProof/>
        </w:rPr>
        <w:t xml:space="preserve">M.N. </w:t>
      </w:r>
      <w:r w:rsidRPr="00711880">
        <w:rPr>
          <w:noProof/>
        </w:rPr>
        <w:t xml:space="preserve">Price, P.S. Dehal, and A.P. Arkin, </w:t>
      </w:r>
      <w:r>
        <w:rPr>
          <w:noProof/>
        </w:rPr>
        <w:t>"</w:t>
      </w:r>
      <w:r w:rsidRPr="00C945E6">
        <w:rPr>
          <w:iCs/>
          <w:noProof/>
        </w:rPr>
        <w:t>FastTree 2 – Approximately Maximum-Likelihood Trees for Large Alignments</w:t>
      </w:r>
      <w:r>
        <w:rPr>
          <w:i/>
          <w:noProof/>
        </w:rPr>
        <w:t>,"</w:t>
      </w:r>
      <w:r w:rsidRPr="00711880">
        <w:rPr>
          <w:noProof/>
        </w:rPr>
        <w:t xml:space="preserve"> </w:t>
      </w:r>
      <w:r w:rsidRPr="00C945E6">
        <w:rPr>
          <w:i/>
          <w:iCs/>
          <w:noProof/>
        </w:rPr>
        <w:t>PLOS ONE</w:t>
      </w:r>
      <w:r w:rsidRPr="00711880">
        <w:rPr>
          <w:noProof/>
        </w:rPr>
        <w:t xml:space="preserve"> </w:t>
      </w:r>
      <w:r>
        <w:rPr>
          <w:noProof/>
        </w:rPr>
        <w:t>5 (</w:t>
      </w:r>
      <w:r w:rsidRPr="00711880">
        <w:rPr>
          <w:noProof/>
        </w:rPr>
        <w:t>2010</w:t>
      </w:r>
      <w:r>
        <w:rPr>
          <w:noProof/>
        </w:rPr>
        <w:t>)</w:t>
      </w:r>
      <w:r w:rsidRPr="00711880">
        <w:rPr>
          <w:noProof/>
        </w:rPr>
        <w:t>: e9490.</w:t>
      </w:r>
    </w:p>
    <w:p w14:paraId="644FB1BD" w14:textId="77777777" w:rsidR="00C76366" w:rsidRPr="00711880" w:rsidRDefault="00C76366" w:rsidP="00C76366">
      <w:pPr>
        <w:pStyle w:val="EndNoteBibliography"/>
        <w:ind w:left="720" w:hanging="720"/>
        <w:rPr>
          <w:noProof/>
        </w:rPr>
      </w:pPr>
      <w:r w:rsidRPr="00711880">
        <w:rPr>
          <w:noProof/>
        </w:rPr>
        <w:t>73.</w:t>
      </w:r>
      <w:r w:rsidRPr="00711880">
        <w:rPr>
          <w:noProof/>
        </w:rPr>
        <w:tab/>
      </w:r>
      <w:r>
        <w:rPr>
          <w:noProof/>
        </w:rPr>
        <w:t xml:space="preserve">F. </w:t>
      </w:r>
      <w:r w:rsidRPr="00711880">
        <w:rPr>
          <w:noProof/>
        </w:rPr>
        <w:t>Lemoine,,</w:t>
      </w:r>
      <w:r>
        <w:rPr>
          <w:noProof/>
        </w:rPr>
        <w:t>J.B. Domelevo Entfellner, E. Wilkinson,</w:t>
      </w:r>
      <w:r w:rsidRPr="00711880">
        <w:rPr>
          <w:noProof/>
        </w:rPr>
        <w:t xml:space="preserve"> et al., </w:t>
      </w:r>
      <w:r>
        <w:rPr>
          <w:noProof/>
        </w:rPr>
        <w:t>"</w:t>
      </w:r>
      <w:r w:rsidRPr="00C945E6">
        <w:rPr>
          <w:iCs/>
          <w:noProof/>
        </w:rPr>
        <w:t>Renewing Felsenstein’s phylogenetic bootstrap in the era of big data</w:t>
      </w:r>
      <w:r>
        <w:rPr>
          <w:iCs/>
          <w:noProof/>
        </w:rPr>
        <w:t>,"</w:t>
      </w:r>
      <w:r w:rsidRPr="00C945E6">
        <w:rPr>
          <w:iCs/>
          <w:noProof/>
        </w:rPr>
        <w:t xml:space="preserve"> </w:t>
      </w:r>
      <w:r w:rsidRPr="00C945E6">
        <w:rPr>
          <w:i/>
          <w:iCs/>
          <w:noProof/>
        </w:rPr>
        <w:t>Nature</w:t>
      </w:r>
      <w:r w:rsidRPr="00711880">
        <w:rPr>
          <w:noProof/>
        </w:rPr>
        <w:t xml:space="preserve"> </w:t>
      </w:r>
      <w:r>
        <w:rPr>
          <w:noProof/>
        </w:rPr>
        <w:t>556 (</w:t>
      </w:r>
      <w:r w:rsidRPr="00711880">
        <w:rPr>
          <w:noProof/>
        </w:rPr>
        <w:t>2018</w:t>
      </w:r>
      <w:r>
        <w:rPr>
          <w:noProof/>
        </w:rPr>
        <w:t>)</w:t>
      </w:r>
      <w:r w:rsidRPr="00711880">
        <w:rPr>
          <w:noProof/>
        </w:rPr>
        <w:t>: 452-456.</w:t>
      </w:r>
    </w:p>
    <w:p w14:paraId="60629D50" w14:textId="77777777" w:rsidR="00C76366" w:rsidRPr="00711880" w:rsidRDefault="00C76366" w:rsidP="00C76366">
      <w:pPr>
        <w:pStyle w:val="EndNoteBibliography"/>
        <w:ind w:left="720" w:hanging="720"/>
        <w:rPr>
          <w:noProof/>
        </w:rPr>
      </w:pPr>
      <w:r w:rsidRPr="00711880">
        <w:rPr>
          <w:noProof/>
        </w:rPr>
        <w:t>74.</w:t>
      </w:r>
      <w:r w:rsidRPr="00711880">
        <w:rPr>
          <w:noProof/>
        </w:rPr>
        <w:tab/>
      </w:r>
      <w:r>
        <w:rPr>
          <w:noProof/>
        </w:rPr>
        <w:t xml:space="preserve">I. </w:t>
      </w:r>
      <w:r w:rsidRPr="00711880">
        <w:rPr>
          <w:noProof/>
        </w:rPr>
        <w:t>Letunic, and P. Bork,</w:t>
      </w:r>
      <w:r w:rsidRPr="00C945E6">
        <w:rPr>
          <w:iCs/>
          <w:noProof/>
        </w:rPr>
        <w:t xml:space="preserve"> </w:t>
      </w:r>
      <w:r>
        <w:rPr>
          <w:iCs/>
          <w:noProof/>
        </w:rPr>
        <w:t>"</w:t>
      </w:r>
      <w:r w:rsidRPr="00C945E6">
        <w:rPr>
          <w:iCs/>
          <w:noProof/>
        </w:rPr>
        <w:t>Interactive Tree Of Life (iTOL) v5: an online tool for phylogenetic tree display and annotation</w:t>
      </w:r>
      <w:r>
        <w:rPr>
          <w:iCs/>
          <w:noProof/>
        </w:rPr>
        <w:t>,"</w:t>
      </w:r>
      <w:r w:rsidRPr="00711880">
        <w:rPr>
          <w:noProof/>
        </w:rPr>
        <w:t xml:space="preserve"> </w:t>
      </w:r>
      <w:r w:rsidRPr="00C945E6">
        <w:rPr>
          <w:i/>
          <w:iCs/>
          <w:noProof/>
        </w:rPr>
        <w:t>Nucleic Acids Research</w:t>
      </w:r>
      <w:r w:rsidRPr="00711880">
        <w:rPr>
          <w:noProof/>
        </w:rPr>
        <w:t xml:space="preserve"> </w:t>
      </w:r>
      <w:r>
        <w:rPr>
          <w:noProof/>
        </w:rPr>
        <w:t>49 (</w:t>
      </w:r>
      <w:r w:rsidRPr="00711880">
        <w:rPr>
          <w:noProof/>
        </w:rPr>
        <w:t>2021</w:t>
      </w:r>
      <w:r>
        <w:rPr>
          <w:noProof/>
        </w:rPr>
        <w:t>)</w:t>
      </w:r>
      <w:r w:rsidRPr="00711880">
        <w:rPr>
          <w:noProof/>
        </w:rPr>
        <w:t>: 293-296.</w:t>
      </w:r>
    </w:p>
    <w:p w14:paraId="4239F75B" w14:textId="77777777" w:rsidR="00C76366" w:rsidRPr="00711880" w:rsidRDefault="00C76366" w:rsidP="00C76366">
      <w:pPr>
        <w:pStyle w:val="EndNoteBibliography"/>
        <w:ind w:left="720" w:hanging="720"/>
        <w:rPr>
          <w:noProof/>
        </w:rPr>
      </w:pPr>
      <w:r w:rsidRPr="00711880">
        <w:rPr>
          <w:noProof/>
        </w:rPr>
        <w:t>75.</w:t>
      </w:r>
      <w:r w:rsidRPr="00711880">
        <w:rPr>
          <w:noProof/>
        </w:rPr>
        <w:tab/>
      </w:r>
      <w:r>
        <w:rPr>
          <w:noProof/>
        </w:rPr>
        <w:t xml:space="preserve">P. </w:t>
      </w:r>
      <w:r w:rsidRPr="00711880">
        <w:rPr>
          <w:noProof/>
        </w:rPr>
        <w:t>Shannon,</w:t>
      </w:r>
      <w:r>
        <w:rPr>
          <w:noProof/>
        </w:rPr>
        <w:t xml:space="preserve"> A. Markiel, O. Ozier,</w:t>
      </w:r>
      <w:r w:rsidRPr="00711880">
        <w:rPr>
          <w:noProof/>
        </w:rPr>
        <w:t xml:space="preserve"> et al., </w:t>
      </w:r>
      <w:r>
        <w:rPr>
          <w:noProof/>
        </w:rPr>
        <w:t>"</w:t>
      </w:r>
      <w:r w:rsidRPr="00C945E6">
        <w:rPr>
          <w:iCs/>
          <w:noProof/>
        </w:rPr>
        <w:t>Cytoscape: a software environment for integrated models of biomolecular interaction networks</w:t>
      </w:r>
      <w:r>
        <w:rPr>
          <w:iCs/>
          <w:noProof/>
        </w:rPr>
        <w:t>,"</w:t>
      </w:r>
      <w:r w:rsidRPr="00711880">
        <w:rPr>
          <w:noProof/>
        </w:rPr>
        <w:t xml:space="preserve"> </w:t>
      </w:r>
      <w:r w:rsidRPr="00C945E6">
        <w:rPr>
          <w:i/>
          <w:iCs/>
          <w:noProof/>
        </w:rPr>
        <w:t>Genome Res</w:t>
      </w:r>
      <w:r>
        <w:rPr>
          <w:i/>
          <w:iCs/>
          <w:noProof/>
        </w:rPr>
        <w:t>earch</w:t>
      </w:r>
      <w:r w:rsidRPr="00711880">
        <w:rPr>
          <w:noProof/>
        </w:rPr>
        <w:t xml:space="preserve"> </w:t>
      </w:r>
      <w:r>
        <w:rPr>
          <w:noProof/>
        </w:rPr>
        <w:t>13 (</w:t>
      </w:r>
      <w:r w:rsidRPr="00711880">
        <w:rPr>
          <w:noProof/>
        </w:rPr>
        <w:t>2003</w:t>
      </w:r>
      <w:r>
        <w:rPr>
          <w:noProof/>
        </w:rPr>
        <w:t>)</w:t>
      </w:r>
      <w:r w:rsidRPr="00711880">
        <w:rPr>
          <w:noProof/>
        </w:rPr>
        <w:t>: 2498-504.</w:t>
      </w:r>
    </w:p>
    <w:p w14:paraId="44D32A1C" w14:textId="77777777" w:rsidR="00C76366" w:rsidRPr="00711880" w:rsidRDefault="00C76366" w:rsidP="00C76366">
      <w:pPr>
        <w:pStyle w:val="EndNoteBibliography"/>
        <w:ind w:left="720" w:hanging="720"/>
        <w:rPr>
          <w:noProof/>
        </w:rPr>
      </w:pPr>
      <w:r w:rsidRPr="00711880">
        <w:rPr>
          <w:noProof/>
        </w:rPr>
        <w:t>76.</w:t>
      </w:r>
      <w:r w:rsidRPr="00711880">
        <w:rPr>
          <w:noProof/>
        </w:rPr>
        <w:tab/>
      </w:r>
      <w:r>
        <w:rPr>
          <w:noProof/>
        </w:rPr>
        <w:t xml:space="preserve">D.N. </w:t>
      </w:r>
      <w:r w:rsidRPr="00711880">
        <w:rPr>
          <w:noProof/>
        </w:rPr>
        <w:t xml:space="preserve">Mastronarde, </w:t>
      </w:r>
      <w:r>
        <w:rPr>
          <w:noProof/>
        </w:rPr>
        <w:t>"</w:t>
      </w:r>
      <w:r w:rsidRPr="00C945E6">
        <w:rPr>
          <w:iCs/>
          <w:noProof/>
        </w:rPr>
        <w:t>SerialEM: a program for automated tilt series acquisition on Tecnai microscopes using prediction of specimen position</w:t>
      </w:r>
      <w:r>
        <w:rPr>
          <w:iCs/>
          <w:noProof/>
        </w:rPr>
        <w:t>,"</w:t>
      </w:r>
      <w:r w:rsidRPr="00711880">
        <w:rPr>
          <w:noProof/>
        </w:rPr>
        <w:t xml:space="preserve"> </w:t>
      </w:r>
      <w:r w:rsidRPr="00C945E6">
        <w:rPr>
          <w:i/>
          <w:iCs/>
          <w:noProof/>
        </w:rPr>
        <w:t>Microscopy and Microanalysis</w:t>
      </w:r>
      <w:r w:rsidRPr="00711880">
        <w:rPr>
          <w:noProof/>
        </w:rPr>
        <w:t xml:space="preserve"> </w:t>
      </w:r>
      <w:r>
        <w:rPr>
          <w:noProof/>
        </w:rPr>
        <w:t>9 (</w:t>
      </w:r>
      <w:r w:rsidRPr="00711880">
        <w:rPr>
          <w:noProof/>
        </w:rPr>
        <w:t>2003</w:t>
      </w:r>
      <w:r>
        <w:rPr>
          <w:noProof/>
        </w:rPr>
        <w:t>)</w:t>
      </w:r>
      <w:r w:rsidRPr="00711880">
        <w:rPr>
          <w:noProof/>
        </w:rPr>
        <w:t>: 1182-1183.</w:t>
      </w:r>
    </w:p>
    <w:p w14:paraId="74035C05" w14:textId="77777777" w:rsidR="00C76366" w:rsidRPr="00711880" w:rsidRDefault="00C76366" w:rsidP="00C76366">
      <w:pPr>
        <w:pStyle w:val="EndNoteBibliography"/>
        <w:ind w:left="720" w:hanging="720"/>
        <w:rPr>
          <w:noProof/>
        </w:rPr>
      </w:pPr>
      <w:r w:rsidRPr="00711880">
        <w:rPr>
          <w:noProof/>
        </w:rPr>
        <w:t>77.</w:t>
      </w:r>
      <w:r w:rsidRPr="00711880">
        <w:rPr>
          <w:noProof/>
        </w:rPr>
        <w:tab/>
      </w:r>
      <w:r>
        <w:rPr>
          <w:noProof/>
        </w:rPr>
        <w:t xml:space="preserve">A. </w:t>
      </w:r>
      <w:r w:rsidRPr="00711880">
        <w:rPr>
          <w:noProof/>
        </w:rPr>
        <w:t>Punjani,</w:t>
      </w:r>
      <w:r>
        <w:rPr>
          <w:noProof/>
        </w:rPr>
        <w:t xml:space="preserve"> J.L. Rubinstein, D.J. Fleet, and M.A. Brubaker</w:t>
      </w:r>
      <w:r w:rsidRPr="00711880">
        <w:rPr>
          <w:noProof/>
        </w:rPr>
        <w:t xml:space="preserve">, </w:t>
      </w:r>
      <w:r>
        <w:rPr>
          <w:noProof/>
        </w:rPr>
        <w:t>"</w:t>
      </w:r>
      <w:r w:rsidRPr="009C1C84">
        <w:rPr>
          <w:iCs/>
          <w:noProof/>
        </w:rPr>
        <w:t>cryoSPARC: algorithms for rapid unsupervised cryo-EM structure determination</w:t>
      </w:r>
      <w:r>
        <w:rPr>
          <w:iCs/>
          <w:noProof/>
        </w:rPr>
        <w:t>,"</w:t>
      </w:r>
      <w:r w:rsidRPr="009C1C84">
        <w:rPr>
          <w:iCs/>
          <w:noProof/>
        </w:rPr>
        <w:t xml:space="preserve"> </w:t>
      </w:r>
      <w:r w:rsidRPr="009C1C84">
        <w:rPr>
          <w:i/>
          <w:iCs/>
          <w:noProof/>
        </w:rPr>
        <w:t>Nature Methods</w:t>
      </w:r>
      <w:r w:rsidRPr="00711880">
        <w:rPr>
          <w:noProof/>
        </w:rPr>
        <w:t xml:space="preserve"> </w:t>
      </w:r>
      <w:r>
        <w:rPr>
          <w:noProof/>
        </w:rPr>
        <w:t>14 (</w:t>
      </w:r>
      <w:r w:rsidRPr="00711880">
        <w:rPr>
          <w:noProof/>
        </w:rPr>
        <w:t>2017</w:t>
      </w:r>
      <w:r>
        <w:rPr>
          <w:noProof/>
        </w:rPr>
        <w:t>)</w:t>
      </w:r>
      <w:r w:rsidRPr="00711880">
        <w:rPr>
          <w:noProof/>
        </w:rPr>
        <w:t>: 290-296.</w:t>
      </w:r>
    </w:p>
    <w:p w14:paraId="3FEE2294" w14:textId="77777777" w:rsidR="00C76366" w:rsidRPr="00711880" w:rsidRDefault="00C76366" w:rsidP="00C76366">
      <w:pPr>
        <w:pStyle w:val="EndNoteBibliography"/>
        <w:ind w:left="720" w:hanging="720"/>
        <w:rPr>
          <w:noProof/>
        </w:rPr>
      </w:pPr>
      <w:r w:rsidRPr="00711880">
        <w:rPr>
          <w:noProof/>
        </w:rPr>
        <w:t>78.</w:t>
      </w:r>
      <w:r w:rsidRPr="00711880">
        <w:rPr>
          <w:noProof/>
        </w:rPr>
        <w:tab/>
      </w:r>
      <w:r>
        <w:rPr>
          <w:noProof/>
        </w:rPr>
        <w:t xml:space="preserve">J. </w:t>
      </w:r>
      <w:r w:rsidRPr="00711880">
        <w:rPr>
          <w:noProof/>
        </w:rPr>
        <w:t>Abramson,</w:t>
      </w:r>
      <w:r>
        <w:rPr>
          <w:noProof/>
        </w:rPr>
        <w:t xml:space="preserve"> J. Adler, J. Dunger,</w:t>
      </w:r>
      <w:r w:rsidRPr="00711880">
        <w:rPr>
          <w:noProof/>
        </w:rPr>
        <w:t xml:space="preserve"> et al., </w:t>
      </w:r>
      <w:r>
        <w:rPr>
          <w:noProof/>
        </w:rPr>
        <w:t>"</w:t>
      </w:r>
      <w:r w:rsidRPr="00907E2E">
        <w:rPr>
          <w:iCs/>
          <w:noProof/>
        </w:rPr>
        <w:t>Accurate structure prediction of biomolecular interactions with AlphaFold 3</w:t>
      </w:r>
      <w:r>
        <w:rPr>
          <w:iCs/>
          <w:noProof/>
        </w:rPr>
        <w:t>,"</w:t>
      </w:r>
      <w:r w:rsidRPr="00711880">
        <w:rPr>
          <w:noProof/>
        </w:rPr>
        <w:t xml:space="preserve"> </w:t>
      </w:r>
      <w:r w:rsidRPr="00907E2E">
        <w:rPr>
          <w:i/>
          <w:iCs/>
          <w:noProof/>
        </w:rPr>
        <w:t>Nature</w:t>
      </w:r>
      <w:r w:rsidRPr="00711880">
        <w:rPr>
          <w:noProof/>
        </w:rPr>
        <w:t xml:space="preserve"> </w:t>
      </w:r>
      <w:r>
        <w:rPr>
          <w:noProof/>
        </w:rPr>
        <w:t>630 (</w:t>
      </w:r>
      <w:r w:rsidRPr="00711880">
        <w:rPr>
          <w:noProof/>
        </w:rPr>
        <w:t>2024</w:t>
      </w:r>
      <w:r>
        <w:rPr>
          <w:noProof/>
        </w:rPr>
        <w:t>)</w:t>
      </w:r>
      <w:r w:rsidRPr="00711880">
        <w:rPr>
          <w:noProof/>
        </w:rPr>
        <w:t>: 493-500.</w:t>
      </w:r>
    </w:p>
    <w:p w14:paraId="2DB15DDC" w14:textId="77777777" w:rsidR="00C76366" w:rsidRPr="00711880" w:rsidRDefault="00C76366" w:rsidP="00C76366">
      <w:pPr>
        <w:pStyle w:val="EndNoteBibliography"/>
        <w:ind w:left="720" w:hanging="720"/>
        <w:rPr>
          <w:noProof/>
        </w:rPr>
      </w:pPr>
      <w:r w:rsidRPr="00711880">
        <w:rPr>
          <w:noProof/>
        </w:rPr>
        <w:t>79.</w:t>
      </w:r>
      <w:r w:rsidRPr="00711880">
        <w:rPr>
          <w:noProof/>
        </w:rPr>
        <w:tab/>
      </w:r>
      <w:r>
        <w:rPr>
          <w:noProof/>
        </w:rPr>
        <w:t xml:space="preserve">E.F. </w:t>
      </w:r>
      <w:r w:rsidRPr="00711880">
        <w:rPr>
          <w:noProof/>
        </w:rPr>
        <w:t xml:space="preserve">Pettersen, </w:t>
      </w:r>
      <w:r>
        <w:rPr>
          <w:noProof/>
        </w:rPr>
        <w:t>T.D. Goddard, C.C. Huang,</w:t>
      </w:r>
      <w:r w:rsidRPr="00711880">
        <w:rPr>
          <w:noProof/>
        </w:rPr>
        <w:t xml:space="preserve"> et al., </w:t>
      </w:r>
      <w:r>
        <w:rPr>
          <w:noProof/>
        </w:rPr>
        <w:t>"</w:t>
      </w:r>
      <w:r w:rsidRPr="00907E2E">
        <w:rPr>
          <w:iCs/>
          <w:noProof/>
        </w:rPr>
        <w:t>UCSF ChimeraX: Structure visualization for researchers, educators, and developers</w:t>
      </w:r>
      <w:r>
        <w:rPr>
          <w:iCs/>
          <w:noProof/>
        </w:rPr>
        <w:t>,"</w:t>
      </w:r>
      <w:r w:rsidRPr="00711880">
        <w:rPr>
          <w:noProof/>
        </w:rPr>
        <w:t xml:space="preserve"> </w:t>
      </w:r>
      <w:r w:rsidRPr="00907E2E">
        <w:rPr>
          <w:i/>
          <w:iCs/>
          <w:noProof/>
        </w:rPr>
        <w:t>Protein Science</w:t>
      </w:r>
      <w:r w:rsidRPr="00711880">
        <w:rPr>
          <w:noProof/>
        </w:rPr>
        <w:t xml:space="preserve"> </w:t>
      </w:r>
      <w:r>
        <w:rPr>
          <w:noProof/>
        </w:rPr>
        <w:t>30 (</w:t>
      </w:r>
      <w:r w:rsidRPr="00711880">
        <w:rPr>
          <w:noProof/>
        </w:rPr>
        <w:t>2021</w:t>
      </w:r>
      <w:r>
        <w:rPr>
          <w:noProof/>
        </w:rPr>
        <w:t>)</w:t>
      </w:r>
      <w:r w:rsidRPr="00711880">
        <w:rPr>
          <w:noProof/>
        </w:rPr>
        <w:t>: 70-82.</w:t>
      </w:r>
    </w:p>
    <w:p w14:paraId="086A8F73" w14:textId="77777777" w:rsidR="00C76366" w:rsidRPr="00711880" w:rsidRDefault="00C76366" w:rsidP="00C76366">
      <w:pPr>
        <w:pStyle w:val="EndNoteBibliography"/>
        <w:ind w:left="720" w:hanging="720"/>
        <w:rPr>
          <w:noProof/>
        </w:rPr>
      </w:pPr>
      <w:r w:rsidRPr="00711880">
        <w:rPr>
          <w:noProof/>
        </w:rPr>
        <w:t>80.</w:t>
      </w:r>
      <w:r w:rsidRPr="00711880">
        <w:rPr>
          <w:noProof/>
        </w:rPr>
        <w:tab/>
      </w:r>
      <w:r>
        <w:rPr>
          <w:noProof/>
        </w:rPr>
        <w:t xml:space="preserve">P. </w:t>
      </w:r>
      <w:r w:rsidRPr="00711880">
        <w:rPr>
          <w:noProof/>
        </w:rPr>
        <w:t xml:space="preserve">Emsley, and K. Cowtan, </w:t>
      </w:r>
      <w:r>
        <w:rPr>
          <w:noProof/>
        </w:rPr>
        <w:t>"</w:t>
      </w:r>
      <w:r w:rsidRPr="00907E2E">
        <w:rPr>
          <w:iCs/>
          <w:noProof/>
        </w:rPr>
        <w:t>Coot: model-building tools for molecular graphics</w:t>
      </w:r>
      <w:r>
        <w:rPr>
          <w:iCs/>
          <w:noProof/>
        </w:rPr>
        <w:t>,"</w:t>
      </w:r>
      <w:r w:rsidRPr="00907E2E">
        <w:rPr>
          <w:iCs/>
          <w:noProof/>
        </w:rPr>
        <w:t xml:space="preserve"> </w:t>
      </w:r>
      <w:r w:rsidRPr="00907E2E">
        <w:rPr>
          <w:i/>
          <w:iCs/>
          <w:noProof/>
        </w:rPr>
        <w:t>Acta Crystallographica Section D</w:t>
      </w:r>
      <w:r w:rsidRPr="00711880">
        <w:rPr>
          <w:noProof/>
        </w:rPr>
        <w:t xml:space="preserve"> </w:t>
      </w:r>
      <w:r>
        <w:rPr>
          <w:noProof/>
        </w:rPr>
        <w:t>60 (</w:t>
      </w:r>
      <w:r w:rsidRPr="00711880">
        <w:rPr>
          <w:noProof/>
        </w:rPr>
        <w:t>2004</w:t>
      </w:r>
      <w:r>
        <w:rPr>
          <w:noProof/>
        </w:rPr>
        <w:t>)</w:t>
      </w:r>
      <w:r w:rsidRPr="00711880">
        <w:rPr>
          <w:noProof/>
        </w:rPr>
        <w:t>: 2126-2132.</w:t>
      </w:r>
    </w:p>
    <w:p w14:paraId="7B0DF009" w14:textId="77777777" w:rsidR="00C76366" w:rsidRPr="00711880" w:rsidRDefault="00C76366" w:rsidP="00C76366">
      <w:pPr>
        <w:pStyle w:val="EndNoteBibliography"/>
        <w:ind w:left="720" w:hanging="720"/>
        <w:rPr>
          <w:noProof/>
        </w:rPr>
      </w:pPr>
      <w:r w:rsidRPr="00711880">
        <w:rPr>
          <w:noProof/>
        </w:rPr>
        <w:t>81.</w:t>
      </w:r>
      <w:r w:rsidRPr="00711880">
        <w:rPr>
          <w:noProof/>
        </w:rPr>
        <w:tab/>
      </w:r>
      <w:r>
        <w:rPr>
          <w:noProof/>
        </w:rPr>
        <w:t xml:space="preserve">P. </w:t>
      </w:r>
      <w:r w:rsidRPr="00711880">
        <w:rPr>
          <w:noProof/>
        </w:rPr>
        <w:t>Emsley,</w:t>
      </w:r>
      <w:r>
        <w:rPr>
          <w:noProof/>
        </w:rPr>
        <w:t xml:space="preserve"> B. Lohkamp, W.G. Scott, and K. Cowtan</w:t>
      </w:r>
      <w:r w:rsidRPr="00711880">
        <w:rPr>
          <w:noProof/>
        </w:rPr>
        <w:t xml:space="preserve">, </w:t>
      </w:r>
      <w:r>
        <w:rPr>
          <w:noProof/>
        </w:rPr>
        <w:t>"</w:t>
      </w:r>
      <w:r w:rsidRPr="00907E2E">
        <w:rPr>
          <w:iCs/>
          <w:noProof/>
        </w:rPr>
        <w:t>Features and development of Coot</w:t>
      </w:r>
      <w:r>
        <w:rPr>
          <w:iCs/>
          <w:noProof/>
        </w:rPr>
        <w:t>,"</w:t>
      </w:r>
      <w:r w:rsidRPr="00907E2E">
        <w:rPr>
          <w:iCs/>
          <w:noProof/>
        </w:rPr>
        <w:t xml:space="preserve"> </w:t>
      </w:r>
      <w:r w:rsidRPr="00907E2E">
        <w:rPr>
          <w:i/>
          <w:iCs/>
          <w:noProof/>
        </w:rPr>
        <w:t>Acta Crystallographica Section D</w:t>
      </w:r>
      <w:r w:rsidRPr="00711880">
        <w:rPr>
          <w:noProof/>
        </w:rPr>
        <w:t xml:space="preserve"> </w:t>
      </w:r>
      <w:r>
        <w:rPr>
          <w:noProof/>
        </w:rPr>
        <w:t>66 (</w:t>
      </w:r>
      <w:r w:rsidRPr="00711880">
        <w:rPr>
          <w:noProof/>
        </w:rPr>
        <w:t>2010</w:t>
      </w:r>
      <w:r>
        <w:rPr>
          <w:noProof/>
        </w:rPr>
        <w:t>)</w:t>
      </w:r>
      <w:r w:rsidRPr="00711880">
        <w:rPr>
          <w:noProof/>
        </w:rPr>
        <w:t>: 486-501.</w:t>
      </w:r>
    </w:p>
    <w:p w14:paraId="60BE917D" w14:textId="77777777" w:rsidR="00C76366" w:rsidRPr="00711880" w:rsidRDefault="00C76366" w:rsidP="00C76366">
      <w:pPr>
        <w:pStyle w:val="EndNoteBibliography"/>
        <w:ind w:left="720" w:hanging="720"/>
        <w:rPr>
          <w:noProof/>
        </w:rPr>
      </w:pPr>
      <w:r w:rsidRPr="00711880">
        <w:rPr>
          <w:noProof/>
        </w:rPr>
        <w:t>82.</w:t>
      </w:r>
      <w:r w:rsidRPr="00711880">
        <w:rPr>
          <w:noProof/>
        </w:rPr>
        <w:tab/>
      </w:r>
      <w:r>
        <w:rPr>
          <w:noProof/>
        </w:rPr>
        <w:t xml:space="preserve">P.D. </w:t>
      </w:r>
      <w:r w:rsidRPr="00711880">
        <w:rPr>
          <w:noProof/>
        </w:rPr>
        <w:t>Adams,</w:t>
      </w:r>
      <w:r>
        <w:rPr>
          <w:noProof/>
        </w:rPr>
        <w:t xml:space="preserve"> P.V. Afonine, G. Bunkoczi,</w:t>
      </w:r>
      <w:r w:rsidRPr="00711880">
        <w:rPr>
          <w:noProof/>
        </w:rPr>
        <w:t xml:space="preserve"> et al., </w:t>
      </w:r>
      <w:r>
        <w:rPr>
          <w:noProof/>
        </w:rPr>
        <w:t>"</w:t>
      </w:r>
      <w:r w:rsidRPr="00907E2E">
        <w:rPr>
          <w:iCs/>
          <w:noProof/>
        </w:rPr>
        <w:t>PHENIX: a comprehensive Python-based system for macromolecular structure solution</w:t>
      </w:r>
      <w:r>
        <w:rPr>
          <w:iCs/>
          <w:noProof/>
        </w:rPr>
        <w:t>,"</w:t>
      </w:r>
      <w:r w:rsidRPr="00907E2E">
        <w:rPr>
          <w:iCs/>
          <w:noProof/>
        </w:rPr>
        <w:t xml:space="preserve"> </w:t>
      </w:r>
      <w:r w:rsidRPr="00907E2E">
        <w:rPr>
          <w:i/>
          <w:iCs/>
          <w:noProof/>
        </w:rPr>
        <w:t>Acta Crystallographica Section D</w:t>
      </w:r>
      <w:r w:rsidRPr="00711880">
        <w:rPr>
          <w:noProof/>
        </w:rPr>
        <w:t xml:space="preserve"> </w:t>
      </w:r>
      <w:r>
        <w:rPr>
          <w:noProof/>
        </w:rPr>
        <w:t>66 (</w:t>
      </w:r>
      <w:r w:rsidRPr="00711880">
        <w:rPr>
          <w:noProof/>
        </w:rPr>
        <w:t>2010</w:t>
      </w:r>
      <w:r>
        <w:rPr>
          <w:noProof/>
        </w:rPr>
        <w:t>)</w:t>
      </w:r>
      <w:r w:rsidRPr="00711880">
        <w:rPr>
          <w:noProof/>
        </w:rPr>
        <w:t>: 213-221.</w:t>
      </w:r>
    </w:p>
    <w:p w14:paraId="09E04ACB" w14:textId="77777777" w:rsidR="00C76366" w:rsidRPr="00711880" w:rsidRDefault="00C76366" w:rsidP="00C76366">
      <w:pPr>
        <w:pStyle w:val="EndNoteBibliography"/>
        <w:ind w:left="720" w:hanging="720"/>
        <w:rPr>
          <w:noProof/>
        </w:rPr>
      </w:pPr>
      <w:r w:rsidRPr="00711880">
        <w:rPr>
          <w:noProof/>
        </w:rPr>
        <w:t>83.</w:t>
      </w:r>
      <w:r w:rsidRPr="00711880">
        <w:rPr>
          <w:noProof/>
        </w:rPr>
        <w:tab/>
      </w:r>
      <w:r>
        <w:rPr>
          <w:noProof/>
        </w:rPr>
        <w:t xml:space="preserve">D. </w:t>
      </w:r>
      <w:r w:rsidRPr="00711880">
        <w:rPr>
          <w:noProof/>
        </w:rPr>
        <w:t>Liebschner,</w:t>
      </w:r>
      <w:r>
        <w:rPr>
          <w:noProof/>
        </w:rPr>
        <w:t xml:space="preserve"> P.V. Afonine, M.L. Baker,</w:t>
      </w:r>
      <w:r w:rsidRPr="00711880">
        <w:rPr>
          <w:noProof/>
        </w:rPr>
        <w:t xml:space="preserve"> et al., </w:t>
      </w:r>
      <w:r>
        <w:rPr>
          <w:noProof/>
        </w:rPr>
        <w:t>"</w:t>
      </w:r>
      <w:r w:rsidRPr="00907E2E">
        <w:rPr>
          <w:iCs/>
          <w:noProof/>
        </w:rPr>
        <w:t>Macromolecular structure determination using X-rays, neutrons and electrons: recent developments in Phenix</w:t>
      </w:r>
      <w:r>
        <w:rPr>
          <w:iCs/>
          <w:noProof/>
        </w:rPr>
        <w:t>,"</w:t>
      </w:r>
      <w:r w:rsidRPr="00907E2E">
        <w:rPr>
          <w:iCs/>
          <w:noProof/>
        </w:rPr>
        <w:t xml:space="preserve"> </w:t>
      </w:r>
      <w:r w:rsidRPr="00907E2E">
        <w:rPr>
          <w:i/>
          <w:iCs/>
          <w:noProof/>
        </w:rPr>
        <w:t>Acta Crystallographica Section D</w:t>
      </w:r>
      <w:r w:rsidRPr="00711880">
        <w:rPr>
          <w:noProof/>
        </w:rPr>
        <w:t xml:space="preserve"> </w:t>
      </w:r>
      <w:r>
        <w:rPr>
          <w:noProof/>
        </w:rPr>
        <w:t>75 (</w:t>
      </w:r>
      <w:r w:rsidRPr="00711880">
        <w:rPr>
          <w:noProof/>
        </w:rPr>
        <w:t>2019</w:t>
      </w:r>
      <w:r>
        <w:rPr>
          <w:noProof/>
        </w:rPr>
        <w:t>)</w:t>
      </w:r>
      <w:r w:rsidRPr="00711880">
        <w:rPr>
          <w:noProof/>
        </w:rPr>
        <w:t>: 861-877.</w:t>
      </w:r>
    </w:p>
    <w:p w14:paraId="190418E4" w14:textId="7CA2142D" w:rsidR="00C76366" w:rsidRPr="0033692A" w:rsidRDefault="00C76366" w:rsidP="00C76366">
      <w:pPr>
        <w:rPr>
          <w:sz w:val="22"/>
          <w:szCs w:val="22"/>
        </w:rPr>
      </w:pPr>
      <w:r w:rsidRPr="00B62198">
        <w:rPr>
          <w:rFonts w:cs="Arial"/>
          <w:color w:val="FF0000"/>
          <w:sz w:val="20"/>
        </w:rPr>
        <w:fldChar w:fldCharType="end"/>
      </w:r>
    </w:p>
    <w:sectPr w:rsidR="00C76366" w:rsidRPr="003369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6F68" w14:textId="77777777" w:rsidR="00B1673E" w:rsidRDefault="00B1673E" w:rsidP="000E60AE">
      <w:pPr>
        <w:spacing w:after="0" w:line="240" w:lineRule="auto"/>
      </w:pPr>
      <w:r>
        <w:separator/>
      </w:r>
    </w:p>
  </w:endnote>
  <w:endnote w:type="continuationSeparator" w:id="0">
    <w:p w14:paraId="5BC9351A" w14:textId="77777777" w:rsidR="00B1673E" w:rsidRDefault="00B1673E" w:rsidP="000E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30A2B" w14:textId="77777777" w:rsidR="00B1673E" w:rsidRDefault="00B1673E" w:rsidP="000E60AE">
      <w:pPr>
        <w:spacing w:after="0" w:line="240" w:lineRule="auto"/>
      </w:pPr>
      <w:r>
        <w:separator/>
      </w:r>
    </w:p>
  </w:footnote>
  <w:footnote w:type="continuationSeparator" w:id="0">
    <w:p w14:paraId="376CC633" w14:textId="77777777" w:rsidR="00B1673E" w:rsidRDefault="00B1673E" w:rsidP="000E60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A73308"/>
    <w:multiLevelType w:val="hybridMultilevel"/>
    <w:tmpl w:val="45DA3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929835">
    <w:abstractNumId w:val="1"/>
  </w:num>
  <w:num w:numId="2" w16cid:durableId="111398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183"/>
    <w:rsid w:val="0001788D"/>
    <w:rsid w:val="00061AC4"/>
    <w:rsid w:val="000A5EC2"/>
    <w:rsid w:val="000A6751"/>
    <w:rsid w:val="000D5F48"/>
    <w:rsid w:val="000E380E"/>
    <w:rsid w:val="000E60AE"/>
    <w:rsid w:val="00251428"/>
    <w:rsid w:val="00255A1E"/>
    <w:rsid w:val="00261168"/>
    <w:rsid w:val="0026778E"/>
    <w:rsid w:val="00293BA5"/>
    <w:rsid w:val="002C1925"/>
    <w:rsid w:val="002F37FB"/>
    <w:rsid w:val="0032610A"/>
    <w:rsid w:val="0033692A"/>
    <w:rsid w:val="00375EE8"/>
    <w:rsid w:val="003A0860"/>
    <w:rsid w:val="003A0B64"/>
    <w:rsid w:val="003A72B3"/>
    <w:rsid w:val="004227F8"/>
    <w:rsid w:val="004568E3"/>
    <w:rsid w:val="00502229"/>
    <w:rsid w:val="00502CE9"/>
    <w:rsid w:val="005119CB"/>
    <w:rsid w:val="00525529"/>
    <w:rsid w:val="005613E2"/>
    <w:rsid w:val="00563A55"/>
    <w:rsid w:val="00570DBC"/>
    <w:rsid w:val="005B2183"/>
    <w:rsid w:val="005C184D"/>
    <w:rsid w:val="005D2C85"/>
    <w:rsid w:val="00610B44"/>
    <w:rsid w:val="0063128A"/>
    <w:rsid w:val="00654FC8"/>
    <w:rsid w:val="00674AA9"/>
    <w:rsid w:val="006B0A4E"/>
    <w:rsid w:val="006E038F"/>
    <w:rsid w:val="006E3A42"/>
    <w:rsid w:val="00707657"/>
    <w:rsid w:val="00733766"/>
    <w:rsid w:val="00783351"/>
    <w:rsid w:val="007A6E84"/>
    <w:rsid w:val="007D083D"/>
    <w:rsid w:val="008242AE"/>
    <w:rsid w:val="00862C6C"/>
    <w:rsid w:val="00864149"/>
    <w:rsid w:val="008B1C10"/>
    <w:rsid w:val="008D5FA4"/>
    <w:rsid w:val="008E5989"/>
    <w:rsid w:val="008F57AE"/>
    <w:rsid w:val="00927B12"/>
    <w:rsid w:val="009F5D2F"/>
    <w:rsid w:val="00A93409"/>
    <w:rsid w:val="00A944BE"/>
    <w:rsid w:val="00AF7681"/>
    <w:rsid w:val="00B00147"/>
    <w:rsid w:val="00B1673E"/>
    <w:rsid w:val="00B63DAC"/>
    <w:rsid w:val="00B757B1"/>
    <w:rsid w:val="00B9014B"/>
    <w:rsid w:val="00BB4148"/>
    <w:rsid w:val="00BC24EA"/>
    <w:rsid w:val="00BC658C"/>
    <w:rsid w:val="00BD4AF7"/>
    <w:rsid w:val="00BE576E"/>
    <w:rsid w:val="00C00200"/>
    <w:rsid w:val="00C25EB3"/>
    <w:rsid w:val="00C427A6"/>
    <w:rsid w:val="00C44F46"/>
    <w:rsid w:val="00C76366"/>
    <w:rsid w:val="00CB5C9C"/>
    <w:rsid w:val="00CF0455"/>
    <w:rsid w:val="00D01FC0"/>
    <w:rsid w:val="00D03C06"/>
    <w:rsid w:val="00D234B4"/>
    <w:rsid w:val="00D71C7C"/>
    <w:rsid w:val="00D81B13"/>
    <w:rsid w:val="00D85D6F"/>
    <w:rsid w:val="00D975BB"/>
    <w:rsid w:val="00DB6224"/>
    <w:rsid w:val="00DE21AE"/>
    <w:rsid w:val="00DE3D59"/>
    <w:rsid w:val="00DE3DE4"/>
    <w:rsid w:val="00E22D4D"/>
    <w:rsid w:val="00E855E0"/>
    <w:rsid w:val="00EA7A5B"/>
    <w:rsid w:val="00F075C0"/>
    <w:rsid w:val="00F159AA"/>
    <w:rsid w:val="00F26938"/>
    <w:rsid w:val="00F41531"/>
    <w:rsid w:val="00FB7EEE"/>
    <w:rsid w:val="00FC50DB"/>
    <w:rsid w:val="00FE0810"/>
    <w:rsid w:val="00FE1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2841"/>
  <w15:chartTrackingRefBased/>
  <w15:docId w15:val="{AD39901C-048C-614F-BA5C-863560EB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2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1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1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1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1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1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1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1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1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21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1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1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1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1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1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1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183"/>
    <w:rPr>
      <w:rFonts w:eastAsiaTheme="majorEastAsia" w:cstheme="majorBidi"/>
      <w:color w:val="272727" w:themeColor="text1" w:themeTint="D8"/>
    </w:rPr>
  </w:style>
  <w:style w:type="paragraph" w:styleId="Title">
    <w:name w:val="Title"/>
    <w:basedOn w:val="Normal"/>
    <w:next w:val="Normal"/>
    <w:link w:val="TitleChar"/>
    <w:uiPriority w:val="10"/>
    <w:qFormat/>
    <w:rsid w:val="005B2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1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1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1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183"/>
    <w:pPr>
      <w:spacing w:before="160"/>
      <w:jc w:val="center"/>
    </w:pPr>
    <w:rPr>
      <w:i/>
      <w:iCs/>
      <w:color w:val="404040" w:themeColor="text1" w:themeTint="BF"/>
    </w:rPr>
  </w:style>
  <w:style w:type="character" w:customStyle="1" w:styleId="QuoteChar">
    <w:name w:val="Quote Char"/>
    <w:basedOn w:val="DefaultParagraphFont"/>
    <w:link w:val="Quote"/>
    <w:uiPriority w:val="29"/>
    <w:rsid w:val="005B2183"/>
    <w:rPr>
      <w:i/>
      <w:iCs/>
      <w:color w:val="404040" w:themeColor="text1" w:themeTint="BF"/>
    </w:rPr>
  </w:style>
  <w:style w:type="paragraph" w:styleId="ListParagraph">
    <w:name w:val="List Paragraph"/>
    <w:basedOn w:val="Normal"/>
    <w:uiPriority w:val="34"/>
    <w:qFormat/>
    <w:rsid w:val="005B2183"/>
    <w:pPr>
      <w:ind w:left="720"/>
      <w:contextualSpacing/>
    </w:pPr>
  </w:style>
  <w:style w:type="character" w:styleId="IntenseEmphasis">
    <w:name w:val="Intense Emphasis"/>
    <w:basedOn w:val="DefaultParagraphFont"/>
    <w:uiPriority w:val="21"/>
    <w:qFormat/>
    <w:rsid w:val="005B2183"/>
    <w:rPr>
      <w:i/>
      <w:iCs/>
      <w:color w:val="0F4761" w:themeColor="accent1" w:themeShade="BF"/>
    </w:rPr>
  </w:style>
  <w:style w:type="paragraph" w:styleId="IntenseQuote">
    <w:name w:val="Intense Quote"/>
    <w:basedOn w:val="Normal"/>
    <w:next w:val="Normal"/>
    <w:link w:val="IntenseQuoteChar"/>
    <w:uiPriority w:val="30"/>
    <w:qFormat/>
    <w:rsid w:val="005B2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183"/>
    <w:rPr>
      <w:i/>
      <w:iCs/>
      <w:color w:val="0F4761" w:themeColor="accent1" w:themeShade="BF"/>
    </w:rPr>
  </w:style>
  <w:style w:type="character" w:styleId="IntenseReference">
    <w:name w:val="Intense Reference"/>
    <w:basedOn w:val="DefaultParagraphFont"/>
    <w:uiPriority w:val="32"/>
    <w:qFormat/>
    <w:rsid w:val="005B2183"/>
    <w:rPr>
      <w:b/>
      <w:bCs/>
      <w:smallCaps/>
      <w:color w:val="0F4761" w:themeColor="accent1" w:themeShade="BF"/>
      <w:spacing w:val="5"/>
    </w:rPr>
  </w:style>
  <w:style w:type="paragraph" w:styleId="NormalWeb">
    <w:name w:val="Normal (Web)"/>
    <w:basedOn w:val="Normal"/>
    <w:uiPriority w:val="99"/>
    <w:semiHidden/>
    <w:unhideWhenUsed/>
    <w:rsid w:val="00864149"/>
    <w:rPr>
      <w:rFonts w:ascii="Times New Roman" w:hAnsi="Times New Roman" w:cs="Times New Roman"/>
    </w:rPr>
  </w:style>
  <w:style w:type="table" w:styleId="TableGrid">
    <w:name w:val="Table Grid"/>
    <w:basedOn w:val="TableNormal"/>
    <w:uiPriority w:val="39"/>
    <w:rsid w:val="00B6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
    <w:name w:val="Grid Table 7 Colorful"/>
    <w:basedOn w:val="TableNormal"/>
    <w:uiPriority w:val="52"/>
    <w:rsid w:val="00B63DA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2">
    <w:name w:val="Plain Table 2"/>
    <w:basedOn w:val="TableNormal"/>
    <w:uiPriority w:val="42"/>
    <w:rsid w:val="00B63DA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63DA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0E6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0AE"/>
  </w:style>
  <w:style w:type="paragraph" w:styleId="Footer">
    <w:name w:val="footer"/>
    <w:basedOn w:val="Normal"/>
    <w:link w:val="FooterChar"/>
    <w:uiPriority w:val="99"/>
    <w:unhideWhenUsed/>
    <w:rsid w:val="000E6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0AE"/>
  </w:style>
  <w:style w:type="paragraph" w:customStyle="1" w:styleId="Title1">
    <w:name w:val="Title1"/>
    <w:basedOn w:val="Normal"/>
    <w:next w:val="Normal"/>
    <w:qFormat/>
    <w:rsid w:val="00C76366"/>
    <w:pPr>
      <w:spacing w:before="120" w:after="0" w:line="480" w:lineRule="exact"/>
    </w:pPr>
    <w:rPr>
      <w:rFonts w:ascii="Arial" w:eastAsia="MS Mincho" w:hAnsi="Arial" w:cs="Times New Roman"/>
      <w:b/>
      <w:kern w:val="0"/>
      <w:sz w:val="32"/>
      <w:szCs w:val="28"/>
      <w:lang w:val="de-DE" w:eastAsia="ja-JP"/>
      <w14:ligatures w14:val="none"/>
    </w:rPr>
  </w:style>
  <w:style w:type="paragraph" w:customStyle="1" w:styleId="Authors">
    <w:name w:val="Authors"/>
    <w:basedOn w:val="Normal"/>
    <w:qFormat/>
    <w:rsid w:val="00C76366"/>
    <w:pPr>
      <w:spacing w:before="120" w:after="120" w:line="320" w:lineRule="exact"/>
    </w:pPr>
    <w:rPr>
      <w:rFonts w:ascii="Arial" w:eastAsia="MS Mincho" w:hAnsi="Arial" w:cs="Times New Roman"/>
      <w:kern w:val="0"/>
      <w:sz w:val="22"/>
      <w:lang w:val="en-GB" w:eastAsia="ja-JP"/>
      <w14:ligatures w14:val="none"/>
    </w:rPr>
  </w:style>
  <w:style w:type="paragraph" w:customStyle="1" w:styleId="Dedication">
    <w:name w:val="Dedication"/>
    <w:basedOn w:val="Normal"/>
    <w:qFormat/>
    <w:rsid w:val="00C76366"/>
    <w:pPr>
      <w:spacing w:before="230" w:after="360" w:line="230" w:lineRule="exact"/>
    </w:pPr>
    <w:rPr>
      <w:rFonts w:ascii="Arial" w:eastAsia="MS Mincho" w:hAnsi="Arial" w:cs="Times New Roman"/>
      <w:kern w:val="0"/>
      <w:sz w:val="17"/>
      <w:lang w:val="de-DE" w:eastAsia="ja-JP"/>
      <w14:ligatures w14:val="none"/>
    </w:rPr>
  </w:style>
  <w:style w:type="paragraph" w:customStyle="1" w:styleId="P1withoutIndendation">
    <w:name w:val="P1_without_Indendation"/>
    <w:basedOn w:val="Normal"/>
    <w:qFormat/>
    <w:rsid w:val="00C76366"/>
    <w:pPr>
      <w:spacing w:after="0" w:line="225" w:lineRule="exact"/>
      <w:jc w:val="both"/>
    </w:pPr>
    <w:rPr>
      <w:rFonts w:ascii="Arial" w:eastAsia="MS Mincho" w:hAnsi="Arial" w:cs="Times New Roman"/>
      <w:kern w:val="0"/>
      <w:sz w:val="17"/>
      <w:lang w:val="de-DE" w:eastAsia="ja-JP"/>
      <w14:ligatures w14:val="none"/>
    </w:rPr>
  </w:style>
  <w:style w:type="paragraph" w:customStyle="1" w:styleId="History">
    <w:name w:val="History"/>
    <w:basedOn w:val="Normal"/>
    <w:rsid w:val="00C76366"/>
    <w:pPr>
      <w:spacing w:before="230" w:after="460" w:line="180" w:lineRule="exact"/>
    </w:pPr>
    <w:rPr>
      <w:rFonts w:ascii="Arial" w:eastAsia="MS Mincho" w:hAnsi="Arial" w:cs="Times New Roman"/>
      <w:kern w:val="0"/>
      <w:sz w:val="14"/>
      <w:szCs w:val="16"/>
      <w:lang w:val="de-DE" w:eastAsia="ja-JP"/>
      <w14:ligatures w14:val="none"/>
    </w:rPr>
  </w:style>
  <w:style w:type="paragraph" w:customStyle="1" w:styleId="Adress">
    <w:name w:val="Adress"/>
    <w:basedOn w:val="Normal"/>
    <w:qFormat/>
    <w:rsid w:val="00C76366"/>
    <w:pPr>
      <w:spacing w:after="0" w:line="180" w:lineRule="exact"/>
      <w:ind w:left="425" w:hanging="425"/>
    </w:pPr>
    <w:rPr>
      <w:rFonts w:ascii="Arial" w:eastAsia="MS Mincho" w:hAnsi="Arial" w:cs="Times New Roman"/>
      <w:kern w:val="0"/>
      <w:sz w:val="14"/>
      <w:szCs w:val="20"/>
      <w:lang w:val="de-DE" w:eastAsia="ja-JP"/>
      <w14:ligatures w14:val="none"/>
    </w:rPr>
  </w:style>
  <w:style w:type="paragraph" w:customStyle="1" w:styleId="Footnote">
    <w:name w:val="Footnote"/>
    <w:basedOn w:val="Adress"/>
    <w:rsid w:val="00C76366"/>
    <w:pPr>
      <w:spacing w:before="120"/>
    </w:pPr>
    <w:rPr>
      <w:szCs w:val="14"/>
      <w:lang w:val="en-GB"/>
    </w:rPr>
  </w:style>
  <w:style w:type="paragraph" w:customStyle="1" w:styleId="References">
    <w:name w:val="References"/>
    <w:basedOn w:val="Normal"/>
    <w:qFormat/>
    <w:rsid w:val="00C76366"/>
    <w:pPr>
      <w:spacing w:after="0" w:line="200" w:lineRule="exact"/>
      <w:ind w:left="425" w:hanging="425"/>
      <w:jc w:val="both"/>
    </w:pPr>
    <w:rPr>
      <w:rFonts w:ascii="Arial" w:eastAsia="MS Mincho" w:hAnsi="Arial" w:cs="Times New Roman"/>
      <w:kern w:val="0"/>
      <w:sz w:val="14"/>
      <w:szCs w:val="14"/>
      <w:lang w:val="en-GB" w:eastAsia="ja-JP"/>
      <w14:ligatures w14:val="none"/>
    </w:rPr>
  </w:style>
  <w:style w:type="paragraph" w:customStyle="1" w:styleId="ColumnTitle">
    <w:name w:val="ColumnTitle"/>
    <w:basedOn w:val="Normal"/>
    <w:rsid w:val="00C76366"/>
    <w:pPr>
      <w:pBdr>
        <w:bottom w:val="single" w:sz="36" w:space="1" w:color="DDDDDD"/>
      </w:pBdr>
      <w:spacing w:after="320" w:line="240" w:lineRule="auto"/>
      <w:jc w:val="right"/>
    </w:pPr>
    <w:rPr>
      <w:rFonts w:ascii="Arial" w:eastAsia="MS Mincho" w:hAnsi="Arial" w:cs="Arial"/>
      <w:b/>
      <w:color w:val="C0C0C0"/>
      <w:kern w:val="0"/>
      <w:sz w:val="36"/>
      <w:szCs w:val="36"/>
      <w:lang w:val="en-GB" w:eastAsia="ja-JP"/>
      <w14:ligatures w14:val="none"/>
    </w:rPr>
  </w:style>
  <w:style w:type="paragraph" w:customStyle="1" w:styleId="ExperimentalSection">
    <w:name w:val="ExperimentalSection"/>
    <w:basedOn w:val="Normal"/>
    <w:qFormat/>
    <w:rsid w:val="00C76366"/>
    <w:pPr>
      <w:spacing w:after="240" w:line="200" w:lineRule="exact"/>
      <w:jc w:val="both"/>
    </w:pPr>
    <w:rPr>
      <w:rFonts w:ascii="Arial" w:eastAsia="MS Mincho" w:hAnsi="Arial" w:cs="Times New Roman"/>
      <w:kern w:val="0"/>
      <w:sz w:val="15"/>
      <w:szCs w:val="14"/>
      <w:lang w:val="en-GB" w:eastAsia="ja-JP"/>
      <w14:ligatures w14:val="none"/>
    </w:rPr>
  </w:style>
  <w:style w:type="paragraph" w:customStyle="1" w:styleId="HExperimentalSection">
    <w:name w:val="HExperimental_Section"/>
    <w:basedOn w:val="Normal"/>
    <w:autoRedefine/>
    <w:qFormat/>
    <w:rsid w:val="00C76366"/>
    <w:pPr>
      <w:spacing w:before="460" w:after="230" w:line="230" w:lineRule="atLeast"/>
    </w:pPr>
    <w:rPr>
      <w:rFonts w:ascii="Arial" w:eastAsia="MS Mincho" w:hAnsi="Arial" w:cs="Times New Roman"/>
      <w:b/>
      <w:kern w:val="0"/>
      <w:sz w:val="22"/>
      <w:szCs w:val="20"/>
      <w:lang w:val="de-DE" w:eastAsia="ja-JP"/>
      <w14:ligatures w14:val="none"/>
    </w:rPr>
  </w:style>
  <w:style w:type="paragraph" w:customStyle="1" w:styleId="SchemeCaption">
    <w:name w:val="SchemeCaption"/>
    <w:basedOn w:val="Normal"/>
    <w:rsid w:val="00C76366"/>
    <w:pPr>
      <w:spacing w:before="230" w:after="460" w:line="180" w:lineRule="exact"/>
      <w:jc w:val="both"/>
    </w:pPr>
    <w:rPr>
      <w:rFonts w:ascii="Arial" w:eastAsia="MS Mincho" w:hAnsi="Arial" w:cs="Times New Roman"/>
      <w:kern w:val="0"/>
      <w:sz w:val="14"/>
      <w:szCs w:val="14"/>
      <w:lang w:val="en-GB" w:eastAsia="ja-JP"/>
      <w14:ligatures w14:val="none"/>
    </w:rPr>
  </w:style>
  <w:style w:type="paragraph" w:customStyle="1" w:styleId="FigureCaption">
    <w:name w:val="FigureCaption"/>
    <w:basedOn w:val="Normal"/>
    <w:rsid w:val="00C76366"/>
    <w:pPr>
      <w:spacing w:before="230" w:after="460" w:line="180" w:lineRule="exact"/>
      <w:jc w:val="both"/>
    </w:pPr>
    <w:rPr>
      <w:rFonts w:ascii="Arial" w:eastAsia="MS Mincho" w:hAnsi="Arial" w:cs="Times New Roman"/>
      <w:kern w:val="0"/>
      <w:sz w:val="14"/>
      <w:szCs w:val="14"/>
      <w:lang w:val="en-GB" w:eastAsia="ja-JP"/>
      <w14:ligatures w14:val="none"/>
    </w:rPr>
  </w:style>
  <w:style w:type="paragraph" w:customStyle="1" w:styleId="TableCaption">
    <w:name w:val="TableCaption"/>
    <w:basedOn w:val="Normal"/>
    <w:qFormat/>
    <w:rsid w:val="00C76366"/>
    <w:pPr>
      <w:pBdr>
        <w:top w:val="single" w:sz="4" w:space="4" w:color="DDDDDD"/>
        <w:left w:val="single" w:sz="4" w:space="4" w:color="DDDDDD"/>
        <w:bottom w:val="single" w:sz="4" w:space="4" w:color="DDDDDD"/>
        <w:right w:val="single" w:sz="4" w:space="4" w:color="DDDDDD"/>
      </w:pBdr>
      <w:spacing w:after="0" w:line="180" w:lineRule="exact"/>
      <w:jc w:val="both"/>
    </w:pPr>
    <w:rPr>
      <w:rFonts w:ascii="Arial" w:eastAsia="MS Mincho" w:hAnsi="Arial" w:cs="Times New Roman"/>
      <w:kern w:val="0"/>
      <w:sz w:val="14"/>
      <w:szCs w:val="14"/>
      <w:lang w:val="en-GB" w:eastAsia="ja-JP"/>
      <w14:ligatures w14:val="none"/>
    </w:rPr>
  </w:style>
  <w:style w:type="paragraph" w:customStyle="1" w:styleId="TableHead">
    <w:name w:val="TableHead"/>
    <w:basedOn w:val="TableCaption"/>
    <w:rsid w:val="00C76366"/>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C76366"/>
  </w:style>
  <w:style w:type="paragraph" w:customStyle="1" w:styleId="TableFoot">
    <w:name w:val="TableFoot"/>
    <w:basedOn w:val="TableBody"/>
    <w:rsid w:val="00C76366"/>
    <w:pPr>
      <w:spacing w:before="60" w:after="60"/>
    </w:pPr>
  </w:style>
  <w:style w:type="paragraph" w:customStyle="1" w:styleId="Keywords">
    <w:name w:val="Keywords"/>
    <w:basedOn w:val="Normal"/>
    <w:qFormat/>
    <w:rsid w:val="00C76366"/>
    <w:pPr>
      <w:spacing w:before="240" w:after="240" w:line="250" w:lineRule="exact"/>
    </w:pPr>
    <w:rPr>
      <w:rFonts w:ascii="Arial" w:eastAsia="MS Mincho" w:hAnsi="Arial" w:cs="Times New Roman"/>
      <w:kern w:val="0"/>
      <w:sz w:val="17"/>
      <w:szCs w:val="20"/>
      <w:lang w:val="en-GB" w:eastAsia="ja-JP"/>
      <w14:ligatures w14:val="none"/>
    </w:rPr>
  </w:style>
  <w:style w:type="paragraph" w:customStyle="1" w:styleId="ManuscriptID">
    <w:name w:val="ManuscriptID"/>
    <w:basedOn w:val="Normal"/>
    <w:qFormat/>
    <w:rsid w:val="00C76366"/>
    <w:pPr>
      <w:spacing w:before="220" w:after="0" w:line="230" w:lineRule="exact"/>
    </w:pPr>
    <w:rPr>
      <w:rFonts w:ascii="Arial" w:eastAsia="MS Mincho" w:hAnsi="Arial" w:cs="Times New Roman"/>
      <w:b/>
      <w:kern w:val="0"/>
      <w:sz w:val="17"/>
      <w:szCs w:val="15"/>
      <w:lang w:val="en-GB" w:eastAsia="ja-JP"/>
      <w14:ligatures w14:val="none"/>
    </w:rPr>
  </w:style>
  <w:style w:type="paragraph" w:customStyle="1" w:styleId="AuthorsTOC">
    <w:name w:val="Authors_TOC"/>
    <w:basedOn w:val="Authors"/>
    <w:rsid w:val="00C76366"/>
    <w:pPr>
      <w:spacing w:after="0" w:line="225" w:lineRule="atLeast"/>
    </w:pPr>
    <w:rPr>
      <w:i/>
      <w:sz w:val="17"/>
      <w:szCs w:val="20"/>
    </w:rPr>
  </w:style>
  <w:style w:type="paragraph" w:customStyle="1" w:styleId="TitleTOC">
    <w:name w:val="Title_TOC"/>
    <w:basedOn w:val="AuthorsTOC"/>
    <w:rsid w:val="00C76366"/>
    <w:rPr>
      <w:b/>
      <w:i w:val="0"/>
    </w:rPr>
  </w:style>
  <w:style w:type="paragraph" w:customStyle="1" w:styleId="TableOfContentText">
    <w:name w:val="TableOfContentText"/>
    <w:basedOn w:val="AuthorsTOC"/>
    <w:rsid w:val="00C76366"/>
    <w:rPr>
      <w:i w:val="0"/>
      <w:color w:val="000000"/>
    </w:rPr>
  </w:style>
  <w:style w:type="paragraph" w:customStyle="1" w:styleId="P1withIndendation">
    <w:name w:val="P1_with_Indendation"/>
    <w:basedOn w:val="TableCaption"/>
    <w:qFormat/>
    <w:rsid w:val="00C76366"/>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C76366"/>
    <w:pPr>
      <w:spacing w:before="480" w:after="230" w:line="230" w:lineRule="atLeast"/>
    </w:pPr>
    <w:rPr>
      <w:rFonts w:ascii="Arial" w:eastAsia="MS Mincho" w:hAnsi="Arial" w:cs="Times New Roman"/>
      <w:b/>
      <w:kern w:val="0"/>
      <w:sz w:val="22"/>
      <w:lang w:val="en-GB" w:eastAsia="ja-JP"/>
      <w14:ligatures w14:val="none"/>
    </w:rPr>
  </w:style>
  <w:style w:type="paragraph" w:customStyle="1" w:styleId="Acknowledgements">
    <w:name w:val="Acknowledgements"/>
    <w:basedOn w:val="P1withoutIndendation"/>
    <w:qFormat/>
    <w:rsid w:val="00C76366"/>
    <w:pPr>
      <w:spacing w:after="240" w:line="230" w:lineRule="atLeast"/>
    </w:pPr>
  </w:style>
  <w:style w:type="paragraph" w:customStyle="1" w:styleId="ColumnTitleTOC">
    <w:name w:val="ColumnTitle_TOC"/>
    <w:basedOn w:val="ColumnTitle"/>
    <w:rsid w:val="00C76366"/>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C76366"/>
    <w:pPr>
      <w:spacing w:before="60" w:after="60" w:line="230" w:lineRule="exact"/>
    </w:pPr>
    <w:rPr>
      <w:rFonts w:ascii="Arial" w:eastAsia="MS Mincho" w:hAnsi="Arial" w:cs="Times New Roman"/>
      <w:b/>
      <w:i/>
      <w:color w:val="FFFFFF"/>
      <w:kern w:val="0"/>
      <w:sz w:val="21"/>
      <w:szCs w:val="18"/>
      <w:lang w:val="en-GB" w:eastAsia="ja-JP"/>
      <w14:ligatures w14:val="none"/>
    </w:rPr>
  </w:style>
  <w:style w:type="paragraph" w:customStyle="1" w:styleId="GAAuthors">
    <w:name w:val="GAAuthors"/>
    <w:basedOn w:val="Normal"/>
    <w:rsid w:val="00C76366"/>
    <w:pPr>
      <w:spacing w:before="360" w:after="60" w:line="220" w:lineRule="exact"/>
    </w:pPr>
    <w:rPr>
      <w:rFonts w:ascii="Times New Roman" w:eastAsia="MS Mincho" w:hAnsi="Times New Roman" w:cs="Times New Roman"/>
      <w:b/>
      <w:kern w:val="0"/>
      <w:sz w:val="18"/>
      <w:szCs w:val="20"/>
      <w:lang w:val="en-GB" w:eastAsia="ja-JP"/>
      <w14:ligatures w14:val="none"/>
    </w:rPr>
  </w:style>
  <w:style w:type="paragraph" w:customStyle="1" w:styleId="GACatchPhrase">
    <w:name w:val="GACatchPhrase"/>
    <w:basedOn w:val="Normal"/>
    <w:rsid w:val="00C76366"/>
    <w:pPr>
      <w:spacing w:before="40" w:after="0" w:line="240" w:lineRule="auto"/>
      <w:jc w:val="right"/>
    </w:pPr>
    <w:rPr>
      <w:rFonts w:ascii="Times New Roman" w:eastAsia="MS Mincho" w:hAnsi="Times New Roman" w:cs="Arial"/>
      <w:b/>
      <w:color w:val="008080"/>
      <w:kern w:val="0"/>
      <w:sz w:val="18"/>
      <w:szCs w:val="16"/>
      <w:lang w:val="en-GB" w:eastAsia="ja-JP"/>
      <w14:ligatures w14:val="none"/>
    </w:rPr>
  </w:style>
  <w:style w:type="paragraph" w:customStyle="1" w:styleId="GAText">
    <w:name w:val="GAText"/>
    <w:basedOn w:val="Normal"/>
    <w:rsid w:val="00C76366"/>
    <w:pPr>
      <w:spacing w:before="120" w:after="0" w:line="220" w:lineRule="exact"/>
    </w:pPr>
    <w:rPr>
      <w:rFonts w:ascii="Times New Roman" w:eastAsia="MS Mincho" w:hAnsi="Times New Roman" w:cs="Times New Roman"/>
      <w:color w:val="000000"/>
      <w:kern w:val="0"/>
      <w:sz w:val="18"/>
      <w:lang w:val="de-DE" w:eastAsia="ja-JP"/>
      <w14:ligatures w14:val="none"/>
    </w:rPr>
  </w:style>
  <w:style w:type="paragraph" w:customStyle="1" w:styleId="GATitel">
    <w:name w:val="GATitel"/>
    <w:basedOn w:val="GAAuthors"/>
    <w:rsid w:val="00C76366"/>
    <w:pPr>
      <w:spacing w:before="240"/>
    </w:pPr>
    <w:rPr>
      <w:b w:val="0"/>
    </w:rPr>
  </w:style>
  <w:style w:type="paragraph" w:customStyle="1" w:styleId="GAKeywords">
    <w:name w:val="GAKeywords"/>
    <w:basedOn w:val="Keywords"/>
    <w:rsid w:val="00C76366"/>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C76366"/>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C76366"/>
    <w:pPr>
      <w:spacing w:before="230" w:after="0" w:line="240" w:lineRule="auto"/>
    </w:pPr>
    <w:rPr>
      <w:rFonts w:ascii="Arial" w:eastAsia="MS Mincho" w:hAnsi="Arial" w:cs="Times New Roman"/>
      <w:b/>
      <w:i/>
      <w:kern w:val="0"/>
      <w:sz w:val="17"/>
      <w:lang w:val="de-DE" w:eastAsia="ja-JP"/>
      <w14:ligatures w14:val="none"/>
    </w:rPr>
  </w:style>
  <w:style w:type="paragraph" w:styleId="BalloonText">
    <w:name w:val="Balloon Text"/>
    <w:basedOn w:val="Normal"/>
    <w:link w:val="BalloonTextChar"/>
    <w:uiPriority w:val="99"/>
    <w:semiHidden/>
    <w:unhideWhenUsed/>
    <w:rsid w:val="00C76366"/>
    <w:pPr>
      <w:spacing w:after="0" w:line="240" w:lineRule="auto"/>
    </w:pPr>
    <w:rPr>
      <w:rFonts w:ascii="Tahoma" w:eastAsia="MS Mincho" w:hAnsi="Tahoma" w:cs="Tahoma"/>
      <w:kern w:val="0"/>
      <w:sz w:val="16"/>
      <w:szCs w:val="16"/>
      <w:lang w:val="de-DE" w:eastAsia="ja-JP"/>
      <w14:ligatures w14:val="none"/>
    </w:rPr>
  </w:style>
  <w:style w:type="character" w:customStyle="1" w:styleId="BalloonTextChar">
    <w:name w:val="Balloon Text Char"/>
    <w:basedOn w:val="DefaultParagraphFont"/>
    <w:link w:val="BalloonText"/>
    <w:uiPriority w:val="99"/>
    <w:semiHidden/>
    <w:rsid w:val="00C76366"/>
    <w:rPr>
      <w:rFonts w:ascii="Tahoma" w:eastAsia="MS Mincho" w:hAnsi="Tahoma" w:cs="Tahoma"/>
      <w:kern w:val="0"/>
      <w:sz w:val="16"/>
      <w:szCs w:val="16"/>
      <w:lang w:val="de-DE" w:eastAsia="ja-JP"/>
      <w14:ligatures w14:val="none"/>
    </w:rPr>
  </w:style>
  <w:style w:type="paragraph" w:customStyle="1" w:styleId="FormatvorlageHistoryObenEinfacheeinfarbigeLinie05PtZeilenbr">
    <w:name w:val="Formatvorlage History + Oben: (Einfache einfarbige Linie  05 Pt. Zeilenbr..."/>
    <w:basedOn w:val="History"/>
    <w:qFormat/>
    <w:rsid w:val="00C76366"/>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C76366"/>
    <w:pPr>
      <w:spacing w:before="720"/>
    </w:pPr>
    <w:rPr>
      <w:szCs w:val="20"/>
    </w:rPr>
  </w:style>
  <w:style w:type="paragraph" w:customStyle="1" w:styleId="TableSpacer">
    <w:name w:val="TableSpacer"/>
    <w:basedOn w:val="Normal"/>
    <w:qFormat/>
    <w:rsid w:val="00C76366"/>
    <w:pPr>
      <w:spacing w:before="360" w:after="0" w:line="240" w:lineRule="auto"/>
    </w:pPr>
    <w:rPr>
      <w:rFonts w:ascii="Arial" w:eastAsia="MS Mincho" w:hAnsi="Arial" w:cs="Times New Roman"/>
      <w:noProof/>
      <w:kern w:val="0"/>
      <w:sz w:val="14"/>
      <w:lang w:val="de-DE" w:eastAsia="ja-JP"/>
      <w14:ligatures w14:val="none"/>
    </w:rPr>
  </w:style>
  <w:style w:type="paragraph" w:customStyle="1" w:styleId="Abstract">
    <w:name w:val="Abstract"/>
    <w:basedOn w:val="Normal"/>
    <w:qFormat/>
    <w:rsid w:val="00C76366"/>
    <w:pPr>
      <w:spacing w:after="600" w:line="225" w:lineRule="exact"/>
      <w:jc w:val="both"/>
    </w:pPr>
    <w:rPr>
      <w:rFonts w:ascii="Arial" w:eastAsia="MS Mincho" w:hAnsi="Arial" w:cs="Times New Roman"/>
      <w:kern w:val="0"/>
      <w:sz w:val="16"/>
      <w:szCs w:val="20"/>
      <w:lang w:val="en-GB" w:eastAsia="ja-JP"/>
      <w14:ligatures w14:val="none"/>
    </w:rPr>
  </w:style>
  <w:style w:type="paragraph" w:customStyle="1" w:styleId="H1">
    <w:name w:val="H1"/>
    <w:basedOn w:val="Normal"/>
    <w:qFormat/>
    <w:rsid w:val="00C76366"/>
    <w:pPr>
      <w:spacing w:before="480" w:after="230" w:line="225" w:lineRule="exact"/>
    </w:pPr>
    <w:rPr>
      <w:rFonts w:ascii="Arial" w:eastAsia="MS Mincho" w:hAnsi="Arial" w:cs="Times New Roman"/>
      <w:b/>
      <w:kern w:val="0"/>
      <w:sz w:val="22"/>
      <w:lang w:val="en-GB" w:eastAsia="ja-JP"/>
      <w14:ligatures w14:val="none"/>
    </w:rPr>
  </w:style>
  <w:style w:type="paragraph" w:customStyle="1" w:styleId="P1">
    <w:name w:val="P1"/>
    <w:basedOn w:val="P1withoutIndendation"/>
    <w:qFormat/>
    <w:rsid w:val="00C76366"/>
    <w:rPr>
      <w:lang w:val="en-US"/>
    </w:rPr>
  </w:style>
  <w:style w:type="character" w:styleId="CommentReference">
    <w:name w:val="annotation reference"/>
    <w:uiPriority w:val="99"/>
    <w:semiHidden/>
    <w:unhideWhenUsed/>
    <w:rsid w:val="00C76366"/>
    <w:rPr>
      <w:sz w:val="16"/>
      <w:szCs w:val="16"/>
    </w:rPr>
  </w:style>
  <w:style w:type="paragraph" w:styleId="CommentText">
    <w:name w:val="annotation text"/>
    <w:basedOn w:val="Normal"/>
    <w:link w:val="CommentTextChar"/>
    <w:uiPriority w:val="99"/>
    <w:unhideWhenUsed/>
    <w:rsid w:val="00C76366"/>
    <w:pPr>
      <w:spacing w:after="0" w:line="240" w:lineRule="auto"/>
    </w:pPr>
    <w:rPr>
      <w:rFonts w:ascii="Times New Roman" w:eastAsia="MS Mincho" w:hAnsi="Times New Roman" w:cs="Times New Roman"/>
      <w:kern w:val="0"/>
      <w:sz w:val="20"/>
      <w:szCs w:val="20"/>
      <w:lang w:val="de-DE" w:eastAsia="ja-JP"/>
      <w14:ligatures w14:val="none"/>
    </w:rPr>
  </w:style>
  <w:style w:type="character" w:customStyle="1" w:styleId="CommentTextChar">
    <w:name w:val="Comment Text Char"/>
    <w:basedOn w:val="DefaultParagraphFont"/>
    <w:link w:val="CommentText"/>
    <w:uiPriority w:val="99"/>
    <w:rsid w:val="00C76366"/>
    <w:rPr>
      <w:rFonts w:ascii="Times New Roman" w:eastAsia="MS Mincho" w:hAnsi="Times New Roman" w:cs="Times New Roman"/>
      <w:kern w:val="0"/>
      <w:sz w:val="20"/>
      <w:szCs w:val="20"/>
      <w:lang w:val="de-DE" w:eastAsia="ja-JP"/>
      <w14:ligatures w14:val="none"/>
    </w:rPr>
  </w:style>
  <w:style w:type="paragraph" w:customStyle="1" w:styleId="ExperimentalText">
    <w:name w:val="Experimental Text"/>
    <w:basedOn w:val="Normal"/>
    <w:link w:val="ExperimentalTextChar"/>
    <w:rsid w:val="00C76366"/>
    <w:pPr>
      <w:spacing w:after="0" w:line="480" w:lineRule="auto"/>
    </w:pPr>
    <w:rPr>
      <w:rFonts w:ascii="Times New Roman" w:eastAsia="MS Mincho" w:hAnsi="Times New Roman" w:cs="Times New Roman"/>
      <w:kern w:val="0"/>
      <w:lang w:eastAsia="ja-JP"/>
      <w14:ligatures w14:val="none"/>
    </w:rPr>
  </w:style>
  <w:style w:type="character" w:customStyle="1" w:styleId="ExperimentalTextChar">
    <w:name w:val="Experimental Text Char"/>
    <w:link w:val="ExperimentalText"/>
    <w:rsid w:val="00C76366"/>
    <w:rPr>
      <w:rFonts w:ascii="Times New Roman" w:eastAsia="MS Mincho" w:hAnsi="Times New Roman" w:cs="Times New Roman"/>
      <w:kern w:val="0"/>
      <w:lang w:eastAsia="ja-JP"/>
      <w14:ligatures w14:val="none"/>
    </w:rPr>
  </w:style>
  <w:style w:type="paragraph" w:customStyle="1" w:styleId="MainText">
    <w:name w:val="Main Text"/>
    <w:basedOn w:val="Normal"/>
    <w:link w:val="MainTextChar"/>
    <w:rsid w:val="00C76366"/>
    <w:pPr>
      <w:spacing w:after="0" w:line="480" w:lineRule="auto"/>
    </w:pPr>
    <w:rPr>
      <w:rFonts w:ascii="Times New Roman" w:eastAsia="MS Mincho" w:hAnsi="Times New Roman" w:cs="Times New Roman"/>
      <w:kern w:val="0"/>
      <w:lang w:eastAsia="ja-JP"/>
      <w14:ligatures w14:val="none"/>
    </w:rPr>
  </w:style>
  <w:style w:type="character" w:customStyle="1" w:styleId="MainTextChar">
    <w:name w:val="Main Text Char"/>
    <w:link w:val="MainText"/>
    <w:rsid w:val="00C76366"/>
    <w:rPr>
      <w:rFonts w:ascii="Times New Roman" w:eastAsia="MS Mincho" w:hAnsi="Times New Roman" w:cs="Times New Roman"/>
      <w:kern w:val="0"/>
      <w:lang w:eastAsia="ja-JP"/>
      <w14:ligatures w14:val="none"/>
    </w:rPr>
  </w:style>
  <w:style w:type="paragraph" w:styleId="CommentSubject">
    <w:name w:val="annotation subject"/>
    <w:basedOn w:val="CommentText"/>
    <w:next w:val="CommentText"/>
    <w:link w:val="CommentSubjectChar"/>
    <w:uiPriority w:val="99"/>
    <w:semiHidden/>
    <w:unhideWhenUsed/>
    <w:rsid w:val="00C76366"/>
    <w:rPr>
      <w:b/>
      <w:bCs/>
    </w:rPr>
  </w:style>
  <w:style w:type="character" w:customStyle="1" w:styleId="CommentSubjectChar">
    <w:name w:val="Comment Subject Char"/>
    <w:basedOn w:val="CommentTextChar"/>
    <w:link w:val="CommentSubject"/>
    <w:uiPriority w:val="99"/>
    <w:semiHidden/>
    <w:rsid w:val="00C76366"/>
    <w:rPr>
      <w:rFonts w:ascii="Times New Roman" w:eastAsia="MS Mincho" w:hAnsi="Times New Roman" w:cs="Times New Roman"/>
      <w:b/>
      <w:bCs/>
      <w:kern w:val="0"/>
      <w:sz w:val="20"/>
      <w:szCs w:val="20"/>
      <w:lang w:val="de-DE" w:eastAsia="ja-JP"/>
      <w14:ligatures w14:val="none"/>
    </w:rPr>
  </w:style>
  <w:style w:type="character" w:styleId="Hyperlink">
    <w:name w:val="Hyperlink"/>
    <w:uiPriority w:val="99"/>
    <w:unhideWhenUsed/>
    <w:rsid w:val="00C76366"/>
    <w:rPr>
      <w:color w:val="0563C1"/>
      <w:u w:val="single"/>
    </w:rPr>
  </w:style>
  <w:style w:type="character" w:styleId="UnresolvedMention">
    <w:name w:val="Unresolved Mention"/>
    <w:uiPriority w:val="99"/>
    <w:semiHidden/>
    <w:unhideWhenUsed/>
    <w:rsid w:val="00C76366"/>
    <w:rPr>
      <w:color w:val="605E5C"/>
      <w:shd w:val="clear" w:color="auto" w:fill="E1DFDD"/>
    </w:rPr>
  </w:style>
  <w:style w:type="paragraph" w:customStyle="1" w:styleId="H2">
    <w:name w:val="H2"/>
    <w:basedOn w:val="H1"/>
    <w:next w:val="Normal"/>
    <w:qFormat/>
    <w:rsid w:val="00C76366"/>
    <w:pPr>
      <w:shd w:val="clear" w:color="auto" w:fill="DEEAF6"/>
      <w:tabs>
        <w:tab w:val="left" w:pos="709"/>
      </w:tabs>
      <w:spacing w:before="240" w:after="120" w:line="480" w:lineRule="exact"/>
      <w:ind w:left="709" w:hanging="709"/>
    </w:pPr>
    <w:rPr>
      <w:rFonts w:ascii="Times New Roman" w:eastAsia="Times New Roman" w:hAnsi="Times New Roman"/>
      <w:szCs w:val="22"/>
      <w:lang w:val="de-DE" w:eastAsia="de-DE"/>
    </w:rPr>
  </w:style>
  <w:style w:type="paragraph" w:customStyle="1" w:styleId="EndNoteBibliographyTitle">
    <w:name w:val="EndNote Bibliography Title"/>
    <w:basedOn w:val="Normal"/>
    <w:link w:val="EndNoteBibliographyTitleChar"/>
    <w:rsid w:val="00C76366"/>
    <w:pPr>
      <w:spacing w:after="0" w:line="240" w:lineRule="auto"/>
      <w:jc w:val="center"/>
    </w:pPr>
    <w:rPr>
      <w:rFonts w:ascii="Arial" w:eastAsia="MS Mincho" w:hAnsi="Arial" w:cs="Arial"/>
      <w:kern w:val="0"/>
      <w:sz w:val="16"/>
      <w:lang w:val="de-DE" w:eastAsia="ja-JP"/>
      <w14:ligatures w14:val="none"/>
    </w:rPr>
  </w:style>
  <w:style w:type="character" w:customStyle="1" w:styleId="EndNoteBibliographyTitleChar">
    <w:name w:val="EndNote Bibliography Title Char"/>
    <w:basedOn w:val="DefaultParagraphFont"/>
    <w:link w:val="EndNoteBibliographyTitle"/>
    <w:rsid w:val="00C76366"/>
    <w:rPr>
      <w:rFonts w:ascii="Arial" w:eastAsia="MS Mincho" w:hAnsi="Arial" w:cs="Arial"/>
      <w:kern w:val="0"/>
      <w:sz w:val="16"/>
      <w:lang w:val="de-DE" w:eastAsia="ja-JP"/>
      <w14:ligatures w14:val="none"/>
    </w:rPr>
  </w:style>
  <w:style w:type="paragraph" w:customStyle="1" w:styleId="EndNoteBibliography">
    <w:name w:val="EndNote Bibliography"/>
    <w:basedOn w:val="Normal"/>
    <w:link w:val="EndNoteBibliographyChar"/>
    <w:rsid w:val="00C76366"/>
    <w:pPr>
      <w:spacing w:after="0" w:line="240" w:lineRule="auto"/>
    </w:pPr>
    <w:rPr>
      <w:rFonts w:ascii="Arial" w:eastAsia="MS Mincho" w:hAnsi="Arial" w:cs="Arial"/>
      <w:kern w:val="0"/>
      <w:sz w:val="16"/>
      <w:lang w:val="de-DE" w:eastAsia="ja-JP"/>
      <w14:ligatures w14:val="none"/>
    </w:rPr>
  </w:style>
  <w:style w:type="character" w:customStyle="1" w:styleId="EndNoteBibliographyChar">
    <w:name w:val="EndNote Bibliography Char"/>
    <w:basedOn w:val="DefaultParagraphFont"/>
    <w:link w:val="EndNoteBibliography"/>
    <w:rsid w:val="00C76366"/>
    <w:rPr>
      <w:rFonts w:ascii="Arial" w:eastAsia="MS Mincho" w:hAnsi="Arial" w:cs="Arial"/>
      <w:kern w:val="0"/>
      <w:sz w:val="16"/>
      <w:lang w:val="de-DE" w:eastAsia="ja-JP"/>
      <w14:ligatures w14:val="none"/>
    </w:rPr>
  </w:style>
  <w:style w:type="paragraph" w:styleId="TOCHeading">
    <w:name w:val="TOC Heading"/>
    <w:basedOn w:val="Heading1"/>
    <w:next w:val="Normal"/>
    <w:uiPriority w:val="39"/>
    <w:unhideWhenUsed/>
    <w:qFormat/>
    <w:rsid w:val="005D2C85"/>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semiHidden/>
    <w:unhideWhenUsed/>
    <w:rsid w:val="005D2C85"/>
    <w:pPr>
      <w:spacing w:before="360" w:after="360"/>
    </w:pPr>
    <w:rPr>
      <w:b/>
      <w:bCs/>
      <w:caps/>
      <w:sz w:val="22"/>
      <w:szCs w:val="22"/>
      <w:u w:val="single"/>
    </w:rPr>
  </w:style>
  <w:style w:type="paragraph" w:styleId="TOC2">
    <w:name w:val="toc 2"/>
    <w:basedOn w:val="Normal"/>
    <w:next w:val="Normal"/>
    <w:autoRedefine/>
    <w:uiPriority w:val="39"/>
    <w:unhideWhenUsed/>
    <w:rsid w:val="005D2C85"/>
    <w:pPr>
      <w:spacing w:after="0"/>
    </w:pPr>
    <w:rPr>
      <w:b/>
      <w:bCs/>
      <w:smallCaps/>
      <w:sz w:val="22"/>
      <w:szCs w:val="22"/>
    </w:rPr>
  </w:style>
  <w:style w:type="paragraph" w:styleId="TOC3">
    <w:name w:val="toc 3"/>
    <w:basedOn w:val="Normal"/>
    <w:next w:val="Normal"/>
    <w:autoRedefine/>
    <w:uiPriority w:val="39"/>
    <w:semiHidden/>
    <w:unhideWhenUsed/>
    <w:rsid w:val="005D2C85"/>
    <w:pPr>
      <w:spacing w:after="0"/>
    </w:pPr>
    <w:rPr>
      <w:smallCaps/>
      <w:sz w:val="22"/>
      <w:szCs w:val="22"/>
    </w:rPr>
  </w:style>
  <w:style w:type="paragraph" w:styleId="TOC4">
    <w:name w:val="toc 4"/>
    <w:basedOn w:val="Normal"/>
    <w:next w:val="Normal"/>
    <w:autoRedefine/>
    <w:uiPriority w:val="39"/>
    <w:semiHidden/>
    <w:unhideWhenUsed/>
    <w:rsid w:val="005D2C85"/>
    <w:pPr>
      <w:spacing w:after="0"/>
    </w:pPr>
    <w:rPr>
      <w:sz w:val="22"/>
      <w:szCs w:val="22"/>
    </w:rPr>
  </w:style>
  <w:style w:type="paragraph" w:styleId="TOC5">
    <w:name w:val="toc 5"/>
    <w:basedOn w:val="Normal"/>
    <w:next w:val="Normal"/>
    <w:autoRedefine/>
    <w:uiPriority w:val="39"/>
    <w:semiHidden/>
    <w:unhideWhenUsed/>
    <w:rsid w:val="005D2C85"/>
    <w:pPr>
      <w:spacing w:after="0"/>
    </w:pPr>
    <w:rPr>
      <w:sz w:val="22"/>
      <w:szCs w:val="22"/>
    </w:rPr>
  </w:style>
  <w:style w:type="paragraph" w:styleId="TOC6">
    <w:name w:val="toc 6"/>
    <w:basedOn w:val="Normal"/>
    <w:next w:val="Normal"/>
    <w:autoRedefine/>
    <w:uiPriority w:val="39"/>
    <w:semiHidden/>
    <w:unhideWhenUsed/>
    <w:rsid w:val="005D2C85"/>
    <w:pPr>
      <w:spacing w:after="0"/>
    </w:pPr>
    <w:rPr>
      <w:sz w:val="22"/>
      <w:szCs w:val="22"/>
    </w:rPr>
  </w:style>
  <w:style w:type="paragraph" w:styleId="TOC7">
    <w:name w:val="toc 7"/>
    <w:basedOn w:val="Normal"/>
    <w:next w:val="Normal"/>
    <w:autoRedefine/>
    <w:uiPriority w:val="39"/>
    <w:semiHidden/>
    <w:unhideWhenUsed/>
    <w:rsid w:val="005D2C85"/>
    <w:pPr>
      <w:spacing w:after="0"/>
    </w:pPr>
    <w:rPr>
      <w:sz w:val="22"/>
      <w:szCs w:val="22"/>
    </w:rPr>
  </w:style>
  <w:style w:type="paragraph" w:styleId="TOC8">
    <w:name w:val="toc 8"/>
    <w:basedOn w:val="Normal"/>
    <w:next w:val="Normal"/>
    <w:autoRedefine/>
    <w:uiPriority w:val="39"/>
    <w:semiHidden/>
    <w:unhideWhenUsed/>
    <w:rsid w:val="005D2C85"/>
    <w:pPr>
      <w:spacing w:after="0"/>
    </w:pPr>
    <w:rPr>
      <w:sz w:val="22"/>
      <w:szCs w:val="22"/>
    </w:rPr>
  </w:style>
  <w:style w:type="paragraph" w:styleId="TOC9">
    <w:name w:val="toc 9"/>
    <w:basedOn w:val="Normal"/>
    <w:next w:val="Normal"/>
    <w:autoRedefine/>
    <w:uiPriority w:val="39"/>
    <w:semiHidden/>
    <w:unhideWhenUsed/>
    <w:rsid w:val="005D2C85"/>
    <w:pPr>
      <w:spacing w:after="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3D2F4-F40B-3947-847D-6985FB9D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5288</Words>
  <Characters>30142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 Asif</dc:creator>
  <cp:keywords/>
  <dc:description/>
  <cp:lastModifiedBy>Tobias W. Giessen</cp:lastModifiedBy>
  <cp:revision>5</cp:revision>
  <dcterms:created xsi:type="dcterms:W3CDTF">2026-07-20T23:14:00Z</dcterms:created>
  <dcterms:modified xsi:type="dcterms:W3CDTF">2026-07-21T12:29:00Z</dcterms:modified>
</cp:coreProperties>
</file>