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DE53" w14:textId="77777777" w:rsidR="00F7215E" w:rsidRDefault="00F7215E" w:rsidP="00F7215E">
      <w:pPr>
        <w:jc w:val="both"/>
        <w:rPr>
          <w:rFonts w:cs="Times New Roman"/>
          <w:b/>
          <w:bCs/>
          <w:lang w:val="en-US"/>
        </w:rPr>
      </w:pPr>
      <w:r>
        <w:rPr>
          <w:rFonts w:cs="Times New Roman"/>
          <w:b/>
          <w:bCs/>
          <w:lang w:val="en-US"/>
        </w:rPr>
        <w:t xml:space="preserve">Early and Divergent Lipid Mediator Remodeling in Fast versus Slow Skeletal Muscles of Female </w:t>
      </w:r>
      <w:r w:rsidRPr="00CA359F">
        <w:rPr>
          <w:rFonts w:cs="Times New Roman"/>
          <w:b/>
          <w:bCs/>
          <w:lang w:val="en-US"/>
        </w:rPr>
        <w:t>hSOD1</w:t>
      </w:r>
      <w:r w:rsidRPr="00135246">
        <w:rPr>
          <w:rFonts w:cs="Times New Roman"/>
          <w:b/>
          <w:bCs/>
          <w:vertAlign w:val="superscript"/>
          <w:lang w:val="en-US"/>
        </w:rPr>
        <w:t>G93A</w:t>
      </w:r>
      <w:r w:rsidRPr="00A256AA">
        <w:rPr>
          <w:rFonts w:cs="Times New Roman"/>
          <w:b/>
          <w:bCs/>
          <w:lang w:val="en-US"/>
        </w:rPr>
        <w:t xml:space="preserve"> </w:t>
      </w:r>
      <w:r>
        <w:rPr>
          <w:rFonts w:cs="Times New Roman"/>
          <w:b/>
          <w:bCs/>
          <w:lang w:val="en-US"/>
        </w:rPr>
        <w:t>Mice</w:t>
      </w:r>
    </w:p>
    <w:p w14:paraId="03CCD758" w14:textId="77777777" w:rsidR="00F7215E" w:rsidRPr="00A256AA" w:rsidRDefault="00F7215E" w:rsidP="00F7215E">
      <w:pPr>
        <w:jc w:val="both"/>
        <w:rPr>
          <w:rFonts w:cs="Times New Roman"/>
          <w:b/>
          <w:bCs/>
          <w:lang w:val="en-US"/>
        </w:rPr>
      </w:pPr>
    </w:p>
    <w:p w14:paraId="646DFF7E" w14:textId="77777777" w:rsidR="00F7215E" w:rsidRPr="00B33A21" w:rsidRDefault="00F7215E" w:rsidP="00F7215E">
      <w:pPr>
        <w:jc w:val="both"/>
        <w:rPr>
          <w:rFonts w:cs="Times New Roman"/>
          <w:sz w:val="20"/>
          <w:szCs w:val="20"/>
        </w:rPr>
      </w:pPr>
      <w:r w:rsidRPr="00B33A21">
        <w:rPr>
          <w:rFonts w:cs="Times New Roman"/>
          <w:sz w:val="20"/>
          <w:szCs w:val="20"/>
        </w:rPr>
        <w:t>Sebastiaan Dalle</w:t>
      </w:r>
      <w:r w:rsidRPr="00B33A21">
        <w:rPr>
          <w:rFonts w:cs="Times New Roman"/>
          <w:sz w:val="20"/>
          <w:szCs w:val="20"/>
          <w:vertAlign w:val="superscript"/>
        </w:rPr>
        <w:t>1,2</w:t>
      </w:r>
      <w:r w:rsidRPr="00B33A21">
        <w:rPr>
          <w:rFonts w:cs="Times New Roman"/>
          <w:sz w:val="20"/>
          <w:szCs w:val="20"/>
        </w:rPr>
        <w:t>*</w:t>
      </w:r>
      <w:r w:rsidRPr="00B33A21">
        <w:rPr>
          <w:rFonts w:cs="Times New Roman"/>
          <w:sz w:val="20"/>
          <w:szCs w:val="20"/>
          <w:vertAlign w:val="superscript"/>
        </w:rPr>
        <w:t>,$</w:t>
      </w:r>
      <w:r w:rsidRPr="00B33A21">
        <w:rPr>
          <w:rFonts w:cs="Times New Roman"/>
          <w:sz w:val="20"/>
          <w:szCs w:val="20"/>
        </w:rPr>
        <w:t>, Kaat Vanderbeke</w:t>
      </w:r>
      <w:r w:rsidRPr="00B33A21">
        <w:rPr>
          <w:rFonts w:cs="Times New Roman"/>
          <w:sz w:val="20"/>
          <w:szCs w:val="20"/>
          <w:vertAlign w:val="superscript"/>
        </w:rPr>
        <w:t>1</w:t>
      </w:r>
      <w:r w:rsidRPr="00B33A21">
        <w:rPr>
          <w:rFonts w:cs="Times New Roman"/>
          <w:sz w:val="20"/>
          <w:szCs w:val="20"/>
        </w:rPr>
        <w:t>*, Thibaut Burg</w:t>
      </w:r>
      <w:r w:rsidRPr="00B33A21">
        <w:rPr>
          <w:rFonts w:cs="Times New Roman"/>
          <w:sz w:val="20"/>
          <w:szCs w:val="20"/>
          <w:vertAlign w:val="superscript"/>
        </w:rPr>
        <w:t>3,4</w:t>
      </w:r>
      <w:r w:rsidRPr="00B33A21">
        <w:rPr>
          <w:rFonts w:cs="Times New Roman"/>
          <w:sz w:val="20"/>
          <w:szCs w:val="20"/>
        </w:rPr>
        <w:t>, Moniek Schouten</w:t>
      </w:r>
      <w:r w:rsidRPr="00B33A21">
        <w:rPr>
          <w:rFonts w:cs="Times New Roman"/>
          <w:sz w:val="20"/>
          <w:szCs w:val="20"/>
          <w:vertAlign w:val="superscript"/>
        </w:rPr>
        <w:t>1</w:t>
      </w:r>
      <w:r w:rsidRPr="00B33A21">
        <w:rPr>
          <w:rFonts w:cs="Times New Roman"/>
          <w:sz w:val="20"/>
          <w:szCs w:val="20"/>
        </w:rPr>
        <w:t>, Wout Lauriks</w:t>
      </w:r>
      <w:r w:rsidRPr="00B33A21">
        <w:rPr>
          <w:rFonts w:cs="Times New Roman"/>
          <w:sz w:val="20"/>
          <w:szCs w:val="20"/>
          <w:vertAlign w:val="superscript"/>
        </w:rPr>
        <w:t>1</w:t>
      </w:r>
      <w:r w:rsidRPr="00B33A21">
        <w:rPr>
          <w:rFonts w:cs="Times New Roman"/>
          <w:sz w:val="20"/>
          <w:szCs w:val="20"/>
        </w:rPr>
        <w:t>, Nicole Hersmus</w:t>
      </w:r>
      <w:r w:rsidRPr="00B33A21">
        <w:rPr>
          <w:rFonts w:cs="Times New Roman"/>
          <w:sz w:val="20"/>
          <w:szCs w:val="20"/>
          <w:vertAlign w:val="superscript"/>
        </w:rPr>
        <w:t>3,4,5</w:t>
      </w:r>
      <w:r w:rsidRPr="00B33A21">
        <w:rPr>
          <w:rFonts w:cs="Times New Roman"/>
          <w:sz w:val="20"/>
          <w:szCs w:val="20"/>
        </w:rPr>
        <w:t>, Ludo Van Den Bosch</w:t>
      </w:r>
      <w:r w:rsidRPr="00B33A21">
        <w:rPr>
          <w:rFonts w:cs="Times New Roman"/>
          <w:sz w:val="20"/>
          <w:szCs w:val="20"/>
          <w:vertAlign w:val="superscript"/>
        </w:rPr>
        <w:t>3,4</w:t>
      </w:r>
      <w:r w:rsidRPr="00B33A21">
        <w:rPr>
          <w:rFonts w:cs="Times New Roman"/>
          <w:sz w:val="20"/>
          <w:szCs w:val="20"/>
        </w:rPr>
        <w:t>, Katrien Koppo</w:t>
      </w:r>
      <w:r w:rsidRPr="00B33A21">
        <w:rPr>
          <w:rFonts w:cs="Times New Roman"/>
          <w:sz w:val="20"/>
          <w:szCs w:val="20"/>
          <w:vertAlign w:val="superscript"/>
        </w:rPr>
        <w:t>1</w:t>
      </w:r>
      <w:r>
        <w:rPr>
          <w:rFonts w:cs="Times New Roman"/>
          <w:sz w:val="20"/>
          <w:szCs w:val="20"/>
          <w:vertAlign w:val="superscript"/>
        </w:rPr>
        <w:t>,</w:t>
      </w:r>
      <w:r w:rsidRPr="00B33A21">
        <w:rPr>
          <w:rFonts w:cs="Times New Roman"/>
          <w:sz w:val="20"/>
          <w:szCs w:val="20"/>
          <w:vertAlign w:val="superscript"/>
        </w:rPr>
        <w:t>$</w:t>
      </w:r>
    </w:p>
    <w:p w14:paraId="6AEF6B46" w14:textId="77777777" w:rsidR="00F7215E" w:rsidRPr="00B33A21" w:rsidRDefault="00F7215E" w:rsidP="00F7215E">
      <w:pPr>
        <w:jc w:val="both"/>
        <w:rPr>
          <w:rFonts w:cs="Times New Roman"/>
          <w:sz w:val="20"/>
          <w:szCs w:val="20"/>
          <w:lang w:val="en-US"/>
        </w:rPr>
      </w:pPr>
      <w:r w:rsidRPr="00B33A21">
        <w:rPr>
          <w:rFonts w:cs="Times New Roman"/>
          <w:sz w:val="20"/>
          <w:szCs w:val="20"/>
          <w:vertAlign w:val="superscript"/>
          <w:lang w:val="en-US"/>
        </w:rPr>
        <w:t>1</w:t>
      </w:r>
      <w:r w:rsidRPr="00B33A21">
        <w:rPr>
          <w:rFonts w:cs="Times New Roman"/>
          <w:sz w:val="20"/>
          <w:szCs w:val="20"/>
          <w:lang w:val="en-US"/>
        </w:rPr>
        <w:t xml:space="preserve">Exercise and Muscle Physiology Research Group; Department of Movement Sciences; University of Leuven; </w:t>
      </w:r>
      <w:proofErr w:type="spellStart"/>
      <w:r w:rsidRPr="00B33A21">
        <w:rPr>
          <w:rFonts w:cs="Times New Roman"/>
          <w:sz w:val="20"/>
          <w:szCs w:val="20"/>
          <w:lang w:val="en-US"/>
        </w:rPr>
        <w:t>Tervuursevest</w:t>
      </w:r>
      <w:proofErr w:type="spellEnd"/>
      <w:r w:rsidRPr="00B33A21">
        <w:rPr>
          <w:rFonts w:cs="Times New Roman"/>
          <w:sz w:val="20"/>
          <w:szCs w:val="20"/>
          <w:lang w:val="en-US"/>
        </w:rPr>
        <w:t xml:space="preserve"> 101; 3001 Leuven; Belgium</w:t>
      </w:r>
    </w:p>
    <w:p w14:paraId="7DF348D9" w14:textId="77777777" w:rsidR="00F7215E" w:rsidRPr="00B33A21" w:rsidRDefault="00F7215E" w:rsidP="00F7215E">
      <w:pPr>
        <w:jc w:val="both"/>
        <w:rPr>
          <w:rFonts w:cs="Times New Roman"/>
          <w:sz w:val="20"/>
          <w:szCs w:val="20"/>
          <w:lang w:val="en-US"/>
        </w:rPr>
      </w:pPr>
      <w:r w:rsidRPr="00B33A21">
        <w:rPr>
          <w:rFonts w:cs="Times New Roman"/>
          <w:sz w:val="20"/>
          <w:szCs w:val="20"/>
          <w:vertAlign w:val="superscript"/>
          <w:lang w:val="en-US"/>
        </w:rPr>
        <w:t>2</w:t>
      </w:r>
      <w:r w:rsidRPr="00B33A21">
        <w:rPr>
          <w:rFonts w:cs="Times New Roman"/>
          <w:sz w:val="20"/>
          <w:szCs w:val="20"/>
          <w:lang w:val="en-US"/>
        </w:rPr>
        <w:t xml:space="preserve">MOVANT Research Group; Department of Rehabilitation Sciences and Physiotherapy; University of Antwerp; </w:t>
      </w:r>
      <w:proofErr w:type="spellStart"/>
      <w:r w:rsidRPr="00B33A21">
        <w:rPr>
          <w:rFonts w:cs="Times New Roman"/>
          <w:sz w:val="20"/>
          <w:szCs w:val="20"/>
          <w:lang w:val="en-US"/>
        </w:rPr>
        <w:t>Universiteitsplein</w:t>
      </w:r>
      <w:proofErr w:type="spellEnd"/>
      <w:r w:rsidRPr="00B33A21">
        <w:rPr>
          <w:rFonts w:cs="Times New Roman"/>
          <w:sz w:val="20"/>
          <w:szCs w:val="20"/>
          <w:lang w:val="en-US"/>
        </w:rPr>
        <w:t xml:space="preserve"> 1; 2610 </w:t>
      </w:r>
      <w:proofErr w:type="spellStart"/>
      <w:r w:rsidRPr="00B33A21">
        <w:rPr>
          <w:rFonts w:cs="Times New Roman"/>
          <w:sz w:val="20"/>
          <w:szCs w:val="20"/>
          <w:lang w:val="en-US"/>
        </w:rPr>
        <w:t>Wilrijk</w:t>
      </w:r>
      <w:proofErr w:type="spellEnd"/>
      <w:r w:rsidRPr="00B33A21">
        <w:rPr>
          <w:rFonts w:cs="Times New Roman"/>
          <w:sz w:val="20"/>
          <w:szCs w:val="20"/>
          <w:lang w:val="en-US"/>
        </w:rPr>
        <w:t>; Belgium</w:t>
      </w:r>
    </w:p>
    <w:p w14:paraId="793EA6BD" w14:textId="77777777" w:rsidR="00F7215E" w:rsidRPr="00B33A21" w:rsidRDefault="00F7215E" w:rsidP="00F7215E">
      <w:pPr>
        <w:jc w:val="both"/>
        <w:rPr>
          <w:rFonts w:cs="Times New Roman"/>
          <w:sz w:val="20"/>
          <w:szCs w:val="20"/>
          <w:lang w:val="en-US"/>
        </w:rPr>
      </w:pPr>
      <w:r w:rsidRPr="00B33A21">
        <w:rPr>
          <w:rFonts w:cs="Times New Roman"/>
          <w:sz w:val="20"/>
          <w:szCs w:val="20"/>
          <w:vertAlign w:val="superscript"/>
          <w:lang w:val="en-US"/>
        </w:rPr>
        <w:t>3</w:t>
      </w:r>
      <w:r w:rsidRPr="00B33A21">
        <w:rPr>
          <w:rFonts w:cs="Times New Roman"/>
          <w:sz w:val="20"/>
          <w:szCs w:val="20"/>
          <w:lang w:val="en-US"/>
        </w:rPr>
        <w:t xml:space="preserve">Leuven Brain Institute; Department of Neurosciences; University of Leuven; ON5, </w:t>
      </w:r>
      <w:proofErr w:type="spellStart"/>
      <w:r w:rsidRPr="00B33A21">
        <w:rPr>
          <w:rFonts w:cs="Times New Roman"/>
          <w:sz w:val="20"/>
          <w:szCs w:val="20"/>
          <w:lang w:val="en-US"/>
        </w:rPr>
        <w:t>Herestraat</w:t>
      </w:r>
      <w:proofErr w:type="spellEnd"/>
      <w:r w:rsidRPr="00B33A21">
        <w:rPr>
          <w:rFonts w:cs="Times New Roman"/>
          <w:sz w:val="20"/>
          <w:szCs w:val="20"/>
          <w:lang w:val="en-US"/>
        </w:rPr>
        <w:t xml:space="preserve"> 49; 3000 Leuven; Belgium</w:t>
      </w:r>
    </w:p>
    <w:p w14:paraId="738F8EE0" w14:textId="77777777" w:rsidR="00F7215E" w:rsidRPr="00B33A21" w:rsidRDefault="00F7215E" w:rsidP="00F7215E">
      <w:pPr>
        <w:jc w:val="both"/>
        <w:rPr>
          <w:rFonts w:cs="Times New Roman"/>
          <w:sz w:val="20"/>
          <w:szCs w:val="20"/>
          <w:lang w:val="en-US"/>
        </w:rPr>
      </w:pPr>
      <w:r w:rsidRPr="00B33A21">
        <w:rPr>
          <w:rFonts w:cs="Times New Roman"/>
          <w:sz w:val="20"/>
          <w:szCs w:val="20"/>
          <w:vertAlign w:val="superscript"/>
          <w:lang w:val="en-US"/>
        </w:rPr>
        <w:t>4</w:t>
      </w:r>
      <w:r w:rsidRPr="00B33A21">
        <w:rPr>
          <w:rFonts w:cs="Times New Roman"/>
          <w:sz w:val="20"/>
          <w:szCs w:val="20"/>
          <w:lang w:val="en-US"/>
        </w:rPr>
        <w:t xml:space="preserve">Laboratory of Neurobiology; VIB Center for Neuroscience; ON5, </w:t>
      </w:r>
      <w:proofErr w:type="spellStart"/>
      <w:r w:rsidRPr="00B33A21">
        <w:rPr>
          <w:rFonts w:cs="Times New Roman"/>
          <w:sz w:val="20"/>
          <w:szCs w:val="20"/>
          <w:lang w:val="en-US"/>
        </w:rPr>
        <w:t>Herestraat</w:t>
      </w:r>
      <w:proofErr w:type="spellEnd"/>
      <w:r w:rsidRPr="00B33A21">
        <w:rPr>
          <w:rFonts w:cs="Times New Roman"/>
          <w:sz w:val="20"/>
          <w:szCs w:val="20"/>
          <w:lang w:val="en-US"/>
        </w:rPr>
        <w:t xml:space="preserve"> 49; 3000 Leuven; Belgium</w:t>
      </w:r>
    </w:p>
    <w:p w14:paraId="65692F11" w14:textId="77777777" w:rsidR="00F7215E" w:rsidRPr="00B33A21" w:rsidRDefault="00F7215E" w:rsidP="00F7215E">
      <w:pPr>
        <w:jc w:val="both"/>
        <w:rPr>
          <w:rFonts w:cs="Times New Roman"/>
          <w:sz w:val="20"/>
          <w:szCs w:val="20"/>
          <w:lang w:val="en-US"/>
        </w:rPr>
      </w:pPr>
      <w:r w:rsidRPr="00B33A21">
        <w:rPr>
          <w:rFonts w:cs="Times New Roman"/>
          <w:sz w:val="20"/>
          <w:szCs w:val="20"/>
          <w:vertAlign w:val="superscript"/>
          <w:lang w:val="en-US"/>
        </w:rPr>
        <w:t>5</w:t>
      </w:r>
      <w:r w:rsidRPr="00B33A21">
        <w:rPr>
          <w:rFonts w:cs="Times New Roman"/>
          <w:sz w:val="20"/>
          <w:szCs w:val="20"/>
          <w:lang w:val="en-US"/>
        </w:rPr>
        <w:t xml:space="preserve">Department of Neurology; University Hospitals Leuven; </w:t>
      </w:r>
      <w:proofErr w:type="spellStart"/>
      <w:r w:rsidRPr="00B33A21">
        <w:rPr>
          <w:rFonts w:cs="Times New Roman"/>
          <w:sz w:val="20"/>
          <w:szCs w:val="20"/>
          <w:lang w:val="en-US"/>
        </w:rPr>
        <w:t>Herestraat</w:t>
      </w:r>
      <w:proofErr w:type="spellEnd"/>
      <w:r w:rsidRPr="00B33A21">
        <w:rPr>
          <w:rFonts w:cs="Times New Roman"/>
          <w:sz w:val="20"/>
          <w:szCs w:val="20"/>
          <w:lang w:val="en-US"/>
        </w:rPr>
        <w:t xml:space="preserve"> 49; 3001 Leuven; Belgium </w:t>
      </w:r>
    </w:p>
    <w:p w14:paraId="0F3F9D95" w14:textId="77777777" w:rsidR="00F7215E" w:rsidRPr="00B33A21" w:rsidRDefault="00F7215E" w:rsidP="00F7215E">
      <w:pPr>
        <w:jc w:val="both"/>
        <w:rPr>
          <w:rFonts w:cs="Times New Roman"/>
          <w:sz w:val="20"/>
          <w:szCs w:val="20"/>
          <w:lang w:val="en-US"/>
        </w:rPr>
      </w:pPr>
      <w:r w:rsidRPr="00B33A21">
        <w:rPr>
          <w:rFonts w:cs="Times New Roman"/>
          <w:sz w:val="20"/>
          <w:szCs w:val="20"/>
          <w:lang w:val="en-US"/>
        </w:rPr>
        <w:t>*contributed equally</w:t>
      </w:r>
    </w:p>
    <w:p w14:paraId="168D2104" w14:textId="77777777" w:rsidR="00F7215E" w:rsidRPr="00B33A21" w:rsidRDefault="00F7215E" w:rsidP="00F7215E">
      <w:pPr>
        <w:jc w:val="both"/>
        <w:rPr>
          <w:rFonts w:cs="Times New Roman"/>
          <w:sz w:val="20"/>
          <w:szCs w:val="20"/>
          <w:lang w:val="en-US"/>
        </w:rPr>
      </w:pPr>
      <w:r w:rsidRPr="00B33A21">
        <w:rPr>
          <w:rFonts w:cs="Times New Roman"/>
          <w:sz w:val="20"/>
          <w:szCs w:val="20"/>
          <w:vertAlign w:val="superscript"/>
          <w:lang w:val="en-US"/>
        </w:rPr>
        <w:t>$</w:t>
      </w:r>
      <w:r w:rsidRPr="00B33A21">
        <w:rPr>
          <w:rFonts w:cs="Times New Roman"/>
          <w:sz w:val="20"/>
          <w:szCs w:val="20"/>
          <w:lang w:val="en-US"/>
        </w:rPr>
        <w:t>corresponding author</w:t>
      </w:r>
      <w:r>
        <w:rPr>
          <w:rFonts w:cs="Times New Roman"/>
          <w:sz w:val="20"/>
          <w:szCs w:val="20"/>
          <w:lang w:val="en-US"/>
        </w:rPr>
        <w:t>s</w:t>
      </w:r>
      <w:r w:rsidRPr="00B33A21">
        <w:rPr>
          <w:rFonts w:cs="Times New Roman"/>
          <w:sz w:val="20"/>
          <w:szCs w:val="20"/>
          <w:lang w:val="en-US"/>
        </w:rPr>
        <w:t xml:space="preserve">: </w:t>
      </w:r>
      <w:hyperlink r:id="rId8" w:history="1">
        <w:r w:rsidRPr="00F7215E">
          <w:rPr>
            <w:rStyle w:val="Hyperlink"/>
            <w:rFonts w:cs="Times New Roman"/>
            <w:color w:val="auto"/>
            <w:sz w:val="20"/>
            <w:szCs w:val="20"/>
            <w:u w:val="none"/>
            <w:lang w:val="en-US"/>
          </w:rPr>
          <w:t>Sebastiaan.dalle@kuleuven.be</w:t>
        </w:r>
      </w:hyperlink>
      <w:r w:rsidRPr="00F7215E">
        <w:rPr>
          <w:rFonts w:cs="Times New Roman"/>
          <w:sz w:val="20"/>
          <w:szCs w:val="20"/>
          <w:lang w:val="en-US"/>
        </w:rPr>
        <w:t>;</w:t>
      </w:r>
      <w:r w:rsidRPr="00B33A21">
        <w:rPr>
          <w:rFonts w:cs="Times New Roman"/>
          <w:sz w:val="20"/>
          <w:szCs w:val="20"/>
          <w:lang w:val="en-US"/>
        </w:rPr>
        <w:t xml:space="preserve"> Sebastiaan.dalle@uantwerpen.be; </w:t>
      </w:r>
      <w:r>
        <w:rPr>
          <w:rFonts w:cs="Times New Roman"/>
          <w:sz w:val="20"/>
          <w:szCs w:val="20"/>
          <w:lang w:val="en-US"/>
        </w:rPr>
        <w:t>Katrien.koppo@kuleuven.be</w:t>
      </w:r>
    </w:p>
    <w:p w14:paraId="393851EA" w14:textId="77777777" w:rsidR="00F7215E" w:rsidRPr="00BE54A0" w:rsidRDefault="00F7215E" w:rsidP="00C47A8C">
      <w:pPr>
        <w:rPr>
          <w:rFonts w:cs="Times New Roman"/>
          <w:sz w:val="28"/>
          <w:szCs w:val="28"/>
          <w:u w:val="single"/>
          <w:lang w:val="en-US"/>
        </w:rPr>
      </w:pPr>
    </w:p>
    <w:p w14:paraId="461DA7E0" w14:textId="018A7F0A" w:rsidR="00C47A8C" w:rsidRPr="00BE54A0" w:rsidRDefault="00C47A8C" w:rsidP="00C47A8C">
      <w:pPr>
        <w:rPr>
          <w:rFonts w:cs="Times New Roman"/>
          <w:sz w:val="28"/>
          <w:szCs w:val="28"/>
          <w:u w:val="single"/>
          <w:lang w:val="en-US"/>
        </w:rPr>
      </w:pPr>
      <w:r w:rsidRPr="00BE54A0">
        <w:rPr>
          <w:rFonts w:cs="Times New Roman"/>
          <w:sz w:val="28"/>
          <w:szCs w:val="28"/>
          <w:u w:val="single"/>
          <w:lang w:val="en-US"/>
        </w:rPr>
        <w:t>Supplementary data</w:t>
      </w:r>
    </w:p>
    <w:p w14:paraId="6BFE65E5" w14:textId="1764434D" w:rsidR="00C36E4F" w:rsidRPr="00BE54A0" w:rsidRDefault="00C36E4F" w:rsidP="00C36E4F">
      <w:pPr>
        <w:rPr>
          <w:lang w:val="en-US"/>
        </w:rPr>
      </w:pPr>
      <w:r w:rsidRPr="00BE54A0">
        <w:rPr>
          <w:lang w:val="en-US"/>
        </w:rPr>
        <w:t xml:space="preserve">Supplementary </w:t>
      </w:r>
      <w:r w:rsidR="008F1FFF" w:rsidRPr="00BE54A0">
        <w:rPr>
          <w:lang w:val="en-US"/>
        </w:rPr>
        <w:t>T</w:t>
      </w:r>
      <w:r w:rsidRPr="00BE54A0">
        <w:rPr>
          <w:lang w:val="en-US"/>
        </w:rPr>
        <w:t xml:space="preserve">able 1. </w:t>
      </w:r>
      <w:r w:rsidR="00C53D2F" w:rsidRPr="00BE54A0">
        <w:rPr>
          <w:lang w:val="en-US"/>
        </w:rPr>
        <w:t xml:space="preserve">Functional characteristics of </w:t>
      </w:r>
      <w:r w:rsidR="00145BB0" w:rsidRPr="00BE54A0">
        <w:rPr>
          <w:lang w:val="en-US"/>
        </w:rPr>
        <w:t>selected ages</w:t>
      </w:r>
      <w:r w:rsidR="008F1FFF" w:rsidRPr="00BE54A0">
        <w:rPr>
          <w:lang w:val="en-US"/>
        </w:rPr>
        <w:t xml:space="preserve"> in ALS mice</w:t>
      </w:r>
      <w:r w:rsidR="00864AB0" w:rsidRPr="00BE54A0">
        <w:rPr>
          <w:lang w:val="en-US"/>
        </w:rPr>
        <w:t>.</w:t>
      </w:r>
    </w:p>
    <w:tbl>
      <w:tblPr>
        <w:tblStyle w:val="TableGrid"/>
        <w:tblW w:w="9298" w:type="dxa"/>
        <w:tblLook w:val="04A0" w:firstRow="1" w:lastRow="0" w:firstColumn="1" w:lastColumn="0" w:noHBand="0" w:noVBand="1"/>
      </w:tblPr>
      <w:tblGrid>
        <w:gridCol w:w="3681"/>
        <w:gridCol w:w="1843"/>
        <w:gridCol w:w="1842"/>
        <w:gridCol w:w="1932"/>
      </w:tblGrid>
      <w:tr w:rsidR="00F61F30" w:rsidRPr="00BE54A0" w14:paraId="38321337" w14:textId="77777777" w:rsidTr="00F61F30">
        <w:tc>
          <w:tcPr>
            <w:tcW w:w="3681" w:type="dxa"/>
          </w:tcPr>
          <w:p w14:paraId="03D41BEA" w14:textId="77777777" w:rsidR="00F61F30" w:rsidRPr="00BE54A0" w:rsidRDefault="00F61F30" w:rsidP="00F61F30">
            <w:pPr>
              <w:jc w:val="both"/>
              <w:rPr>
                <w:rFonts w:asciiTheme="minorHAnsi" w:hAnsiTheme="minorHAnsi"/>
                <w:lang w:val="en-US"/>
              </w:rPr>
            </w:pPr>
          </w:p>
        </w:tc>
        <w:tc>
          <w:tcPr>
            <w:tcW w:w="1843" w:type="dxa"/>
          </w:tcPr>
          <w:p w14:paraId="7B3FA1A4"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Age 1 (~92 days)</w:t>
            </w:r>
          </w:p>
        </w:tc>
        <w:tc>
          <w:tcPr>
            <w:tcW w:w="1842" w:type="dxa"/>
          </w:tcPr>
          <w:p w14:paraId="53291546"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Age 2 (~113 days)</w:t>
            </w:r>
          </w:p>
        </w:tc>
        <w:tc>
          <w:tcPr>
            <w:tcW w:w="1932" w:type="dxa"/>
          </w:tcPr>
          <w:p w14:paraId="6A2212A4"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Age 3 (~138 days)</w:t>
            </w:r>
          </w:p>
        </w:tc>
      </w:tr>
      <w:tr w:rsidR="00F61F30" w:rsidRPr="00BE54A0" w14:paraId="573D8D5A" w14:textId="77777777" w:rsidTr="00F61F30">
        <w:tc>
          <w:tcPr>
            <w:tcW w:w="3681" w:type="dxa"/>
          </w:tcPr>
          <w:p w14:paraId="7418058F"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 xml:space="preserve">BW difference </w:t>
            </w:r>
            <w:r w:rsidRPr="00BE54A0">
              <w:rPr>
                <w:rFonts w:asciiTheme="minorHAnsi" w:hAnsiTheme="minorHAnsi"/>
                <w:i/>
                <w:iCs/>
                <w:lang w:val="en-US"/>
              </w:rPr>
              <w:t>vs.</w:t>
            </w:r>
            <w:r w:rsidRPr="00BE54A0">
              <w:rPr>
                <w:rFonts w:asciiTheme="minorHAnsi" w:hAnsiTheme="minorHAnsi"/>
                <w:lang w:val="en-US"/>
              </w:rPr>
              <w:t xml:space="preserve"> NTGs</w:t>
            </w:r>
          </w:p>
        </w:tc>
        <w:tc>
          <w:tcPr>
            <w:tcW w:w="1843" w:type="dxa"/>
          </w:tcPr>
          <w:p w14:paraId="589A4452"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-8.7 %</w:t>
            </w:r>
          </w:p>
        </w:tc>
        <w:tc>
          <w:tcPr>
            <w:tcW w:w="1842" w:type="dxa"/>
          </w:tcPr>
          <w:p w14:paraId="313BE3EB" w14:textId="77777777" w:rsidR="00F61F30" w:rsidRPr="00BE54A0" w:rsidRDefault="00F61F30" w:rsidP="00F61F30">
            <w:pPr>
              <w:tabs>
                <w:tab w:val="left" w:pos="485"/>
              </w:tabs>
              <w:jc w:val="both"/>
              <w:rPr>
                <w:rFonts w:asciiTheme="minorHAnsi" w:hAnsiTheme="minorHAnsi"/>
                <w:lang w:val="en-US"/>
              </w:rPr>
            </w:pPr>
            <w:r w:rsidRPr="00BE54A0">
              <w:rPr>
                <w:rFonts w:asciiTheme="minorHAnsi" w:hAnsiTheme="minorHAnsi"/>
                <w:lang w:val="en-US"/>
              </w:rPr>
              <w:t>-12.1 %</w:t>
            </w:r>
          </w:p>
        </w:tc>
        <w:tc>
          <w:tcPr>
            <w:tcW w:w="1932" w:type="dxa"/>
          </w:tcPr>
          <w:p w14:paraId="61A377F3"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-28.1 %</w:t>
            </w:r>
          </w:p>
        </w:tc>
      </w:tr>
      <w:tr w:rsidR="00F61F30" w:rsidRPr="00BE54A0" w14:paraId="7934C95A" w14:textId="77777777" w:rsidTr="00F61F30">
        <w:tc>
          <w:tcPr>
            <w:tcW w:w="3681" w:type="dxa"/>
          </w:tcPr>
          <w:p w14:paraId="6F649AFF"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 xml:space="preserve">Gastrocnemius muscle weight difference </w:t>
            </w:r>
            <w:r w:rsidRPr="00BE54A0">
              <w:rPr>
                <w:rFonts w:asciiTheme="minorHAnsi" w:hAnsiTheme="minorHAnsi"/>
                <w:i/>
                <w:iCs/>
                <w:lang w:val="en-US"/>
              </w:rPr>
              <w:t>vs.</w:t>
            </w:r>
            <w:r w:rsidRPr="00BE54A0">
              <w:rPr>
                <w:rFonts w:asciiTheme="minorHAnsi" w:hAnsiTheme="minorHAnsi"/>
                <w:lang w:val="en-US"/>
              </w:rPr>
              <w:t xml:space="preserve"> NTGs</w:t>
            </w:r>
          </w:p>
        </w:tc>
        <w:tc>
          <w:tcPr>
            <w:tcW w:w="1843" w:type="dxa"/>
          </w:tcPr>
          <w:p w14:paraId="019B18A9"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-67.0 %</w:t>
            </w:r>
          </w:p>
        </w:tc>
        <w:tc>
          <w:tcPr>
            <w:tcW w:w="1842" w:type="dxa"/>
          </w:tcPr>
          <w:p w14:paraId="360DADCA" w14:textId="77777777" w:rsidR="00F61F30" w:rsidRPr="00BE54A0" w:rsidRDefault="00F61F30" w:rsidP="00F61F30">
            <w:pPr>
              <w:tabs>
                <w:tab w:val="left" w:pos="485"/>
              </w:tabs>
              <w:jc w:val="both"/>
              <w:rPr>
                <w:rFonts w:asciiTheme="minorHAnsi" w:hAnsiTheme="minorHAnsi"/>
                <w:lang w:val="en-US"/>
              </w:rPr>
            </w:pPr>
            <w:r w:rsidRPr="00BE54A0">
              <w:rPr>
                <w:rFonts w:asciiTheme="minorHAnsi" w:hAnsiTheme="minorHAnsi"/>
                <w:lang w:val="en-US"/>
              </w:rPr>
              <w:t>-69.1 %</w:t>
            </w:r>
          </w:p>
        </w:tc>
        <w:tc>
          <w:tcPr>
            <w:tcW w:w="1932" w:type="dxa"/>
          </w:tcPr>
          <w:p w14:paraId="45D0E02C"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-93.3 %</w:t>
            </w:r>
          </w:p>
        </w:tc>
      </w:tr>
      <w:tr w:rsidR="00F61F30" w:rsidRPr="00BE54A0" w14:paraId="0A353AE2" w14:textId="77777777" w:rsidTr="00F61F30">
        <w:tc>
          <w:tcPr>
            <w:tcW w:w="3681" w:type="dxa"/>
          </w:tcPr>
          <w:p w14:paraId="791D8BEF"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 xml:space="preserve">Muscle strength loss </w:t>
            </w:r>
            <w:r w:rsidRPr="00BE54A0">
              <w:rPr>
                <w:rFonts w:asciiTheme="minorHAnsi" w:hAnsiTheme="minorHAnsi"/>
                <w:i/>
                <w:iCs/>
                <w:lang w:val="en-US"/>
              </w:rPr>
              <w:t>vs.</w:t>
            </w:r>
            <w:r w:rsidRPr="00BE54A0">
              <w:rPr>
                <w:rFonts w:asciiTheme="minorHAnsi" w:hAnsiTheme="minorHAnsi"/>
                <w:lang w:val="en-US"/>
              </w:rPr>
              <w:t xml:space="preserve"> 80 days*</w:t>
            </w:r>
          </w:p>
        </w:tc>
        <w:tc>
          <w:tcPr>
            <w:tcW w:w="1843" w:type="dxa"/>
          </w:tcPr>
          <w:p w14:paraId="7D8E54F8"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-3.4 %</w:t>
            </w:r>
          </w:p>
        </w:tc>
        <w:tc>
          <w:tcPr>
            <w:tcW w:w="1842" w:type="dxa"/>
          </w:tcPr>
          <w:p w14:paraId="585EA5C1"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-19.8 %</w:t>
            </w:r>
          </w:p>
        </w:tc>
        <w:tc>
          <w:tcPr>
            <w:tcW w:w="1932" w:type="dxa"/>
          </w:tcPr>
          <w:p w14:paraId="4209BA19"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-54 %</w:t>
            </w:r>
          </w:p>
        </w:tc>
      </w:tr>
      <w:tr w:rsidR="00F61F30" w:rsidRPr="00BE54A0" w14:paraId="319A8C6F" w14:textId="77777777" w:rsidTr="00F61F30">
        <w:tc>
          <w:tcPr>
            <w:tcW w:w="3681" w:type="dxa"/>
          </w:tcPr>
          <w:p w14:paraId="3720B5DC"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 xml:space="preserve">Animal welfare score </w:t>
            </w:r>
            <w:r w:rsidRPr="00BE54A0">
              <w:rPr>
                <w:rFonts w:asciiTheme="minorHAnsi" w:hAnsiTheme="minorHAnsi"/>
                <w:i/>
                <w:iCs/>
                <w:lang w:val="en-US"/>
              </w:rPr>
              <w:t>vs.</w:t>
            </w:r>
            <w:r w:rsidRPr="00BE54A0">
              <w:rPr>
                <w:rFonts w:asciiTheme="minorHAnsi" w:hAnsiTheme="minorHAnsi"/>
                <w:lang w:val="en-US"/>
              </w:rPr>
              <w:t xml:space="preserve"> 80 days*</w:t>
            </w:r>
          </w:p>
        </w:tc>
        <w:tc>
          <w:tcPr>
            <w:tcW w:w="1843" w:type="dxa"/>
          </w:tcPr>
          <w:p w14:paraId="7CED96E1"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28.3 %</w:t>
            </w:r>
          </w:p>
        </w:tc>
        <w:tc>
          <w:tcPr>
            <w:tcW w:w="1842" w:type="dxa"/>
          </w:tcPr>
          <w:p w14:paraId="41C22D66"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31.0 %</w:t>
            </w:r>
          </w:p>
        </w:tc>
        <w:tc>
          <w:tcPr>
            <w:tcW w:w="1932" w:type="dxa"/>
          </w:tcPr>
          <w:p w14:paraId="51547F0A" w14:textId="77777777" w:rsidR="00F61F30" w:rsidRPr="00BE54A0" w:rsidRDefault="00F61F30" w:rsidP="00F61F30">
            <w:pPr>
              <w:jc w:val="both"/>
              <w:rPr>
                <w:rFonts w:asciiTheme="minorHAnsi" w:hAnsiTheme="minorHAnsi"/>
                <w:lang w:val="en-US"/>
              </w:rPr>
            </w:pPr>
            <w:r w:rsidRPr="00BE54A0">
              <w:rPr>
                <w:rFonts w:asciiTheme="minorHAnsi" w:hAnsiTheme="minorHAnsi"/>
                <w:lang w:val="en-US"/>
              </w:rPr>
              <w:t>140 %</w:t>
            </w:r>
          </w:p>
        </w:tc>
      </w:tr>
    </w:tbl>
    <w:p w14:paraId="1DC60CA8" w14:textId="147856B9" w:rsidR="00C47A8C" w:rsidRPr="00BE54A0" w:rsidRDefault="002B1730" w:rsidP="0085592F">
      <w:pPr>
        <w:jc w:val="both"/>
        <w:rPr>
          <w:rFonts w:cs="Times New Roman"/>
          <w:lang w:val="en-US"/>
        </w:rPr>
      </w:pPr>
      <w:r w:rsidRPr="00BE54A0">
        <w:rPr>
          <w:rFonts w:cs="Times New Roman"/>
          <w:lang w:val="en-US"/>
        </w:rPr>
        <w:t xml:space="preserve">BW: body weight; NTG: non-transgenic controls. *muscle strength &amp; </w:t>
      </w:r>
      <w:r w:rsidR="005843EC" w:rsidRPr="00BE54A0">
        <w:rPr>
          <w:rFonts w:cs="Times New Roman"/>
          <w:lang w:val="en-US"/>
        </w:rPr>
        <w:t xml:space="preserve">welfare score were assessed in the cohort of </w:t>
      </w:r>
      <w:r w:rsidR="0085592F" w:rsidRPr="00BE54A0">
        <w:rPr>
          <w:rFonts w:cs="Times New Roman"/>
          <w:lang w:val="en-US"/>
        </w:rPr>
        <w:t xml:space="preserve">mice of </w:t>
      </w:r>
      <w:r w:rsidR="005843EC" w:rsidRPr="00BE54A0">
        <w:rPr>
          <w:rFonts w:cs="Times New Roman"/>
          <w:lang w:val="en-US"/>
        </w:rPr>
        <w:t>study 2</w:t>
      </w:r>
      <w:r w:rsidR="0085592F" w:rsidRPr="00BE54A0">
        <w:rPr>
          <w:rFonts w:cs="Times New Roman"/>
          <w:lang w:val="en-US"/>
        </w:rPr>
        <w:t xml:space="preserve"> (intervention study).</w:t>
      </w:r>
    </w:p>
    <w:p w14:paraId="04B7C634" w14:textId="2EB3B03A" w:rsidR="00C47A8C" w:rsidRPr="00BE54A0" w:rsidRDefault="00C47A8C" w:rsidP="00C47A8C">
      <w:pPr>
        <w:spacing w:line="360" w:lineRule="auto"/>
        <w:jc w:val="both"/>
        <w:rPr>
          <w:rFonts w:cs="Times New Roman"/>
          <w:u w:val="single"/>
          <w:lang w:val="en-US"/>
        </w:rPr>
      </w:pPr>
      <w:r w:rsidRPr="00BE54A0">
        <w:rPr>
          <w:rFonts w:cs="Times New Roman"/>
          <w:u w:val="single"/>
          <w:lang w:val="en-US"/>
        </w:rPr>
        <w:t>Protein extraction – Experiment 1</w:t>
      </w:r>
    </w:p>
    <w:p w14:paraId="1710F082" w14:textId="73919F5D" w:rsidR="00C47A8C" w:rsidRPr="00E6672A" w:rsidRDefault="00C47A8C" w:rsidP="00C47A8C">
      <w:pPr>
        <w:spacing w:line="360" w:lineRule="auto"/>
        <w:ind w:firstLine="708"/>
        <w:jc w:val="both"/>
        <w:rPr>
          <w:rFonts w:cs="Times New Roman"/>
          <w:lang w:val="en-US"/>
        </w:rPr>
      </w:pPr>
      <w:r>
        <w:rPr>
          <w:rFonts w:cs="Times New Roman"/>
          <w:lang w:val="en-US"/>
        </w:rPr>
        <w:t>S</w:t>
      </w:r>
      <w:r w:rsidRPr="00E6672A">
        <w:rPr>
          <w:rFonts w:cs="Times New Roman"/>
          <w:lang w:val="en-US"/>
        </w:rPr>
        <w:t xml:space="preserve">maller pieces from different parts of </w:t>
      </w:r>
      <w:r>
        <w:rPr>
          <w:rFonts w:cs="Times New Roman"/>
          <w:lang w:val="en-US"/>
        </w:rPr>
        <w:t>TA</w:t>
      </w:r>
      <w:r w:rsidRPr="00E6672A">
        <w:rPr>
          <w:rFonts w:cs="Times New Roman"/>
          <w:lang w:val="en-US"/>
        </w:rPr>
        <w:t xml:space="preserve"> (15-20 mg in total; representing 30-50% of the entire muscle mass) </w:t>
      </w:r>
      <w:r>
        <w:rPr>
          <w:rFonts w:cs="Times New Roman"/>
          <w:lang w:val="en-US"/>
        </w:rPr>
        <w:t xml:space="preserve">and both SOLs (~13 mg) </w:t>
      </w:r>
      <w:r w:rsidRPr="00E6672A">
        <w:rPr>
          <w:rFonts w:cs="Times New Roman"/>
          <w:lang w:val="en-US"/>
        </w:rPr>
        <w:t xml:space="preserve">were homogenized 4 x 20 s in ice-cold lysis buffer (1:10 w/v; 50 mM Tris-HCl, pH 7.0; 270 mM sucrose; 5 mM </w:t>
      </w:r>
      <w:r>
        <w:rPr>
          <w:rFonts w:cs="Times New Roman"/>
          <w:lang w:val="en-US"/>
        </w:rPr>
        <w:t>e</w:t>
      </w:r>
      <w:r w:rsidRPr="007B2CE8">
        <w:rPr>
          <w:rFonts w:cs="Times New Roman"/>
          <w:lang w:val="en-US"/>
        </w:rPr>
        <w:t xml:space="preserve">thylene </w:t>
      </w:r>
      <w:r>
        <w:rPr>
          <w:rFonts w:cs="Times New Roman"/>
          <w:lang w:val="en-US"/>
        </w:rPr>
        <w:t>g</w:t>
      </w:r>
      <w:r w:rsidRPr="007B2CE8">
        <w:rPr>
          <w:rFonts w:cs="Times New Roman"/>
          <w:lang w:val="en-US"/>
        </w:rPr>
        <w:t xml:space="preserve">lycol </w:t>
      </w:r>
      <w:proofErr w:type="spellStart"/>
      <w:r>
        <w:rPr>
          <w:rFonts w:cs="Times New Roman"/>
          <w:lang w:val="en-US"/>
        </w:rPr>
        <w:t>t</w:t>
      </w:r>
      <w:r w:rsidRPr="007B2CE8">
        <w:rPr>
          <w:rFonts w:cs="Times New Roman"/>
          <w:lang w:val="en-US"/>
        </w:rPr>
        <w:t>etraacetic</w:t>
      </w:r>
      <w:proofErr w:type="spellEnd"/>
      <w:r w:rsidRPr="007B2CE8">
        <w:rPr>
          <w:rFonts w:cs="Times New Roman"/>
          <w:lang w:val="en-US"/>
        </w:rPr>
        <w:t xml:space="preserve"> </w:t>
      </w:r>
      <w:r>
        <w:rPr>
          <w:rFonts w:cs="Times New Roman"/>
          <w:lang w:val="en-US"/>
        </w:rPr>
        <w:t>a</w:t>
      </w:r>
      <w:r w:rsidRPr="007B2CE8">
        <w:rPr>
          <w:rFonts w:cs="Times New Roman"/>
          <w:lang w:val="en-US"/>
        </w:rPr>
        <w:t xml:space="preserve">cid </w:t>
      </w:r>
      <w:r>
        <w:rPr>
          <w:rFonts w:cs="Times New Roman"/>
          <w:lang w:val="en-US"/>
        </w:rPr>
        <w:t>(</w:t>
      </w:r>
      <w:r w:rsidRPr="00E6672A">
        <w:rPr>
          <w:rFonts w:cs="Times New Roman"/>
          <w:lang w:val="en-US"/>
        </w:rPr>
        <w:t>EGTA</w:t>
      </w:r>
      <w:r>
        <w:rPr>
          <w:rFonts w:cs="Times New Roman"/>
          <w:lang w:val="en-US"/>
        </w:rPr>
        <w:t>)</w:t>
      </w:r>
      <w:r w:rsidRPr="00E6672A">
        <w:rPr>
          <w:rFonts w:cs="Times New Roman"/>
          <w:lang w:val="en-US"/>
        </w:rPr>
        <w:t xml:space="preserve">; 1 mM </w:t>
      </w:r>
      <w:r w:rsidRPr="00540D67">
        <w:rPr>
          <w:rFonts w:cs="Times New Roman"/>
          <w:lang w:val="en-US"/>
        </w:rPr>
        <w:t xml:space="preserve">ethylenediaminetetraacetic acid </w:t>
      </w:r>
      <w:r>
        <w:rPr>
          <w:rFonts w:cs="Times New Roman"/>
          <w:lang w:val="en-US"/>
        </w:rPr>
        <w:t>(</w:t>
      </w:r>
      <w:r w:rsidRPr="00E6672A">
        <w:rPr>
          <w:rFonts w:cs="Times New Roman"/>
          <w:lang w:val="en-US"/>
        </w:rPr>
        <w:t>EDTA</w:t>
      </w:r>
      <w:r>
        <w:rPr>
          <w:rFonts w:cs="Times New Roman"/>
          <w:lang w:val="en-US"/>
        </w:rPr>
        <w:t>)</w:t>
      </w:r>
      <w:r w:rsidRPr="00E6672A">
        <w:rPr>
          <w:rFonts w:cs="Times New Roman"/>
          <w:lang w:val="en-US"/>
        </w:rPr>
        <w:t>; 1 mM sodium orthovanadate; 50 mM glycerophosphate; 5 mM sodium pyrophosphate; 50 mM sodium fluoride; 1 mM dithiothreitol; 0.1% Triton X-100; and a protease inhibitor tablet [</w:t>
      </w:r>
      <w:proofErr w:type="spellStart"/>
      <w:r w:rsidRPr="00E6672A">
        <w:rPr>
          <w:rFonts w:cs="Times New Roman"/>
          <w:lang w:val="en-US"/>
        </w:rPr>
        <w:t>cOmplete</w:t>
      </w:r>
      <w:proofErr w:type="spellEnd"/>
      <w:r w:rsidRPr="00E6672A">
        <w:rPr>
          <w:rFonts w:cs="Times New Roman"/>
          <w:lang w:val="en-US"/>
        </w:rPr>
        <w:t xml:space="preserve"> Mini EDTA-free; Merck, NJ, USA]) </w:t>
      </w:r>
      <w:r>
        <w:rPr>
          <w:rFonts w:cs="Times New Roman"/>
          <w:lang w:val="en-US"/>
        </w:rPr>
        <w:t xml:space="preserve">with 8 silicon beats </w:t>
      </w:r>
      <w:r w:rsidRPr="00E6672A">
        <w:rPr>
          <w:rFonts w:cs="Times New Roman"/>
          <w:lang w:val="en-US"/>
        </w:rPr>
        <w:t xml:space="preserve">using the </w:t>
      </w:r>
      <w:proofErr w:type="spellStart"/>
      <w:r w:rsidRPr="00E6672A">
        <w:rPr>
          <w:rFonts w:cs="Times New Roman"/>
          <w:lang w:val="en-US"/>
        </w:rPr>
        <w:t>FastPrep</w:t>
      </w:r>
      <w:proofErr w:type="spellEnd"/>
      <w:r w:rsidRPr="00E6672A">
        <w:rPr>
          <w:rFonts w:cs="Times New Roman"/>
          <w:lang w:val="en-US"/>
        </w:rPr>
        <w:t xml:space="preserve"> (MP Biomedicals, Santa Ana, CA, USA). Homogenates were centrifuged (10000 g for 25 min at 4 °C) and the supernatant was stored at -80 °C. Protein concentrations were assessed with the DC protein assay kit</w:t>
      </w:r>
      <w:r>
        <w:rPr>
          <w:rFonts w:cs="Times New Roman"/>
          <w:lang w:val="en-US"/>
        </w:rPr>
        <w:t>,</w:t>
      </w:r>
      <w:r w:rsidRPr="00E6672A">
        <w:rPr>
          <w:rFonts w:cs="Times New Roman"/>
          <w:lang w:val="en-US"/>
        </w:rPr>
        <w:t xml:space="preserve"> applying a </w:t>
      </w:r>
      <w:r>
        <w:rPr>
          <w:rFonts w:cs="Times New Roman"/>
          <w:lang w:val="en-US"/>
        </w:rPr>
        <w:t>bovine serum albumin (</w:t>
      </w:r>
      <w:r w:rsidRPr="00E6672A">
        <w:rPr>
          <w:rFonts w:cs="Times New Roman"/>
          <w:lang w:val="en-US"/>
        </w:rPr>
        <w:t>BSA</w:t>
      </w:r>
      <w:r>
        <w:rPr>
          <w:rFonts w:cs="Times New Roman"/>
          <w:lang w:val="en-US"/>
        </w:rPr>
        <w:t>)</w:t>
      </w:r>
      <w:r w:rsidRPr="00E6672A">
        <w:rPr>
          <w:rFonts w:cs="Times New Roman"/>
          <w:lang w:val="en-US"/>
        </w:rPr>
        <w:t xml:space="preserve"> protein standard (Bio-Rad Laboratories, Nazareth, </w:t>
      </w:r>
      <w:r w:rsidRPr="00E6672A">
        <w:rPr>
          <w:rFonts w:cs="Times New Roman"/>
          <w:lang w:val="en-US"/>
        </w:rPr>
        <w:lastRenderedPageBreak/>
        <w:t xml:space="preserve">Belgium). Lysis buffer was added to equalize the final protein concentrations, and </w:t>
      </w:r>
      <w:proofErr w:type="spellStart"/>
      <w:r w:rsidRPr="00E6672A">
        <w:rPr>
          <w:rFonts w:cs="Times New Roman"/>
          <w:lang w:val="en-US"/>
        </w:rPr>
        <w:t>laemmli</w:t>
      </w:r>
      <w:proofErr w:type="spellEnd"/>
      <w:r w:rsidRPr="00E6672A">
        <w:rPr>
          <w:rFonts w:cs="Times New Roman"/>
          <w:lang w:val="en-US"/>
        </w:rPr>
        <w:t xml:space="preserve"> (20% of the total volume) was added to obtain muscle lysates. </w:t>
      </w:r>
    </w:p>
    <w:p w14:paraId="7FE77361" w14:textId="77777777" w:rsidR="00C47A8C" w:rsidRPr="00C47A8C" w:rsidRDefault="00C47A8C" w:rsidP="00C47A8C">
      <w:pPr>
        <w:rPr>
          <w:rFonts w:cs="Times New Roman"/>
          <w:u w:val="single"/>
          <w:lang w:val="en-US"/>
        </w:rPr>
      </w:pPr>
      <w:r w:rsidRPr="00C47A8C">
        <w:rPr>
          <w:rFonts w:cs="Times New Roman"/>
          <w:u w:val="single"/>
          <w:lang w:val="en-US"/>
        </w:rPr>
        <w:t>Western blot analysis – Experiment 1</w:t>
      </w:r>
    </w:p>
    <w:p w14:paraId="6D424D5E" w14:textId="77777777" w:rsidR="00C47A8C" w:rsidRDefault="00C47A8C" w:rsidP="00C47A8C">
      <w:pPr>
        <w:spacing w:line="360" w:lineRule="auto"/>
        <w:ind w:firstLine="708"/>
        <w:jc w:val="both"/>
        <w:rPr>
          <w:rFonts w:cs="Times New Roman"/>
          <w:lang w:val="en-US"/>
        </w:rPr>
      </w:pPr>
      <w:r w:rsidRPr="00E6672A">
        <w:rPr>
          <w:rFonts w:cs="Times New Roman"/>
          <w:lang w:val="en-US"/>
        </w:rPr>
        <w:t xml:space="preserve">Proteins (20-30 µg) were separated by SDS-PAGE on 4-20% Criterion TGX stain-free gels (Bio-Rad, Hercules, CA, USA) (50-60 min, 200 V) and transferred to polyvinylidene difluoride membranes (80 min, 400 mA). Hereafter, membranes were blocked in TBS-T (tris-buffered saline with Tween-20) containing 5% non-fat milk for 1h. Next, membranes were incubated overnight at 4 °C in TBS-T containing 5% non-fat milk or 5% BSA with primary antibodies that have been validated for specificity by the manufacturer and have been tested in-house. Membranes were then washed and incubated for 45 min at room temperature with the appropriate horseradish peroxidase-conjugated secondary antibody (1/7000; Sigma Aldrich, Bornem, Belgium). Upon incubation with </w:t>
      </w:r>
      <w:proofErr w:type="spellStart"/>
      <w:r w:rsidRPr="00E6672A">
        <w:rPr>
          <w:rFonts w:cs="Times New Roman"/>
          <w:lang w:val="en-US"/>
        </w:rPr>
        <w:t>SuperSignal</w:t>
      </w:r>
      <w:proofErr w:type="spellEnd"/>
      <w:r w:rsidRPr="00E6672A">
        <w:rPr>
          <w:rFonts w:cs="Times New Roman"/>
          <w:lang w:val="en-US"/>
        </w:rPr>
        <w:t xml:space="preserve"> Pico (#34577) or </w:t>
      </w:r>
      <w:proofErr w:type="spellStart"/>
      <w:r w:rsidRPr="00E6672A">
        <w:rPr>
          <w:rFonts w:cs="Times New Roman"/>
          <w:lang w:val="en-US"/>
        </w:rPr>
        <w:t>Femto</w:t>
      </w:r>
      <w:proofErr w:type="spellEnd"/>
      <w:r w:rsidRPr="00E6672A">
        <w:rPr>
          <w:rFonts w:cs="Times New Roman"/>
          <w:lang w:val="en-US"/>
        </w:rPr>
        <w:t xml:space="preserve"> (#34096) chemiluminescence substrate (</w:t>
      </w:r>
      <w:proofErr w:type="spellStart"/>
      <w:r w:rsidRPr="00E6672A">
        <w:rPr>
          <w:rFonts w:cs="Times New Roman"/>
          <w:lang w:val="en-US"/>
        </w:rPr>
        <w:t>Thermo</w:t>
      </w:r>
      <w:proofErr w:type="spellEnd"/>
      <w:r w:rsidRPr="00E6672A">
        <w:rPr>
          <w:rFonts w:cs="Times New Roman"/>
          <w:lang w:val="en-US"/>
        </w:rPr>
        <w:t xml:space="preserve"> Scientific, Waltham, MA, USA), membranes were scanned and quantified with </w:t>
      </w:r>
      <w:proofErr w:type="spellStart"/>
      <w:r w:rsidRPr="00E6672A">
        <w:rPr>
          <w:rFonts w:cs="Times New Roman"/>
          <w:lang w:val="en-US"/>
        </w:rPr>
        <w:t>Genesnap</w:t>
      </w:r>
      <w:proofErr w:type="spellEnd"/>
      <w:r w:rsidRPr="00E6672A">
        <w:rPr>
          <w:rFonts w:cs="Times New Roman"/>
          <w:lang w:val="en-US"/>
        </w:rPr>
        <w:t xml:space="preserve"> and </w:t>
      </w:r>
      <w:proofErr w:type="spellStart"/>
      <w:r w:rsidRPr="00E6672A">
        <w:rPr>
          <w:rFonts w:cs="Times New Roman"/>
          <w:lang w:val="en-US"/>
        </w:rPr>
        <w:t>Genetools</w:t>
      </w:r>
      <w:proofErr w:type="spellEnd"/>
      <w:r w:rsidRPr="00E6672A">
        <w:rPr>
          <w:rFonts w:cs="Times New Roman"/>
          <w:lang w:val="en-US"/>
        </w:rPr>
        <w:t xml:space="preserve"> </w:t>
      </w:r>
      <w:proofErr w:type="spellStart"/>
      <w:r w:rsidRPr="00E6672A">
        <w:rPr>
          <w:rFonts w:cs="Times New Roman"/>
          <w:lang w:val="en-US"/>
        </w:rPr>
        <w:t>Softwares</w:t>
      </w:r>
      <w:proofErr w:type="spellEnd"/>
      <w:r w:rsidRPr="00E6672A">
        <w:rPr>
          <w:rFonts w:cs="Times New Roman"/>
          <w:lang w:val="en-US"/>
        </w:rPr>
        <w:t xml:space="preserve"> (</w:t>
      </w:r>
      <w:proofErr w:type="spellStart"/>
      <w:r w:rsidRPr="00E6672A">
        <w:rPr>
          <w:rFonts w:cs="Times New Roman"/>
          <w:lang w:val="en-US"/>
        </w:rPr>
        <w:t>Syngene</w:t>
      </w:r>
      <w:proofErr w:type="spellEnd"/>
      <w:r w:rsidRPr="00E6672A">
        <w:rPr>
          <w:rFonts w:cs="Times New Roman"/>
          <w:lang w:val="en-US"/>
        </w:rPr>
        <w:t xml:space="preserve">, Cambridge, UK). Results are presented as the protein of interest, relative to the total protein loading control. The total protein loading control was obtained via UV-light-induced tryptophan fluorescence on the TGX stain-free gel. The following primary antibodies were used: </w:t>
      </w:r>
    </w:p>
    <w:p w14:paraId="239EF62D" w14:textId="77777777" w:rsidR="00C47A8C" w:rsidRPr="00255270" w:rsidRDefault="00C47A8C" w:rsidP="00C47A8C">
      <w:pPr>
        <w:pStyle w:val="ListParagraph"/>
        <w:numPr>
          <w:ilvl w:val="0"/>
          <w:numId w:val="1"/>
        </w:numPr>
        <w:spacing w:line="360" w:lineRule="auto"/>
        <w:jc w:val="both"/>
        <w:rPr>
          <w:rFonts w:cs="Times New Roman"/>
          <w:lang w:val="en-US"/>
        </w:rPr>
      </w:pPr>
      <w:r>
        <w:rPr>
          <w:rFonts w:cs="Times New Roman"/>
          <w:lang w:val="en-US"/>
        </w:rPr>
        <w:t xml:space="preserve">Endocannabinoid signaling: </w:t>
      </w:r>
      <w:r w:rsidRPr="00255270">
        <w:rPr>
          <w:rFonts w:cs="Times New Roman"/>
          <w:lang w:val="en-US"/>
        </w:rPr>
        <w:t>CB1</w:t>
      </w:r>
      <w:r>
        <w:rPr>
          <w:rFonts w:cs="Times New Roman"/>
          <w:lang w:val="en-US"/>
        </w:rPr>
        <w:t xml:space="preserve"> (</w:t>
      </w:r>
      <w:r w:rsidRPr="00255270">
        <w:rPr>
          <w:rFonts w:cs="Times New Roman"/>
          <w:lang w:val="en-US"/>
        </w:rPr>
        <w:t>ab259323; 1/400), CB2</w:t>
      </w:r>
      <w:r>
        <w:rPr>
          <w:rFonts w:cs="Times New Roman"/>
          <w:lang w:val="en-US"/>
        </w:rPr>
        <w:t xml:space="preserve"> (</w:t>
      </w:r>
      <w:r w:rsidRPr="00255270">
        <w:rPr>
          <w:rFonts w:cs="Times New Roman"/>
          <w:lang w:val="en-US"/>
        </w:rPr>
        <w:t>ab3561; 1/</w:t>
      </w:r>
      <w:r>
        <w:rPr>
          <w:rFonts w:cs="Times New Roman"/>
          <w:lang w:val="en-US"/>
        </w:rPr>
        <w:t>10</w:t>
      </w:r>
      <w:r w:rsidRPr="00255270">
        <w:rPr>
          <w:rFonts w:cs="Times New Roman"/>
          <w:lang w:val="en-US"/>
        </w:rPr>
        <w:t xml:space="preserve">00); </w:t>
      </w:r>
      <w:r>
        <w:rPr>
          <w:rFonts w:cs="Times New Roman"/>
          <w:lang w:val="en-US"/>
        </w:rPr>
        <w:t>t</w:t>
      </w:r>
      <w:r w:rsidRPr="00255270">
        <w:rPr>
          <w:rFonts w:cs="Times New Roman"/>
          <w:lang w:val="en-US"/>
        </w:rPr>
        <w:t>ransient receptor potential cation channel subfamily</w:t>
      </w:r>
      <w:r>
        <w:rPr>
          <w:rFonts w:cs="Times New Roman"/>
          <w:lang w:val="en-US"/>
        </w:rPr>
        <w:t xml:space="preserve"> </w:t>
      </w:r>
      <w:r w:rsidRPr="00255270">
        <w:rPr>
          <w:rFonts w:cs="Times New Roman"/>
          <w:lang w:val="en-US"/>
        </w:rPr>
        <w:t>V member 1 (TRPV1; ab6166; 1/</w:t>
      </w:r>
      <w:r>
        <w:rPr>
          <w:rFonts w:cs="Times New Roman"/>
          <w:lang w:val="en-US"/>
        </w:rPr>
        <w:t>10</w:t>
      </w:r>
      <w:r w:rsidRPr="00255270">
        <w:rPr>
          <w:rFonts w:cs="Times New Roman"/>
          <w:lang w:val="en-US"/>
        </w:rPr>
        <w:t>00); N-acyl</w:t>
      </w:r>
      <w:r>
        <w:rPr>
          <w:rFonts w:cs="Times New Roman"/>
          <w:lang w:val="en-US"/>
        </w:rPr>
        <w:t xml:space="preserve"> </w:t>
      </w:r>
      <w:r w:rsidRPr="00255270">
        <w:rPr>
          <w:rFonts w:cs="Times New Roman"/>
          <w:lang w:val="en-US"/>
        </w:rPr>
        <w:t>phosphatidylethanolamine-specific phospholipase D (NAPE-PLD;</w:t>
      </w:r>
      <w:r>
        <w:rPr>
          <w:rFonts w:cs="Times New Roman"/>
          <w:lang w:val="en-US"/>
        </w:rPr>
        <w:t xml:space="preserve"> </w:t>
      </w:r>
      <w:r w:rsidRPr="00255270">
        <w:rPr>
          <w:rFonts w:cs="Times New Roman"/>
          <w:lang w:val="en-US"/>
        </w:rPr>
        <w:t>ab95397; 1/500); fatty-acid amide hydrolase 1 (FAAH; sc-100,739; 1/250); diacylglycerol lipase β (DAGLβ; CST-12574; 1/500); monoacylglycerol lipase (MAGL; ab24701;</w:t>
      </w:r>
      <w:r>
        <w:rPr>
          <w:rFonts w:cs="Times New Roman"/>
          <w:lang w:val="en-US"/>
        </w:rPr>
        <w:t xml:space="preserve"> </w:t>
      </w:r>
      <w:r w:rsidRPr="00255270">
        <w:rPr>
          <w:rFonts w:cs="Times New Roman"/>
          <w:lang w:val="en-US"/>
        </w:rPr>
        <w:t>1/200)</w:t>
      </w:r>
    </w:p>
    <w:p w14:paraId="2456ECE6" w14:textId="77777777" w:rsidR="00C47A8C" w:rsidRDefault="00C47A8C" w:rsidP="00C47A8C">
      <w:pPr>
        <w:pStyle w:val="ListParagraph"/>
        <w:numPr>
          <w:ilvl w:val="0"/>
          <w:numId w:val="1"/>
        </w:numPr>
        <w:spacing w:line="360" w:lineRule="auto"/>
        <w:jc w:val="both"/>
        <w:rPr>
          <w:rFonts w:cs="Times New Roman"/>
          <w:lang w:val="en-US"/>
        </w:rPr>
      </w:pPr>
      <w:r>
        <w:rPr>
          <w:rFonts w:cs="Times New Roman"/>
          <w:lang w:val="en-US"/>
        </w:rPr>
        <w:t xml:space="preserve">Anabolism: </w:t>
      </w:r>
      <w:r w:rsidRPr="002378A4">
        <w:rPr>
          <w:rFonts w:cs="Times New Roman"/>
          <w:lang w:val="en-US"/>
        </w:rPr>
        <w:t>p-mammalian target of rapamycin (p-mTOR</w:t>
      </w:r>
      <w:r w:rsidRPr="002378A4">
        <w:rPr>
          <w:rFonts w:cs="Times New Roman"/>
          <w:vertAlign w:val="superscript"/>
          <w:lang w:val="en-US"/>
        </w:rPr>
        <w:t>Ser2448</w:t>
      </w:r>
      <w:r w:rsidRPr="002378A4">
        <w:rPr>
          <w:rFonts w:cs="Times New Roman"/>
          <w:lang w:val="en-US"/>
        </w:rPr>
        <w:t>;</w:t>
      </w:r>
      <w:r>
        <w:rPr>
          <w:rFonts w:cs="Times New Roman"/>
          <w:lang w:val="en-US"/>
        </w:rPr>
        <w:t xml:space="preserve"> </w:t>
      </w:r>
      <w:r w:rsidRPr="002378A4">
        <w:rPr>
          <w:rFonts w:cs="Times New Roman"/>
          <w:lang w:val="en-US"/>
        </w:rPr>
        <w:t>CST–2971S; 1/1000), p-S6</w:t>
      </w:r>
      <w:r>
        <w:rPr>
          <w:rFonts w:cs="Times New Roman"/>
          <w:lang w:val="en-US"/>
        </w:rPr>
        <w:t xml:space="preserve"> </w:t>
      </w:r>
      <w:r w:rsidRPr="002378A4">
        <w:rPr>
          <w:rFonts w:cs="Times New Roman"/>
          <w:lang w:val="en-US"/>
        </w:rPr>
        <w:t>ribosomal protein (p-S6rp</w:t>
      </w:r>
      <w:r w:rsidRPr="002378A4">
        <w:rPr>
          <w:rFonts w:cs="Times New Roman"/>
          <w:vertAlign w:val="superscript"/>
          <w:lang w:val="en-US"/>
        </w:rPr>
        <w:t>Ser235/236</w:t>
      </w:r>
      <w:r w:rsidRPr="002378A4">
        <w:rPr>
          <w:rFonts w:cs="Times New Roman"/>
          <w:lang w:val="en-US"/>
        </w:rPr>
        <w:t>; CST-2211; 1/1000), p-eukaryotic translation</w:t>
      </w:r>
      <w:r>
        <w:rPr>
          <w:rFonts w:cs="Times New Roman"/>
          <w:lang w:val="en-US"/>
        </w:rPr>
        <w:t xml:space="preserve"> </w:t>
      </w:r>
      <w:r w:rsidRPr="002378A4">
        <w:rPr>
          <w:rFonts w:cs="Times New Roman"/>
          <w:lang w:val="en-US"/>
        </w:rPr>
        <w:t>initiation factor 4E-binding protein 1 (p-4E-BP1</w:t>
      </w:r>
      <w:r w:rsidRPr="002378A4">
        <w:rPr>
          <w:rFonts w:cs="Times New Roman"/>
          <w:vertAlign w:val="superscript"/>
          <w:lang w:val="en-US"/>
        </w:rPr>
        <w:t>Thr37/46</w:t>
      </w:r>
      <w:r w:rsidRPr="002378A4">
        <w:rPr>
          <w:rFonts w:cs="Times New Roman"/>
          <w:lang w:val="en-US"/>
        </w:rPr>
        <w:t>; GTX-133182; 1/500)</w:t>
      </w:r>
      <w:r>
        <w:rPr>
          <w:rFonts w:cs="Times New Roman"/>
          <w:lang w:val="en-US"/>
        </w:rPr>
        <w:t>, p-</w:t>
      </w:r>
      <w:r w:rsidRPr="00351E53">
        <w:rPr>
          <w:rFonts w:cs="Times New Roman"/>
          <w:lang w:val="en-US"/>
        </w:rPr>
        <w:t>eukaryotic translation elongation factor 2</w:t>
      </w:r>
      <w:r>
        <w:rPr>
          <w:rFonts w:cs="Times New Roman"/>
          <w:lang w:val="en-US"/>
        </w:rPr>
        <w:t xml:space="preserve"> (p-eEF2</w:t>
      </w:r>
      <w:r w:rsidRPr="00937EB2">
        <w:rPr>
          <w:rFonts w:cs="Times New Roman"/>
          <w:vertAlign w:val="superscript"/>
          <w:lang w:val="en-US"/>
        </w:rPr>
        <w:t>Thr56</w:t>
      </w:r>
      <w:r>
        <w:rPr>
          <w:rFonts w:cs="Times New Roman"/>
          <w:lang w:val="en-US"/>
        </w:rPr>
        <w:t>; CST-2331; 1/1000)</w:t>
      </w:r>
    </w:p>
    <w:p w14:paraId="35CAF126" w14:textId="77777777" w:rsidR="00C47A8C" w:rsidRDefault="00C47A8C" w:rsidP="00C47A8C">
      <w:pPr>
        <w:pStyle w:val="ListParagraph"/>
        <w:numPr>
          <w:ilvl w:val="0"/>
          <w:numId w:val="1"/>
        </w:numPr>
        <w:spacing w:line="360" w:lineRule="auto"/>
        <w:jc w:val="both"/>
        <w:rPr>
          <w:rFonts w:cs="Times New Roman"/>
          <w:lang w:val="en-US"/>
        </w:rPr>
      </w:pPr>
      <w:proofErr w:type="spellStart"/>
      <w:r>
        <w:rPr>
          <w:rFonts w:cs="Times New Roman"/>
          <w:lang w:val="en-US"/>
        </w:rPr>
        <w:t>Myogenicity</w:t>
      </w:r>
      <w:proofErr w:type="spellEnd"/>
      <w:r>
        <w:rPr>
          <w:rFonts w:cs="Times New Roman"/>
          <w:lang w:val="en-US"/>
        </w:rPr>
        <w:t>: p</w:t>
      </w:r>
      <w:r w:rsidRPr="00D2637E">
        <w:rPr>
          <w:rFonts w:cs="Times New Roman"/>
          <w:lang w:val="en-US"/>
        </w:rPr>
        <w:t>aired box 7 (Pax7; DSHB; Iowa City, IA, USA; 1/</w:t>
      </w:r>
      <w:r>
        <w:rPr>
          <w:rFonts w:cs="Times New Roman"/>
          <w:lang w:val="en-US"/>
        </w:rPr>
        <w:t>10</w:t>
      </w:r>
      <w:r w:rsidRPr="00D2637E">
        <w:rPr>
          <w:rFonts w:cs="Times New Roman"/>
          <w:lang w:val="en-US"/>
        </w:rPr>
        <w:t xml:space="preserve">0), </w:t>
      </w:r>
      <w:r w:rsidRPr="00FD791C">
        <w:rPr>
          <w:rFonts w:cs="Times New Roman"/>
          <w:lang w:val="en-US"/>
        </w:rPr>
        <w:t>myogenic factor 5</w:t>
      </w:r>
      <w:r>
        <w:rPr>
          <w:rFonts w:cs="Times New Roman"/>
          <w:lang w:val="en-US"/>
        </w:rPr>
        <w:t xml:space="preserve"> (Myf5; </w:t>
      </w:r>
      <w:r w:rsidRPr="00E67872">
        <w:rPr>
          <w:rFonts w:cs="Times New Roman"/>
          <w:lang w:val="en-US"/>
        </w:rPr>
        <w:t>ab125301</w:t>
      </w:r>
      <w:r>
        <w:rPr>
          <w:rFonts w:cs="Times New Roman"/>
          <w:lang w:val="en-US"/>
        </w:rPr>
        <w:t xml:space="preserve">; 1/1000), </w:t>
      </w:r>
      <w:proofErr w:type="spellStart"/>
      <w:r>
        <w:rPr>
          <w:rFonts w:cs="Times New Roman"/>
          <w:lang w:val="en-US"/>
        </w:rPr>
        <w:t>myogenin</w:t>
      </w:r>
      <w:proofErr w:type="spellEnd"/>
      <w:r>
        <w:rPr>
          <w:rFonts w:cs="Times New Roman"/>
          <w:lang w:val="en-US"/>
        </w:rPr>
        <w:t xml:space="preserve"> (DSHB; 1/300), embryonal myosin heavy chain (</w:t>
      </w:r>
      <w:proofErr w:type="spellStart"/>
      <w:r>
        <w:rPr>
          <w:rFonts w:cs="Times New Roman"/>
          <w:lang w:val="en-US"/>
        </w:rPr>
        <w:t>eMyHC</w:t>
      </w:r>
      <w:proofErr w:type="spellEnd"/>
      <w:r>
        <w:rPr>
          <w:rFonts w:cs="Times New Roman"/>
          <w:lang w:val="en-US"/>
        </w:rPr>
        <w:t>; DSHB; 1/1000)</w:t>
      </w:r>
    </w:p>
    <w:p w14:paraId="4591FE1E" w14:textId="77777777" w:rsidR="00C47A8C" w:rsidRDefault="00C47A8C" w:rsidP="00C47A8C">
      <w:pPr>
        <w:pStyle w:val="ListParagraph"/>
        <w:numPr>
          <w:ilvl w:val="0"/>
          <w:numId w:val="1"/>
        </w:numPr>
        <w:spacing w:line="360" w:lineRule="auto"/>
        <w:jc w:val="both"/>
        <w:rPr>
          <w:rFonts w:cs="Times New Roman"/>
          <w:lang w:val="en-US"/>
        </w:rPr>
      </w:pPr>
      <w:r>
        <w:rPr>
          <w:rFonts w:cs="Times New Roman"/>
          <w:lang w:val="en-US"/>
        </w:rPr>
        <w:t>Metabolism: p-a</w:t>
      </w:r>
      <w:r w:rsidRPr="004E30CB">
        <w:rPr>
          <w:rFonts w:cs="Times New Roman"/>
          <w:lang w:val="en-US"/>
        </w:rPr>
        <w:t>cetyl-CoA carboxylase</w:t>
      </w:r>
      <w:r>
        <w:rPr>
          <w:rFonts w:cs="Times New Roman"/>
          <w:lang w:val="en-US"/>
        </w:rPr>
        <w:t xml:space="preserve"> (p-ACC</w:t>
      </w:r>
      <w:r w:rsidRPr="001A146F">
        <w:rPr>
          <w:rFonts w:cs="Times New Roman"/>
          <w:vertAlign w:val="superscript"/>
          <w:lang w:val="en-US"/>
        </w:rPr>
        <w:t>Ser79</w:t>
      </w:r>
      <w:r w:rsidRPr="001A146F">
        <w:rPr>
          <w:rFonts w:cs="Times New Roman"/>
          <w:lang w:val="en-US"/>
        </w:rPr>
        <w:t>; CST-3661; 1/1000</w:t>
      </w:r>
      <w:r>
        <w:rPr>
          <w:rFonts w:cs="Times New Roman"/>
          <w:lang w:val="en-US"/>
        </w:rPr>
        <w:t xml:space="preserve">), fatty acid synthase (FAS; </w:t>
      </w:r>
      <w:r w:rsidRPr="0089692E">
        <w:rPr>
          <w:rFonts w:cs="Times New Roman"/>
          <w:lang w:val="en-US"/>
        </w:rPr>
        <w:t>sc-48357</w:t>
      </w:r>
      <w:r>
        <w:rPr>
          <w:rFonts w:cs="Times New Roman"/>
          <w:lang w:val="en-US"/>
        </w:rPr>
        <w:t xml:space="preserve">; 1/1000), </w:t>
      </w:r>
      <w:r w:rsidRPr="00BE5B29">
        <w:rPr>
          <w:rFonts w:cs="Times New Roman"/>
          <w:lang w:val="en-US"/>
        </w:rPr>
        <w:t>peroxisome proliferator-activated receptor gamma</w:t>
      </w:r>
      <w:r>
        <w:rPr>
          <w:rFonts w:cs="Times New Roman"/>
          <w:lang w:val="en-US"/>
        </w:rPr>
        <w:t xml:space="preserve"> </w:t>
      </w:r>
      <w:r w:rsidRPr="00BE5B29">
        <w:rPr>
          <w:rFonts w:cs="Times New Roman"/>
          <w:lang w:val="en-US"/>
        </w:rPr>
        <w:t>coactivator 1-</w:t>
      </w:r>
      <w:r>
        <w:rPr>
          <w:rFonts w:cs="Times New Roman"/>
          <w:lang w:val="en-US"/>
        </w:rPr>
        <w:t>α</w:t>
      </w:r>
      <w:r w:rsidRPr="00BE5B29">
        <w:rPr>
          <w:rFonts w:cs="Times New Roman"/>
          <w:lang w:val="en-US"/>
        </w:rPr>
        <w:t xml:space="preserve"> (PGC1α; sc-517380; 1/500</w:t>
      </w:r>
      <w:r>
        <w:rPr>
          <w:rFonts w:cs="Times New Roman"/>
          <w:lang w:val="en-US"/>
        </w:rPr>
        <w:t>)</w:t>
      </w:r>
    </w:p>
    <w:p w14:paraId="0CCEB166" w14:textId="77777777" w:rsidR="00C47A8C" w:rsidRDefault="00C47A8C" w:rsidP="00C47A8C">
      <w:pPr>
        <w:pStyle w:val="ListParagraph"/>
        <w:numPr>
          <w:ilvl w:val="0"/>
          <w:numId w:val="1"/>
        </w:numPr>
        <w:spacing w:line="360" w:lineRule="auto"/>
        <w:jc w:val="both"/>
        <w:rPr>
          <w:rFonts w:cs="Times New Roman"/>
          <w:lang w:val="en-US"/>
        </w:rPr>
      </w:pPr>
      <w:r>
        <w:rPr>
          <w:rFonts w:cs="Times New Roman"/>
          <w:lang w:val="en-US"/>
        </w:rPr>
        <w:t xml:space="preserve">Inflammation &amp; stress: </w:t>
      </w:r>
      <w:r w:rsidRPr="003569BC">
        <w:rPr>
          <w:rFonts w:cs="Times New Roman"/>
          <w:lang w:val="en-US"/>
        </w:rPr>
        <w:t>EGF-like module-containing mucin-like hormone receptor-like 1 (F4/80; CST-70076; 1/500</w:t>
      </w:r>
      <w:r>
        <w:rPr>
          <w:rFonts w:cs="Times New Roman"/>
          <w:lang w:val="en-US"/>
        </w:rPr>
        <w:t xml:space="preserve">), caspase-3 </w:t>
      </w:r>
      <w:r w:rsidRPr="00E00591">
        <w:rPr>
          <w:rFonts w:cs="Times New Roman"/>
          <w:lang w:val="en-US"/>
        </w:rPr>
        <w:t>(CST-9662; 1/1000</w:t>
      </w:r>
      <w:r>
        <w:rPr>
          <w:rFonts w:cs="Times New Roman"/>
          <w:lang w:val="en-US"/>
        </w:rPr>
        <w:t xml:space="preserve">), </w:t>
      </w:r>
      <w:r w:rsidRPr="00E82DA5">
        <w:rPr>
          <w:rFonts w:cs="Times New Roman"/>
          <w:lang w:val="en-US"/>
        </w:rPr>
        <w:t>bcl-2-associated X protein (Bax; GTX-635715; 1/500</w:t>
      </w:r>
      <w:r>
        <w:rPr>
          <w:rFonts w:cs="Times New Roman"/>
          <w:lang w:val="en-US"/>
        </w:rPr>
        <w:t>), b</w:t>
      </w:r>
      <w:r w:rsidRPr="001A2ABE">
        <w:rPr>
          <w:rFonts w:cs="Times New Roman"/>
          <w:lang w:val="en-US"/>
        </w:rPr>
        <w:t>inding immunoglobulin protein</w:t>
      </w:r>
      <w:r>
        <w:rPr>
          <w:rFonts w:cs="Times New Roman"/>
          <w:lang w:val="en-US"/>
        </w:rPr>
        <w:t xml:space="preserve"> (</w:t>
      </w:r>
      <w:proofErr w:type="spellStart"/>
      <w:r>
        <w:rPr>
          <w:rFonts w:cs="Times New Roman"/>
          <w:lang w:val="en-US"/>
        </w:rPr>
        <w:t>BiP</w:t>
      </w:r>
      <w:proofErr w:type="spellEnd"/>
      <w:r>
        <w:rPr>
          <w:rFonts w:cs="Times New Roman"/>
          <w:lang w:val="en-US"/>
        </w:rPr>
        <w:t>; CST-</w:t>
      </w:r>
      <w:r w:rsidRPr="00671177">
        <w:rPr>
          <w:rFonts w:cs="Times New Roman"/>
          <w:lang w:val="en-US"/>
        </w:rPr>
        <w:t>3177</w:t>
      </w:r>
      <w:r>
        <w:rPr>
          <w:rFonts w:cs="Times New Roman"/>
          <w:lang w:val="en-US"/>
        </w:rPr>
        <w:t>; 1/500)</w:t>
      </w:r>
    </w:p>
    <w:p w14:paraId="70784A21" w14:textId="77777777" w:rsidR="00C47A8C" w:rsidRDefault="00C47A8C" w:rsidP="00C47A8C">
      <w:pPr>
        <w:pStyle w:val="ListParagraph"/>
        <w:numPr>
          <w:ilvl w:val="0"/>
          <w:numId w:val="1"/>
        </w:numPr>
        <w:spacing w:line="360" w:lineRule="auto"/>
        <w:jc w:val="both"/>
        <w:rPr>
          <w:rFonts w:cs="Times New Roman"/>
          <w:lang w:val="en-US"/>
        </w:rPr>
      </w:pPr>
      <w:r>
        <w:rPr>
          <w:rFonts w:cs="Times New Roman"/>
          <w:lang w:val="en-US"/>
        </w:rPr>
        <w:lastRenderedPageBreak/>
        <w:t>Autophagy: m</w:t>
      </w:r>
      <w:r w:rsidRPr="00606905">
        <w:rPr>
          <w:rFonts w:cs="Times New Roman"/>
          <w:lang w:val="en-US"/>
        </w:rPr>
        <w:t>icrotubule</w:t>
      </w:r>
      <w:r>
        <w:rPr>
          <w:rFonts w:cs="Times New Roman"/>
          <w:lang w:val="en-US"/>
        </w:rPr>
        <w:t>-</w:t>
      </w:r>
      <w:r w:rsidRPr="00606905">
        <w:rPr>
          <w:rFonts w:cs="Times New Roman"/>
          <w:lang w:val="en-US"/>
        </w:rPr>
        <w:t>associated proteins 1A/1B Light Chain 3B (LC3B</w:t>
      </w:r>
      <w:r>
        <w:rPr>
          <w:rFonts w:cs="Times New Roman"/>
          <w:lang w:val="en-US"/>
        </w:rPr>
        <w:t>;</w:t>
      </w:r>
      <w:r w:rsidRPr="00606905">
        <w:rPr>
          <w:rFonts w:cs="Times New Roman"/>
          <w:lang w:val="en-US"/>
        </w:rPr>
        <w:t xml:space="preserve"> CST-3868</w:t>
      </w:r>
      <w:r>
        <w:rPr>
          <w:rFonts w:cs="Times New Roman"/>
          <w:lang w:val="en-US"/>
        </w:rPr>
        <w:t xml:space="preserve">; </w:t>
      </w:r>
      <w:r w:rsidRPr="00606905">
        <w:rPr>
          <w:rFonts w:cs="Times New Roman"/>
          <w:lang w:val="en-US"/>
        </w:rPr>
        <w:t>1/1000)</w:t>
      </w:r>
      <w:r>
        <w:rPr>
          <w:rFonts w:cs="Times New Roman"/>
          <w:lang w:val="en-US"/>
        </w:rPr>
        <w:t>, p62 (</w:t>
      </w:r>
      <w:proofErr w:type="spellStart"/>
      <w:r w:rsidRPr="00255C98">
        <w:rPr>
          <w:rFonts w:cs="Times New Roman"/>
          <w:lang w:val="en-US"/>
        </w:rPr>
        <w:t>sequestosome</w:t>
      </w:r>
      <w:proofErr w:type="spellEnd"/>
      <w:r w:rsidRPr="00255C98">
        <w:rPr>
          <w:rFonts w:cs="Times New Roman"/>
          <w:lang w:val="en-US"/>
        </w:rPr>
        <w:t xml:space="preserve"> 1</w:t>
      </w:r>
      <w:r>
        <w:rPr>
          <w:rFonts w:cs="Times New Roman"/>
          <w:lang w:val="en-US"/>
        </w:rPr>
        <w:t xml:space="preserve">; </w:t>
      </w:r>
      <w:r w:rsidRPr="00263FF2">
        <w:rPr>
          <w:rFonts w:cs="Times New Roman"/>
          <w:lang w:val="en-US"/>
        </w:rPr>
        <w:t>GP62-C</w:t>
      </w:r>
      <w:r>
        <w:rPr>
          <w:rFonts w:cs="Times New Roman"/>
          <w:lang w:val="en-US"/>
        </w:rPr>
        <w:t>; 1/1000), a</w:t>
      </w:r>
      <w:r w:rsidRPr="00D74AED">
        <w:rPr>
          <w:rFonts w:cs="Times New Roman"/>
          <w:lang w:val="en-US"/>
        </w:rPr>
        <w:t>utophagy related</w:t>
      </w:r>
      <w:r>
        <w:rPr>
          <w:rFonts w:cs="Times New Roman"/>
          <w:lang w:val="en-US"/>
        </w:rPr>
        <w:t xml:space="preserve"> </w:t>
      </w:r>
      <w:r w:rsidRPr="00D74AED">
        <w:rPr>
          <w:rFonts w:cs="Times New Roman"/>
          <w:lang w:val="en-US"/>
        </w:rPr>
        <w:t>protein 5-12 (ATG5-12</w:t>
      </w:r>
      <w:r>
        <w:rPr>
          <w:rFonts w:cs="Times New Roman"/>
          <w:lang w:val="en-US"/>
        </w:rPr>
        <w:t>;</w:t>
      </w:r>
      <w:r w:rsidRPr="00D74AED">
        <w:rPr>
          <w:rFonts w:cs="Times New Roman"/>
          <w:lang w:val="en-US"/>
        </w:rPr>
        <w:t xml:space="preserve"> CST-4180S</w:t>
      </w:r>
      <w:r>
        <w:rPr>
          <w:rFonts w:cs="Times New Roman"/>
          <w:lang w:val="en-US"/>
        </w:rPr>
        <w:t>;</w:t>
      </w:r>
      <w:r w:rsidRPr="00D74AED">
        <w:rPr>
          <w:rFonts w:cs="Times New Roman"/>
          <w:lang w:val="en-US"/>
        </w:rPr>
        <w:t xml:space="preserve"> 1/500</w:t>
      </w:r>
      <w:r>
        <w:rPr>
          <w:rFonts w:cs="Times New Roman"/>
          <w:lang w:val="en-US"/>
        </w:rPr>
        <w:t>)</w:t>
      </w:r>
    </w:p>
    <w:p w14:paraId="51C0B70B" w14:textId="77777777" w:rsidR="00C47A8C" w:rsidRDefault="00C47A8C" w:rsidP="00C47A8C">
      <w:pPr>
        <w:pStyle w:val="ListParagraph"/>
        <w:numPr>
          <w:ilvl w:val="0"/>
          <w:numId w:val="1"/>
        </w:numPr>
        <w:spacing w:line="360" w:lineRule="auto"/>
        <w:jc w:val="both"/>
        <w:rPr>
          <w:rFonts w:cs="Times New Roman"/>
          <w:lang w:val="en-US"/>
        </w:rPr>
      </w:pPr>
      <w:r>
        <w:rPr>
          <w:rFonts w:cs="Times New Roman"/>
          <w:lang w:val="en-US"/>
        </w:rPr>
        <w:t>Structural elements: collagen (DSHB</w:t>
      </w:r>
      <w:r w:rsidRPr="00B43CD7">
        <w:rPr>
          <w:lang w:val="en-US"/>
        </w:rPr>
        <w:t xml:space="preserve"> </w:t>
      </w:r>
      <w:r w:rsidRPr="00B43CD7">
        <w:rPr>
          <w:rFonts w:cs="Times New Roman"/>
          <w:lang w:val="en-US"/>
        </w:rPr>
        <w:t>Col1a1 F1C3</w:t>
      </w:r>
      <w:r>
        <w:rPr>
          <w:rFonts w:cs="Times New Roman"/>
          <w:lang w:val="en-US"/>
        </w:rPr>
        <w:t xml:space="preserve">; 1/500), dystrophin </w:t>
      </w:r>
      <w:r w:rsidRPr="00251A68">
        <w:rPr>
          <w:rFonts w:cs="Times New Roman"/>
          <w:lang w:val="en-US"/>
        </w:rPr>
        <w:t>(sc-365954</w:t>
      </w:r>
      <w:r>
        <w:rPr>
          <w:rFonts w:cs="Times New Roman"/>
          <w:lang w:val="en-US"/>
        </w:rPr>
        <w:t>;</w:t>
      </w:r>
      <w:r w:rsidRPr="00251A68">
        <w:rPr>
          <w:rFonts w:cs="Times New Roman"/>
          <w:lang w:val="en-US"/>
        </w:rPr>
        <w:t xml:space="preserve"> 1/</w:t>
      </w:r>
      <w:r>
        <w:rPr>
          <w:rFonts w:cs="Times New Roman"/>
          <w:lang w:val="en-US"/>
        </w:rPr>
        <w:t>10</w:t>
      </w:r>
      <w:r w:rsidRPr="00251A68">
        <w:rPr>
          <w:rFonts w:cs="Times New Roman"/>
          <w:lang w:val="en-US"/>
        </w:rPr>
        <w:t>00)</w:t>
      </w:r>
    </w:p>
    <w:p w14:paraId="4A59105D" w14:textId="77777777" w:rsidR="007B618A" w:rsidRDefault="007B618A">
      <w:r>
        <w:br w:type="page"/>
      </w:r>
    </w:p>
    <w:p w14:paraId="1482C5A6" w14:textId="0789BE60" w:rsidR="007A78DD" w:rsidRPr="002F5E27" w:rsidRDefault="001A4462" w:rsidP="00C47A8C">
      <w:pPr>
        <w:rPr>
          <w:u w:val="single"/>
          <w:lang w:val="en-US"/>
        </w:rPr>
      </w:pPr>
      <w:r w:rsidRPr="002F5E27">
        <w:rPr>
          <w:u w:val="single"/>
          <w:lang w:val="en-US"/>
        </w:rPr>
        <w:lastRenderedPageBreak/>
        <w:t>Animal welfare s</w:t>
      </w:r>
      <w:r w:rsidR="007A78DD" w:rsidRPr="002F5E27">
        <w:rPr>
          <w:u w:val="single"/>
          <w:lang w:val="en-US"/>
        </w:rPr>
        <w:t>coring grid ALS mice</w:t>
      </w:r>
    </w:p>
    <w:p w14:paraId="03EFC78E" w14:textId="3C37D8E8" w:rsidR="007A78DD" w:rsidRPr="007A78DD" w:rsidRDefault="007A78DD" w:rsidP="007A78DD">
      <w:pPr>
        <w:spacing w:after="0" w:line="240" w:lineRule="auto"/>
        <w:rPr>
          <w:lang w:val="en-US"/>
        </w:rPr>
      </w:pPr>
      <w:r w:rsidRPr="007A78DD">
        <w:rPr>
          <w:lang w:val="en-US"/>
        </w:rPr>
        <w:t>Appearance</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20C73282" w14:textId="77777777" w:rsidR="007A78DD" w:rsidRPr="007A78DD" w:rsidRDefault="007A78DD" w:rsidP="007A78DD">
      <w:pPr>
        <w:spacing w:after="0" w:line="240" w:lineRule="auto"/>
        <w:ind w:left="708"/>
        <w:rPr>
          <w:lang w:val="en-US"/>
        </w:rPr>
      </w:pPr>
      <w:r w:rsidRPr="007A78DD">
        <w:rPr>
          <w:lang w:val="en-US"/>
        </w:rPr>
        <w:t>0: smooth coat</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14E9673E" w14:textId="6DAE8549" w:rsidR="007A78DD" w:rsidRPr="007A78DD" w:rsidRDefault="007A78DD" w:rsidP="007A78DD">
      <w:pPr>
        <w:spacing w:after="0" w:line="240" w:lineRule="auto"/>
        <w:ind w:left="708"/>
        <w:rPr>
          <w:lang w:val="en-US"/>
        </w:rPr>
      </w:pPr>
      <w:r w:rsidRPr="007A78DD">
        <w:rPr>
          <w:lang w:val="en-US"/>
        </w:rPr>
        <w:t xml:space="preserve">1: patches of hair </w:t>
      </w:r>
      <w:proofErr w:type="spellStart"/>
      <w:r w:rsidRPr="007A78DD">
        <w:rPr>
          <w:lang w:val="en-US"/>
        </w:rPr>
        <w:t>piloerected</w:t>
      </w:r>
      <w:proofErr w:type="spellEnd"/>
      <w:r w:rsidRPr="007A78DD">
        <w:rPr>
          <w:lang w:val="en-US"/>
        </w:rPr>
        <w:t xml:space="preserve"> / ruffled fur</w:t>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592A69F9" w14:textId="3FB6A3F7" w:rsidR="007A78DD" w:rsidRPr="007A78DD" w:rsidRDefault="007A78DD" w:rsidP="007A78DD">
      <w:pPr>
        <w:spacing w:after="0" w:line="240" w:lineRule="auto"/>
        <w:ind w:left="708"/>
        <w:rPr>
          <w:lang w:val="en-US"/>
        </w:rPr>
      </w:pPr>
      <w:r w:rsidRPr="007A78DD">
        <w:rPr>
          <w:lang w:val="en-US"/>
        </w:rPr>
        <w:t xml:space="preserve">2: majority of the back is </w:t>
      </w:r>
      <w:proofErr w:type="spellStart"/>
      <w:r w:rsidRPr="007A78DD">
        <w:rPr>
          <w:lang w:val="en-US"/>
        </w:rPr>
        <w:t>piloerected</w:t>
      </w:r>
      <w:proofErr w:type="spellEnd"/>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342120C1" w14:textId="313F2D21" w:rsidR="007A78DD" w:rsidRDefault="007A78DD" w:rsidP="007A78DD">
      <w:pPr>
        <w:spacing w:after="0" w:line="240" w:lineRule="auto"/>
        <w:ind w:left="708"/>
        <w:rPr>
          <w:lang w:val="en-US"/>
        </w:rPr>
      </w:pPr>
      <w:r w:rsidRPr="007A78DD">
        <w:rPr>
          <w:lang w:val="en-US"/>
        </w:rPr>
        <w:t>3: piloerection may or may not be present, mouse appears "puffy"</w:t>
      </w:r>
      <w:r w:rsidRPr="007A78DD">
        <w:rPr>
          <w:lang w:val="en-US"/>
        </w:rPr>
        <w:tab/>
      </w:r>
      <w:r w:rsidRPr="007A78DD">
        <w:rPr>
          <w:lang w:val="en-US"/>
        </w:rPr>
        <w:tab/>
      </w:r>
    </w:p>
    <w:p w14:paraId="18395E75" w14:textId="145FA3F1" w:rsidR="007A78DD" w:rsidRPr="007A78DD" w:rsidRDefault="007A78DD" w:rsidP="007A78DD">
      <w:pPr>
        <w:spacing w:after="0" w:line="240" w:lineRule="auto"/>
        <w:ind w:left="708"/>
        <w:rPr>
          <w:lang w:val="en-US"/>
        </w:rPr>
      </w:pPr>
      <w:r w:rsidRPr="007A78DD">
        <w:rPr>
          <w:lang w:val="en-US"/>
        </w:rPr>
        <w:t>4: piloerection may or may not be present, mouse appears emaciated</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6BE95B3C" w14:textId="77777777" w:rsidR="007A78DD" w:rsidRPr="007A78DD" w:rsidRDefault="007A78DD" w:rsidP="007A78DD">
      <w:pPr>
        <w:spacing w:after="0" w:line="240" w:lineRule="auto"/>
        <w:rPr>
          <w:lang w:val="en-US"/>
        </w:rPr>
      </w:pPr>
      <w:r w:rsidRPr="007A78DD">
        <w:rPr>
          <w:lang w:val="en-US"/>
        </w:rPr>
        <w:t>Activity</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12CE0F77" w14:textId="1A08E530" w:rsidR="007A78DD" w:rsidRDefault="007A78DD" w:rsidP="000F08B1">
      <w:pPr>
        <w:spacing w:after="0" w:line="240" w:lineRule="auto"/>
        <w:ind w:left="708"/>
        <w:rPr>
          <w:lang w:val="en-US"/>
        </w:rPr>
      </w:pPr>
      <w:r w:rsidRPr="007A78DD">
        <w:rPr>
          <w:lang w:val="en-US"/>
        </w:rPr>
        <w:t>0: Normal amount of activity. Mouse is any of: eating, drinking, climbing, running, fightin</w:t>
      </w:r>
      <w:r>
        <w:rPr>
          <w:lang w:val="en-US"/>
        </w:rPr>
        <w:t>g</w:t>
      </w:r>
    </w:p>
    <w:p w14:paraId="19EC8FCB" w14:textId="6EE31E28" w:rsidR="007A78DD" w:rsidRPr="007A78DD" w:rsidRDefault="007A78DD" w:rsidP="000F08B1">
      <w:pPr>
        <w:spacing w:after="0" w:line="240" w:lineRule="auto"/>
        <w:ind w:left="708"/>
        <w:rPr>
          <w:lang w:val="en-US"/>
        </w:rPr>
      </w:pPr>
      <w:r w:rsidRPr="007A78DD">
        <w:rPr>
          <w:lang w:val="en-US"/>
        </w:rPr>
        <w:t>1: Slightly suppressed activity.</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670148E8" w14:textId="22F367D5" w:rsidR="007A78DD" w:rsidRDefault="007A78DD" w:rsidP="000F08B1">
      <w:pPr>
        <w:spacing w:after="0" w:line="240" w:lineRule="auto"/>
        <w:ind w:left="708"/>
        <w:rPr>
          <w:lang w:val="en-US"/>
        </w:rPr>
      </w:pPr>
      <w:r w:rsidRPr="007A78DD">
        <w:rPr>
          <w:lang w:val="en-US"/>
        </w:rPr>
        <w:t>2: Suppressed activity. Mouse is stationary with occasional investigative movement</w:t>
      </w:r>
      <w:r w:rsidRPr="007A78DD">
        <w:rPr>
          <w:lang w:val="en-US"/>
        </w:rPr>
        <w:tab/>
      </w:r>
    </w:p>
    <w:p w14:paraId="10A07248" w14:textId="63DFD414" w:rsidR="007A78DD" w:rsidRPr="007A78DD" w:rsidRDefault="007A78DD" w:rsidP="000F08B1">
      <w:pPr>
        <w:spacing w:after="0" w:line="240" w:lineRule="auto"/>
        <w:ind w:left="708"/>
        <w:rPr>
          <w:lang w:val="en-US"/>
        </w:rPr>
      </w:pPr>
      <w:r w:rsidRPr="007A78DD">
        <w:rPr>
          <w:lang w:val="en-US"/>
        </w:rPr>
        <w:t>3: No activity. Mouse is stationary</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764CE2AF" w14:textId="77777777" w:rsidR="007A78DD" w:rsidRPr="007A78DD" w:rsidRDefault="007A78DD" w:rsidP="000F08B1">
      <w:pPr>
        <w:spacing w:after="0" w:line="240" w:lineRule="auto"/>
        <w:ind w:firstLine="708"/>
        <w:rPr>
          <w:lang w:val="en-US"/>
        </w:rPr>
      </w:pPr>
      <w:r w:rsidRPr="007A78DD">
        <w:rPr>
          <w:lang w:val="en-US"/>
        </w:rPr>
        <w:t>4: No activity. Mouse experiencing tremors</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7EA14C0E" w14:textId="77777777" w:rsidR="007A78DD" w:rsidRPr="007A78DD" w:rsidRDefault="007A78DD" w:rsidP="007A78DD">
      <w:pPr>
        <w:spacing w:after="0" w:line="240" w:lineRule="auto"/>
        <w:rPr>
          <w:lang w:val="en-US"/>
        </w:rPr>
      </w:pPr>
      <w:r w:rsidRPr="007A78DD">
        <w:rPr>
          <w:lang w:val="en-US"/>
        </w:rPr>
        <w:t>Eyes</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0CEFB84A" w14:textId="77777777" w:rsidR="007A78DD" w:rsidRPr="007A78DD" w:rsidRDefault="007A78DD" w:rsidP="000F08B1">
      <w:pPr>
        <w:spacing w:after="0" w:line="240" w:lineRule="auto"/>
        <w:ind w:left="708"/>
        <w:rPr>
          <w:lang w:val="en-US"/>
        </w:rPr>
      </w:pPr>
      <w:r w:rsidRPr="007A78DD">
        <w:rPr>
          <w:lang w:val="en-US"/>
        </w:rPr>
        <w:t>0: Open</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637DA474" w14:textId="36300C9A" w:rsidR="007A78DD" w:rsidRPr="007A78DD" w:rsidRDefault="007A78DD" w:rsidP="000F08B1">
      <w:pPr>
        <w:spacing w:after="0" w:line="240" w:lineRule="auto"/>
        <w:ind w:left="708"/>
        <w:rPr>
          <w:lang w:val="en-US"/>
        </w:rPr>
      </w:pPr>
      <w:r w:rsidRPr="007A78DD">
        <w:rPr>
          <w:lang w:val="en-US"/>
        </w:rPr>
        <w:t>1: Eyes not fully open, possibly with secretions</w:t>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661AF178" w14:textId="753A4E5E" w:rsidR="007A78DD" w:rsidRPr="007A78DD" w:rsidRDefault="007A78DD" w:rsidP="000F08B1">
      <w:pPr>
        <w:spacing w:after="0" w:line="240" w:lineRule="auto"/>
        <w:ind w:left="708"/>
        <w:rPr>
          <w:lang w:val="en-US"/>
        </w:rPr>
      </w:pPr>
      <w:r w:rsidRPr="007A78DD">
        <w:rPr>
          <w:lang w:val="en-US"/>
        </w:rPr>
        <w:t>2: Eyes at least half closed, possibly with secretions</w:t>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32AE880C" w14:textId="0BCA94CD" w:rsidR="007A78DD" w:rsidRPr="007A78DD" w:rsidRDefault="007A78DD" w:rsidP="000F08B1">
      <w:pPr>
        <w:spacing w:after="0" w:line="240" w:lineRule="auto"/>
        <w:ind w:left="708"/>
        <w:rPr>
          <w:lang w:val="en-US"/>
        </w:rPr>
      </w:pPr>
      <w:r w:rsidRPr="007A78DD">
        <w:rPr>
          <w:lang w:val="en-US"/>
        </w:rPr>
        <w:t>3: Eyes half closed or more, possibly with secretions</w:t>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6CA60D12" w14:textId="77777777" w:rsidR="007A78DD" w:rsidRPr="007A78DD" w:rsidRDefault="007A78DD" w:rsidP="000F08B1">
      <w:pPr>
        <w:spacing w:after="0" w:line="240" w:lineRule="auto"/>
        <w:ind w:left="708"/>
        <w:rPr>
          <w:lang w:val="en-US"/>
        </w:rPr>
      </w:pPr>
      <w:r w:rsidRPr="007A78DD">
        <w:rPr>
          <w:lang w:val="en-US"/>
        </w:rPr>
        <w:t>4: Eyes closed or milky</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087C7048" w14:textId="69E6C8BC" w:rsidR="007A78DD" w:rsidRPr="007A78DD" w:rsidRDefault="007A78DD" w:rsidP="00351B79">
      <w:pPr>
        <w:spacing w:after="0" w:line="240" w:lineRule="auto"/>
        <w:rPr>
          <w:lang w:val="en-US"/>
        </w:rPr>
      </w:pP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28EC35A7" w14:textId="77777777" w:rsidR="007A78DD" w:rsidRPr="007A78DD" w:rsidRDefault="007A78DD" w:rsidP="007A78DD">
      <w:pPr>
        <w:spacing w:after="0" w:line="240" w:lineRule="auto"/>
        <w:rPr>
          <w:lang w:val="en-US"/>
        </w:rPr>
      </w:pPr>
      <w:r w:rsidRPr="007A78DD">
        <w:rPr>
          <w:lang w:val="en-US"/>
        </w:rPr>
        <w:t>Pain &amp; distress behavior</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08D303B0" w14:textId="584B9185" w:rsidR="007A78DD" w:rsidRPr="007A78DD" w:rsidRDefault="007A78DD" w:rsidP="000F08B1">
      <w:pPr>
        <w:spacing w:after="0" w:line="240" w:lineRule="auto"/>
        <w:ind w:left="708"/>
        <w:rPr>
          <w:lang w:val="en-US"/>
        </w:rPr>
      </w:pPr>
      <w:r w:rsidRPr="007A78DD">
        <w:rPr>
          <w:lang w:val="en-US"/>
        </w:rPr>
        <w:t xml:space="preserve">0: no vocalization when handled or touched, no </w:t>
      </w:r>
      <w:proofErr w:type="spellStart"/>
      <w:r w:rsidRPr="007A78DD">
        <w:rPr>
          <w:lang w:val="en-US"/>
        </w:rPr>
        <w:t>self mutilation</w:t>
      </w:r>
      <w:proofErr w:type="spellEnd"/>
      <w:r w:rsidRPr="007A78DD">
        <w:rPr>
          <w:lang w:val="en-US"/>
        </w:rPr>
        <w:tab/>
      </w:r>
      <w:r w:rsidRPr="007A78DD">
        <w:rPr>
          <w:lang w:val="en-US"/>
        </w:rPr>
        <w:tab/>
      </w:r>
      <w:r w:rsidRPr="007A78DD">
        <w:rPr>
          <w:lang w:val="en-US"/>
        </w:rPr>
        <w:tab/>
      </w:r>
      <w:r w:rsidRPr="007A78DD">
        <w:rPr>
          <w:lang w:val="en-US"/>
        </w:rPr>
        <w:tab/>
      </w:r>
    </w:p>
    <w:p w14:paraId="22413D5F" w14:textId="661A844A" w:rsidR="007A78DD" w:rsidRPr="007A78DD" w:rsidRDefault="007A78DD" w:rsidP="000F08B1">
      <w:pPr>
        <w:spacing w:after="0" w:line="240" w:lineRule="auto"/>
        <w:ind w:left="708"/>
        <w:rPr>
          <w:lang w:val="en-US"/>
        </w:rPr>
      </w:pPr>
      <w:r w:rsidRPr="007A78DD">
        <w:rPr>
          <w:lang w:val="en-US"/>
        </w:rPr>
        <w:t xml:space="preserve">2: slight vocalization when handled or touched, no </w:t>
      </w:r>
      <w:proofErr w:type="spellStart"/>
      <w:r w:rsidRPr="007A78DD">
        <w:rPr>
          <w:lang w:val="en-US"/>
        </w:rPr>
        <w:t>self mutilation</w:t>
      </w:r>
      <w:proofErr w:type="spellEnd"/>
      <w:r w:rsidRPr="007A78DD">
        <w:rPr>
          <w:lang w:val="en-US"/>
        </w:rPr>
        <w:tab/>
      </w:r>
      <w:r w:rsidRPr="007A78DD">
        <w:rPr>
          <w:lang w:val="en-US"/>
        </w:rPr>
        <w:tab/>
      </w:r>
      <w:r w:rsidRPr="007A78DD">
        <w:rPr>
          <w:lang w:val="en-US"/>
        </w:rPr>
        <w:tab/>
      </w:r>
    </w:p>
    <w:p w14:paraId="3BDC3576" w14:textId="77777777" w:rsidR="007A78DD" w:rsidRPr="007A78DD" w:rsidRDefault="007A78DD" w:rsidP="000F08B1">
      <w:pPr>
        <w:spacing w:after="0" w:line="240" w:lineRule="auto"/>
        <w:ind w:left="708"/>
        <w:rPr>
          <w:lang w:val="en-US"/>
        </w:rPr>
      </w:pPr>
      <w:r w:rsidRPr="007A78DD">
        <w:rPr>
          <w:lang w:val="en-US"/>
        </w:rPr>
        <w:t xml:space="preserve">4: excessive or abnormal vocalization when handled or touched, or </w:t>
      </w:r>
      <w:proofErr w:type="spellStart"/>
      <w:r w:rsidRPr="007A78DD">
        <w:rPr>
          <w:lang w:val="en-US"/>
        </w:rPr>
        <w:t>self mutilation</w:t>
      </w:r>
      <w:proofErr w:type="spellEnd"/>
      <w:r w:rsidRPr="007A78DD">
        <w:rPr>
          <w:lang w:val="en-US"/>
        </w:rPr>
        <w:t xml:space="preserve"> (biting or scratching)</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5378B1D8" w14:textId="77777777" w:rsidR="000F08B1" w:rsidRDefault="000F08B1" w:rsidP="007A78DD">
      <w:pPr>
        <w:spacing w:after="0" w:line="240" w:lineRule="auto"/>
        <w:rPr>
          <w:lang w:val="en-US"/>
        </w:rPr>
      </w:pPr>
    </w:p>
    <w:p w14:paraId="09FBC271" w14:textId="211F93E0" w:rsidR="007A78DD" w:rsidRPr="007A78DD" w:rsidRDefault="007A78DD" w:rsidP="007A78DD">
      <w:pPr>
        <w:spacing w:after="0" w:line="240" w:lineRule="auto"/>
        <w:rPr>
          <w:lang w:val="en-US"/>
        </w:rPr>
      </w:pPr>
      <w:r w:rsidRPr="007A78DD">
        <w:rPr>
          <w:lang w:val="en-US"/>
        </w:rPr>
        <w:t>Breathing</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43EA84A0" w14:textId="71880ADF" w:rsidR="000F08B1" w:rsidRDefault="007A78DD" w:rsidP="000F08B1">
      <w:pPr>
        <w:spacing w:after="0" w:line="240" w:lineRule="auto"/>
        <w:ind w:left="708"/>
        <w:rPr>
          <w:lang w:val="en-US"/>
        </w:rPr>
      </w:pPr>
      <w:r w:rsidRPr="007A78DD">
        <w:rPr>
          <w:lang w:val="en-US"/>
        </w:rPr>
        <w:t>0: normal rhythm, rapid mouse respiration, with RR&gt;120 (too fast to count)</w:t>
      </w:r>
      <w:r w:rsidRPr="007A78DD">
        <w:rPr>
          <w:lang w:val="en-US"/>
        </w:rPr>
        <w:tab/>
      </w:r>
      <w:r w:rsidRPr="007A78DD">
        <w:rPr>
          <w:lang w:val="en-US"/>
        </w:rPr>
        <w:tab/>
      </w:r>
    </w:p>
    <w:p w14:paraId="431F3EFA" w14:textId="0B15F7A3" w:rsidR="000F08B1" w:rsidRDefault="007A78DD" w:rsidP="000F08B1">
      <w:pPr>
        <w:spacing w:after="0" w:line="240" w:lineRule="auto"/>
        <w:ind w:left="708"/>
        <w:rPr>
          <w:lang w:val="en-US"/>
        </w:rPr>
      </w:pPr>
      <w:r w:rsidRPr="007A78DD">
        <w:rPr>
          <w:lang w:val="en-US"/>
        </w:rPr>
        <w:t xml:space="preserve">1: RR&gt;120, but with periods of </w:t>
      </w:r>
      <w:proofErr w:type="spellStart"/>
      <w:r w:rsidRPr="007A78DD">
        <w:rPr>
          <w:lang w:val="en-US"/>
        </w:rPr>
        <w:t>laboured</w:t>
      </w:r>
      <w:proofErr w:type="spellEnd"/>
      <w:r w:rsidRPr="007A78DD">
        <w:rPr>
          <w:lang w:val="en-US"/>
        </w:rPr>
        <w:t xml:space="preserve"> </w:t>
      </w:r>
      <w:proofErr w:type="spellStart"/>
      <w:r w:rsidRPr="007A78DD">
        <w:rPr>
          <w:lang w:val="en-US"/>
        </w:rPr>
        <w:t>breating</w:t>
      </w:r>
      <w:proofErr w:type="spellEnd"/>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0AD03B85" w14:textId="64C9EDF9" w:rsidR="000F08B1" w:rsidRDefault="007A78DD" w:rsidP="000F08B1">
      <w:pPr>
        <w:spacing w:after="0" w:line="240" w:lineRule="auto"/>
        <w:ind w:left="708"/>
        <w:rPr>
          <w:lang w:val="en-US"/>
        </w:rPr>
      </w:pPr>
      <w:r w:rsidRPr="007A78DD">
        <w:rPr>
          <w:lang w:val="en-US"/>
        </w:rPr>
        <w:t>2: slow respirations (RR:61-120)</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1B3A33AD" w14:textId="30460F93" w:rsidR="007A78DD" w:rsidRPr="007A78DD" w:rsidRDefault="007A78DD" w:rsidP="000F08B1">
      <w:pPr>
        <w:spacing w:after="0" w:line="240" w:lineRule="auto"/>
        <w:ind w:left="708"/>
        <w:rPr>
          <w:lang w:val="en-US"/>
        </w:rPr>
      </w:pPr>
      <w:r w:rsidRPr="007A78DD">
        <w:rPr>
          <w:lang w:val="en-US"/>
        </w:rPr>
        <w:t xml:space="preserve">4: persistent, difficult </w:t>
      </w:r>
      <w:proofErr w:type="spellStart"/>
      <w:r w:rsidRPr="007A78DD">
        <w:rPr>
          <w:lang w:val="en-US"/>
        </w:rPr>
        <w:t>laboured</w:t>
      </w:r>
      <w:proofErr w:type="spellEnd"/>
      <w:r w:rsidRPr="007A78DD">
        <w:rPr>
          <w:lang w:val="en-US"/>
        </w:rPr>
        <w:t xml:space="preserve"> breathing or continuous gasping or </w:t>
      </w:r>
      <w:proofErr w:type="spellStart"/>
      <w:r w:rsidRPr="007A78DD">
        <w:rPr>
          <w:lang w:val="en-US"/>
        </w:rPr>
        <w:t>repiratory</w:t>
      </w:r>
      <w:proofErr w:type="spellEnd"/>
      <w:r w:rsidRPr="007A78DD">
        <w:rPr>
          <w:lang w:val="en-US"/>
        </w:rPr>
        <w:t xml:space="preserve"> rate &lt;60</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22DD43A6" w14:textId="77777777" w:rsidR="007A78DD" w:rsidRPr="007A78DD" w:rsidRDefault="007A78DD" w:rsidP="007A78DD">
      <w:pPr>
        <w:spacing w:after="0" w:line="240" w:lineRule="auto"/>
        <w:rPr>
          <w:lang w:val="en-US"/>
        </w:rPr>
      </w:pPr>
      <w:r w:rsidRPr="007A78DD">
        <w:rPr>
          <w:lang w:val="en-US"/>
        </w:rPr>
        <w:t>Neurological scoring</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71D9A9C6" w14:textId="77777777" w:rsidR="000F08B1" w:rsidRDefault="007A78DD" w:rsidP="000F08B1">
      <w:pPr>
        <w:spacing w:after="0" w:line="240" w:lineRule="auto"/>
        <w:ind w:left="708"/>
        <w:rPr>
          <w:lang w:val="en-US"/>
        </w:rPr>
      </w:pPr>
      <w:r w:rsidRPr="007A78DD">
        <w:rPr>
          <w:lang w:val="en-US"/>
        </w:rPr>
        <w:t>0: Full extension of hind legs away from lateral midline when mouse is suspended by its ta</w:t>
      </w:r>
      <w:r w:rsidR="000F08B1">
        <w:rPr>
          <w:lang w:val="en-US"/>
        </w:rPr>
        <w:t>il</w:t>
      </w:r>
    </w:p>
    <w:p w14:paraId="774F44DD" w14:textId="4652F5B5" w:rsidR="007A78DD" w:rsidRPr="007A78DD" w:rsidRDefault="007A78DD" w:rsidP="000F08B1">
      <w:pPr>
        <w:spacing w:after="0" w:line="240" w:lineRule="auto"/>
        <w:ind w:left="708"/>
        <w:rPr>
          <w:lang w:val="en-US"/>
        </w:rPr>
      </w:pPr>
      <w:r w:rsidRPr="007A78DD">
        <w:rPr>
          <w:lang w:val="en-US"/>
        </w:rPr>
        <w:t>1: collapse or partial collapse of leg extension toward lateral midline (weakness) or trembling of hind legs during</w:t>
      </w:r>
      <w:r w:rsidR="000F08B1">
        <w:rPr>
          <w:lang w:val="en-US"/>
        </w:rPr>
        <w:t xml:space="preserve"> </w:t>
      </w:r>
      <w:r w:rsidRPr="007A78DD">
        <w:rPr>
          <w:lang w:val="en-US"/>
        </w:rPr>
        <w:t>tail suspension</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3711CFF1" w14:textId="77777777" w:rsidR="007A78DD" w:rsidRPr="007A78DD" w:rsidRDefault="007A78DD" w:rsidP="000F08B1">
      <w:pPr>
        <w:spacing w:after="0" w:line="240" w:lineRule="auto"/>
        <w:ind w:left="708"/>
        <w:rPr>
          <w:lang w:val="en-US"/>
        </w:rPr>
      </w:pPr>
      <w:r w:rsidRPr="007A78DD">
        <w:rPr>
          <w:lang w:val="en-US"/>
        </w:rPr>
        <w:t>2: toes curl at least twice during walking of 30 cm, or any part of the foot is dragging along the cage bottom/table</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25551737" w14:textId="77777777" w:rsidR="00351B79" w:rsidRDefault="007A78DD" w:rsidP="000F08B1">
      <w:pPr>
        <w:spacing w:after="0" w:line="240" w:lineRule="auto"/>
        <w:ind w:left="708"/>
        <w:rPr>
          <w:lang w:val="en-US"/>
        </w:rPr>
      </w:pPr>
      <w:r w:rsidRPr="007A78DD">
        <w:rPr>
          <w:lang w:val="en-US"/>
        </w:rPr>
        <w:t>3: Rigid paralysis or minimal joint movement. The foot is not being used for forward motio</w:t>
      </w:r>
      <w:r w:rsidR="00351B79">
        <w:rPr>
          <w:lang w:val="en-US"/>
        </w:rPr>
        <w:t>n</w:t>
      </w:r>
    </w:p>
    <w:p w14:paraId="2D22C30A" w14:textId="39D5F17A" w:rsidR="007A78DD" w:rsidRPr="007A78DD" w:rsidRDefault="007A78DD" w:rsidP="00351B79">
      <w:pPr>
        <w:spacing w:after="0" w:line="240" w:lineRule="auto"/>
        <w:ind w:left="708"/>
        <w:rPr>
          <w:lang w:val="en-US"/>
        </w:rPr>
      </w:pPr>
      <w:r w:rsidRPr="007A78DD">
        <w:rPr>
          <w:lang w:val="en-US"/>
        </w:rPr>
        <w:t>4: Mouse cannot right itself up within 20 seconds after being placed on either side on a flat surface</w:t>
      </w:r>
      <w:r w:rsidR="00351B79">
        <w:rPr>
          <w:lang w:val="en-US"/>
        </w:rPr>
        <w:t xml:space="preserve"> or </w:t>
      </w:r>
      <w:r w:rsidRPr="007A78DD">
        <w:rPr>
          <w:lang w:val="en-US"/>
        </w:rPr>
        <w:t xml:space="preserve">severe </w:t>
      </w:r>
      <w:proofErr w:type="spellStart"/>
      <w:r w:rsidRPr="007A78DD">
        <w:rPr>
          <w:lang w:val="en-US"/>
        </w:rPr>
        <w:t>parlysis</w:t>
      </w:r>
      <w:proofErr w:type="spellEnd"/>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3C6D0B10" w14:textId="77777777" w:rsidR="00351B79" w:rsidRDefault="00351B79" w:rsidP="007A78DD">
      <w:pPr>
        <w:spacing w:after="0" w:line="240" w:lineRule="auto"/>
        <w:rPr>
          <w:lang w:val="en-US"/>
        </w:rPr>
      </w:pPr>
    </w:p>
    <w:p w14:paraId="29A12768" w14:textId="5F9D9BC0" w:rsidR="007A78DD" w:rsidRPr="007A78DD" w:rsidRDefault="007A78DD" w:rsidP="007A78DD">
      <w:pPr>
        <w:spacing w:after="0" w:line="240" w:lineRule="auto"/>
        <w:rPr>
          <w:lang w:val="en-US"/>
        </w:rPr>
      </w:pPr>
      <w:r w:rsidRPr="007A78DD">
        <w:rPr>
          <w:lang w:val="en-US"/>
        </w:rPr>
        <w:t>Weight loss over 7-day interval</w:t>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r w:rsidRPr="007A78DD">
        <w:rPr>
          <w:lang w:val="en-US"/>
        </w:rPr>
        <w:tab/>
      </w:r>
    </w:p>
    <w:p w14:paraId="26719347" w14:textId="77777777" w:rsidR="007A78DD" w:rsidRPr="009D0A3B" w:rsidRDefault="007A78DD" w:rsidP="000F08B1">
      <w:pPr>
        <w:spacing w:after="0" w:line="240" w:lineRule="auto"/>
        <w:ind w:left="708"/>
        <w:rPr>
          <w:lang w:val="en-US"/>
        </w:rPr>
      </w:pPr>
      <w:r w:rsidRPr="009D0A3B">
        <w:rPr>
          <w:lang w:val="en-US"/>
        </w:rPr>
        <w:t>0: &lt;5%</w:t>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p>
    <w:p w14:paraId="6E2BE41B" w14:textId="77777777" w:rsidR="007A78DD" w:rsidRPr="009D0A3B" w:rsidRDefault="007A78DD" w:rsidP="000F08B1">
      <w:pPr>
        <w:spacing w:after="0" w:line="240" w:lineRule="auto"/>
        <w:ind w:left="708"/>
        <w:rPr>
          <w:lang w:val="en-US"/>
        </w:rPr>
      </w:pPr>
      <w:r w:rsidRPr="009D0A3B">
        <w:rPr>
          <w:lang w:val="en-US"/>
        </w:rPr>
        <w:t>1: 5-10%</w:t>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p>
    <w:p w14:paraId="24DACD6E" w14:textId="77777777" w:rsidR="007A78DD" w:rsidRPr="009D0A3B" w:rsidRDefault="007A78DD" w:rsidP="000F08B1">
      <w:pPr>
        <w:spacing w:after="0" w:line="240" w:lineRule="auto"/>
        <w:ind w:left="708"/>
        <w:rPr>
          <w:lang w:val="en-US"/>
        </w:rPr>
      </w:pPr>
      <w:r w:rsidRPr="009D0A3B">
        <w:rPr>
          <w:lang w:val="en-US"/>
        </w:rPr>
        <w:t>2: 10-15%</w:t>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p>
    <w:p w14:paraId="7907C4E8" w14:textId="77777777" w:rsidR="007A78DD" w:rsidRPr="009D0A3B" w:rsidRDefault="007A78DD" w:rsidP="000F08B1">
      <w:pPr>
        <w:spacing w:after="0" w:line="240" w:lineRule="auto"/>
        <w:ind w:left="708"/>
        <w:rPr>
          <w:lang w:val="en-US"/>
        </w:rPr>
      </w:pPr>
      <w:r w:rsidRPr="009D0A3B">
        <w:rPr>
          <w:lang w:val="en-US"/>
        </w:rPr>
        <w:t>3: 15-20%</w:t>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r w:rsidRPr="009D0A3B">
        <w:rPr>
          <w:lang w:val="en-US"/>
        </w:rPr>
        <w:tab/>
      </w:r>
    </w:p>
    <w:p w14:paraId="0D670F60" w14:textId="77777777" w:rsidR="002F5E27" w:rsidRPr="009D0A3B" w:rsidRDefault="007A78DD" w:rsidP="000F08B1">
      <w:pPr>
        <w:spacing w:after="0" w:line="240" w:lineRule="auto"/>
        <w:ind w:left="708"/>
        <w:rPr>
          <w:lang w:val="en-US"/>
        </w:rPr>
      </w:pPr>
      <w:r w:rsidRPr="009D0A3B">
        <w:rPr>
          <w:lang w:val="en-US"/>
        </w:rPr>
        <w:t>4: &gt;20%</w:t>
      </w:r>
      <w:r w:rsidRPr="009D0A3B">
        <w:rPr>
          <w:lang w:val="en-US"/>
        </w:rPr>
        <w:tab/>
      </w:r>
      <w:r w:rsidRPr="009D0A3B">
        <w:rPr>
          <w:lang w:val="en-US"/>
        </w:rPr>
        <w:tab/>
      </w:r>
    </w:p>
    <w:p w14:paraId="45755BE7" w14:textId="77777777" w:rsidR="002F5E27" w:rsidRPr="009D0A3B" w:rsidRDefault="002F5E27" w:rsidP="000F08B1">
      <w:pPr>
        <w:spacing w:after="0" w:line="240" w:lineRule="auto"/>
        <w:ind w:left="708"/>
        <w:rPr>
          <w:lang w:val="en-US"/>
        </w:rPr>
      </w:pPr>
    </w:p>
    <w:p w14:paraId="19D88CFA" w14:textId="77777777" w:rsidR="002F5E27" w:rsidRPr="009D0A3B" w:rsidRDefault="002F5E27" w:rsidP="000F08B1">
      <w:pPr>
        <w:spacing w:after="0" w:line="240" w:lineRule="auto"/>
        <w:ind w:left="708"/>
        <w:rPr>
          <w:lang w:val="en-US"/>
        </w:rPr>
      </w:pPr>
    </w:p>
    <w:p w14:paraId="10E8F581" w14:textId="77777777" w:rsidR="002F5E27" w:rsidRPr="009D0A3B" w:rsidRDefault="002F5E27" w:rsidP="000F08B1">
      <w:pPr>
        <w:spacing w:after="0" w:line="240" w:lineRule="auto"/>
        <w:ind w:left="708"/>
        <w:rPr>
          <w:lang w:val="en-US"/>
        </w:rPr>
      </w:pPr>
    </w:p>
    <w:p w14:paraId="457CA2DD" w14:textId="77777777" w:rsidR="002F5E27" w:rsidRPr="009D0A3B" w:rsidRDefault="002F5E27" w:rsidP="000F08B1">
      <w:pPr>
        <w:spacing w:after="0" w:line="240" w:lineRule="auto"/>
        <w:ind w:left="708"/>
        <w:rPr>
          <w:lang w:val="en-US"/>
        </w:rPr>
      </w:pPr>
    </w:p>
    <w:p w14:paraId="5692E141" w14:textId="23E5283B" w:rsidR="009863D6" w:rsidRPr="009863D6" w:rsidRDefault="009863D6" w:rsidP="007B3F2B">
      <w:pPr>
        <w:spacing w:after="0" w:line="360" w:lineRule="auto"/>
        <w:jc w:val="both"/>
        <w:rPr>
          <w:rFonts w:cs="Times New Roman"/>
          <w:u w:val="single"/>
          <w:lang w:val="en-US"/>
        </w:rPr>
      </w:pPr>
      <w:r w:rsidRPr="009863D6">
        <w:rPr>
          <w:rFonts w:cs="Times New Roman"/>
          <w:u w:val="single"/>
          <w:lang w:val="en-US"/>
        </w:rPr>
        <w:lastRenderedPageBreak/>
        <w:t xml:space="preserve">RNA sequencing procedure and gene count data handling </w:t>
      </w:r>
    </w:p>
    <w:p w14:paraId="6EA6214A" w14:textId="31ADB3FF" w:rsidR="002F5E27" w:rsidRDefault="002F5E27" w:rsidP="009863D6">
      <w:pPr>
        <w:spacing w:after="0" w:line="360" w:lineRule="auto"/>
        <w:ind w:firstLine="708"/>
        <w:jc w:val="both"/>
        <w:rPr>
          <w:rFonts w:cs="Times New Roman"/>
          <w:lang w:val="en-US"/>
        </w:rPr>
      </w:pPr>
      <w:r>
        <w:rPr>
          <w:rFonts w:cs="Times New Roman"/>
          <w:lang w:val="en-US"/>
        </w:rPr>
        <w:t xml:space="preserve">RNA was isolated via </w:t>
      </w:r>
      <w:proofErr w:type="spellStart"/>
      <w:r>
        <w:rPr>
          <w:rFonts w:cs="Times New Roman"/>
          <w:lang w:val="en-US"/>
        </w:rPr>
        <w:t>TRIzol</w:t>
      </w:r>
      <w:proofErr w:type="spellEnd"/>
      <w:r>
        <w:rPr>
          <w:rFonts w:cs="Times New Roman"/>
          <w:lang w:val="en-US"/>
        </w:rPr>
        <w:t xml:space="preserve">, and quality and quantity were assessed with  </w:t>
      </w:r>
      <w:r w:rsidRPr="003B44D3">
        <w:rPr>
          <w:rFonts w:cs="Times New Roman"/>
          <w:lang w:val="en-US"/>
        </w:rPr>
        <w:t>Agilent RNA 6000 nano kit in 2100 Bioanalyzer</w:t>
      </w:r>
      <w:r>
        <w:rPr>
          <w:rFonts w:cs="Times New Roman"/>
          <w:lang w:val="en-US"/>
        </w:rPr>
        <w:t xml:space="preserve"> </w:t>
      </w:r>
      <w:r w:rsidRPr="003B44D3">
        <w:rPr>
          <w:rFonts w:cs="Times New Roman"/>
          <w:lang w:val="en-US"/>
        </w:rPr>
        <w:t>System (Agilent)</w:t>
      </w:r>
      <w:sdt>
        <w:sdtPr>
          <w:rPr>
            <w:rFonts w:cs="Times New Roman"/>
            <w:color w:val="000000"/>
            <w:vertAlign w:val="superscript"/>
            <w:lang w:val="en-US"/>
          </w:rPr>
          <w:tag w:val="MENDELEY_CITATION_v3_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"/>
          <w:id w:val="1736351901"/>
          <w:placeholder>
            <w:docPart w:val="3CBB60D726A041C48F8DD92B45814995"/>
          </w:placeholder>
        </w:sdtPr>
        <w:sdtEndPr/>
        <w:sdtContent>
          <w:r w:rsidR="00AC4C9A" w:rsidRPr="00AC4C9A">
            <w:rPr>
              <w:rFonts w:cs="Times New Roman"/>
              <w:color w:val="000000"/>
              <w:vertAlign w:val="superscript"/>
              <w:lang w:val="en-US"/>
            </w:rPr>
            <w:t>1</w:t>
          </w:r>
        </w:sdtContent>
      </w:sdt>
      <w:r>
        <w:rPr>
          <w:rFonts w:cs="Times New Roman"/>
          <w:lang w:val="en-US"/>
        </w:rPr>
        <w:t xml:space="preserve">. </w:t>
      </w:r>
      <w:r w:rsidRPr="00730114">
        <w:rPr>
          <w:rFonts w:cs="Times New Roman"/>
          <w:lang w:val="en-US"/>
        </w:rPr>
        <w:t>High-quality RNA (500 ng) was</w:t>
      </w:r>
      <w:r>
        <w:rPr>
          <w:rFonts w:cs="Times New Roman"/>
          <w:lang w:val="en-US"/>
        </w:rPr>
        <w:t xml:space="preserve"> </w:t>
      </w:r>
      <w:r w:rsidRPr="00730114">
        <w:rPr>
          <w:rFonts w:cs="Times New Roman"/>
          <w:lang w:val="en-US"/>
        </w:rPr>
        <w:t xml:space="preserve">used to prepare the sequencing library </w:t>
      </w:r>
      <w:r>
        <w:rPr>
          <w:rFonts w:cs="Times New Roman"/>
          <w:lang w:val="en-US"/>
        </w:rPr>
        <w:t>(</w:t>
      </w:r>
      <w:r w:rsidRPr="00730114">
        <w:rPr>
          <w:rFonts w:cs="Times New Roman"/>
          <w:lang w:val="en-US"/>
        </w:rPr>
        <w:t>Illumina</w:t>
      </w:r>
      <w:r>
        <w:rPr>
          <w:rFonts w:cs="Times New Roman"/>
          <w:lang w:val="en-US"/>
        </w:rPr>
        <w:t xml:space="preserve"> </w:t>
      </w:r>
      <w:proofErr w:type="spellStart"/>
      <w:r w:rsidRPr="00730114">
        <w:rPr>
          <w:rFonts w:cs="Times New Roman"/>
          <w:lang w:val="en-US"/>
        </w:rPr>
        <w:t>TruSeq</w:t>
      </w:r>
      <w:proofErr w:type="spellEnd"/>
      <w:r w:rsidRPr="00730114">
        <w:rPr>
          <w:rFonts w:cs="Times New Roman"/>
          <w:lang w:val="en-US"/>
        </w:rPr>
        <w:t xml:space="preserve"> Stranded Total RNA Library prep kit</w:t>
      </w:r>
      <w:r>
        <w:rPr>
          <w:rFonts w:cs="Times New Roman"/>
          <w:lang w:val="en-US"/>
        </w:rPr>
        <w:t>)</w:t>
      </w:r>
      <w:r w:rsidRPr="00730114">
        <w:rPr>
          <w:rFonts w:cs="Times New Roman"/>
          <w:lang w:val="en-US"/>
        </w:rPr>
        <w:t xml:space="preserve">. </w:t>
      </w:r>
      <w:r>
        <w:rPr>
          <w:rFonts w:cs="Times New Roman"/>
          <w:lang w:val="en-US"/>
        </w:rPr>
        <w:t>A</w:t>
      </w:r>
      <w:r w:rsidRPr="00730114">
        <w:rPr>
          <w:rFonts w:cs="Times New Roman"/>
          <w:lang w:val="en-US"/>
        </w:rPr>
        <w:t>fter</w:t>
      </w:r>
      <w:r>
        <w:rPr>
          <w:rFonts w:cs="Times New Roman"/>
          <w:lang w:val="en-US"/>
        </w:rPr>
        <w:t xml:space="preserve"> </w:t>
      </w:r>
      <w:r w:rsidRPr="00730114">
        <w:rPr>
          <w:rFonts w:cs="Times New Roman"/>
          <w:lang w:val="en-US"/>
        </w:rPr>
        <w:t xml:space="preserve">rRNA depletion and </w:t>
      </w:r>
      <w:r w:rsidRPr="00493AF5">
        <w:rPr>
          <w:rFonts w:cs="Times New Roman"/>
          <w:lang w:val="en-US"/>
        </w:rPr>
        <w:t xml:space="preserve">complementary deoxyribonucleic acid </w:t>
      </w:r>
      <w:r>
        <w:rPr>
          <w:rFonts w:cs="Times New Roman"/>
          <w:lang w:val="en-US"/>
        </w:rPr>
        <w:t>(</w:t>
      </w:r>
      <w:r w:rsidRPr="00730114">
        <w:rPr>
          <w:rFonts w:cs="Times New Roman"/>
          <w:lang w:val="en-US"/>
        </w:rPr>
        <w:t>cDNA</w:t>
      </w:r>
      <w:r>
        <w:rPr>
          <w:rFonts w:cs="Times New Roman"/>
          <w:lang w:val="en-US"/>
        </w:rPr>
        <w:t>)</w:t>
      </w:r>
      <w:r w:rsidRPr="00730114">
        <w:rPr>
          <w:rFonts w:cs="Times New Roman"/>
          <w:lang w:val="en-US"/>
        </w:rPr>
        <w:t xml:space="preserve"> generation, cDNAs</w:t>
      </w:r>
      <w:r>
        <w:rPr>
          <w:rFonts w:cs="Times New Roman"/>
          <w:lang w:val="en-US"/>
        </w:rPr>
        <w:t xml:space="preserve"> </w:t>
      </w:r>
      <w:r w:rsidRPr="00730114">
        <w:rPr>
          <w:rFonts w:cs="Times New Roman"/>
          <w:lang w:val="en-US"/>
        </w:rPr>
        <w:t>were subjected to 3’ end adenylation, adapter ligation</w:t>
      </w:r>
      <w:r>
        <w:rPr>
          <w:rFonts w:cs="Times New Roman"/>
          <w:lang w:val="en-US"/>
        </w:rPr>
        <w:t xml:space="preserve"> </w:t>
      </w:r>
      <w:r w:rsidRPr="00730114">
        <w:rPr>
          <w:rFonts w:cs="Times New Roman"/>
          <w:lang w:val="en-US"/>
        </w:rPr>
        <w:t>and</w:t>
      </w:r>
      <w:r>
        <w:rPr>
          <w:rFonts w:cs="Times New Roman"/>
          <w:lang w:val="en-US"/>
        </w:rPr>
        <w:t xml:space="preserve"> </w:t>
      </w:r>
      <w:r w:rsidRPr="00730114">
        <w:rPr>
          <w:rFonts w:cs="Times New Roman"/>
          <w:lang w:val="en-US"/>
        </w:rPr>
        <w:t xml:space="preserve">purification with </w:t>
      </w:r>
      <w:proofErr w:type="spellStart"/>
      <w:r w:rsidRPr="00730114">
        <w:rPr>
          <w:rFonts w:cs="Times New Roman"/>
          <w:lang w:val="en-US"/>
        </w:rPr>
        <w:t>AMPure</w:t>
      </w:r>
      <w:proofErr w:type="spellEnd"/>
      <w:r w:rsidRPr="00730114">
        <w:rPr>
          <w:rFonts w:cs="Times New Roman"/>
          <w:lang w:val="en-US"/>
        </w:rPr>
        <w:t xml:space="preserve"> beads (</w:t>
      </w:r>
      <w:proofErr w:type="spellStart"/>
      <w:r w:rsidRPr="00730114">
        <w:rPr>
          <w:rFonts w:cs="Times New Roman"/>
          <w:lang w:val="en-US"/>
        </w:rPr>
        <w:t>BeckmanCoulter</w:t>
      </w:r>
      <w:proofErr w:type="spellEnd"/>
      <w:r w:rsidRPr="00730114">
        <w:rPr>
          <w:rFonts w:cs="Times New Roman"/>
          <w:lang w:val="en-US"/>
        </w:rPr>
        <w:t>). The products were size-selected with</w:t>
      </w:r>
      <w:r>
        <w:rPr>
          <w:rFonts w:cs="Times New Roman"/>
          <w:lang w:val="en-US"/>
        </w:rPr>
        <w:t xml:space="preserve"> </w:t>
      </w:r>
      <w:proofErr w:type="spellStart"/>
      <w:r w:rsidRPr="00730114">
        <w:rPr>
          <w:rFonts w:cs="Times New Roman"/>
          <w:lang w:val="en-US"/>
        </w:rPr>
        <w:t>SPRIselect</w:t>
      </w:r>
      <w:proofErr w:type="spellEnd"/>
      <w:r w:rsidRPr="00730114">
        <w:rPr>
          <w:rFonts w:cs="Times New Roman"/>
          <w:lang w:val="en-US"/>
        </w:rPr>
        <w:t xml:space="preserve"> beads (Beckman Coulter), and the selected</w:t>
      </w:r>
      <w:r>
        <w:rPr>
          <w:rFonts w:cs="Times New Roman"/>
          <w:lang w:val="en-US"/>
        </w:rPr>
        <w:t xml:space="preserve"> </w:t>
      </w:r>
      <w:r w:rsidRPr="00730114">
        <w:rPr>
          <w:rFonts w:cs="Times New Roman"/>
          <w:lang w:val="en-US"/>
        </w:rPr>
        <w:t xml:space="preserve">cDNAs were enriched by </w:t>
      </w:r>
      <w:r>
        <w:rPr>
          <w:rFonts w:cs="Times New Roman"/>
          <w:lang w:val="en-US"/>
        </w:rPr>
        <w:t>p</w:t>
      </w:r>
      <w:r w:rsidRPr="00095A5F">
        <w:rPr>
          <w:rFonts w:cs="Times New Roman"/>
          <w:lang w:val="en-US"/>
        </w:rPr>
        <w:t xml:space="preserve">olymerase </w:t>
      </w:r>
      <w:r>
        <w:rPr>
          <w:rFonts w:cs="Times New Roman"/>
          <w:lang w:val="en-US"/>
        </w:rPr>
        <w:t>c</w:t>
      </w:r>
      <w:r w:rsidRPr="00095A5F">
        <w:rPr>
          <w:rFonts w:cs="Times New Roman"/>
          <w:lang w:val="en-US"/>
        </w:rPr>
        <w:t xml:space="preserve">hain </w:t>
      </w:r>
      <w:r>
        <w:rPr>
          <w:rFonts w:cs="Times New Roman"/>
          <w:lang w:val="en-US"/>
        </w:rPr>
        <w:t>r</w:t>
      </w:r>
      <w:r w:rsidRPr="00095A5F">
        <w:rPr>
          <w:rFonts w:cs="Times New Roman"/>
          <w:lang w:val="en-US"/>
        </w:rPr>
        <w:t xml:space="preserve">eaction </w:t>
      </w:r>
      <w:r>
        <w:rPr>
          <w:rFonts w:cs="Times New Roman"/>
          <w:lang w:val="en-US"/>
        </w:rPr>
        <w:t>(</w:t>
      </w:r>
      <w:r w:rsidRPr="00730114">
        <w:rPr>
          <w:rFonts w:cs="Times New Roman"/>
          <w:lang w:val="en-US"/>
        </w:rPr>
        <w:t>PCR</w:t>
      </w:r>
      <w:r>
        <w:rPr>
          <w:rFonts w:cs="Times New Roman"/>
          <w:lang w:val="en-US"/>
        </w:rPr>
        <w:t>)</w:t>
      </w:r>
      <w:r w:rsidRPr="00730114">
        <w:rPr>
          <w:rFonts w:cs="Times New Roman"/>
          <w:lang w:val="en-US"/>
        </w:rPr>
        <w:t xml:space="preserve"> and repurified with</w:t>
      </w:r>
      <w:r>
        <w:rPr>
          <w:rFonts w:cs="Times New Roman"/>
          <w:lang w:val="en-US"/>
        </w:rPr>
        <w:t xml:space="preserve"> </w:t>
      </w:r>
      <w:proofErr w:type="spellStart"/>
      <w:r w:rsidRPr="00730114">
        <w:rPr>
          <w:rFonts w:cs="Times New Roman"/>
          <w:lang w:val="en-US"/>
        </w:rPr>
        <w:t>SPRIselect</w:t>
      </w:r>
      <w:proofErr w:type="spellEnd"/>
      <w:r w:rsidRPr="00730114">
        <w:rPr>
          <w:rFonts w:cs="Times New Roman"/>
          <w:lang w:val="en-US"/>
        </w:rPr>
        <w:t xml:space="preserve"> beads to generate the final libraries. The</w:t>
      </w:r>
      <w:r>
        <w:rPr>
          <w:rFonts w:cs="Times New Roman"/>
          <w:lang w:val="en-US"/>
        </w:rPr>
        <w:t xml:space="preserve"> </w:t>
      </w:r>
      <w:r w:rsidRPr="00730114">
        <w:rPr>
          <w:rFonts w:cs="Times New Roman"/>
          <w:lang w:val="en-US"/>
        </w:rPr>
        <w:t>quantity and quality of sequencing libraries were</w:t>
      </w:r>
      <w:r>
        <w:rPr>
          <w:rFonts w:cs="Times New Roman"/>
          <w:lang w:val="en-US"/>
        </w:rPr>
        <w:t xml:space="preserve"> </w:t>
      </w:r>
      <w:r w:rsidRPr="00730114">
        <w:rPr>
          <w:rFonts w:cs="Times New Roman"/>
          <w:lang w:val="en-US"/>
        </w:rPr>
        <w:t xml:space="preserve">checked using Agilent DNA 1000 Screen Tape </w:t>
      </w:r>
      <w:r>
        <w:rPr>
          <w:rFonts w:cs="Times New Roman"/>
          <w:lang w:val="en-US"/>
        </w:rPr>
        <w:t>(</w:t>
      </w:r>
      <w:r w:rsidRPr="00730114">
        <w:rPr>
          <w:rFonts w:cs="Times New Roman"/>
          <w:lang w:val="en-US"/>
        </w:rPr>
        <w:t xml:space="preserve">Agilent </w:t>
      </w:r>
      <w:proofErr w:type="spellStart"/>
      <w:r w:rsidRPr="00730114">
        <w:rPr>
          <w:rFonts w:cs="Times New Roman"/>
          <w:lang w:val="en-US"/>
        </w:rPr>
        <w:t>TapeStation</w:t>
      </w:r>
      <w:proofErr w:type="spellEnd"/>
      <w:r>
        <w:rPr>
          <w:rFonts w:cs="Times New Roman"/>
          <w:lang w:val="en-US"/>
        </w:rPr>
        <w:t>)</w:t>
      </w:r>
      <w:r w:rsidRPr="00730114">
        <w:rPr>
          <w:rFonts w:cs="Times New Roman"/>
          <w:lang w:val="en-US"/>
        </w:rPr>
        <w:t>. Single-read sequencing was</w:t>
      </w:r>
      <w:r>
        <w:rPr>
          <w:rFonts w:cs="Times New Roman"/>
          <w:lang w:val="en-US"/>
        </w:rPr>
        <w:t xml:space="preserve"> </w:t>
      </w:r>
      <w:r w:rsidRPr="00730114">
        <w:rPr>
          <w:rFonts w:cs="Times New Roman"/>
          <w:lang w:val="en-US"/>
        </w:rPr>
        <w:t xml:space="preserve">performed for 124 cycles with an Illumina </w:t>
      </w:r>
      <w:proofErr w:type="spellStart"/>
      <w:r w:rsidRPr="00730114">
        <w:rPr>
          <w:rFonts w:cs="Times New Roman"/>
          <w:lang w:val="en-US"/>
        </w:rPr>
        <w:t>NovaSeq</w:t>
      </w:r>
      <w:proofErr w:type="spellEnd"/>
      <w:r>
        <w:rPr>
          <w:rFonts w:cs="Times New Roman"/>
          <w:lang w:val="en-US"/>
        </w:rPr>
        <w:t xml:space="preserve"> </w:t>
      </w:r>
      <w:r w:rsidRPr="00730114">
        <w:rPr>
          <w:rFonts w:cs="Times New Roman"/>
          <w:lang w:val="en-US"/>
        </w:rPr>
        <w:t>6000 sequencer</w:t>
      </w:r>
      <w:r>
        <w:rPr>
          <w:rFonts w:cs="Times New Roman"/>
          <w:lang w:val="en-US"/>
        </w:rPr>
        <w:t xml:space="preserve">. </w:t>
      </w:r>
      <w:r w:rsidRPr="00DB228E">
        <w:rPr>
          <w:rFonts w:cs="Times New Roman"/>
          <w:lang w:val="en-US"/>
        </w:rPr>
        <w:t>BCL files were de-multiplexed and converted to</w:t>
      </w:r>
      <w:r>
        <w:rPr>
          <w:rFonts w:cs="Times New Roman"/>
          <w:lang w:val="en-US"/>
        </w:rPr>
        <w:t xml:space="preserve"> </w:t>
      </w:r>
      <w:r w:rsidRPr="00DB228E">
        <w:rPr>
          <w:rFonts w:cs="Times New Roman"/>
          <w:lang w:val="en-US"/>
        </w:rPr>
        <w:t>FASTQ files using bcl2fastq program (v2.20.0.422).</w:t>
      </w:r>
      <w:r>
        <w:rPr>
          <w:rFonts w:cs="Times New Roman"/>
          <w:lang w:val="en-US"/>
        </w:rPr>
        <w:t xml:space="preserve"> </w:t>
      </w:r>
      <w:r w:rsidRPr="00DB228E">
        <w:rPr>
          <w:rFonts w:cs="Times New Roman"/>
          <w:lang w:val="en-US"/>
        </w:rPr>
        <w:t>FASTQ files were trimmed for adapter sequences using</w:t>
      </w:r>
      <w:r>
        <w:rPr>
          <w:rFonts w:cs="Times New Roman"/>
          <w:lang w:val="en-US"/>
        </w:rPr>
        <w:t xml:space="preserve"> </w:t>
      </w:r>
      <w:proofErr w:type="spellStart"/>
      <w:r w:rsidRPr="00DB228E">
        <w:rPr>
          <w:rFonts w:cs="Times New Roman"/>
          <w:lang w:val="en-US"/>
        </w:rPr>
        <w:t>Cutadapt</w:t>
      </w:r>
      <w:proofErr w:type="spellEnd"/>
      <w:r w:rsidRPr="00DB228E">
        <w:rPr>
          <w:rFonts w:cs="Times New Roman"/>
          <w:lang w:val="en-US"/>
        </w:rPr>
        <w:t xml:space="preserve"> version v1.18 and aligned to human genome</w:t>
      </w:r>
      <w:r>
        <w:rPr>
          <w:rFonts w:cs="Times New Roman"/>
          <w:lang w:val="en-US"/>
        </w:rPr>
        <w:t xml:space="preserve"> </w:t>
      </w:r>
      <w:r w:rsidRPr="00DB228E">
        <w:rPr>
          <w:rFonts w:cs="Times New Roman"/>
          <w:lang w:val="en-US"/>
        </w:rPr>
        <w:t xml:space="preserve">hg19 </w:t>
      </w:r>
      <w:proofErr w:type="spellStart"/>
      <w:r w:rsidRPr="00DB228E">
        <w:rPr>
          <w:rFonts w:cs="Times New Roman"/>
          <w:lang w:val="en-US"/>
        </w:rPr>
        <w:t>Ensembl</w:t>
      </w:r>
      <w:proofErr w:type="spellEnd"/>
      <w:r w:rsidRPr="00DB228E">
        <w:rPr>
          <w:rFonts w:cs="Times New Roman"/>
          <w:lang w:val="en-US"/>
        </w:rPr>
        <w:t xml:space="preserve"> v82 using STAR software v2.4.0j</w:t>
      </w:r>
      <w:sdt>
        <w:sdtPr>
          <w:rPr>
            <w:rFonts w:cs="Times New Roman"/>
            <w:color w:val="000000"/>
            <w:vertAlign w:val="superscript"/>
            <w:lang w:val="en-US"/>
          </w:rPr>
          <w:tag w:val="MENDELEY_CITATION_v3_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"/>
          <w:id w:val="-57098223"/>
          <w:placeholder>
            <w:docPart w:val="3CBB60D726A041C48F8DD92B45814995"/>
          </w:placeholder>
        </w:sdtPr>
        <w:sdtEndPr/>
        <w:sdtContent>
          <w:r w:rsidR="00AC4C9A" w:rsidRPr="00AC4C9A">
            <w:rPr>
              <w:rFonts w:cs="Times New Roman"/>
              <w:color w:val="000000"/>
              <w:vertAlign w:val="superscript"/>
              <w:lang w:val="en-US"/>
            </w:rPr>
            <w:t>2</w:t>
          </w:r>
        </w:sdtContent>
      </w:sdt>
      <w:r>
        <w:rPr>
          <w:rFonts w:cs="Times New Roman"/>
          <w:lang w:val="en-US"/>
        </w:rPr>
        <w:t xml:space="preserve">, and </w:t>
      </w:r>
      <w:proofErr w:type="spellStart"/>
      <w:r w:rsidRPr="00DB228E">
        <w:rPr>
          <w:rFonts w:cs="Times New Roman"/>
          <w:lang w:val="en-US"/>
        </w:rPr>
        <w:t>featureCounts</w:t>
      </w:r>
      <w:proofErr w:type="spellEnd"/>
      <w:r w:rsidRPr="00DB228E">
        <w:rPr>
          <w:rFonts w:cs="Times New Roman"/>
          <w:lang w:val="en-US"/>
        </w:rPr>
        <w:t xml:space="preserve"> (v1.6.4)</w:t>
      </w:r>
      <w:sdt>
        <w:sdtPr>
          <w:rPr>
            <w:rFonts w:cs="Times New Roman"/>
            <w:color w:val="000000"/>
            <w:vertAlign w:val="superscript"/>
            <w:lang w:val="en-US"/>
          </w:rPr>
          <w:tag w:val="MENDELEY_CITATION_v3_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"/>
          <w:id w:val="1259401070"/>
          <w:placeholder>
            <w:docPart w:val="3CBB60D726A041C48F8DD92B45814995"/>
          </w:placeholder>
        </w:sdtPr>
        <w:sdtEndPr/>
        <w:sdtContent>
          <w:r w:rsidR="00AC4C9A" w:rsidRPr="00AC4C9A">
            <w:rPr>
              <w:rFonts w:cs="Times New Roman"/>
              <w:color w:val="000000"/>
              <w:vertAlign w:val="superscript"/>
              <w:lang w:val="en-US"/>
            </w:rPr>
            <w:t>3</w:t>
          </w:r>
        </w:sdtContent>
      </w:sdt>
      <w:r w:rsidRPr="005F1D18">
        <w:rPr>
          <w:rFonts w:cs="Times New Roman"/>
          <w:color w:val="000000"/>
          <w:lang w:val="en-US"/>
        </w:rPr>
        <w:t xml:space="preserve"> </w:t>
      </w:r>
      <w:r w:rsidRPr="00DB228E">
        <w:rPr>
          <w:rFonts w:cs="Times New Roman"/>
          <w:lang w:val="en-US"/>
        </w:rPr>
        <w:t>were used to create gene</w:t>
      </w:r>
      <w:r>
        <w:rPr>
          <w:rFonts w:cs="Times New Roman"/>
          <w:lang w:val="en-US"/>
        </w:rPr>
        <w:t xml:space="preserve"> </w:t>
      </w:r>
      <w:r w:rsidRPr="00DB228E">
        <w:rPr>
          <w:rFonts w:cs="Times New Roman"/>
          <w:lang w:val="en-US"/>
        </w:rPr>
        <w:t>counts from the samples for RNA analysis.</w:t>
      </w:r>
    </w:p>
    <w:sdt>
      <w:sdtPr>
        <w:rPr>
          <w:rFonts w:cs="Times New Roman"/>
          <w:color w:val="000000"/>
          <w:lang w:val="en-US"/>
        </w:rPr>
        <w:tag w:val="MENDELEY_BIBLIOGRAPHY"/>
        <w:id w:val="89523679"/>
        <w:placeholder>
          <w:docPart w:val="DefaultPlaceholder_-1854013440"/>
        </w:placeholder>
      </w:sdtPr>
      <w:sdtEndPr/>
      <w:sdtContent>
        <w:p w14:paraId="54B4469D" w14:textId="77777777" w:rsidR="007B3F2B" w:rsidRPr="007B3F2B" w:rsidRDefault="007B3F2B">
          <w:pPr>
            <w:autoSpaceDE w:val="0"/>
            <w:autoSpaceDN w:val="0"/>
            <w:ind w:hanging="640"/>
            <w:divId w:val="489250551"/>
            <w:rPr>
              <w:rFonts w:eastAsia="Times New Roman" w:cs="Times New Roman"/>
              <w:color w:val="000000"/>
              <w:kern w:val="0"/>
              <w:szCs w:val="24"/>
              <w14:ligatures w14:val="none"/>
            </w:rPr>
          </w:pPr>
          <w:r w:rsidRPr="007B3F2B">
            <w:rPr>
              <w:rFonts w:eastAsia="Times New Roman" w:cs="Times New Roman"/>
              <w:color w:val="000000"/>
              <w:lang w:val="en-US"/>
            </w:rPr>
            <w:t>1.</w:t>
          </w:r>
          <w:r w:rsidRPr="007B3F2B">
            <w:rPr>
              <w:rFonts w:eastAsia="Times New Roman" w:cs="Times New Roman"/>
              <w:color w:val="000000"/>
              <w:lang w:val="en-US"/>
            </w:rPr>
            <w:tab/>
          </w:r>
          <w:proofErr w:type="spellStart"/>
          <w:r w:rsidRPr="007B3F2B">
            <w:rPr>
              <w:rFonts w:eastAsia="Times New Roman" w:cs="Times New Roman"/>
              <w:color w:val="000000"/>
              <w:lang w:val="en-US"/>
            </w:rPr>
            <w:t>Tsitsipatis</w:t>
          </w:r>
          <w:proofErr w:type="spellEnd"/>
          <w:r w:rsidRPr="007B3F2B">
            <w:rPr>
              <w:rFonts w:eastAsia="Times New Roman" w:cs="Times New Roman"/>
              <w:color w:val="000000"/>
              <w:lang w:val="en-US"/>
            </w:rPr>
            <w:t xml:space="preserve">, D. </w:t>
          </w:r>
          <w:r w:rsidRPr="007B3F2B">
            <w:rPr>
              <w:rFonts w:eastAsia="Times New Roman" w:cs="Times New Roman"/>
              <w:i/>
              <w:iCs/>
              <w:color w:val="000000"/>
              <w:lang w:val="en-US"/>
            </w:rPr>
            <w:t>et al.</w:t>
          </w:r>
          <w:r w:rsidRPr="007B3F2B">
            <w:rPr>
              <w:rFonts w:eastAsia="Times New Roman" w:cs="Times New Roman"/>
              <w:color w:val="000000"/>
              <w:lang w:val="en-US"/>
            </w:rPr>
            <w:t xml:space="preserve"> </w:t>
          </w:r>
          <w:r w:rsidRPr="007B3F2B">
            <w:rPr>
              <w:rFonts w:eastAsia="Times New Roman" w:cs="Times New Roman"/>
              <w:i/>
              <w:iCs/>
              <w:color w:val="000000"/>
              <w:lang w:val="en-US"/>
            </w:rPr>
            <w:t xml:space="preserve">Transcriptomic Analysis of Human ALS Skeletal Muscle Reveals a Disease-Specific Pattern of Dysregulated </w:t>
          </w:r>
          <w:proofErr w:type="spellStart"/>
          <w:r w:rsidRPr="007B3F2B">
            <w:rPr>
              <w:rFonts w:eastAsia="Times New Roman" w:cs="Times New Roman"/>
              <w:i/>
              <w:iCs/>
              <w:color w:val="000000"/>
              <w:lang w:val="en-US"/>
            </w:rPr>
            <w:t>CircRNAs</w:t>
          </w:r>
          <w:proofErr w:type="spellEnd"/>
          <w:r w:rsidRPr="007B3F2B">
            <w:rPr>
              <w:rFonts w:eastAsia="Times New Roman" w:cs="Times New Roman"/>
              <w:color w:val="000000"/>
              <w:lang w:val="en-US"/>
            </w:rPr>
            <w:t xml:space="preserve">. </w:t>
          </w:r>
          <w:r w:rsidRPr="007B3F2B">
            <w:rPr>
              <w:rFonts w:eastAsia="Times New Roman" w:cs="Times New Roman"/>
              <w:i/>
              <w:iCs/>
              <w:color w:val="000000"/>
            </w:rPr>
            <w:t>AGING 2022</w:t>
          </w:r>
          <w:r w:rsidRPr="007B3F2B">
            <w:rPr>
              <w:rFonts w:eastAsia="Times New Roman" w:cs="Times New Roman"/>
              <w:color w:val="000000"/>
            </w:rPr>
            <w:t xml:space="preserve"> vol. 14 www.aging-us.comwww.aging-us.com (2022).</w:t>
          </w:r>
        </w:p>
        <w:p w14:paraId="2305D505" w14:textId="77777777" w:rsidR="007B3F2B" w:rsidRPr="007B3F2B" w:rsidRDefault="007B3F2B">
          <w:pPr>
            <w:autoSpaceDE w:val="0"/>
            <w:autoSpaceDN w:val="0"/>
            <w:ind w:hanging="640"/>
            <w:divId w:val="1362239449"/>
            <w:rPr>
              <w:rFonts w:eastAsia="Times New Roman" w:cs="Times New Roman"/>
              <w:color w:val="000000"/>
              <w:lang w:val="en-US"/>
            </w:rPr>
          </w:pPr>
          <w:r w:rsidRPr="007B3F2B">
            <w:rPr>
              <w:rFonts w:eastAsia="Times New Roman" w:cs="Times New Roman"/>
              <w:color w:val="000000"/>
            </w:rPr>
            <w:t>2.</w:t>
          </w:r>
          <w:r w:rsidRPr="007B3F2B">
            <w:rPr>
              <w:rFonts w:eastAsia="Times New Roman" w:cs="Times New Roman"/>
              <w:color w:val="000000"/>
            </w:rPr>
            <w:tab/>
          </w:r>
          <w:proofErr w:type="spellStart"/>
          <w:r w:rsidRPr="007B3F2B">
            <w:rPr>
              <w:rFonts w:eastAsia="Times New Roman" w:cs="Times New Roman"/>
              <w:color w:val="000000"/>
            </w:rPr>
            <w:t>Dobin</w:t>
          </w:r>
          <w:proofErr w:type="spellEnd"/>
          <w:r w:rsidRPr="007B3F2B">
            <w:rPr>
              <w:rFonts w:eastAsia="Times New Roman" w:cs="Times New Roman"/>
              <w:color w:val="000000"/>
            </w:rPr>
            <w:t xml:space="preserve">, A. </w:t>
          </w:r>
          <w:r w:rsidRPr="007B3F2B">
            <w:rPr>
              <w:rFonts w:eastAsia="Times New Roman" w:cs="Times New Roman"/>
              <w:i/>
              <w:iCs/>
              <w:color w:val="000000"/>
            </w:rPr>
            <w:t>et al.</w:t>
          </w:r>
          <w:r w:rsidRPr="007B3F2B">
            <w:rPr>
              <w:rFonts w:eastAsia="Times New Roman" w:cs="Times New Roman"/>
              <w:color w:val="000000"/>
            </w:rPr>
            <w:t xml:space="preserve"> </w:t>
          </w:r>
          <w:r w:rsidRPr="007B3F2B">
            <w:rPr>
              <w:rFonts w:eastAsia="Times New Roman" w:cs="Times New Roman"/>
              <w:color w:val="000000"/>
              <w:lang w:val="en-US"/>
            </w:rPr>
            <w:t xml:space="preserve">STAR: Ultrafast universal RNA-seq aligner. </w:t>
          </w:r>
          <w:r w:rsidRPr="007B3F2B">
            <w:rPr>
              <w:rFonts w:eastAsia="Times New Roman" w:cs="Times New Roman"/>
              <w:i/>
              <w:iCs/>
              <w:color w:val="000000"/>
              <w:lang w:val="en-US"/>
            </w:rPr>
            <w:t>Bioinformatics</w:t>
          </w:r>
          <w:r w:rsidRPr="007B3F2B">
            <w:rPr>
              <w:rFonts w:eastAsia="Times New Roman" w:cs="Times New Roman"/>
              <w:color w:val="000000"/>
              <w:lang w:val="en-US"/>
            </w:rPr>
            <w:t xml:space="preserve"> </w:t>
          </w:r>
          <w:r w:rsidRPr="007B3F2B">
            <w:rPr>
              <w:rFonts w:eastAsia="Times New Roman" w:cs="Times New Roman"/>
              <w:b/>
              <w:bCs/>
              <w:color w:val="000000"/>
              <w:lang w:val="en-US"/>
            </w:rPr>
            <w:t>29</w:t>
          </w:r>
          <w:r w:rsidRPr="007B3F2B">
            <w:rPr>
              <w:rFonts w:eastAsia="Times New Roman" w:cs="Times New Roman"/>
              <w:color w:val="000000"/>
              <w:lang w:val="en-US"/>
            </w:rPr>
            <w:t>, 15–21 (2013).</w:t>
          </w:r>
        </w:p>
        <w:p w14:paraId="31C9EE71" w14:textId="77777777" w:rsidR="007B3F2B" w:rsidRPr="007B3F2B" w:rsidRDefault="007B3F2B">
          <w:pPr>
            <w:autoSpaceDE w:val="0"/>
            <w:autoSpaceDN w:val="0"/>
            <w:ind w:hanging="640"/>
            <w:divId w:val="1347824377"/>
            <w:rPr>
              <w:rFonts w:eastAsia="Times New Roman" w:cs="Times New Roman"/>
              <w:color w:val="000000"/>
            </w:rPr>
          </w:pPr>
          <w:r w:rsidRPr="007B3F2B">
            <w:rPr>
              <w:rFonts w:eastAsia="Times New Roman" w:cs="Times New Roman"/>
              <w:color w:val="000000"/>
              <w:lang w:val="en-US"/>
            </w:rPr>
            <w:t>3.</w:t>
          </w:r>
          <w:r w:rsidRPr="007B3F2B">
            <w:rPr>
              <w:rFonts w:eastAsia="Times New Roman" w:cs="Times New Roman"/>
              <w:color w:val="000000"/>
              <w:lang w:val="en-US"/>
            </w:rPr>
            <w:tab/>
            <w:t xml:space="preserve">Liao, Y., Smyth, G. K. &amp; Shi, W. </w:t>
          </w:r>
          <w:proofErr w:type="spellStart"/>
          <w:r w:rsidRPr="007B3F2B">
            <w:rPr>
              <w:rFonts w:eastAsia="Times New Roman" w:cs="Times New Roman"/>
              <w:color w:val="000000"/>
              <w:lang w:val="en-US"/>
            </w:rPr>
            <w:t>FeatureCounts</w:t>
          </w:r>
          <w:proofErr w:type="spellEnd"/>
          <w:r w:rsidRPr="007B3F2B">
            <w:rPr>
              <w:rFonts w:eastAsia="Times New Roman" w:cs="Times New Roman"/>
              <w:color w:val="000000"/>
              <w:lang w:val="en-US"/>
            </w:rPr>
            <w:t xml:space="preserve">: An efficient general purpose program for assigning sequence reads to genomic features. </w:t>
          </w:r>
          <w:proofErr w:type="spellStart"/>
          <w:r w:rsidRPr="007B3F2B">
            <w:rPr>
              <w:rFonts w:eastAsia="Times New Roman" w:cs="Times New Roman"/>
              <w:i/>
              <w:iCs/>
              <w:color w:val="000000"/>
            </w:rPr>
            <w:t>Bioinformatics</w:t>
          </w:r>
          <w:proofErr w:type="spellEnd"/>
          <w:r w:rsidRPr="007B3F2B">
            <w:rPr>
              <w:rFonts w:eastAsia="Times New Roman" w:cs="Times New Roman"/>
              <w:color w:val="000000"/>
            </w:rPr>
            <w:t xml:space="preserve"> </w:t>
          </w:r>
          <w:r w:rsidRPr="007B3F2B">
            <w:rPr>
              <w:rFonts w:eastAsia="Times New Roman" w:cs="Times New Roman"/>
              <w:b/>
              <w:bCs/>
              <w:color w:val="000000"/>
            </w:rPr>
            <w:t>30</w:t>
          </w:r>
          <w:r w:rsidRPr="007B3F2B">
            <w:rPr>
              <w:rFonts w:eastAsia="Times New Roman" w:cs="Times New Roman"/>
              <w:color w:val="000000"/>
            </w:rPr>
            <w:t>, 923–930 (2014).</w:t>
          </w:r>
        </w:p>
        <w:p w14:paraId="418D342B" w14:textId="6C991C0F" w:rsidR="007B3F2B" w:rsidRDefault="00286BD4" w:rsidP="007B3F2B">
          <w:pPr>
            <w:spacing w:after="0" w:line="360" w:lineRule="auto"/>
            <w:jc w:val="both"/>
            <w:rPr>
              <w:rFonts w:cs="Times New Roman"/>
              <w:lang w:val="en-US"/>
            </w:rPr>
          </w:pPr>
        </w:p>
      </w:sdtContent>
    </w:sdt>
    <w:p w14:paraId="0FF164B4" w14:textId="46BEC589" w:rsidR="00326F45" w:rsidRPr="00E5479A" w:rsidRDefault="00E5479A" w:rsidP="00326F45">
      <w:pPr>
        <w:rPr>
          <w:rFonts w:cs="Times New Roman"/>
          <w:u w:val="single"/>
          <w:lang w:val="en-US"/>
        </w:rPr>
      </w:pPr>
      <w:r w:rsidRPr="00E5479A">
        <w:rPr>
          <w:rFonts w:cs="Times New Roman"/>
          <w:u w:val="single"/>
          <w:lang w:val="en-US"/>
        </w:rPr>
        <w:t>Supplementary Results</w:t>
      </w:r>
    </w:p>
    <w:p w14:paraId="7A9FDDB4" w14:textId="77777777" w:rsidR="00326F45" w:rsidRPr="00E5479A" w:rsidRDefault="00326F45" w:rsidP="00326F45">
      <w:pPr>
        <w:jc w:val="both"/>
        <w:rPr>
          <w:rFonts w:cs="Times New Roman"/>
          <w:lang w:val="en-US"/>
        </w:rPr>
      </w:pPr>
      <w:bookmarkStart w:id="0" w:name="OLE_LINK1"/>
      <w:r w:rsidRPr="00E5479A">
        <w:rPr>
          <w:rFonts w:cs="Times New Roman"/>
          <w:lang w:val="en-US"/>
        </w:rPr>
        <w:t xml:space="preserve">Protein marker phenotyping reveals muscle-type-specific ALS-induced remodeling of muscle protein metabolism, stress, metabolism and </w:t>
      </w:r>
      <w:proofErr w:type="spellStart"/>
      <w:r w:rsidRPr="00E5479A">
        <w:rPr>
          <w:rFonts w:cs="Times New Roman"/>
          <w:lang w:val="en-US"/>
        </w:rPr>
        <w:t>myogenicity</w:t>
      </w:r>
      <w:proofErr w:type="spellEnd"/>
    </w:p>
    <w:bookmarkEnd w:id="0"/>
    <w:p w14:paraId="6209401E" w14:textId="3A78A4D3" w:rsidR="00326F45" w:rsidRPr="00BE54A0" w:rsidRDefault="00326F45" w:rsidP="00690F7A">
      <w:pPr>
        <w:spacing w:line="360" w:lineRule="auto"/>
        <w:ind w:firstLine="708"/>
        <w:jc w:val="both"/>
        <w:rPr>
          <w:rFonts w:cs="Times New Roman"/>
          <w:lang w:val="en-US"/>
        </w:rPr>
      </w:pPr>
      <w:r>
        <w:rPr>
          <w:rFonts w:cs="Times New Roman"/>
          <w:lang w:val="en-US"/>
        </w:rPr>
        <w:t xml:space="preserve">We further confirmed muscle-type-specific degeneration in ALS on a molecular level by analyzing the protein expression levels of markers of metabolism, stress and </w:t>
      </w:r>
      <w:proofErr w:type="spellStart"/>
      <w:r>
        <w:rPr>
          <w:rFonts w:cs="Times New Roman"/>
          <w:lang w:val="en-US"/>
        </w:rPr>
        <w:t>myogenicity</w:t>
      </w:r>
      <w:proofErr w:type="spellEnd"/>
      <w:r>
        <w:rPr>
          <w:rFonts w:cs="Times New Roman"/>
          <w:lang w:val="en-US"/>
        </w:rPr>
        <w:t xml:space="preserve"> in the TA and SOL. Muscle mass is determined by the balance between muscle protein synthesis and muscle protein breakdown. </w:t>
      </w:r>
      <w:r w:rsidRPr="00BE54A0">
        <w:rPr>
          <w:rFonts w:cs="Times New Roman"/>
          <w:lang w:val="en-US"/>
        </w:rPr>
        <w:t xml:space="preserve">Markers of autophagy, an important catabolic pathway, </w:t>
      </w:r>
      <w:r w:rsidRPr="00BE54A0">
        <w:rPr>
          <w:rFonts w:cs="Times New Roman"/>
          <w:i/>
          <w:iCs/>
          <w:lang w:val="en-US"/>
        </w:rPr>
        <w:t>i.e.</w:t>
      </w:r>
      <w:r w:rsidRPr="00BE54A0">
        <w:rPr>
          <w:rFonts w:cs="Times New Roman"/>
          <w:lang w:val="en-US"/>
        </w:rPr>
        <w:t xml:space="preserve"> LC3b-I (+74%), LC3b-II (+76%), p62 (+61%) and ATG5-12 (+37%), were more highly expressed in the TA of ALS mice than in the TA of NTG mice (Suppl. Fig. 1A,B,D,E). In SOL, p62 expression was higher in ALS than in NTG (Suppl. Fig. 1D), whereas the expression of the other markers was not different between both conditions (Suppl. Fig. 1A,B,C,E). </w:t>
      </w:r>
      <w:r w:rsidR="00690474" w:rsidRPr="00BE54A0">
        <w:rPr>
          <w:rFonts w:cs="Times New Roman"/>
          <w:lang w:val="en-US"/>
        </w:rPr>
        <w:t>In addition to autophag</w:t>
      </w:r>
      <w:r w:rsidR="00B41D13" w:rsidRPr="00BE54A0">
        <w:rPr>
          <w:rFonts w:cs="Times New Roman"/>
          <w:lang w:val="en-US"/>
        </w:rPr>
        <w:t xml:space="preserve">ic markers, also the ubiquitin-proteasome system marker MuRF1 was </w:t>
      </w:r>
      <w:r w:rsidR="00343647" w:rsidRPr="00BE54A0">
        <w:rPr>
          <w:rFonts w:cs="Times New Roman"/>
          <w:lang w:val="en-US"/>
        </w:rPr>
        <w:t>more highly expressed</w:t>
      </w:r>
      <w:r w:rsidR="00B41D13" w:rsidRPr="00BE54A0">
        <w:rPr>
          <w:rFonts w:cs="Times New Roman"/>
          <w:lang w:val="en-US"/>
        </w:rPr>
        <w:t xml:space="preserve"> in</w:t>
      </w:r>
      <w:r w:rsidR="00343647" w:rsidRPr="00BE54A0">
        <w:rPr>
          <w:rFonts w:cs="Times New Roman"/>
          <w:lang w:val="en-US"/>
        </w:rPr>
        <w:t xml:space="preserve"> the TA and SOL of ALS mice compared to NTG</w:t>
      </w:r>
      <w:r w:rsidR="00690F7A" w:rsidRPr="00BE54A0">
        <w:rPr>
          <w:rFonts w:cs="Times New Roman"/>
          <w:lang w:val="en-US"/>
        </w:rPr>
        <w:t xml:space="preserve"> (Suppl. Fig. 2). </w:t>
      </w:r>
      <w:r w:rsidRPr="00BE54A0">
        <w:rPr>
          <w:rFonts w:cs="Times New Roman"/>
          <w:lang w:val="en-US"/>
        </w:rPr>
        <w:t xml:space="preserve">The Akt-mTOR pathway is important for the activation of muscle protein synthesis. In the TA, p-mTOR (+75%; p&lt;0.01; Suppl. Fig. </w:t>
      </w:r>
      <w:r w:rsidR="00412C73" w:rsidRPr="00BE54A0">
        <w:rPr>
          <w:rFonts w:cs="Times New Roman"/>
          <w:lang w:val="en-US"/>
        </w:rPr>
        <w:t>3</w:t>
      </w:r>
      <w:r w:rsidRPr="00BE54A0">
        <w:rPr>
          <w:rFonts w:cs="Times New Roman"/>
          <w:lang w:val="en-US"/>
        </w:rPr>
        <w:t xml:space="preserve">A), p-S6rp (+58%; p&lt;0.01; Suppl. Fig. </w:t>
      </w:r>
      <w:r w:rsidR="00412C73" w:rsidRPr="00BE54A0">
        <w:rPr>
          <w:rFonts w:cs="Times New Roman"/>
          <w:lang w:val="en-US"/>
        </w:rPr>
        <w:t>3</w:t>
      </w:r>
      <w:r w:rsidRPr="00BE54A0">
        <w:rPr>
          <w:rFonts w:cs="Times New Roman"/>
          <w:lang w:val="en-US"/>
        </w:rPr>
        <w:t xml:space="preserve">B) and p-4E-BP1 (+52%; p&lt;0.01; Suppl. Fig. </w:t>
      </w:r>
      <w:r w:rsidR="00412C73" w:rsidRPr="00BE54A0">
        <w:rPr>
          <w:rFonts w:cs="Times New Roman"/>
          <w:lang w:val="en-US"/>
        </w:rPr>
        <w:t>3</w:t>
      </w:r>
      <w:r w:rsidRPr="00BE54A0">
        <w:rPr>
          <w:rFonts w:cs="Times New Roman"/>
          <w:lang w:val="en-US"/>
        </w:rPr>
        <w:t xml:space="preserve">C) were more expressed in ALS than in NTG, whereas p-eEF2 was lower expressed in ALS (-71%; p&lt;0.01; Suppl. Fig. </w:t>
      </w:r>
      <w:r w:rsidR="00412C73" w:rsidRPr="00BE54A0">
        <w:rPr>
          <w:rFonts w:cs="Times New Roman"/>
          <w:lang w:val="en-US"/>
        </w:rPr>
        <w:t>3</w:t>
      </w:r>
      <w:r w:rsidRPr="00BE54A0">
        <w:rPr>
          <w:rFonts w:cs="Times New Roman"/>
          <w:lang w:val="en-US"/>
        </w:rPr>
        <w:t xml:space="preserve">D). Interestingly, despite being already higher expressed in the ALS TA at </w:t>
      </w:r>
      <w:r w:rsidRPr="00BE54A0">
        <w:rPr>
          <w:rFonts w:cs="Times New Roman"/>
          <w:lang w:val="en-US"/>
        </w:rPr>
        <w:lastRenderedPageBreak/>
        <w:t xml:space="preserve">age 1 (+55.6%) and 2 (+52.6%), the p-mTOR expression even further increased at age 3 </w:t>
      </w:r>
      <w:r w:rsidRPr="00BE54A0">
        <w:rPr>
          <w:rFonts w:cs="Times New Roman"/>
          <w:i/>
          <w:iCs/>
          <w:lang w:val="en-US"/>
        </w:rPr>
        <w:t>vs.</w:t>
      </w:r>
      <w:r w:rsidRPr="00BE54A0">
        <w:rPr>
          <w:rFonts w:cs="Times New Roman"/>
          <w:lang w:val="en-US"/>
        </w:rPr>
        <w:t xml:space="preserve"> NTGs (+104.6%; </w:t>
      </w:r>
      <w:proofErr w:type="spellStart"/>
      <w:r w:rsidRPr="00BE54A0">
        <w:rPr>
          <w:rFonts w:cs="Times New Roman"/>
          <w:lang w:val="en-US"/>
        </w:rPr>
        <w:t>p</w:t>
      </w:r>
      <w:r w:rsidRPr="00BE54A0">
        <w:rPr>
          <w:rFonts w:cs="Times New Roman"/>
          <w:vertAlign w:val="subscript"/>
          <w:lang w:val="en-US"/>
        </w:rPr>
        <w:t>interaction</w:t>
      </w:r>
      <w:proofErr w:type="spellEnd"/>
      <w:r w:rsidRPr="00BE54A0">
        <w:rPr>
          <w:rFonts w:cs="Times New Roman"/>
          <w:lang w:val="en-US"/>
        </w:rPr>
        <w:t xml:space="preserve">=0.0054). In the SOL, p-S6rp (+46%) was more expressed in ALS than in NTG but none of the other anabolic markers were differently expressed between both conditions (Suppl. Fig. </w:t>
      </w:r>
      <w:r w:rsidR="00412C73" w:rsidRPr="00BE54A0">
        <w:rPr>
          <w:rFonts w:cs="Times New Roman"/>
          <w:lang w:val="en-US"/>
        </w:rPr>
        <w:t>3</w:t>
      </w:r>
      <w:r w:rsidRPr="00BE54A0">
        <w:rPr>
          <w:rFonts w:cs="Times New Roman"/>
          <w:lang w:val="en-US"/>
        </w:rPr>
        <w:t>A,B,C,D). In line with previous evidence in muscle degenerative conditions</w:t>
      </w:r>
      <w:sdt>
        <w:sdtPr>
          <w:rPr>
            <w:rFonts w:cs="Times New Roman"/>
            <w:vertAlign w:val="superscript"/>
            <w:lang w:val="en-US"/>
          </w:rPr>
          <w:tag w:val="MENDELEY_CITATION_v3_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"/>
          <w:id w:val="-1013990759"/>
          <w:placeholder>
            <w:docPart w:val="1FAC69DAFEE14FAB972DA6C8A9724BBB"/>
          </w:placeholder>
        </w:sdtPr>
        <w:sdtEndPr/>
        <w:sdtContent>
          <w:r w:rsidRPr="00BE54A0">
            <w:rPr>
              <w:rFonts w:cs="Times New Roman"/>
              <w:vertAlign w:val="superscript"/>
              <w:lang w:val="en-US"/>
            </w:rPr>
            <w:t>25,26</w:t>
          </w:r>
        </w:sdtContent>
      </w:sdt>
      <w:r w:rsidRPr="00BE54A0">
        <w:rPr>
          <w:rFonts w:cs="Times New Roman"/>
          <w:lang w:val="en-US"/>
        </w:rPr>
        <w:t>, pathway activation might be an attempt to compensate for muscle wasting without resulting in actual muscle protein synthesis.</w:t>
      </w:r>
    </w:p>
    <w:p w14:paraId="17EDB750" w14:textId="3187060D" w:rsidR="00326F45" w:rsidRPr="00BE54A0" w:rsidRDefault="00326F45" w:rsidP="00326F45">
      <w:pPr>
        <w:spacing w:line="360" w:lineRule="auto"/>
        <w:ind w:firstLine="708"/>
        <w:jc w:val="both"/>
        <w:rPr>
          <w:rFonts w:cs="Times New Roman"/>
          <w:lang w:val="en-US"/>
        </w:rPr>
      </w:pPr>
      <w:r w:rsidRPr="00BE54A0">
        <w:rPr>
          <w:rFonts w:cs="Times New Roman"/>
          <w:lang w:val="en-US"/>
        </w:rPr>
        <w:t xml:space="preserve">Protein expression levels of some inflammatory and stress markers revealed higher expression of the macrophage marker F4/80 and the apoptotic markers caspase-3 and Bax in ALS compared to NTG in the TA and SOL (Suppl. Fig. </w:t>
      </w:r>
      <w:r w:rsidR="00E7395F" w:rsidRPr="00BE54A0">
        <w:rPr>
          <w:rFonts w:cs="Times New Roman"/>
          <w:lang w:val="en-US"/>
        </w:rPr>
        <w:t>4</w:t>
      </w:r>
      <w:r w:rsidRPr="00BE54A0">
        <w:rPr>
          <w:rFonts w:cs="Times New Roman"/>
          <w:lang w:val="en-US"/>
        </w:rPr>
        <w:t xml:space="preserve">A,B,C). For these markers, differences were more pronounced in the TA (+79% on average) than in the SOL (+41% on average; p=0.04). Unexpectedly, </w:t>
      </w:r>
      <w:proofErr w:type="spellStart"/>
      <w:r w:rsidRPr="00BE54A0">
        <w:rPr>
          <w:rFonts w:cs="Times New Roman"/>
          <w:lang w:val="en-US"/>
        </w:rPr>
        <w:t>BiP</w:t>
      </w:r>
      <w:proofErr w:type="spellEnd"/>
      <w:r w:rsidRPr="00BE54A0">
        <w:rPr>
          <w:rFonts w:cs="Times New Roman"/>
          <w:lang w:val="en-US"/>
        </w:rPr>
        <w:t xml:space="preserve"> expression,</w:t>
      </w:r>
      <w:r w:rsidRPr="00BE54A0">
        <w:rPr>
          <w:lang w:val="en-US"/>
        </w:rPr>
        <w:t xml:space="preserve"> which typically responds to </w:t>
      </w:r>
      <w:r w:rsidRPr="00BE54A0">
        <w:rPr>
          <w:rFonts w:cs="Times New Roman"/>
          <w:lang w:val="en-US"/>
        </w:rPr>
        <w:t xml:space="preserve">endoplasmic reticulum stress, was lower in ALS </w:t>
      </w:r>
      <w:r w:rsidRPr="00BE54A0">
        <w:rPr>
          <w:rFonts w:cs="Times New Roman"/>
          <w:i/>
          <w:iCs/>
          <w:lang w:val="en-US"/>
        </w:rPr>
        <w:t>vs.</w:t>
      </w:r>
      <w:r w:rsidRPr="00BE54A0">
        <w:rPr>
          <w:rFonts w:cs="Times New Roman"/>
          <w:lang w:val="en-US"/>
        </w:rPr>
        <w:t xml:space="preserve"> NTG in the TA (-48%; p&lt;0.01), and in the SOL, but only at the highest age (-45%; p&lt;0.01) (Suppl. Fig. </w:t>
      </w:r>
      <w:r w:rsidR="00E7395F" w:rsidRPr="00BE54A0">
        <w:rPr>
          <w:rFonts w:cs="Times New Roman"/>
          <w:lang w:val="en-US"/>
        </w:rPr>
        <w:t>4</w:t>
      </w:r>
      <w:r w:rsidRPr="00BE54A0">
        <w:rPr>
          <w:rFonts w:cs="Times New Roman"/>
          <w:lang w:val="en-US"/>
        </w:rPr>
        <w:t>D).</w:t>
      </w:r>
    </w:p>
    <w:p w14:paraId="159E2792" w14:textId="4511753A" w:rsidR="00326F45" w:rsidRPr="00BE54A0" w:rsidRDefault="00326F45" w:rsidP="00326F45">
      <w:pPr>
        <w:spacing w:line="360" w:lineRule="auto"/>
        <w:jc w:val="both"/>
        <w:rPr>
          <w:rFonts w:cs="Times New Roman"/>
          <w:lang w:val="en-US"/>
        </w:rPr>
      </w:pPr>
      <w:r w:rsidRPr="00BE54A0">
        <w:rPr>
          <w:rFonts w:cs="Times New Roman"/>
          <w:lang w:val="en-US"/>
        </w:rPr>
        <w:tab/>
        <w:t xml:space="preserve">In the TA, ALS resulted in higher expression of promoters of fatty acid metabolism, </w:t>
      </w:r>
      <w:r w:rsidRPr="00BE54A0">
        <w:rPr>
          <w:rFonts w:cs="Times New Roman"/>
          <w:i/>
          <w:iCs/>
          <w:lang w:val="en-US"/>
        </w:rPr>
        <w:t>i.e.</w:t>
      </w:r>
      <w:r w:rsidRPr="00BE54A0">
        <w:rPr>
          <w:rFonts w:cs="Times New Roman"/>
          <w:lang w:val="en-US"/>
        </w:rPr>
        <w:t xml:space="preserve"> p-ACC (+35%; p&lt;0.01; Suppl. Fig. </w:t>
      </w:r>
      <w:r w:rsidR="00E7395F" w:rsidRPr="00BE54A0">
        <w:rPr>
          <w:rFonts w:cs="Times New Roman"/>
          <w:lang w:val="en-US"/>
        </w:rPr>
        <w:t>5</w:t>
      </w:r>
      <w:r w:rsidRPr="00BE54A0">
        <w:rPr>
          <w:rFonts w:cs="Times New Roman"/>
          <w:lang w:val="en-US"/>
        </w:rPr>
        <w:t xml:space="preserve">A), fatty acid synthase (+101%;p&lt;0.01; Suppl. Fig. </w:t>
      </w:r>
      <w:r w:rsidR="00E7395F" w:rsidRPr="00BE54A0">
        <w:rPr>
          <w:rFonts w:cs="Times New Roman"/>
          <w:lang w:val="en-US"/>
        </w:rPr>
        <w:t>5</w:t>
      </w:r>
      <w:r w:rsidRPr="00BE54A0">
        <w:rPr>
          <w:rFonts w:cs="Times New Roman"/>
          <w:lang w:val="en-US"/>
        </w:rPr>
        <w:t xml:space="preserve">B) and PGC1α (+27%; p&lt;0.01; Suppl. Fig. </w:t>
      </w:r>
      <w:r w:rsidR="00E7395F" w:rsidRPr="00BE54A0">
        <w:rPr>
          <w:rFonts w:cs="Times New Roman"/>
          <w:lang w:val="en-US"/>
        </w:rPr>
        <w:t>5</w:t>
      </w:r>
      <w:r w:rsidRPr="00BE54A0">
        <w:rPr>
          <w:rFonts w:cs="Times New Roman"/>
          <w:lang w:val="en-US"/>
        </w:rPr>
        <w:t xml:space="preserve">C) </w:t>
      </w:r>
      <w:r w:rsidRPr="00BE54A0">
        <w:rPr>
          <w:rFonts w:cs="Times New Roman"/>
          <w:i/>
          <w:iCs/>
          <w:lang w:val="en-US"/>
        </w:rPr>
        <w:t>vs.</w:t>
      </w:r>
      <w:r w:rsidRPr="00BE54A0">
        <w:rPr>
          <w:rFonts w:cs="Times New Roman"/>
          <w:lang w:val="en-US"/>
        </w:rPr>
        <w:t xml:space="preserve"> NTG mice. In the SOL, p-ACC and fatty acid synthase were not different between conditions, but PGC1α was lower expressed in ALS (-29%; p&lt;0.01) (Suppl. Fig. </w:t>
      </w:r>
      <w:r w:rsidR="00E7395F" w:rsidRPr="00BE54A0">
        <w:rPr>
          <w:rFonts w:cs="Times New Roman"/>
          <w:lang w:val="en-US"/>
        </w:rPr>
        <w:t>5</w:t>
      </w:r>
      <w:r w:rsidRPr="00BE54A0">
        <w:rPr>
          <w:rFonts w:cs="Times New Roman"/>
          <w:lang w:val="en-US"/>
        </w:rPr>
        <w:t>A,B,C).</w:t>
      </w:r>
    </w:p>
    <w:p w14:paraId="6F60C5A8" w14:textId="26EFA86A" w:rsidR="00326F45" w:rsidRPr="00BE54A0" w:rsidRDefault="00326F45" w:rsidP="00326F45">
      <w:pPr>
        <w:spacing w:line="360" w:lineRule="auto"/>
        <w:jc w:val="both"/>
        <w:rPr>
          <w:rFonts w:cs="Times New Roman"/>
          <w:lang w:val="en-US"/>
        </w:rPr>
      </w:pPr>
      <w:r w:rsidRPr="00BE54A0">
        <w:rPr>
          <w:rFonts w:cs="Times New Roman"/>
          <w:lang w:val="en-US"/>
        </w:rPr>
        <w:tab/>
        <w:t xml:space="preserve">Finally, myogenic regulators were also differentially affected by ALS in the TA and SOL. In TA, ALS exhibited a lower expression of Myf5 (-159%; p&lt;0.01; Suppl. Fig. </w:t>
      </w:r>
      <w:r w:rsidR="00E7395F" w:rsidRPr="00BE54A0">
        <w:rPr>
          <w:rFonts w:cs="Times New Roman"/>
          <w:lang w:val="en-US"/>
        </w:rPr>
        <w:t>6</w:t>
      </w:r>
      <w:r w:rsidRPr="00BE54A0">
        <w:rPr>
          <w:rFonts w:cs="Times New Roman"/>
          <w:lang w:val="en-US"/>
        </w:rPr>
        <w:t xml:space="preserve">B) and </w:t>
      </w:r>
      <w:proofErr w:type="spellStart"/>
      <w:r w:rsidRPr="00BE54A0">
        <w:rPr>
          <w:rFonts w:cs="Times New Roman"/>
          <w:lang w:val="en-US"/>
        </w:rPr>
        <w:t>eMyHC</w:t>
      </w:r>
      <w:proofErr w:type="spellEnd"/>
      <w:r w:rsidRPr="00BE54A0">
        <w:rPr>
          <w:rFonts w:cs="Times New Roman"/>
          <w:lang w:val="en-US"/>
        </w:rPr>
        <w:t xml:space="preserve"> (-138%; p&lt;0.01; Suppl. Fig. </w:t>
      </w:r>
      <w:r w:rsidR="00E7395F" w:rsidRPr="00BE54A0">
        <w:rPr>
          <w:rFonts w:cs="Times New Roman"/>
          <w:lang w:val="en-US"/>
        </w:rPr>
        <w:t>6</w:t>
      </w:r>
      <w:r w:rsidRPr="00BE54A0">
        <w:rPr>
          <w:rFonts w:cs="Times New Roman"/>
          <w:lang w:val="en-US"/>
        </w:rPr>
        <w:t xml:space="preserve">D) compared to NTG, whereas </w:t>
      </w:r>
      <w:proofErr w:type="spellStart"/>
      <w:r w:rsidRPr="00BE54A0">
        <w:rPr>
          <w:rFonts w:cs="Times New Roman"/>
          <w:lang w:val="en-US"/>
        </w:rPr>
        <w:t>myogenin</w:t>
      </w:r>
      <w:proofErr w:type="spellEnd"/>
      <w:r w:rsidRPr="00BE54A0">
        <w:rPr>
          <w:rFonts w:cs="Times New Roman"/>
          <w:lang w:val="en-US"/>
        </w:rPr>
        <w:t xml:space="preserve"> was more expressed (+61%; p&lt;0.01; Suppl. Fig. </w:t>
      </w:r>
      <w:r w:rsidR="00E7395F" w:rsidRPr="00BE54A0">
        <w:rPr>
          <w:rFonts w:cs="Times New Roman"/>
          <w:lang w:val="en-US"/>
        </w:rPr>
        <w:t>6</w:t>
      </w:r>
      <w:r w:rsidRPr="00BE54A0">
        <w:rPr>
          <w:rFonts w:cs="Times New Roman"/>
          <w:lang w:val="en-US"/>
        </w:rPr>
        <w:t xml:space="preserve">C) and Pax7 (Suppl. Fig. </w:t>
      </w:r>
      <w:r w:rsidR="00E7395F" w:rsidRPr="00BE54A0">
        <w:rPr>
          <w:rFonts w:cs="Times New Roman"/>
          <w:lang w:val="en-US"/>
        </w:rPr>
        <w:t>6</w:t>
      </w:r>
      <w:r w:rsidRPr="00BE54A0">
        <w:rPr>
          <w:rFonts w:cs="Times New Roman"/>
          <w:lang w:val="en-US"/>
        </w:rPr>
        <w:t xml:space="preserve">A) was not different between both conditions. In the SOL, a completely different myogenic expression pattern was observed, as Pax7 (-79%; p&lt;0.01; Suppl. Fig. </w:t>
      </w:r>
      <w:r w:rsidR="00E7395F" w:rsidRPr="00BE54A0">
        <w:rPr>
          <w:rFonts w:cs="Times New Roman"/>
          <w:lang w:val="en-US"/>
        </w:rPr>
        <w:t>6</w:t>
      </w:r>
      <w:r w:rsidRPr="00BE54A0">
        <w:rPr>
          <w:rFonts w:cs="Times New Roman"/>
          <w:lang w:val="en-US"/>
        </w:rPr>
        <w:t xml:space="preserve">A) was lower expressed and </w:t>
      </w:r>
      <w:proofErr w:type="spellStart"/>
      <w:r w:rsidRPr="00BE54A0">
        <w:rPr>
          <w:rFonts w:cs="Times New Roman"/>
          <w:lang w:val="en-US"/>
        </w:rPr>
        <w:t>myogenin</w:t>
      </w:r>
      <w:proofErr w:type="spellEnd"/>
      <w:r w:rsidRPr="00BE54A0">
        <w:rPr>
          <w:rFonts w:cs="Times New Roman"/>
          <w:lang w:val="en-US"/>
        </w:rPr>
        <w:t xml:space="preserve"> (-36%; p=0.07; Suppl. Fig. </w:t>
      </w:r>
      <w:r w:rsidR="00E7395F" w:rsidRPr="00BE54A0">
        <w:rPr>
          <w:rFonts w:cs="Times New Roman"/>
          <w:lang w:val="en-US"/>
        </w:rPr>
        <w:t>6</w:t>
      </w:r>
      <w:r w:rsidRPr="00BE54A0">
        <w:rPr>
          <w:rFonts w:cs="Times New Roman"/>
          <w:lang w:val="en-US"/>
        </w:rPr>
        <w:t xml:space="preserve">C) tended to be lower expressed in ALS </w:t>
      </w:r>
      <w:r w:rsidRPr="00BE54A0">
        <w:rPr>
          <w:rFonts w:cs="Times New Roman"/>
          <w:i/>
          <w:iCs/>
          <w:lang w:val="en-US"/>
        </w:rPr>
        <w:t>vs.</w:t>
      </w:r>
      <w:r w:rsidRPr="00BE54A0">
        <w:rPr>
          <w:rFonts w:cs="Times New Roman"/>
          <w:lang w:val="en-US"/>
        </w:rPr>
        <w:t xml:space="preserve"> NTG. Myf5 (Suppl. Fig. </w:t>
      </w:r>
      <w:r w:rsidR="00E7395F" w:rsidRPr="00BE54A0">
        <w:rPr>
          <w:rFonts w:cs="Times New Roman"/>
          <w:lang w:val="en-US"/>
        </w:rPr>
        <w:t>6</w:t>
      </w:r>
      <w:r w:rsidRPr="00BE54A0">
        <w:rPr>
          <w:rFonts w:cs="Times New Roman"/>
          <w:lang w:val="en-US"/>
        </w:rPr>
        <w:t xml:space="preserve">B) and </w:t>
      </w:r>
      <w:proofErr w:type="spellStart"/>
      <w:r w:rsidRPr="00BE54A0">
        <w:rPr>
          <w:rFonts w:cs="Times New Roman"/>
          <w:lang w:val="en-US"/>
        </w:rPr>
        <w:t>eMyHC</w:t>
      </w:r>
      <w:proofErr w:type="spellEnd"/>
      <w:r w:rsidRPr="00BE54A0">
        <w:rPr>
          <w:rFonts w:cs="Times New Roman"/>
          <w:lang w:val="en-US"/>
        </w:rPr>
        <w:t xml:space="preserve"> (Suppl. Fig. </w:t>
      </w:r>
      <w:r w:rsidR="00E7395F" w:rsidRPr="00BE54A0">
        <w:rPr>
          <w:rFonts w:cs="Times New Roman"/>
          <w:lang w:val="en-US"/>
        </w:rPr>
        <w:t>6</w:t>
      </w:r>
      <w:r w:rsidRPr="00BE54A0">
        <w:rPr>
          <w:rFonts w:cs="Times New Roman"/>
          <w:lang w:val="en-US"/>
        </w:rPr>
        <w:t xml:space="preserve">D) were not different between both conditions. </w:t>
      </w:r>
    </w:p>
    <w:p w14:paraId="6E8BB205" w14:textId="77777777" w:rsidR="00326F45" w:rsidRPr="00BE54A0" w:rsidRDefault="00326F45" w:rsidP="00326F45">
      <w:pPr>
        <w:spacing w:line="360" w:lineRule="auto"/>
        <w:jc w:val="both"/>
        <w:rPr>
          <w:rFonts w:cs="Times New Roman"/>
          <w:lang w:val="en-US"/>
        </w:rPr>
      </w:pPr>
      <w:r w:rsidRPr="00BE54A0">
        <w:rPr>
          <w:rFonts w:cs="Times New Roman"/>
          <w:lang w:val="en-US"/>
        </w:rPr>
        <w:tab/>
        <w:t>Together, key regulators of muscle health, including metabolic, myogenic and stress systems, were affected by ALS, and in parallel with muscle mass changes, the protein marker profile was more affected in the TA compared to the SOL.</w:t>
      </w:r>
    </w:p>
    <w:p w14:paraId="329AE069" w14:textId="77777777" w:rsidR="00326F45" w:rsidRPr="00326F45" w:rsidRDefault="00326F45" w:rsidP="00326F45">
      <w:pPr>
        <w:rPr>
          <w:rFonts w:cs="Times New Roman"/>
          <w:lang w:val="en-US"/>
        </w:rPr>
      </w:pPr>
    </w:p>
    <w:p w14:paraId="08578C08" w14:textId="77777777" w:rsidR="00482037" w:rsidRDefault="00482037" w:rsidP="00482037">
      <w:r>
        <w:rPr>
          <w:noProof/>
        </w:rPr>
        <w:lastRenderedPageBreak/>
        <w:drawing>
          <wp:inline distT="0" distB="0" distL="0" distR="0" wp14:anchorId="244DA54A" wp14:editId="51CAD73B">
            <wp:extent cx="4747504" cy="7734300"/>
            <wp:effectExtent l="19050" t="19050" r="15240" b="19050"/>
            <wp:docPr id="522301150" name="Picture 1"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01150" name="Picture 1" descr="A graph of a number of different colored bar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50317" cy="7738883"/>
                    </a:xfrm>
                    <a:prstGeom prst="rect">
                      <a:avLst/>
                    </a:prstGeom>
                    <a:ln>
                      <a:solidFill>
                        <a:schemeClr val="tx1"/>
                      </a:solidFill>
                    </a:ln>
                  </pic:spPr>
                </pic:pic>
              </a:graphicData>
            </a:graphic>
          </wp:inline>
        </w:drawing>
      </w:r>
    </w:p>
    <w:p w14:paraId="0950399B" w14:textId="26106C54" w:rsidR="004E7E22" w:rsidRPr="00BE54A0" w:rsidRDefault="00482037" w:rsidP="00482037">
      <w:pPr>
        <w:jc w:val="both"/>
        <w:rPr>
          <w:rFonts w:cs="Times New Roman"/>
          <w:i/>
          <w:iCs/>
          <w:lang w:val="en-US"/>
        </w:rPr>
      </w:pPr>
      <w:r w:rsidRPr="00A659B6">
        <w:rPr>
          <w:rFonts w:cs="Times New Roman"/>
          <w:b/>
          <w:bCs/>
          <w:i/>
          <w:iCs/>
          <w:lang w:val="en-US"/>
        </w:rPr>
        <w:t>Supplementary</w:t>
      </w:r>
      <w:r w:rsidRPr="00A659B6">
        <w:rPr>
          <w:rFonts w:cs="Times New Roman"/>
          <w:i/>
          <w:iCs/>
          <w:lang w:val="en-US"/>
        </w:rPr>
        <w:t xml:space="preserve"> </w:t>
      </w:r>
      <w:r w:rsidRPr="00A659B6">
        <w:rPr>
          <w:rFonts w:cs="Times New Roman"/>
          <w:b/>
          <w:bCs/>
          <w:i/>
          <w:iCs/>
          <w:lang w:val="en-US"/>
        </w:rPr>
        <w:t>figure 1</w:t>
      </w:r>
      <w:r w:rsidRPr="00A659B6">
        <w:rPr>
          <w:rFonts w:cs="Times New Roman"/>
          <w:i/>
          <w:iCs/>
          <w:lang w:val="en-US"/>
        </w:rPr>
        <w:t xml:space="preserve">. The effect of hSOD1 </w:t>
      </w:r>
      <w:r w:rsidRPr="00BE54A0">
        <w:rPr>
          <w:rFonts w:cs="Times New Roman"/>
          <w:i/>
          <w:iCs/>
          <w:lang w:val="en-US"/>
        </w:rPr>
        <w:t xml:space="preserve">genotype and </w:t>
      </w:r>
      <w:r w:rsidR="00FE74BA" w:rsidRPr="00BE54A0">
        <w:rPr>
          <w:rFonts w:cs="Times New Roman"/>
          <w:i/>
          <w:iCs/>
          <w:lang w:val="en-US"/>
        </w:rPr>
        <w:t>age</w:t>
      </w:r>
      <w:r w:rsidRPr="00BE54A0">
        <w:rPr>
          <w:rFonts w:cs="Times New Roman"/>
          <w:i/>
          <w:iCs/>
          <w:lang w:val="en-US"/>
        </w:rPr>
        <w:t xml:space="preserve"> on autophagy markers in the tibialis anterior (TA) and soleus muscle (SOL). Autophagy markers include microtubule-associated proteins 1A/1B light chain 3B (cytosolic LC3b-I &amp; </w:t>
      </w:r>
      <w:proofErr w:type="spellStart"/>
      <w:r w:rsidRPr="00BE54A0">
        <w:rPr>
          <w:rFonts w:cs="Times New Roman"/>
          <w:i/>
          <w:iCs/>
          <w:lang w:val="en-US"/>
        </w:rPr>
        <w:t>autophagosomal</w:t>
      </w:r>
      <w:proofErr w:type="spellEnd"/>
      <w:r w:rsidRPr="00BE54A0">
        <w:rPr>
          <w:rFonts w:cs="Times New Roman"/>
          <w:i/>
          <w:iCs/>
          <w:lang w:val="en-US"/>
        </w:rPr>
        <w:t xml:space="preserve"> LC3b-II; panel A,B,C), p62 (panel D) and Autophagy related 5-12 (ATG5-12; panel E). The individual (dots and triangles) and average (bar) values of non-transgenic control mice (NTG; dots) and hSOD1-transgene mice (ALS; triangles) are </w:t>
      </w:r>
      <w:r w:rsidRPr="00BE54A0">
        <w:rPr>
          <w:rFonts w:cs="Times New Roman"/>
          <w:i/>
          <w:iCs/>
          <w:lang w:val="en-US"/>
        </w:rPr>
        <w:lastRenderedPageBreak/>
        <w:t>presented. Age 1, 2 and 3 refer to an age of 92 days, 113 days and 138 days, respectively. P values of two-way analysis of variance, and Bonferroni-corrected post-hoc analyses are presented</w:t>
      </w:r>
      <w:r w:rsidR="00963D79" w:rsidRPr="00BE54A0">
        <w:rPr>
          <w:rFonts w:cs="Times New Roman"/>
          <w:i/>
          <w:iCs/>
          <w:lang w:val="en-US"/>
        </w:rPr>
        <w:t xml:space="preserve"> </w:t>
      </w:r>
      <w:r w:rsidR="00406FDD" w:rsidRPr="00BE54A0">
        <w:rPr>
          <w:i/>
          <w:iCs/>
          <w:lang w:val="en-US"/>
        </w:rPr>
        <w:t>(n=7-8/group)</w:t>
      </w:r>
      <w:r w:rsidRPr="00BE54A0">
        <w:rPr>
          <w:rFonts w:cs="Times New Roman"/>
          <w:i/>
          <w:iCs/>
          <w:lang w:val="en-US"/>
        </w:rPr>
        <w:t>.</w:t>
      </w:r>
    </w:p>
    <w:p w14:paraId="5621BAEE" w14:textId="77777777" w:rsidR="00293608" w:rsidRDefault="00293608" w:rsidP="00293608">
      <w:pPr>
        <w:jc w:val="both"/>
      </w:pPr>
      <w:r>
        <w:rPr>
          <w:noProof/>
        </w:rPr>
        <w:drawing>
          <wp:inline distT="0" distB="0" distL="0" distR="0" wp14:anchorId="7F33D614" wp14:editId="02A8A844">
            <wp:extent cx="5760720" cy="5845810"/>
            <wp:effectExtent l="19050" t="19050" r="11430" b="21590"/>
            <wp:docPr id="1163196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96032" name="Picture 11631960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845810"/>
                    </a:xfrm>
                    <a:prstGeom prst="rect">
                      <a:avLst/>
                    </a:prstGeom>
                    <a:ln>
                      <a:solidFill>
                        <a:schemeClr val="tx1"/>
                      </a:solidFill>
                    </a:ln>
                  </pic:spPr>
                </pic:pic>
              </a:graphicData>
            </a:graphic>
          </wp:inline>
        </w:drawing>
      </w:r>
    </w:p>
    <w:p w14:paraId="14BAE71E" w14:textId="08AC76AA" w:rsidR="00A015BA" w:rsidRPr="00BE54A0" w:rsidRDefault="00293608" w:rsidP="00A015BA">
      <w:pPr>
        <w:jc w:val="both"/>
        <w:rPr>
          <w:rFonts w:cs="Times New Roman"/>
          <w:i/>
          <w:iCs/>
          <w:lang w:val="en-US"/>
        </w:rPr>
      </w:pPr>
      <w:r w:rsidRPr="00BE54A0">
        <w:rPr>
          <w:rFonts w:cs="Times New Roman"/>
          <w:b/>
          <w:bCs/>
          <w:i/>
          <w:iCs/>
          <w:lang w:val="en-US"/>
        </w:rPr>
        <w:t>Supplementary</w:t>
      </w:r>
      <w:r w:rsidRPr="00BE54A0">
        <w:rPr>
          <w:rFonts w:cs="Times New Roman"/>
          <w:lang w:val="en-US"/>
        </w:rPr>
        <w:t xml:space="preserve"> </w:t>
      </w:r>
      <w:r w:rsidRPr="00BE54A0">
        <w:rPr>
          <w:rFonts w:cs="Times New Roman"/>
          <w:b/>
          <w:bCs/>
          <w:i/>
          <w:iCs/>
          <w:lang w:val="en-US"/>
        </w:rPr>
        <w:t>figure 2</w:t>
      </w:r>
      <w:r w:rsidRPr="00BE54A0">
        <w:rPr>
          <w:rFonts w:cs="Times New Roman"/>
          <w:i/>
          <w:iCs/>
          <w:lang w:val="en-US"/>
        </w:rPr>
        <w:t xml:space="preserve">. The effect of hSOD1 genotype and </w:t>
      </w:r>
      <w:r w:rsidR="00FE74BA" w:rsidRPr="00BE54A0">
        <w:rPr>
          <w:rFonts w:cs="Times New Roman"/>
          <w:i/>
          <w:iCs/>
          <w:lang w:val="en-US"/>
        </w:rPr>
        <w:t>age</w:t>
      </w:r>
      <w:r w:rsidRPr="00BE54A0">
        <w:rPr>
          <w:rFonts w:cs="Times New Roman"/>
          <w:i/>
          <w:iCs/>
          <w:lang w:val="en-US"/>
        </w:rPr>
        <w:t xml:space="preserve"> on the ubiquitin proteasome markers muscle RING-finger protein-1 (MuRF1) and </w:t>
      </w:r>
      <w:proofErr w:type="spellStart"/>
      <w:r w:rsidRPr="00BE54A0">
        <w:rPr>
          <w:rFonts w:cs="Times New Roman"/>
          <w:i/>
          <w:iCs/>
          <w:lang w:val="en-US"/>
        </w:rPr>
        <w:t>atrogin</w:t>
      </w:r>
      <w:proofErr w:type="spellEnd"/>
      <w:r w:rsidRPr="00BE54A0">
        <w:rPr>
          <w:rFonts w:cs="Times New Roman"/>
          <w:i/>
          <w:iCs/>
          <w:lang w:val="en-US"/>
        </w:rPr>
        <w:t xml:space="preserve"> 1 in the tibialis anterior (TA) and soleus muscle (SOL). The individual (dots and triangles) and average (bar) values of non-transgenic control mice (NTG; dots) and hSOD1-transgene mice (ALS; triangles) are presented. Age 1, 2 and 3 refer to an age of 92 days, 113 days and 138 days, respectively. P values of two-way analysis of variance</w:t>
      </w:r>
      <w:r w:rsidR="00406FDD" w:rsidRPr="00BE54A0">
        <w:rPr>
          <w:rFonts w:cs="Times New Roman"/>
          <w:i/>
          <w:iCs/>
          <w:lang w:val="en-US"/>
        </w:rPr>
        <w:t xml:space="preserve"> </w:t>
      </w:r>
      <w:r w:rsidR="00406FDD" w:rsidRPr="00BE54A0">
        <w:rPr>
          <w:i/>
          <w:iCs/>
          <w:lang w:val="en-US"/>
        </w:rPr>
        <w:t>(n=7-8/group)</w:t>
      </w:r>
      <w:r w:rsidR="00A015BA" w:rsidRPr="00BE54A0">
        <w:rPr>
          <w:rFonts w:cs="Times New Roman"/>
          <w:i/>
          <w:iCs/>
          <w:lang w:val="en-US"/>
        </w:rPr>
        <w:t>.</w:t>
      </w:r>
    </w:p>
    <w:p w14:paraId="4155B947" w14:textId="77777777" w:rsidR="004E7E22" w:rsidRDefault="004E7E22" w:rsidP="00482037">
      <w:pPr>
        <w:jc w:val="both"/>
        <w:rPr>
          <w:rFonts w:cs="Times New Roman"/>
          <w:i/>
          <w:iCs/>
          <w:lang w:val="en-US"/>
        </w:rPr>
      </w:pPr>
    </w:p>
    <w:p w14:paraId="4FA17074" w14:textId="77777777" w:rsidR="006D69CE" w:rsidRDefault="006D69CE" w:rsidP="006D69CE">
      <w:r>
        <w:rPr>
          <w:noProof/>
        </w:rPr>
        <w:lastRenderedPageBreak/>
        <w:drawing>
          <wp:inline distT="0" distB="0" distL="0" distR="0" wp14:anchorId="38358449" wp14:editId="7820BFDB">
            <wp:extent cx="3485872" cy="5300662"/>
            <wp:effectExtent l="19050" t="19050" r="19685" b="14605"/>
            <wp:docPr id="1820857287" name="Picture 2"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57287" name="Picture 2" descr="A graph of a number of number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02757" cy="5326337"/>
                    </a:xfrm>
                    <a:prstGeom prst="rect">
                      <a:avLst/>
                    </a:prstGeom>
                    <a:ln>
                      <a:solidFill>
                        <a:schemeClr val="tx1"/>
                      </a:solidFill>
                    </a:ln>
                  </pic:spPr>
                </pic:pic>
              </a:graphicData>
            </a:graphic>
          </wp:inline>
        </w:drawing>
      </w:r>
    </w:p>
    <w:p w14:paraId="7F63F185" w14:textId="612D6A68" w:rsidR="006D69CE" w:rsidRPr="00BE54A0" w:rsidRDefault="006D69CE" w:rsidP="006D69CE">
      <w:pPr>
        <w:jc w:val="both"/>
        <w:rPr>
          <w:rFonts w:cs="Times New Roman"/>
          <w:i/>
          <w:iCs/>
          <w:lang w:val="en-US"/>
        </w:rPr>
      </w:pPr>
      <w:r w:rsidRPr="00BE54A0">
        <w:rPr>
          <w:rFonts w:cs="Times New Roman"/>
          <w:b/>
          <w:bCs/>
          <w:i/>
          <w:iCs/>
          <w:lang w:val="en-US"/>
        </w:rPr>
        <w:t>Supplementary</w:t>
      </w:r>
      <w:r w:rsidRPr="00BE54A0">
        <w:rPr>
          <w:rFonts w:cs="Times New Roman"/>
          <w:i/>
          <w:iCs/>
          <w:lang w:val="en-US"/>
        </w:rPr>
        <w:t xml:space="preserve"> </w:t>
      </w:r>
      <w:r w:rsidRPr="00BE54A0">
        <w:rPr>
          <w:rFonts w:cs="Times New Roman"/>
          <w:b/>
          <w:bCs/>
          <w:i/>
          <w:iCs/>
          <w:lang w:val="en-US"/>
        </w:rPr>
        <w:t xml:space="preserve">figure </w:t>
      </w:r>
      <w:r w:rsidR="0083780A" w:rsidRPr="00BE54A0">
        <w:rPr>
          <w:rFonts w:cs="Times New Roman"/>
          <w:b/>
          <w:bCs/>
          <w:i/>
          <w:iCs/>
          <w:lang w:val="en-US"/>
        </w:rPr>
        <w:t>3</w:t>
      </w:r>
      <w:r w:rsidRPr="00BE54A0">
        <w:rPr>
          <w:rFonts w:cs="Times New Roman"/>
          <w:i/>
          <w:iCs/>
          <w:lang w:val="en-US"/>
        </w:rPr>
        <w:t xml:space="preserve">. The effect of hSOD1 genotype and </w:t>
      </w:r>
      <w:r w:rsidR="00FE74BA" w:rsidRPr="00BE54A0">
        <w:rPr>
          <w:rFonts w:cs="Times New Roman"/>
          <w:i/>
          <w:iCs/>
          <w:lang w:val="en-US"/>
        </w:rPr>
        <w:t>age</w:t>
      </w:r>
      <w:r w:rsidRPr="00BE54A0">
        <w:rPr>
          <w:rFonts w:cs="Times New Roman"/>
          <w:i/>
          <w:iCs/>
          <w:lang w:val="en-US"/>
        </w:rPr>
        <w:t xml:space="preserve"> on anabolic markers in the tibialis anterior (TA) and soleus muscle (SOL). Anabolic markers include phosphorylated mammalian target of rapamycin (p-mTOR; panel A), phosphorylated S6 ribosomal protein (p-S6rp; panel B), phosphorylated Eukaryotic translation initiation factor 4E-binding protein 1 (p-4E-BP1; panel C) and phosphorylated eukaryotic translation elongation factor 2 (p-eEF2; panel D). The individual (dots and triangles) and average (bar) values of non-transgenic control mice (NTG; dots) and hSOD1-transgene mice (ALS; triangles) are presented. Age 1, 2 and 3 refer to an age of 92 days, 113 days and 138 days, respectively. P values of two-way analysis of variance, and Bonferroni-corrected post-hoc analyses are presented</w:t>
      </w:r>
      <w:r w:rsidR="00406FDD" w:rsidRPr="00BE54A0">
        <w:rPr>
          <w:rFonts w:cs="Times New Roman"/>
          <w:i/>
          <w:iCs/>
          <w:lang w:val="en-US"/>
        </w:rPr>
        <w:t xml:space="preserve"> </w:t>
      </w:r>
      <w:r w:rsidR="00406FDD" w:rsidRPr="00BE54A0">
        <w:rPr>
          <w:i/>
          <w:iCs/>
          <w:lang w:val="en-US"/>
        </w:rPr>
        <w:t>(n=7-8/group)</w:t>
      </w:r>
      <w:r w:rsidRPr="00BE54A0">
        <w:rPr>
          <w:rFonts w:cs="Times New Roman"/>
          <w:i/>
          <w:iCs/>
          <w:lang w:val="en-US"/>
        </w:rPr>
        <w:t>.</w:t>
      </w:r>
    </w:p>
    <w:p w14:paraId="64E1FDB6" w14:textId="77777777" w:rsidR="0030740F" w:rsidRDefault="0030740F" w:rsidP="0030740F">
      <w:pPr>
        <w:jc w:val="both"/>
      </w:pPr>
      <w:r>
        <w:rPr>
          <w:noProof/>
        </w:rPr>
        <w:lastRenderedPageBreak/>
        <w:drawing>
          <wp:inline distT="0" distB="0" distL="0" distR="0" wp14:anchorId="3FE4B62A" wp14:editId="6E5C99FC">
            <wp:extent cx="3732568" cy="5348287"/>
            <wp:effectExtent l="19050" t="19050" r="20320" b="24130"/>
            <wp:docPr id="115995843" name="Picture 3" descr="A group of graphs showing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95843" name="Picture 3" descr="A group of graphs showing different number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39182" cy="5357765"/>
                    </a:xfrm>
                    <a:prstGeom prst="rect">
                      <a:avLst/>
                    </a:prstGeom>
                    <a:ln>
                      <a:solidFill>
                        <a:schemeClr val="tx1"/>
                      </a:solidFill>
                    </a:ln>
                  </pic:spPr>
                </pic:pic>
              </a:graphicData>
            </a:graphic>
          </wp:inline>
        </w:drawing>
      </w:r>
    </w:p>
    <w:p w14:paraId="4CCF1851" w14:textId="04E05075" w:rsidR="0030740F" w:rsidRPr="00BE54A0" w:rsidRDefault="0030740F" w:rsidP="0030740F">
      <w:pPr>
        <w:jc w:val="both"/>
        <w:rPr>
          <w:rFonts w:cs="Times New Roman"/>
          <w:i/>
          <w:iCs/>
          <w:lang w:val="en-US"/>
        </w:rPr>
      </w:pPr>
      <w:r w:rsidRPr="00BE54A0">
        <w:rPr>
          <w:rFonts w:cs="Times New Roman"/>
          <w:b/>
          <w:bCs/>
          <w:i/>
          <w:iCs/>
          <w:lang w:val="en-US"/>
        </w:rPr>
        <w:t>Supplementary</w:t>
      </w:r>
      <w:r w:rsidRPr="00BE54A0">
        <w:rPr>
          <w:rFonts w:cs="Times New Roman"/>
          <w:i/>
          <w:iCs/>
          <w:lang w:val="en-US"/>
        </w:rPr>
        <w:t xml:space="preserve"> </w:t>
      </w:r>
      <w:r w:rsidRPr="00BE54A0">
        <w:rPr>
          <w:rFonts w:cs="Times New Roman"/>
          <w:b/>
          <w:bCs/>
          <w:i/>
          <w:iCs/>
          <w:lang w:val="en-US"/>
        </w:rPr>
        <w:t xml:space="preserve">figure </w:t>
      </w:r>
      <w:r w:rsidR="0083780A" w:rsidRPr="00BE54A0">
        <w:rPr>
          <w:rFonts w:cs="Times New Roman"/>
          <w:b/>
          <w:bCs/>
          <w:i/>
          <w:iCs/>
          <w:lang w:val="en-US"/>
        </w:rPr>
        <w:t>4</w:t>
      </w:r>
      <w:r w:rsidRPr="00BE54A0">
        <w:rPr>
          <w:rFonts w:cs="Times New Roman"/>
          <w:i/>
          <w:iCs/>
          <w:lang w:val="en-US"/>
        </w:rPr>
        <w:t xml:space="preserve">. The effect of hSOD1 genotype and </w:t>
      </w:r>
      <w:r w:rsidR="00FE74BA" w:rsidRPr="00BE54A0">
        <w:rPr>
          <w:rFonts w:cs="Times New Roman"/>
          <w:i/>
          <w:iCs/>
          <w:lang w:val="en-US"/>
        </w:rPr>
        <w:t>age</w:t>
      </w:r>
      <w:r w:rsidRPr="00BE54A0">
        <w:rPr>
          <w:rFonts w:cs="Times New Roman"/>
          <w:i/>
          <w:iCs/>
          <w:lang w:val="en-US"/>
        </w:rPr>
        <w:t xml:space="preserve"> on inflammatory and stress markers in the tibialis anterior (TA) and soleus muscle (SOL). Inflammatory and stress markers include the macrophage marker F4/80 (panel A), the apoptotic markers caspase-3 (panel B) and Bax (panel C) and the </w:t>
      </w:r>
      <w:proofErr w:type="spellStart"/>
      <w:r w:rsidRPr="00BE54A0">
        <w:rPr>
          <w:rFonts w:cs="Times New Roman"/>
          <w:i/>
          <w:iCs/>
          <w:lang w:val="en-US"/>
        </w:rPr>
        <w:t>endoplasmatic</w:t>
      </w:r>
      <w:proofErr w:type="spellEnd"/>
      <w:r w:rsidRPr="00BE54A0">
        <w:rPr>
          <w:rFonts w:cs="Times New Roman"/>
          <w:i/>
          <w:iCs/>
          <w:lang w:val="en-US"/>
        </w:rPr>
        <w:t xml:space="preserve"> reticulum marker binding immunoglobulin protein (</w:t>
      </w:r>
      <w:proofErr w:type="spellStart"/>
      <w:r w:rsidRPr="00BE54A0">
        <w:rPr>
          <w:rFonts w:cs="Times New Roman"/>
          <w:i/>
          <w:iCs/>
          <w:lang w:val="en-US"/>
        </w:rPr>
        <w:t>BiP</w:t>
      </w:r>
      <w:proofErr w:type="spellEnd"/>
      <w:r w:rsidRPr="00BE54A0">
        <w:rPr>
          <w:rFonts w:cs="Times New Roman"/>
          <w:i/>
          <w:iCs/>
          <w:lang w:val="en-US"/>
        </w:rPr>
        <w:t>; panel D). The individual (dots and triangles) and average (bar) values of non-transgenic control mice (NTG; dots) and hSOD1-transgene mice (ALS; triangles) are presented. Age 1, 2 and 3 refer to an age of 92 days, 113 days and 138 days, respectively. P values of two-way analysis of variance, and Bonferroni-corrected post-hoc analyses are presented</w:t>
      </w:r>
      <w:r w:rsidR="00C654D5" w:rsidRPr="00BE54A0">
        <w:rPr>
          <w:rFonts w:cs="Times New Roman"/>
          <w:i/>
          <w:iCs/>
          <w:lang w:val="en-US"/>
        </w:rPr>
        <w:t xml:space="preserve"> </w:t>
      </w:r>
      <w:r w:rsidR="00C654D5" w:rsidRPr="00BE54A0">
        <w:rPr>
          <w:i/>
          <w:iCs/>
          <w:lang w:val="en-US"/>
        </w:rPr>
        <w:t xml:space="preserve">(n=7-8/group except for </w:t>
      </w:r>
      <w:r w:rsidR="00EA3A80" w:rsidRPr="00BE54A0">
        <w:rPr>
          <w:i/>
          <w:iCs/>
          <w:lang w:val="en-US"/>
        </w:rPr>
        <w:t>n=</w:t>
      </w:r>
      <w:r w:rsidR="00C51262">
        <w:rPr>
          <w:i/>
          <w:iCs/>
          <w:lang w:val="en-US"/>
        </w:rPr>
        <w:t>6</w:t>
      </w:r>
      <w:r w:rsidR="004A49C7" w:rsidRPr="00BE54A0">
        <w:rPr>
          <w:i/>
          <w:iCs/>
          <w:lang w:val="en-US"/>
        </w:rPr>
        <w:t xml:space="preserve"> for </w:t>
      </w:r>
      <w:proofErr w:type="spellStart"/>
      <w:r w:rsidR="00C654D5" w:rsidRPr="00BE54A0">
        <w:rPr>
          <w:i/>
          <w:iCs/>
          <w:lang w:val="en-US"/>
        </w:rPr>
        <w:t>BiP</w:t>
      </w:r>
      <w:proofErr w:type="spellEnd"/>
      <w:r w:rsidR="004A49C7" w:rsidRPr="00BE54A0">
        <w:rPr>
          <w:i/>
          <w:iCs/>
          <w:lang w:val="en-US"/>
        </w:rPr>
        <w:t xml:space="preserve"> </w:t>
      </w:r>
      <w:r w:rsidR="00A55D7B" w:rsidRPr="00BE54A0">
        <w:rPr>
          <w:i/>
          <w:iCs/>
          <w:lang w:val="en-US"/>
        </w:rPr>
        <w:t xml:space="preserve">of SOL </w:t>
      </w:r>
      <w:r w:rsidR="004A49C7" w:rsidRPr="00BE54A0">
        <w:rPr>
          <w:i/>
          <w:iCs/>
          <w:lang w:val="en-US"/>
        </w:rPr>
        <w:t>in ALS</w:t>
      </w:r>
      <w:r w:rsidR="00A55D7B" w:rsidRPr="00BE54A0">
        <w:rPr>
          <w:i/>
          <w:iCs/>
          <w:lang w:val="en-US"/>
        </w:rPr>
        <w:t xml:space="preserve"> age 2</w:t>
      </w:r>
      <w:r w:rsidR="000E35CA" w:rsidRPr="00BE54A0">
        <w:rPr>
          <w:i/>
          <w:iCs/>
          <w:lang w:val="en-US"/>
        </w:rPr>
        <w:t xml:space="preserve"> and 3</w:t>
      </w:r>
      <w:r w:rsidR="00C654D5" w:rsidRPr="00BE54A0">
        <w:rPr>
          <w:i/>
          <w:iCs/>
          <w:lang w:val="en-US"/>
        </w:rPr>
        <w:t>)</w:t>
      </w:r>
      <w:r w:rsidRPr="00BE54A0">
        <w:rPr>
          <w:rFonts w:cs="Times New Roman"/>
          <w:i/>
          <w:iCs/>
          <w:lang w:val="en-US"/>
        </w:rPr>
        <w:t>.</w:t>
      </w:r>
    </w:p>
    <w:p w14:paraId="0FA52EE2" w14:textId="77777777" w:rsidR="000E253F" w:rsidRDefault="000E253F" w:rsidP="000E253F">
      <w:r>
        <w:rPr>
          <w:noProof/>
        </w:rPr>
        <w:lastRenderedPageBreak/>
        <w:drawing>
          <wp:inline distT="0" distB="0" distL="0" distR="0" wp14:anchorId="714C352B" wp14:editId="13A0AF28">
            <wp:extent cx="3165043" cy="4705350"/>
            <wp:effectExtent l="19050" t="19050" r="16510" b="19050"/>
            <wp:docPr id="1733870595" name="Picture 4"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70595" name="Picture 4" descr="A graph of different sizes and color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75463" cy="4720841"/>
                    </a:xfrm>
                    <a:prstGeom prst="rect">
                      <a:avLst/>
                    </a:prstGeom>
                    <a:ln>
                      <a:solidFill>
                        <a:schemeClr val="tx1"/>
                      </a:solidFill>
                    </a:ln>
                  </pic:spPr>
                </pic:pic>
              </a:graphicData>
            </a:graphic>
          </wp:inline>
        </w:drawing>
      </w:r>
    </w:p>
    <w:p w14:paraId="4F04415C" w14:textId="65DAC054" w:rsidR="000E253F" w:rsidRPr="003F08D1" w:rsidRDefault="000E253F" w:rsidP="000E253F">
      <w:pPr>
        <w:jc w:val="both"/>
        <w:rPr>
          <w:rFonts w:cs="Times New Roman"/>
          <w:i/>
          <w:iCs/>
          <w:lang w:val="en-US"/>
        </w:rPr>
      </w:pPr>
      <w:r w:rsidRPr="003F08D1">
        <w:rPr>
          <w:rFonts w:cs="Times New Roman"/>
          <w:b/>
          <w:bCs/>
          <w:i/>
          <w:iCs/>
          <w:lang w:val="en-US"/>
        </w:rPr>
        <w:t>Supplementary</w:t>
      </w:r>
      <w:r w:rsidRPr="003F08D1">
        <w:rPr>
          <w:rFonts w:cs="Times New Roman"/>
          <w:i/>
          <w:iCs/>
          <w:lang w:val="en-US"/>
        </w:rPr>
        <w:t xml:space="preserve"> </w:t>
      </w:r>
      <w:r w:rsidRPr="003F08D1">
        <w:rPr>
          <w:rFonts w:cs="Times New Roman"/>
          <w:b/>
          <w:bCs/>
          <w:i/>
          <w:iCs/>
          <w:lang w:val="en-US"/>
        </w:rPr>
        <w:t xml:space="preserve">figure </w:t>
      </w:r>
      <w:r w:rsidR="0083780A" w:rsidRPr="003F08D1">
        <w:rPr>
          <w:rFonts w:cs="Times New Roman"/>
          <w:b/>
          <w:bCs/>
          <w:i/>
          <w:iCs/>
          <w:lang w:val="en-US"/>
        </w:rPr>
        <w:t>5</w:t>
      </w:r>
      <w:r w:rsidRPr="003F08D1">
        <w:rPr>
          <w:rFonts w:cs="Times New Roman"/>
          <w:i/>
          <w:iCs/>
          <w:lang w:val="en-US"/>
        </w:rPr>
        <w:t xml:space="preserve">. The effect of hSOD1 genotype and </w:t>
      </w:r>
      <w:r w:rsidR="00FE74BA" w:rsidRPr="003F08D1">
        <w:rPr>
          <w:rFonts w:cs="Times New Roman"/>
          <w:i/>
          <w:iCs/>
          <w:lang w:val="en-US"/>
        </w:rPr>
        <w:t>age</w:t>
      </w:r>
      <w:r w:rsidRPr="003F08D1">
        <w:rPr>
          <w:rFonts w:cs="Times New Roman"/>
          <w:i/>
          <w:iCs/>
          <w:lang w:val="en-US"/>
        </w:rPr>
        <w:t xml:space="preserve"> on metabolic markers in the tibialis anterior (TA) and soleus muscle (SOL). Metabolic markers include phosphorylated acetyl-CoA carboxylase (p-ACC; panel A), fatty acid synthase (panel B) and</w:t>
      </w:r>
      <w:r w:rsidRPr="003F08D1">
        <w:rPr>
          <w:i/>
          <w:iCs/>
          <w:lang w:val="en-US"/>
        </w:rPr>
        <w:t xml:space="preserve"> </w:t>
      </w:r>
      <w:r w:rsidRPr="003F08D1">
        <w:rPr>
          <w:rFonts w:cs="Times New Roman"/>
          <w:i/>
          <w:iCs/>
          <w:lang w:val="en-US"/>
        </w:rPr>
        <w:t>peroxisome proliferator-activated receptor-gamma coactivator 1α (PGC1α; panel C). The individual (dots and triangles) and average (bar) values of non-transgenic control mice (NTG; dots) and hSOD1-transgene mice (ALS; triangles) are presented. Age 1, 2 and 3 refer to an age of 92 days, 113 days and 138 days, respectively. P values of two-way analysis of variance, and Bonferroni-corrected post-hoc analyses are presented</w:t>
      </w:r>
      <w:r w:rsidR="00AC6352" w:rsidRPr="003F08D1">
        <w:rPr>
          <w:rFonts w:cs="Times New Roman"/>
          <w:i/>
          <w:iCs/>
          <w:lang w:val="en-US"/>
        </w:rPr>
        <w:t xml:space="preserve"> </w:t>
      </w:r>
      <w:r w:rsidR="00AC6352" w:rsidRPr="003F08D1">
        <w:rPr>
          <w:i/>
          <w:iCs/>
          <w:lang w:val="en-US"/>
        </w:rPr>
        <w:t xml:space="preserve">(n=7-8/group except for n=6 for </w:t>
      </w:r>
      <w:r w:rsidR="004F676A" w:rsidRPr="003F08D1">
        <w:rPr>
          <w:i/>
          <w:iCs/>
          <w:lang w:val="en-US"/>
        </w:rPr>
        <w:t>p-ACC</w:t>
      </w:r>
      <w:r w:rsidR="003F08D1" w:rsidRPr="003F08D1">
        <w:rPr>
          <w:i/>
          <w:iCs/>
          <w:lang w:val="en-US"/>
        </w:rPr>
        <w:t xml:space="preserve"> </w:t>
      </w:r>
      <w:r w:rsidR="00AC6352" w:rsidRPr="003F08D1">
        <w:rPr>
          <w:i/>
          <w:iCs/>
          <w:lang w:val="en-US"/>
        </w:rPr>
        <w:t>in ALS age 2)</w:t>
      </w:r>
      <w:r w:rsidRPr="003F08D1">
        <w:rPr>
          <w:rFonts w:cs="Times New Roman"/>
          <w:i/>
          <w:iCs/>
          <w:lang w:val="en-US"/>
        </w:rPr>
        <w:t>.</w:t>
      </w:r>
    </w:p>
    <w:p w14:paraId="50DA57E4" w14:textId="77777777" w:rsidR="00124BAC" w:rsidRDefault="00124BAC" w:rsidP="00124BAC">
      <w:r>
        <w:rPr>
          <w:noProof/>
        </w:rPr>
        <w:lastRenderedPageBreak/>
        <w:drawing>
          <wp:inline distT="0" distB="0" distL="0" distR="0" wp14:anchorId="0ECF3A07" wp14:editId="3EF1C881">
            <wp:extent cx="3935618" cy="5857875"/>
            <wp:effectExtent l="19050" t="19050" r="27305" b="9525"/>
            <wp:docPr id="1187112613" name="Picture 5"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12613" name="Picture 5" descr="A graph of numbers and lett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38023" cy="5861455"/>
                    </a:xfrm>
                    <a:prstGeom prst="rect">
                      <a:avLst/>
                    </a:prstGeom>
                    <a:ln>
                      <a:solidFill>
                        <a:schemeClr val="tx1"/>
                      </a:solidFill>
                    </a:ln>
                  </pic:spPr>
                </pic:pic>
              </a:graphicData>
            </a:graphic>
          </wp:inline>
        </w:drawing>
      </w:r>
    </w:p>
    <w:p w14:paraId="636AAF2D" w14:textId="03A12940" w:rsidR="00124BAC" w:rsidRPr="003F08D1" w:rsidRDefault="00124BAC" w:rsidP="00124BAC">
      <w:pPr>
        <w:jc w:val="both"/>
        <w:rPr>
          <w:rFonts w:cs="Times New Roman"/>
          <w:i/>
          <w:iCs/>
          <w:lang w:val="en-US"/>
        </w:rPr>
      </w:pPr>
      <w:r w:rsidRPr="003F08D1">
        <w:rPr>
          <w:rFonts w:cs="Times New Roman"/>
          <w:b/>
          <w:bCs/>
          <w:i/>
          <w:iCs/>
          <w:lang w:val="en-US"/>
        </w:rPr>
        <w:t>Supplementary</w:t>
      </w:r>
      <w:r w:rsidRPr="003F08D1">
        <w:rPr>
          <w:rFonts w:cs="Times New Roman"/>
          <w:lang w:val="en-US"/>
        </w:rPr>
        <w:t xml:space="preserve"> </w:t>
      </w:r>
      <w:r w:rsidRPr="003F08D1">
        <w:rPr>
          <w:rFonts w:cs="Times New Roman"/>
          <w:b/>
          <w:bCs/>
          <w:i/>
          <w:iCs/>
          <w:lang w:val="en-US"/>
        </w:rPr>
        <w:t xml:space="preserve">figure </w:t>
      </w:r>
      <w:r w:rsidR="0083780A" w:rsidRPr="003F08D1">
        <w:rPr>
          <w:rFonts w:cs="Times New Roman"/>
          <w:b/>
          <w:bCs/>
          <w:i/>
          <w:iCs/>
          <w:lang w:val="en-US"/>
        </w:rPr>
        <w:t>6</w:t>
      </w:r>
      <w:r w:rsidRPr="003F08D1">
        <w:rPr>
          <w:rFonts w:cs="Times New Roman"/>
          <w:i/>
          <w:iCs/>
          <w:lang w:val="en-US"/>
        </w:rPr>
        <w:t xml:space="preserve">. The effect of hSOD1 genotype and </w:t>
      </w:r>
      <w:r w:rsidR="00FE74BA" w:rsidRPr="003F08D1">
        <w:rPr>
          <w:rFonts w:cs="Times New Roman"/>
          <w:i/>
          <w:iCs/>
          <w:lang w:val="en-US"/>
        </w:rPr>
        <w:t>age</w:t>
      </w:r>
      <w:r w:rsidRPr="003F08D1">
        <w:rPr>
          <w:rFonts w:cs="Times New Roman"/>
          <w:i/>
          <w:iCs/>
          <w:lang w:val="en-US"/>
        </w:rPr>
        <w:t xml:space="preserve"> on myogenic markers in the tibialis anterior (TA) and soleus muscle (SOL). Myogenic markers include paired box 7 (Pax7; panel A), myogenic factor 5 (Myf5; panel B), </w:t>
      </w:r>
      <w:proofErr w:type="spellStart"/>
      <w:r w:rsidRPr="003F08D1">
        <w:rPr>
          <w:rFonts w:cs="Times New Roman"/>
          <w:i/>
          <w:iCs/>
          <w:lang w:val="en-US"/>
        </w:rPr>
        <w:t>myogenin</w:t>
      </w:r>
      <w:proofErr w:type="spellEnd"/>
      <w:r w:rsidRPr="003F08D1">
        <w:rPr>
          <w:rFonts w:cs="Times New Roman"/>
          <w:i/>
          <w:iCs/>
          <w:lang w:val="en-US"/>
        </w:rPr>
        <w:t xml:space="preserve"> (panel C) and embryonal myosin heavy chain (</w:t>
      </w:r>
      <w:proofErr w:type="spellStart"/>
      <w:r w:rsidRPr="003F08D1">
        <w:rPr>
          <w:rFonts w:cs="Times New Roman"/>
          <w:i/>
          <w:iCs/>
          <w:lang w:val="en-US"/>
        </w:rPr>
        <w:t>eMyHC</w:t>
      </w:r>
      <w:proofErr w:type="spellEnd"/>
      <w:r w:rsidRPr="003F08D1">
        <w:rPr>
          <w:rFonts w:cs="Times New Roman"/>
          <w:i/>
          <w:iCs/>
          <w:lang w:val="en-US"/>
        </w:rPr>
        <w:t>; panel D). The individual (dots and triangles) and average (bar) values of non-transgenic control mice (NTG; dots) and hSOD1-transgene mice (ALS; triangles) are presented. Age 1, 2 and 3 refer to an age of 92 days, 113 days and 138 days, respectively. P values of two-way analysis of variance, and Bonferroni-corrected post-hoc analyses are presented</w:t>
      </w:r>
      <w:r w:rsidR="00A659B6" w:rsidRPr="003F08D1">
        <w:rPr>
          <w:rFonts w:cs="Times New Roman"/>
          <w:i/>
          <w:iCs/>
          <w:lang w:val="en-US"/>
        </w:rPr>
        <w:t xml:space="preserve"> (</w:t>
      </w:r>
      <w:r w:rsidR="00A659B6" w:rsidRPr="003F08D1">
        <w:rPr>
          <w:i/>
          <w:iCs/>
          <w:lang w:val="en-US"/>
        </w:rPr>
        <w:t>n=7-8/group</w:t>
      </w:r>
      <w:r w:rsidR="00A659B6" w:rsidRPr="003F08D1">
        <w:rPr>
          <w:rFonts w:cs="Times New Roman"/>
          <w:i/>
          <w:iCs/>
          <w:lang w:val="en-US"/>
        </w:rPr>
        <w:t>)</w:t>
      </w:r>
      <w:r w:rsidRPr="003F08D1">
        <w:rPr>
          <w:rFonts w:cs="Times New Roman"/>
          <w:i/>
          <w:iCs/>
          <w:lang w:val="en-US"/>
        </w:rPr>
        <w:t>.</w:t>
      </w:r>
    </w:p>
    <w:p w14:paraId="409B1D8F" w14:textId="77777777" w:rsidR="003A07D2" w:rsidRDefault="003A07D2" w:rsidP="003A07D2">
      <w:pPr>
        <w:spacing w:line="360" w:lineRule="auto"/>
        <w:jc w:val="both"/>
      </w:pPr>
      <w:r>
        <w:rPr>
          <w:noProof/>
        </w:rPr>
        <w:lastRenderedPageBreak/>
        <w:drawing>
          <wp:inline distT="0" distB="0" distL="0" distR="0" wp14:anchorId="6B2E2BA7" wp14:editId="654D8E6A">
            <wp:extent cx="2414279" cy="2669683"/>
            <wp:effectExtent l="19050" t="19050" r="24130" b="16510"/>
            <wp:docPr id="159817805" name="Picture 5"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7805" name="Picture 5" descr="A screenshot of a video gam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16931" cy="2672615"/>
                    </a:xfrm>
                    <a:prstGeom prst="rect">
                      <a:avLst/>
                    </a:prstGeom>
                    <a:ln>
                      <a:solidFill>
                        <a:schemeClr val="tx1"/>
                      </a:solidFill>
                    </a:ln>
                  </pic:spPr>
                </pic:pic>
              </a:graphicData>
            </a:graphic>
          </wp:inline>
        </w:drawing>
      </w:r>
    </w:p>
    <w:p w14:paraId="19C9BB96" w14:textId="5065B5D3" w:rsidR="003A07D2" w:rsidRPr="003F08D1" w:rsidRDefault="003A07D2" w:rsidP="003A07D2">
      <w:pPr>
        <w:jc w:val="both"/>
        <w:rPr>
          <w:rFonts w:cs="Times New Roman"/>
          <w:i/>
          <w:iCs/>
          <w:lang w:val="en-US"/>
        </w:rPr>
      </w:pPr>
      <w:bookmarkStart w:id="1" w:name="OLE_LINK10"/>
      <w:r w:rsidRPr="003F08D1">
        <w:rPr>
          <w:rFonts w:cs="Times New Roman"/>
          <w:b/>
          <w:bCs/>
          <w:i/>
          <w:iCs/>
          <w:lang w:val="en-US"/>
        </w:rPr>
        <w:t xml:space="preserve">Supplementary figure </w:t>
      </w:r>
      <w:r w:rsidR="0083780A" w:rsidRPr="003F08D1">
        <w:rPr>
          <w:rFonts w:cs="Times New Roman"/>
          <w:b/>
          <w:bCs/>
          <w:i/>
          <w:iCs/>
          <w:lang w:val="en-US"/>
        </w:rPr>
        <w:t>7</w:t>
      </w:r>
      <w:r w:rsidRPr="003F08D1">
        <w:rPr>
          <w:rFonts w:cs="Times New Roman"/>
          <w:i/>
          <w:iCs/>
          <w:lang w:val="en-US"/>
        </w:rPr>
        <w:t>. The effect of hSOD1 genotype at the presymptomatic age of 56 days on the absolute weight of the tibialis anterior muscle (panel A), the extensor digitorum longus muscle (extensor DL; panel B), the soleus muscle (panel C) and the gastrocnemius muscle (panel D). The individual (dots and triangles) and average (bar) values of non-transgenic control mice (NTG; dots) and hSOD1-transgene mice (ALS; triangles) are presented. P values of unpaired T-test (normally distributed) or Mann-Whitney U test (non-normally distributed between both genotypes are presented</w:t>
      </w:r>
      <w:r w:rsidR="00C44794" w:rsidRPr="003F08D1">
        <w:rPr>
          <w:rFonts w:cs="Times New Roman"/>
          <w:i/>
          <w:iCs/>
          <w:lang w:val="en-US"/>
        </w:rPr>
        <w:t xml:space="preserve"> (n=8/group)</w:t>
      </w:r>
      <w:r w:rsidRPr="003F08D1">
        <w:rPr>
          <w:rFonts w:cs="Times New Roman"/>
          <w:i/>
          <w:iCs/>
          <w:lang w:val="en-US"/>
        </w:rPr>
        <w:t>.</w:t>
      </w:r>
    </w:p>
    <w:bookmarkEnd w:id="1"/>
    <w:p w14:paraId="33E97374" w14:textId="77777777" w:rsidR="0041748A" w:rsidRDefault="0041748A" w:rsidP="0041748A">
      <w:pPr>
        <w:jc w:val="both"/>
      </w:pPr>
      <w:r>
        <w:rPr>
          <w:noProof/>
        </w:rPr>
        <w:drawing>
          <wp:inline distT="0" distB="0" distL="0" distR="0" wp14:anchorId="594ABE10" wp14:editId="1C61829A">
            <wp:extent cx="3585456" cy="4569164"/>
            <wp:effectExtent l="19050" t="19050" r="15240" b="22225"/>
            <wp:docPr id="1263422606"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22606" name="Picture 8" descr="A screenshot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92127" cy="4577665"/>
                    </a:xfrm>
                    <a:prstGeom prst="rect">
                      <a:avLst/>
                    </a:prstGeom>
                    <a:ln>
                      <a:solidFill>
                        <a:schemeClr val="tx1"/>
                      </a:solidFill>
                    </a:ln>
                  </pic:spPr>
                </pic:pic>
              </a:graphicData>
            </a:graphic>
          </wp:inline>
        </w:drawing>
      </w:r>
    </w:p>
    <w:p w14:paraId="1DFEF6B2" w14:textId="566CD748" w:rsidR="0041748A" w:rsidRPr="003F08D1" w:rsidRDefault="0041748A" w:rsidP="0041748A">
      <w:pPr>
        <w:jc w:val="both"/>
        <w:rPr>
          <w:rFonts w:cs="Times New Roman"/>
          <w:i/>
          <w:iCs/>
          <w:lang w:val="en-US"/>
        </w:rPr>
      </w:pPr>
      <w:r w:rsidRPr="003F08D1">
        <w:rPr>
          <w:rFonts w:cs="Times New Roman"/>
          <w:b/>
          <w:bCs/>
          <w:i/>
          <w:iCs/>
          <w:lang w:val="en-US"/>
        </w:rPr>
        <w:lastRenderedPageBreak/>
        <w:t xml:space="preserve">Supplementary figure </w:t>
      </w:r>
      <w:r w:rsidR="0083780A" w:rsidRPr="003F08D1">
        <w:rPr>
          <w:rFonts w:cs="Times New Roman"/>
          <w:b/>
          <w:bCs/>
          <w:i/>
          <w:iCs/>
          <w:lang w:val="en-US"/>
        </w:rPr>
        <w:t>8</w:t>
      </w:r>
      <w:r w:rsidRPr="003F08D1">
        <w:rPr>
          <w:rFonts w:cs="Times New Roman"/>
          <w:i/>
          <w:iCs/>
          <w:lang w:val="en-US"/>
        </w:rPr>
        <w:t xml:space="preserve">. The effect of hSOD1 genotype at the presymptomatic age of 56 days on the protein expression of (p-mTOR; panel A), (p-S6rp; panel B), (p-4E-BP1; panel C), (p62; panel D), (LC3b-I; panel E), (LC3b-II; panel F), caspase-3 (panel G), </w:t>
      </w:r>
      <w:proofErr w:type="spellStart"/>
      <w:r w:rsidRPr="003F08D1">
        <w:rPr>
          <w:rFonts w:cs="Times New Roman"/>
          <w:i/>
          <w:iCs/>
          <w:lang w:val="en-US"/>
        </w:rPr>
        <w:t>myogenin</w:t>
      </w:r>
      <w:proofErr w:type="spellEnd"/>
      <w:r w:rsidRPr="003F08D1">
        <w:rPr>
          <w:rFonts w:cs="Times New Roman"/>
          <w:i/>
          <w:iCs/>
          <w:lang w:val="en-US"/>
        </w:rPr>
        <w:t xml:space="preserve"> (panel H), embryonal myosin heavy chain (</w:t>
      </w:r>
      <w:proofErr w:type="spellStart"/>
      <w:r w:rsidRPr="003F08D1">
        <w:rPr>
          <w:rFonts w:cs="Times New Roman"/>
          <w:i/>
          <w:iCs/>
          <w:lang w:val="en-US"/>
        </w:rPr>
        <w:t>eMyHC</w:t>
      </w:r>
      <w:proofErr w:type="spellEnd"/>
      <w:r w:rsidRPr="003F08D1">
        <w:rPr>
          <w:rFonts w:cs="Times New Roman"/>
          <w:i/>
          <w:iCs/>
          <w:lang w:val="en-US"/>
        </w:rPr>
        <w:t>; panel I) in the tibialis anterior muscle compared to non-transgenic controls (NTG). The individual (dots and triangles) and average (bar) values of non-transgenic control mice (NTG; dots) and hSOD1-transgene mice (ALS; triangles) are presented. P values of unpaired T-test (normally distributed) or Mann-Whitney U test (non-normally distributed between both genotypes are presented</w:t>
      </w:r>
      <w:r w:rsidR="00C44794" w:rsidRPr="003F08D1">
        <w:rPr>
          <w:rFonts w:cs="Times New Roman"/>
          <w:i/>
          <w:iCs/>
          <w:lang w:val="en-US"/>
        </w:rPr>
        <w:t xml:space="preserve"> (n=8/group)</w:t>
      </w:r>
      <w:r w:rsidRPr="003F08D1">
        <w:rPr>
          <w:rFonts w:cs="Times New Roman"/>
          <w:i/>
          <w:iCs/>
          <w:lang w:val="en-US"/>
        </w:rPr>
        <w:t>.</w:t>
      </w:r>
    </w:p>
    <w:p w14:paraId="52EDDBC7" w14:textId="77777777" w:rsidR="00365FED" w:rsidRDefault="00365FED" w:rsidP="00365FED">
      <w:pPr>
        <w:spacing w:line="360" w:lineRule="auto"/>
        <w:jc w:val="both"/>
        <w:rPr>
          <w:lang w:val="en-US"/>
        </w:rPr>
      </w:pPr>
      <w:r>
        <w:rPr>
          <w:noProof/>
          <w:lang w:val="en-US"/>
        </w:rPr>
        <w:drawing>
          <wp:inline distT="0" distB="0" distL="0" distR="0" wp14:anchorId="6C5F0F73" wp14:editId="15E0B07B">
            <wp:extent cx="3329724" cy="4228588"/>
            <wp:effectExtent l="19050" t="19050" r="23495" b="19685"/>
            <wp:docPr id="1721696451" name="Picture 9" descr="A group of images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96451" name="Picture 9" descr="A group of images of a test result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33556" cy="4233455"/>
                    </a:xfrm>
                    <a:prstGeom prst="rect">
                      <a:avLst/>
                    </a:prstGeom>
                    <a:ln>
                      <a:solidFill>
                        <a:schemeClr val="tx1"/>
                      </a:solidFill>
                    </a:ln>
                  </pic:spPr>
                </pic:pic>
              </a:graphicData>
            </a:graphic>
          </wp:inline>
        </w:drawing>
      </w:r>
    </w:p>
    <w:p w14:paraId="3BA5BBE2" w14:textId="77777777" w:rsidR="00AE2E35" w:rsidRPr="003F08D1" w:rsidRDefault="00365FED" w:rsidP="00365FED">
      <w:pPr>
        <w:jc w:val="both"/>
        <w:rPr>
          <w:rFonts w:cs="Times New Roman"/>
          <w:i/>
          <w:iCs/>
          <w:lang w:val="en-US"/>
        </w:rPr>
      </w:pPr>
      <w:r w:rsidRPr="003F08D1">
        <w:rPr>
          <w:rFonts w:cs="Times New Roman"/>
          <w:b/>
          <w:bCs/>
          <w:i/>
          <w:iCs/>
          <w:lang w:val="en-US"/>
        </w:rPr>
        <w:t xml:space="preserve">Supplementary figure </w:t>
      </w:r>
      <w:r w:rsidR="0083780A" w:rsidRPr="003F08D1">
        <w:rPr>
          <w:rFonts w:cs="Times New Roman"/>
          <w:b/>
          <w:bCs/>
          <w:i/>
          <w:iCs/>
          <w:lang w:val="en-US"/>
        </w:rPr>
        <w:t>9</w:t>
      </w:r>
      <w:r w:rsidRPr="003F08D1">
        <w:rPr>
          <w:rFonts w:cs="Times New Roman"/>
          <w:i/>
          <w:iCs/>
          <w:lang w:val="en-US"/>
        </w:rPr>
        <w:t xml:space="preserve">. The effect of hSOD1 genotype at the presymptomatic age of 56 days on the expression of cannabinoid receptor 1 (CB1; panel A), </w:t>
      </w:r>
      <w:proofErr w:type="spellStart"/>
      <w:r w:rsidRPr="003F08D1">
        <w:rPr>
          <w:rFonts w:cs="Times New Roman"/>
          <w:i/>
          <w:iCs/>
          <w:lang w:val="en-US"/>
        </w:rPr>
        <w:t>diaglycerol</w:t>
      </w:r>
      <w:proofErr w:type="spellEnd"/>
      <w:r w:rsidRPr="003F08D1">
        <w:rPr>
          <w:rFonts w:cs="Times New Roman"/>
          <w:i/>
          <w:iCs/>
          <w:lang w:val="en-US"/>
        </w:rPr>
        <w:t xml:space="preserve"> lipase β (DAGLβ; panel B), monoacylglycerol lipase (MAGL; panel C), N-acyl phosphatidylethanolamine phospholipase D (NAPE-PLD; panel D) and fatty-acid amide hydrolase 1 (FAAH; panel E) in the tibialis anterior muscle compared to non-transgenic controls (NTG). The individual (dots and triangles) and average (bar) values of NTG (dots) and hSOD1-transgene mice (ALS; triangles) are presented. P values of </w:t>
      </w:r>
      <w:bookmarkStart w:id="2" w:name="OLE_LINK9"/>
      <w:r w:rsidRPr="003F08D1">
        <w:rPr>
          <w:rFonts w:cs="Times New Roman"/>
          <w:i/>
          <w:iCs/>
          <w:lang w:val="en-US"/>
        </w:rPr>
        <w:t>unpaired T-test (normally distributed) or Mann-Whitney U test (non-normally distributed between both genotypes are presented</w:t>
      </w:r>
      <w:r w:rsidR="00C44794" w:rsidRPr="003F08D1">
        <w:rPr>
          <w:rFonts w:cs="Times New Roman"/>
          <w:i/>
          <w:iCs/>
          <w:lang w:val="en-US"/>
        </w:rPr>
        <w:t xml:space="preserve"> (n=8/group)</w:t>
      </w:r>
      <w:r w:rsidRPr="003F08D1">
        <w:rPr>
          <w:rFonts w:cs="Times New Roman"/>
          <w:i/>
          <w:iCs/>
          <w:lang w:val="en-US"/>
        </w:rPr>
        <w:t>.</w:t>
      </w:r>
    </w:p>
    <w:p w14:paraId="5D3474BB" w14:textId="2320EB8E" w:rsidR="00482037" w:rsidRPr="0051268E" w:rsidRDefault="0051268E" w:rsidP="0051268E">
      <w:pPr>
        <w:jc w:val="both"/>
        <w:rPr>
          <w:rFonts w:cs="Times New Roman"/>
          <w:i/>
          <w:iCs/>
          <w:color w:val="FF0000"/>
          <w:lang w:val="en-US"/>
        </w:rPr>
      </w:pPr>
      <w:r>
        <w:object w:dxaOrig="14661" w:dyaOrig="6811" w14:anchorId="2F633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15pt;height:209.95pt" o:ole="">
            <v:imagedata r:id="rId18" o:title=""/>
          </v:shape>
          <o:OLEObject Type="Embed" ProgID="Prism8.Document" ShapeID="_x0000_i1025" DrawAspect="Content" ObjectID="_1846413751" r:id="rId19"/>
        </w:object>
      </w:r>
      <w:r w:rsidR="00365FED" w:rsidRPr="002E7740">
        <w:rPr>
          <w:rFonts w:cs="Times New Roman"/>
          <w:i/>
          <w:iCs/>
          <w:lang w:val="en-US"/>
        </w:rPr>
        <w:t xml:space="preserve"> </w:t>
      </w:r>
      <w:bookmarkEnd w:id="2"/>
    </w:p>
    <w:p w14:paraId="2F332781" w14:textId="77777777" w:rsidR="005722D0" w:rsidRPr="003F08D1" w:rsidRDefault="005722D0" w:rsidP="005722D0">
      <w:pPr>
        <w:spacing w:after="0"/>
        <w:jc w:val="both"/>
        <w:rPr>
          <w:i/>
          <w:iCs/>
          <w:lang w:val="en-US"/>
        </w:rPr>
      </w:pPr>
      <w:r w:rsidRPr="003F08D1">
        <w:rPr>
          <w:b/>
          <w:bCs/>
          <w:i/>
          <w:iCs/>
          <w:lang w:val="en-US"/>
        </w:rPr>
        <w:t>Supplementary figure 10</w:t>
      </w:r>
      <w:r w:rsidRPr="003F08D1">
        <w:rPr>
          <w:i/>
          <w:iCs/>
          <w:lang w:val="en-US"/>
        </w:rPr>
        <w:t xml:space="preserve">. The effect of FAAH inhibition via URB937 treatment (1 mg/kg body weight intraperitoneally; 5x/week; n=9-10), compared to vehicle treatment (VEH; n=6), on the absolute weight of the tibialis anterior muscle (TA), the gastrocnemius muscle (GAS) and the soleus muscle (SOL). Difference in muscle mass was assessed via Student’s t-test. The individual (dots and rectangles) and average (bar) values of non-transgenic control mice (NTG; healthy reference group of 135 days old), and of VEH-treated and URB-treated hSOD1-transgene mice (ALS; triangles) are presented. </w:t>
      </w:r>
    </w:p>
    <w:p w14:paraId="291F41FC" w14:textId="77777777" w:rsidR="005722D0" w:rsidRDefault="005722D0" w:rsidP="00257837">
      <w:pPr>
        <w:spacing w:after="0"/>
        <w:jc w:val="both"/>
        <w:rPr>
          <w:i/>
          <w:iCs/>
          <w:color w:val="FF0000"/>
          <w:lang w:val="en-US"/>
        </w:rPr>
      </w:pPr>
    </w:p>
    <w:p w14:paraId="1C64F5BC" w14:textId="77777777" w:rsidR="00EC624F" w:rsidRPr="00783C56" w:rsidRDefault="00EC624F" w:rsidP="00257837">
      <w:pPr>
        <w:spacing w:after="0"/>
        <w:jc w:val="both"/>
        <w:rPr>
          <w:i/>
          <w:iCs/>
          <w:color w:val="FF0000"/>
          <w:lang w:val="en-US"/>
        </w:rPr>
      </w:pPr>
    </w:p>
    <w:p w14:paraId="5795F008" w14:textId="6B08716D" w:rsidR="00EC624F" w:rsidRDefault="008D286C" w:rsidP="00EC624F">
      <w:pPr>
        <w:jc w:val="both"/>
        <w:rPr>
          <w:lang w:val="en-US"/>
        </w:rPr>
      </w:pPr>
      <w:r>
        <w:rPr>
          <w:noProof/>
          <w:lang w:val="en-US"/>
        </w:rPr>
        <w:drawing>
          <wp:inline distT="0" distB="0" distL="0" distR="0" wp14:anchorId="3DF440DC" wp14:editId="55D022C8">
            <wp:extent cx="5760720" cy="3240405"/>
            <wp:effectExtent l="19050" t="19050" r="11430" b="17145"/>
            <wp:docPr id="736486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86620" name="Picture 736486620"/>
                    <pic:cNvPicPr/>
                  </pic:nvPicPr>
                  <pic:blipFill>
                    <a:blip r:embed="rId20">
                      <a:extLst>
                        <a:ext uri="{28A0092B-C50C-407E-A947-70E740481C1C}">
                          <a14:useLocalDpi xmlns:a14="http://schemas.microsoft.com/office/drawing/2010/main" val="0"/>
                        </a:ext>
                      </a:extLst>
                    </a:blip>
                    <a:stretch>
                      <a:fillRect/>
                    </a:stretch>
                  </pic:blipFill>
                  <pic:spPr>
                    <a:xfrm>
                      <a:off x="0" y="0"/>
                      <a:ext cx="5760720" cy="3240405"/>
                    </a:xfrm>
                    <a:prstGeom prst="rect">
                      <a:avLst/>
                    </a:prstGeom>
                    <a:ln>
                      <a:solidFill>
                        <a:schemeClr val="tx1"/>
                      </a:solidFill>
                    </a:ln>
                  </pic:spPr>
                </pic:pic>
              </a:graphicData>
            </a:graphic>
          </wp:inline>
        </w:drawing>
      </w:r>
    </w:p>
    <w:p w14:paraId="2E264D61" w14:textId="7917CC96" w:rsidR="00EC624F" w:rsidRPr="003F08D1" w:rsidRDefault="00EC624F" w:rsidP="00EC624F">
      <w:pPr>
        <w:jc w:val="both"/>
        <w:rPr>
          <w:rFonts w:cs="Times New Roman"/>
          <w:i/>
          <w:iCs/>
          <w:lang w:val="en-US"/>
        </w:rPr>
      </w:pPr>
      <w:r w:rsidRPr="003F08D1">
        <w:rPr>
          <w:rFonts w:cs="Times New Roman"/>
          <w:b/>
          <w:bCs/>
          <w:i/>
          <w:iCs/>
          <w:lang w:val="en-US"/>
        </w:rPr>
        <w:t>Supplementary</w:t>
      </w:r>
      <w:r w:rsidRPr="003F08D1">
        <w:rPr>
          <w:rFonts w:cs="Times New Roman"/>
          <w:lang w:val="en-US"/>
        </w:rPr>
        <w:t xml:space="preserve"> </w:t>
      </w:r>
      <w:r w:rsidRPr="003F08D1">
        <w:rPr>
          <w:rFonts w:cs="Times New Roman"/>
          <w:b/>
          <w:bCs/>
          <w:i/>
          <w:iCs/>
          <w:lang w:val="en-US"/>
        </w:rPr>
        <w:t>figure 11</w:t>
      </w:r>
      <w:r w:rsidRPr="003F08D1">
        <w:rPr>
          <w:rFonts w:cs="Times New Roman"/>
          <w:i/>
          <w:iCs/>
          <w:lang w:val="en-US"/>
        </w:rPr>
        <w:t>. The effect of daily URB937 (U; 1 mg/kg/d) vs. vehicle (V) trea</w:t>
      </w:r>
      <w:r w:rsidR="00D93E2D" w:rsidRPr="003F08D1">
        <w:rPr>
          <w:rFonts w:cs="Times New Roman"/>
          <w:i/>
          <w:iCs/>
          <w:lang w:val="en-US"/>
        </w:rPr>
        <w:t>t</w:t>
      </w:r>
      <w:r w:rsidRPr="003F08D1">
        <w:rPr>
          <w:rFonts w:cs="Times New Roman"/>
          <w:i/>
          <w:iCs/>
          <w:lang w:val="en-US"/>
        </w:rPr>
        <w:t>ment from the age of 80 days old until humane endpoints on the protein expression levels of markers of protein metabolism, muscle stress and neuromuscular junction in the tibialis anterior muscle of female hSOD193A. Tibialis anterior muscle samples from non-transgenic controls (C; 135 days old) were added as a healthy reference group. The vehicle- and URB937-treated groups were compared via the Student’s t-test. The individual (dots, squares and triangles) and average (bar) values are presented. P-mTOR: phosph</w:t>
      </w:r>
      <w:r w:rsidR="001C6944" w:rsidRPr="003F08D1">
        <w:rPr>
          <w:rFonts w:cs="Times New Roman"/>
          <w:i/>
          <w:iCs/>
          <w:lang w:val="en-US"/>
        </w:rPr>
        <w:t>or</w:t>
      </w:r>
      <w:r w:rsidRPr="003F08D1">
        <w:rPr>
          <w:rFonts w:cs="Times New Roman"/>
          <w:i/>
          <w:iCs/>
          <w:lang w:val="en-US"/>
        </w:rPr>
        <w:t xml:space="preserve">ylated mechanistic target of rapamycin; CB1: cannabinoid receptor 1; LC3b: </w:t>
      </w:r>
      <w:r w:rsidRPr="003F08D1">
        <w:rPr>
          <w:rFonts w:cs="Times New Roman"/>
          <w:i/>
          <w:iCs/>
          <w:lang w:val="en-US"/>
        </w:rPr>
        <w:lastRenderedPageBreak/>
        <w:t xml:space="preserve">microtubule-associated protein 1 light chain 3 beta; F4/80: Bax: Bcl-2 Associated X-protein; </w:t>
      </w:r>
      <w:proofErr w:type="spellStart"/>
      <w:r w:rsidRPr="003F08D1">
        <w:rPr>
          <w:rFonts w:cs="Times New Roman"/>
          <w:i/>
          <w:iCs/>
          <w:lang w:val="en-US"/>
        </w:rPr>
        <w:t>MuSK</w:t>
      </w:r>
      <w:proofErr w:type="spellEnd"/>
      <w:r w:rsidRPr="003F08D1">
        <w:rPr>
          <w:rFonts w:cs="Times New Roman"/>
          <w:i/>
          <w:iCs/>
          <w:lang w:val="en-US"/>
        </w:rPr>
        <w:t>: Muscle-Specific Kinase; NFH: neurofilament heavy chain; MuRF1: muscle-specific RING finger protein 1</w:t>
      </w:r>
      <w:r w:rsidR="0084225F" w:rsidRPr="003F08D1">
        <w:rPr>
          <w:rFonts w:cs="Times New Roman"/>
          <w:i/>
          <w:iCs/>
          <w:lang w:val="en-US"/>
        </w:rPr>
        <w:t>; PGC1α: peroxisome proliferator-activated receptor gamma coactivator 1-alpha</w:t>
      </w:r>
      <w:r w:rsidR="0082242B" w:rsidRPr="003F08D1">
        <w:rPr>
          <w:rFonts w:cs="Times New Roman"/>
          <w:i/>
          <w:iCs/>
          <w:lang w:val="en-US"/>
        </w:rPr>
        <w:t xml:space="preserve"> (n=7-10/group)</w:t>
      </w:r>
      <w:r w:rsidRPr="003F08D1">
        <w:rPr>
          <w:rFonts w:cs="Times New Roman"/>
          <w:i/>
          <w:iCs/>
          <w:lang w:val="en-US"/>
        </w:rPr>
        <w:t>.</w:t>
      </w:r>
    </w:p>
    <w:p w14:paraId="13358C64" w14:textId="77777777" w:rsidR="00482037" w:rsidRDefault="00482037">
      <w:pPr>
        <w:rPr>
          <w:u w:val="single"/>
          <w:lang w:val="en-US"/>
        </w:rPr>
      </w:pPr>
      <w:r>
        <w:rPr>
          <w:u w:val="single"/>
          <w:lang w:val="en-US"/>
        </w:rPr>
        <w:br w:type="page"/>
      </w:r>
    </w:p>
    <w:p w14:paraId="01B0F391" w14:textId="547B2489" w:rsidR="007A78DD" w:rsidRDefault="009D0A3B" w:rsidP="002F5E27">
      <w:pPr>
        <w:spacing w:after="0" w:line="240" w:lineRule="auto"/>
        <w:jc w:val="both"/>
        <w:rPr>
          <w:u w:val="single"/>
          <w:lang w:val="en-US"/>
        </w:rPr>
      </w:pPr>
      <w:r w:rsidRPr="00360886">
        <w:rPr>
          <w:u w:val="single"/>
          <w:lang w:val="en-US"/>
        </w:rPr>
        <w:lastRenderedPageBreak/>
        <w:t xml:space="preserve">Principal component analyses of </w:t>
      </w:r>
      <w:proofErr w:type="spellStart"/>
      <w:r w:rsidRPr="00360886">
        <w:rPr>
          <w:u w:val="single"/>
          <w:lang w:val="en-US"/>
        </w:rPr>
        <w:t>lipidomics</w:t>
      </w:r>
      <w:proofErr w:type="spellEnd"/>
      <w:r w:rsidRPr="00360886">
        <w:rPr>
          <w:u w:val="single"/>
          <w:lang w:val="en-US"/>
        </w:rPr>
        <w:t xml:space="preserve"> in </w:t>
      </w:r>
      <w:r w:rsidR="00360886" w:rsidRPr="00360886">
        <w:rPr>
          <w:u w:val="single"/>
          <w:lang w:val="en-US"/>
        </w:rPr>
        <w:t xml:space="preserve">tibialis anterior muscle and soleus muscle of non-transgenic controls and </w:t>
      </w:r>
      <w:r w:rsidR="00933F1C">
        <w:rPr>
          <w:u w:val="single"/>
          <w:lang w:val="en-US"/>
        </w:rPr>
        <w:t>h</w:t>
      </w:r>
      <w:r w:rsidR="00360886" w:rsidRPr="00360886">
        <w:rPr>
          <w:u w:val="single"/>
          <w:lang w:val="en-US"/>
        </w:rPr>
        <w:t>SOD1</w:t>
      </w:r>
      <w:r w:rsidR="00360886" w:rsidRPr="00360886">
        <w:rPr>
          <w:u w:val="single"/>
          <w:vertAlign w:val="superscript"/>
          <w:lang w:val="en-US"/>
        </w:rPr>
        <w:t>93A</w:t>
      </w:r>
      <w:r w:rsidR="00360886" w:rsidRPr="00360886">
        <w:rPr>
          <w:u w:val="single"/>
          <w:lang w:val="en-US"/>
        </w:rPr>
        <w:t xml:space="preserve"> mice</w:t>
      </w:r>
    </w:p>
    <w:p w14:paraId="5FDAA9FD" w14:textId="79D4BAAF" w:rsidR="00360886" w:rsidRPr="00933F1C" w:rsidRDefault="00360886" w:rsidP="002F5E27">
      <w:pPr>
        <w:spacing w:after="0" w:line="240" w:lineRule="auto"/>
        <w:jc w:val="both"/>
        <w:rPr>
          <w:u w:val="single"/>
          <w:lang w:val="en-US"/>
        </w:rPr>
      </w:pPr>
    </w:p>
    <w:p w14:paraId="625C82A3" w14:textId="08369870" w:rsidR="00391065" w:rsidRDefault="00391065" w:rsidP="00391065">
      <w:pPr>
        <w:rPr>
          <w:rFonts w:cs="Times New Roman"/>
          <w:lang w:val="en-US"/>
        </w:rPr>
      </w:pPr>
      <w:r>
        <w:rPr>
          <w:rFonts w:cs="Times New Roman"/>
          <w:lang w:val="en-US"/>
        </w:rPr>
        <w:t>Tibialis anterior muscle</w:t>
      </w:r>
    </w:p>
    <w:p w14:paraId="120C8208" w14:textId="77777777" w:rsidR="00391065" w:rsidRDefault="00391065" w:rsidP="00391065">
      <w:pPr>
        <w:rPr>
          <w:rFonts w:cs="Times New Roman"/>
          <w:lang w:val="en-US"/>
        </w:rPr>
      </w:pPr>
      <w:r w:rsidRPr="009B5894">
        <w:rPr>
          <w:rFonts w:cs="Times New Roman"/>
          <w:noProof/>
          <w:lang w:val="en-US"/>
        </w:rPr>
        <w:drawing>
          <wp:inline distT="0" distB="0" distL="0" distR="0" wp14:anchorId="65F29771" wp14:editId="0D0FA7A8">
            <wp:extent cx="4574758" cy="2901244"/>
            <wp:effectExtent l="0" t="0" r="0" b="0"/>
            <wp:docPr id="1250706181" name="Picture 1" descr="A graph with blue and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06181" name="Picture 1" descr="A graph with blue and orange dots&#10;&#10;AI-generated content may be incorrect."/>
                    <pic:cNvPicPr/>
                  </pic:nvPicPr>
                  <pic:blipFill>
                    <a:blip r:embed="rId21"/>
                    <a:stretch>
                      <a:fillRect/>
                    </a:stretch>
                  </pic:blipFill>
                  <pic:spPr>
                    <a:xfrm>
                      <a:off x="0" y="0"/>
                      <a:ext cx="4604085" cy="2919843"/>
                    </a:xfrm>
                    <a:prstGeom prst="rect">
                      <a:avLst/>
                    </a:prstGeom>
                  </pic:spPr>
                </pic:pic>
              </a:graphicData>
            </a:graphic>
          </wp:inline>
        </w:drawing>
      </w:r>
    </w:p>
    <w:p w14:paraId="5B916FFD" w14:textId="36568625" w:rsidR="00391065" w:rsidRDefault="00391065" w:rsidP="00391065">
      <w:pPr>
        <w:rPr>
          <w:rFonts w:cs="Times New Roman"/>
          <w:lang w:val="en-US"/>
        </w:rPr>
      </w:pPr>
      <w:r>
        <w:rPr>
          <w:rFonts w:cs="Times New Roman"/>
          <w:lang w:val="en-US"/>
        </w:rPr>
        <w:t>Soleus muscle</w:t>
      </w:r>
    </w:p>
    <w:p w14:paraId="30793E61" w14:textId="30346309" w:rsidR="00391065" w:rsidRDefault="005109B8" w:rsidP="00391065">
      <w:pPr>
        <w:rPr>
          <w:rFonts w:cs="Times New Roman"/>
          <w:lang w:val="en-US"/>
        </w:rPr>
      </w:pPr>
      <w:r>
        <w:rPr>
          <w:rFonts w:cs="Times New Roman"/>
          <w:noProof/>
          <w:lang w:val="en-US"/>
        </w:rPr>
        <mc:AlternateContent>
          <mc:Choice Requires="wps">
            <w:drawing>
              <wp:anchor distT="0" distB="0" distL="114300" distR="114300" simplePos="0" relativeHeight="251661312" behindDoc="0" locked="0" layoutInCell="1" allowOverlap="1" wp14:anchorId="64C80CBC" wp14:editId="570069A9">
                <wp:simplePos x="0" y="0"/>
                <wp:positionH relativeFrom="column">
                  <wp:posOffset>3706072</wp:posOffset>
                </wp:positionH>
                <wp:positionV relativeFrom="paragraph">
                  <wp:posOffset>1674071</wp:posOffset>
                </wp:positionV>
                <wp:extent cx="694266" cy="316089"/>
                <wp:effectExtent l="0" t="0" r="10795" b="27305"/>
                <wp:wrapNone/>
                <wp:docPr id="97729921" name="Rectangle 1"/>
                <wp:cNvGraphicFramePr/>
                <a:graphic xmlns:a="http://schemas.openxmlformats.org/drawingml/2006/main">
                  <a:graphicData uri="http://schemas.microsoft.com/office/word/2010/wordprocessingShape">
                    <wps:wsp>
                      <wps:cNvSpPr/>
                      <wps:spPr>
                        <a:xfrm>
                          <a:off x="0" y="0"/>
                          <a:ext cx="694266" cy="31608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42EAA" id="Rectangle 1" o:spid="_x0000_s1026" style="position:absolute;margin-left:291.8pt;margin-top:131.8pt;width:54.65pt;height:2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" fillcolor="white [3212]" strokecolor="white [3212]" strokeweight="1pt"/>
            </w:pict>
          </mc:Fallback>
        </mc:AlternateContent>
      </w:r>
      <w:r>
        <w:rPr>
          <w:rFonts w:cs="Times New Roman"/>
          <w:noProof/>
          <w:lang w:val="en-US"/>
        </w:rPr>
        <mc:AlternateContent>
          <mc:Choice Requires="wps">
            <w:drawing>
              <wp:anchor distT="0" distB="0" distL="114300" distR="114300" simplePos="0" relativeHeight="251659264" behindDoc="0" locked="0" layoutInCell="1" allowOverlap="1" wp14:anchorId="6E3CFA2B" wp14:editId="13929C0E">
                <wp:simplePos x="0" y="0"/>
                <wp:positionH relativeFrom="column">
                  <wp:posOffset>3723005</wp:posOffset>
                </wp:positionH>
                <wp:positionV relativeFrom="paragraph">
                  <wp:posOffset>528249</wp:posOffset>
                </wp:positionV>
                <wp:extent cx="649111" cy="829734"/>
                <wp:effectExtent l="0" t="0" r="17780" b="27940"/>
                <wp:wrapNone/>
                <wp:docPr id="332515949" name="Rectangle 1"/>
                <wp:cNvGraphicFramePr/>
                <a:graphic xmlns:a="http://schemas.openxmlformats.org/drawingml/2006/main">
                  <a:graphicData uri="http://schemas.microsoft.com/office/word/2010/wordprocessingShape">
                    <wps:wsp>
                      <wps:cNvSpPr/>
                      <wps:spPr>
                        <a:xfrm>
                          <a:off x="0" y="0"/>
                          <a:ext cx="649111" cy="8297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1566A1" id="Rectangle 1" o:spid="_x0000_s1026" style="position:absolute;margin-left:293.15pt;margin-top:41.6pt;width:51.1pt;height:65.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" fillcolor="white [3212]" strokecolor="white [3212]" strokeweight="1pt"/>
            </w:pict>
          </mc:Fallback>
        </mc:AlternateContent>
      </w:r>
      <w:r w:rsidRPr="00AA4B35">
        <w:rPr>
          <w:rFonts w:cs="Times New Roman"/>
          <w:noProof/>
          <w:lang w:val="en-US"/>
        </w:rPr>
        <w:drawing>
          <wp:inline distT="0" distB="0" distL="0" distR="0" wp14:anchorId="5946A4FB" wp14:editId="07CCAAFB">
            <wp:extent cx="4490212" cy="2905432"/>
            <wp:effectExtent l="0" t="0" r="5715" b="9525"/>
            <wp:docPr id="1000762914" name="Picture 1" descr="A graph with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2914" name="Picture 1" descr="A graph with dots and numbers&#10;&#10;AI-generated content may be incorrect."/>
                    <pic:cNvPicPr/>
                  </pic:nvPicPr>
                  <pic:blipFill>
                    <a:blip r:embed="rId22"/>
                    <a:stretch>
                      <a:fillRect/>
                    </a:stretch>
                  </pic:blipFill>
                  <pic:spPr>
                    <a:xfrm>
                      <a:off x="0" y="0"/>
                      <a:ext cx="4490212" cy="2905432"/>
                    </a:xfrm>
                    <a:prstGeom prst="rect">
                      <a:avLst/>
                    </a:prstGeom>
                  </pic:spPr>
                </pic:pic>
              </a:graphicData>
            </a:graphic>
          </wp:inline>
        </w:drawing>
      </w:r>
    </w:p>
    <w:p w14:paraId="47F8CEDD" w14:textId="77777777" w:rsidR="00F27ABF" w:rsidRPr="00360886" w:rsidRDefault="00F27ABF" w:rsidP="002F5E27">
      <w:pPr>
        <w:spacing w:after="0" w:line="240" w:lineRule="auto"/>
        <w:jc w:val="both"/>
        <w:rPr>
          <w:u w:val="single"/>
          <w:lang w:val="en-US"/>
        </w:rPr>
      </w:pPr>
    </w:p>
    <w:sectPr w:rsidR="00F27ABF" w:rsidRPr="003608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F553" w14:textId="77777777" w:rsidR="00286BD4" w:rsidRDefault="00286BD4" w:rsidP="00326F45">
      <w:pPr>
        <w:spacing w:after="0" w:line="240" w:lineRule="auto"/>
      </w:pPr>
      <w:r>
        <w:separator/>
      </w:r>
    </w:p>
  </w:endnote>
  <w:endnote w:type="continuationSeparator" w:id="0">
    <w:p w14:paraId="4A3F2D97" w14:textId="77777777" w:rsidR="00286BD4" w:rsidRDefault="00286BD4" w:rsidP="00326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30679" w14:textId="77777777" w:rsidR="00286BD4" w:rsidRDefault="00286BD4" w:rsidP="00326F45">
      <w:pPr>
        <w:spacing w:after="0" w:line="240" w:lineRule="auto"/>
      </w:pPr>
      <w:r>
        <w:separator/>
      </w:r>
    </w:p>
  </w:footnote>
  <w:footnote w:type="continuationSeparator" w:id="0">
    <w:p w14:paraId="33971A3A" w14:textId="77777777" w:rsidR="00286BD4" w:rsidRDefault="00286BD4" w:rsidP="00326F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B620D"/>
    <w:multiLevelType w:val="hybridMultilevel"/>
    <w:tmpl w:val="9A5E8248"/>
    <w:lvl w:ilvl="0" w:tplc="AAD070AA">
      <w:numFmt w:val="bullet"/>
      <w:lvlText w:val="-"/>
      <w:lvlJc w:val="left"/>
      <w:pPr>
        <w:ind w:left="720" w:hanging="360"/>
      </w:pPr>
      <w:rPr>
        <w:rFonts w:ascii="Times New Roman" w:eastAsiaTheme="minorHAnsi" w:hAnsi="Times New Roman"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90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8C"/>
    <w:rsid w:val="000A13AF"/>
    <w:rsid w:val="000C350C"/>
    <w:rsid w:val="000D5635"/>
    <w:rsid w:val="000E253F"/>
    <w:rsid w:val="000E35CA"/>
    <w:rsid w:val="000F08B1"/>
    <w:rsid w:val="00100771"/>
    <w:rsid w:val="00124BAC"/>
    <w:rsid w:val="00134BF9"/>
    <w:rsid w:val="00145BB0"/>
    <w:rsid w:val="001A4462"/>
    <w:rsid w:val="001C6944"/>
    <w:rsid w:val="00226478"/>
    <w:rsid w:val="00257837"/>
    <w:rsid w:val="00260AB4"/>
    <w:rsid w:val="00286BD4"/>
    <w:rsid w:val="00293608"/>
    <w:rsid w:val="002A1339"/>
    <w:rsid w:val="002B1730"/>
    <w:rsid w:val="002F5E27"/>
    <w:rsid w:val="0030740F"/>
    <w:rsid w:val="00326F45"/>
    <w:rsid w:val="00343647"/>
    <w:rsid w:val="003506AF"/>
    <w:rsid w:val="00351B79"/>
    <w:rsid w:val="00360886"/>
    <w:rsid w:val="00365FED"/>
    <w:rsid w:val="00391065"/>
    <w:rsid w:val="003A07D2"/>
    <w:rsid w:val="003A2435"/>
    <w:rsid w:val="003B1860"/>
    <w:rsid w:val="003E0363"/>
    <w:rsid w:val="003F08D1"/>
    <w:rsid w:val="00400CBA"/>
    <w:rsid w:val="00406FDD"/>
    <w:rsid w:val="00412C73"/>
    <w:rsid w:val="0041748A"/>
    <w:rsid w:val="004367F2"/>
    <w:rsid w:val="00481890"/>
    <w:rsid w:val="00482037"/>
    <w:rsid w:val="004A0623"/>
    <w:rsid w:val="004A49C7"/>
    <w:rsid w:val="004B078D"/>
    <w:rsid w:val="004E5A4B"/>
    <w:rsid w:val="004E7E22"/>
    <w:rsid w:val="004F676A"/>
    <w:rsid w:val="005109B8"/>
    <w:rsid w:val="0051268E"/>
    <w:rsid w:val="00537173"/>
    <w:rsid w:val="005722D0"/>
    <w:rsid w:val="005843EC"/>
    <w:rsid w:val="006070A5"/>
    <w:rsid w:val="0065046A"/>
    <w:rsid w:val="00690474"/>
    <w:rsid w:val="00690F7A"/>
    <w:rsid w:val="006D69CE"/>
    <w:rsid w:val="006F305C"/>
    <w:rsid w:val="00783C56"/>
    <w:rsid w:val="007A78DD"/>
    <w:rsid w:val="007B3F2B"/>
    <w:rsid w:val="007B618A"/>
    <w:rsid w:val="007D10F1"/>
    <w:rsid w:val="007D7507"/>
    <w:rsid w:val="007E7127"/>
    <w:rsid w:val="007F5E4D"/>
    <w:rsid w:val="008207C1"/>
    <w:rsid w:val="0082242B"/>
    <w:rsid w:val="0083780A"/>
    <w:rsid w:val="0084225F"/>
    <w:rsid w:val="008449CC"/>
    <w:rsid w:val="0085592F"/>
    <w:rsid w:val="00864AB0"/>
    <w:rsid w:val="008C6AF4"/>
    <w:rsid w:val="008D286C"/>
    <w:rsid w:val="008F1FFF"/>
    <w:rsid w:val="00916BEC"/>
    <w:rsid w:val="00933F1C"/>
    <w:rsid w:val="00963D79"/>
    <w:rsid w:val="00985C7B"/>
    <w:rsid w:val="009863D6"/>
    <w:rsid w:val="009C3EB6"/>
    <w:rsid w:val="009D0A3B"/>
    <w:rsid w:val="00A015BA"/>
    <w:rsid w:val="00A10388"/>
    <w:rsid w:val="00A55D7B"/>
    <w:rsid w:val="00A659B6"/>
    <w:rsid w:val="00A944EA"/>
    <w:rsid w:val="00AC4C9A"/>
    <w:rsid w:val="00AC6352"/>
    <w:rsid w:val="00AE2E35"/>
    <w:rsid w:val="00B41D13"/>
    <w:rsid w:val="00BB4053"/>
    <w:rsid w:val="00BD5700"/>
    <w:rsid w:val="00BE54A0"/>
    <w:rsid w:val="00C36E4F"/>
    <w:rsid w:val="00C44794"/>
    <w:rsid w:val="00C47A8C"/>
    <w:rsid w:val="00C51262"/>
    <w:rsid w:val="00C53B77"/>
    <w:rsid w:val="00C53D2F"/>
    <w:rsid w:val="00C654D5"/>
    <w:rsid w:val="00C758FB"/>
    <w:rsid w:val="00C83A13"/>
    <w:rsid w:val="00C940F9"/>
    <w:rsid w:val="00CB3093"/>
    <w:rsid w:val="00D614AC"/>
    <w:rsid w:val="00D81999"/>
    <w:rsid w:val="00D8500E"/>
    <w:rsid w:val="00D93E2D"/>
    <w:rsid w:val="00DB23B7"/>
    <w:rsid w:val="00DE443E"/>
    <w:rsid w:val="00E5479A"/>
    <w:rsid w:val="00E644CC"/>
    <w:rsid w:val="00E65CA7"/>
    <w:rsid w:val="00E7395F"/>
    <w:rsid w:val="00EA3A80"/>
    <w:rsid w:val="00EC624F"/>
    <w:rsid w:val="00F055BB"/>
    <w:rsid w:val="00F27ABF"/>
    <w:rsid w:val="00F61F30"/>
    <w:rsid w:val="00F7215E"/>
    <w:rsid w:val="00FC14F4"/>
    <w:rsid w:val="00FE74B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0136"/>
  <w15:chartTrackingRefBased/>
  <w15:docId w15:val="{603EE382-390C-46B5-B16C-27E8396C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A8C"/>
    <w:rPr>
      <w:rFonts w:ascii="Times New Roman" w:hAnsi="Times New Roman"/>
    </w:rPr>
  </w:style>
  <w:style w:type="paragraph" w:styleId="Heading1">
    <w:name w:val="heading 1"/>
    <w:basedOn w:val="Normal"/>
    <w:next w:val="Normal"/>
    <w:link w:val="Heading1Char"/>
    <w:uiPriority w:val="9"/>
    <w:qFormat/>
    <w:rsid w:val="00C47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A8C"/>
    <w:rPr>
      <w:rFonts w:eastAsiaTheme="majorEastAsia" w:cstheme="majorBidi"/>
      <w:color w:val="272727" w:themeColor="text1" w:themeTint="D8"/>
    </w:rPr>
  </w:style>
  <w:style w:type="paragraph" w:styleId="Title">
    <w:name w:val="Title"/>
    <w:basedOn w:val="Normal"/>
    <w:next w:val="Normal"/>
    <w:link w:val="TitleChar"/>
    <w:uiPriority w:val="10"/>
    <w:qFormat/>
    <w:rsid w:val="00C47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A8C"/>
    <w:pPr>
      <w:spacing w:before="160"/>
      <w:jc w:val="center"/>
    </w:pPr>
    <w:rPr>
      <w:i/>
      <w:iCs/>
      <w:color w:val="404040" w:themeColor="text1" w:themeTint="BF"/>
    </w:rPr>
  </w:style>
  <w:style w:type="character" w:customStyle="1" w:styleId="QuoteChar">
    <w:name w:val="Quote Char"/>
    <w:basedOn w:val="DefaultParagraphFont"/>
    <w:link w:val="Quote"/>
    <w:uiPriority w:val="29"/>
    <w:rsid w:val="00C47A8C"/>
    <w:rPr>
      <w:i/>
      <w:iCs/>
      <w:color w:val="404040" w:themeColor="text1" w:themeTint="BF"/>
    </w:rPr>
  </w:style>
  <w:style w:type="paragraph" w:styleId="ListParagraph">
    <w:name w:val="List Paragraph"/>
    <w:basedOn w:val="Normal"/>
    <w:uiPriority w:val="34"/>
    <w:qFormat/>
    <w:rsid w:val="00C47A8C"/>
    <w:pPr>
      <w:ind w:left="720"/>
      <w:contextualSpacing/>
    </w:pPr>
  </w:style>
  <w:style w:type="character" w:styleId="IntenseEmphasis">
    <w:name w:val="Intense Emphasis"/>
    <w:basedOn w:val="DefaultParagraphFont"/>
    <w:uiPriority w:val="21"/>
    <w:qFormat/>
    <w:rsid w:val="00C47A8C"/>
    <w:rPr>
      <w:i/>
      <w:iCs/>
      <w:color w:val="0F4761" w:themeColor="accent1" w:themeShade="BF"/>
    </w:rPr>
  </w:style>
  <w:style w:type="paragraph" w:styleId="IntenseQuote">
    <w:name w:val="Intense Quote"/>
    <w:basedOn w:val="Normal"/>
    <w:next w:val="Normal"/>
    <w:link w:val="IntenseQuoteChar"/>
    <w:uiPriority w:val="30"/>
    <w:qFormat/>
    <w:rsid w:val="00C47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A8C"/>
    <w:rPr>
      <w:i/>
      <w:iCs/>
      <w:color w:val="0F4761" w:themeColor="accent1" w:themeShade="BF"/>
    </w:rPr>
  </w:style>
  <w:style w:type="character" w:styleId="IntenseReference">
    <w:name w:val="Intense Reference"/>
    <w:basedOn w:val="DefaultParagraphFont"/>
    <w:uiPriority w:val="32"/>
    <w:qFormat/>
    <w:rsid w:val="00C47A8C"/>
    <w:rPr>
      <w:b/>
      <w:bCs/>
      <w:smallCaps/>
      <w:color w:val="0F4761" w:themeColor="accent1" w:themeShade="BF"/>
      <w:spacing w:val="5"/>
    </w:rPr>
  </w:style>
  <w:style w:type="character" w:styleId="CommentReference">
    <w:name w:val="annotation reference"/>
    <w:basedOn w:val="DefaultParagraphFont"/>
    <w:uiPriority w:val="99"/>
    <w:semiHidden/>
    <w:unhideWhenUsed/>
    <w:rsid w:val="00C47A8C"/>
    <w:rPr>
      <w:sz w:val="16"/>
      <w:szCs w:val="16"/>
    </w:rPr>
  </w:style>
  <w:style w:type="paragraph" w:styleId="CommentText">
    <w:name w:val="annotation text"/>
    <w:basedOn w:val="Normal"/>
    <w:link w:val="CommentTextChar"/>
    <w:uiPriority w:val="99"/>
    <w:unhideWhenUsed/>
    <w:rsid w:val="00C47A8C"/>
    <w:pPr>
      <w:spacing w:line="240" w:lineRule="auto"/>
    </w:pPr>
    <w:rPr>
      <w:sz w:val="20"/>
      <w:szCs w:val="20"/>
    </w:rPr>
  </w:style>
  <w:style w:type="character" w:customStyle="1" w:styleId="CommentTextChar">
    <w:name w:val="Comment Text Char"/>
    <w:basedOn w:val="DefaultParagraphFont"/>
    <w:link w:val="CommentText"/>
    <w:uiPriority w:val="99"/>
    <w:rsid w:val="00C47A8C"/>
    <w:rPr>
      <w:rFonts w:ascii="Times New Roman" w:hAnsi="Times New Roman"/>
      <w:sz w:val="20"/>
      <w:szCs w:val="20"/>
    </w:rPr>
  </w:style>
  <w:style w:type="character" w:styleId="PlaceholderText">
    <w:name w:val="Placeholder Text"/>
    <w:basedOn w:val="DefaultParagraphFont"/>
    <w:uiPriority w:val="99"/>
    <w:semiHidden/>
    <w:rsid w:val="007B3F2B"/>
    <w:rPr>
      <w:color w:val="666666"/>
    </w:rPr>
  </w:style>
  <w:style w:type="paragraph" w:styleId="Header">
    <w:name w:val="header"/>
    <w:basedOn w:val="Normal"/>
    <w:link w:val="HeaderChar"/>
    <w:uiPriority w:val="99"/>
    <w:unhideWhenUsed/>
    <w:rsid w:val="00326F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6F45"/>
    <w:rPr>
      <w:rFonts w:ascii="Times New Roman" w:hAnsi="Times New Roman"/>
    </w:rPr>
  </w:style>
  <w:style w:type="paragraph" w:styleId="Footer">
    <w:name w:val="footer"/>
    <w:basedOn w:val="Normal"/>
    <w:link w:val="FooterChar"/>
    <w:uiPriority w:val="99"/>
    <w:unhideWhenUsed/>
    <w:rsid w:val="00326F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6F45"/>
    <w:rPr>
      <w:rFonts w:ascii="Times New Roman" w:hAnsi="Times New Roman"/>
    </w:rPr>
  </w:style>
  <w:style w:type="character" w:styleId="Hyperlink">
    <w:name w:val="Hyperlink"/>
    <w:basedOn w:val="DefaultParagraphFont"/>
    <w:uiPriority w:val="99"/>
    <w:unhideWhenUsed/>
    <w:rsid w:val="000D5635"/>
    <w:rPr>
      <w:color w:val="467886" w:themeColor="hyperlink"/>
      <w:u w:val="single"/>
    </w:rPr>
  </w:style>
  <w:style w:type="table" w:styleId="TableGrid">
    <w:name w:val="Table Grid"/>
    <w:basedOn w:val="TableNormal"/>
    <w:uiPriority w:val="39"/>
    <w:rsid w:val="00C36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B1860"/>
    <w:rPr>
      <w:b/>
      <w:bCs/>
    </w:rPr>
  </w:style>
  <w:style w:type="character" w:customStyle="1" w:styleId="CommentSubjectChar">
    <w:name w:val="Comment Subject Char"/>
    <w:basedOn w:val="CommentTextChar"/>
    <w:link w:val="CommentSubject"/>
    <w:uiPriority w:val="99"/>
    <w:semiHidden/>
    <w:rsid w:val="003B186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50551">
      <w:marLeft w:val="640"/>
      <w:marRight w:val="0"/>
      <w:marTop w:val="0"/>
      <w:marBottom w:val="0"/>
      <w:divBdr>
        <w:top w:val="none" w:sz="0" w:space="0" w:color="auto"/>
        <w:left w:val="none" w:sz="0" w:space="0" w:color="auto"/>
        <w:bottom w:val="none" w:sz="0" w:space="0" w:color="auto"/>
        <w:right w:val="none" w:sz="0" w:space="0" w:color="auto"/>
      </w:divBdr>
    </w:div>
    <w:div w:id="1347824377">
      <w:marLeft w:val="640"/>
      <w:marRight w:val="0"/>
      <w:marTop w:val="0"/>
      <w:marBottom w:val="0"/>
      <w:divBdr>
        <w:top w:val="none" w:sz="0" w:space="0" w:color="auto"/>
        <w:left w:val="none" w:sz="0" w:space="0" w:color="auto"/>
        <w:bottom w:val="none" w:sz="0" w:space="0" w:color="auto"/>
        <w:right w:val="none" w:sz="0" w:space="0" w:color="auto"/>
      </w:divBdr>
    </w:div>
    <w:div w:id="1362239449">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bastiaan.dalle@kuleuven.be" TargetMode="External"/><Relationship Id="rId13" Type="http://schemas.openxmlformats.org/officeDocument/2006/relationships/image" Target="media/image5.tif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1.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fontTable" Target="fontTable.xml"/><Relationship Id="rId10" Type="http://schemas.openxmlformats.org/officeDocument/2006/relationships/image" Target="media/image2.tiff"/><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BB60D726A041C48F8DD92B45814995"/>
        <w:category>
          <w:name w:val="General"/>
          <w:gallery w:val="placeholder"/>
        </w:category>
        <w:types>
          <w:type w:val="bbPlcHdr"/>
        </w:types>
        <w:behaviors>
          <w:behavior w:val="content"/>
        </w:behaviors>
        <w:guid w:val="{2245122B-A4A6-4B2E-9F94-672D32369706}"/>
      </w:docPartPr>
      <w:docPartBody>
        <w:p w:rsidR="006F553B" w:rsidRDefault="00A03D9D" w:rsidP="00A03D9D">
          <w:pPr>
            <w:pStyle w:val="3CBB60D726A041C48F8DD92B45814995"/>
          </w:pPr>
          <w:r w:rsidRPr="00B358F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5CAA176-19D2-4133-90D8-F93414B773B9}"/>
      </w:docPartPr>
      <w:docPartBody>
        <w:p w:rsidR="006F553B" w:rsidRDefault="00A03D9D">
          <w:r w:rsidRPr="00692664">
            <w:rPr>
              <w:rStyle w:val="PlaceholderText"/>
            </w:rPr>
            <w:t>Click or tap here to enter text.</w:t>
          </w:r>
        </w:p>
      </w:docPartBody>
    </w:docPart>
    <w:docPart>
      <w:docPartPr>
        <w:name w:val="1FAC69DAFEE14FAB972DA6C8A9724BBB"/>
        <w:category>
          <w:name w:val="General"/>
          <w:gallery w:val="placeholder"/>
        </w:category>
        <w:types>
          <w:type w:val="bbPlcHdr"/>
        </w:types>
        <w:behaviors>
          <w:behavior w:val="content"/>
        </w:behaviors>
        <w:guid w:val="{43A53DCF-3CEE-459D-B43F-AC0759B38869}"/>
      </w:docPartPr>
      <w:docPartBody>
        <w:p w:rsidR="00297ADB" w:rsidRDefault="00297ADB" w:rsidP="00297ADB">
          <w:pPr>
            <w:pStyle w:val="1FAC69DAFEE14FAB972DA6C8A9724BBB"/>
          </w:pPr>
          <w:r w:rsidRPr="00B358F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9D"/>
    <w:rsid w:val="001A0EAE"/>
    <w:rsid w:val="00226478"/>
    <w:rsid w:val="00260AB4"/>
    <w:rsid w:val="00297ADB"/>
    <w:rsid w:val="00343241"/>
    <w:rsid w:val="003E0363"/>
    <w:rsid w:val="003F237A"/>
    <w:rsid w:val="00633009"/>
    <w:rsid w:val="006F553B"/>
    <w:rsid w:val="007E7127"/>
    <w:rsid w:val="008207C1"/>
    <w:rsid w:val="00961109"/>
    <w:rsid w:val="00985C7B"/>
    <w:rsid w:val="00A03D9D"/>
    <w:rsid w:val="00A90174"/>
    <w:rsid w:val="00A944EA"/>
    <w:rsid w:val="00B61FD5"/>
    <w:rsid w:val="00C83A13"/>
    <w:rsid w:val="00CB3093"/>
    <w:rsid w:val="00D614AC"/>
    <w:rsid w:val="00DF7CED"/>
    <w:rsid w:val="00E644CC"/>
    <w:rsid w:val="00FC14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7ADB"/>
    <w:rPr>
      <w:color w:val="808080"/>
    </w:rPr>
  </w:style>
  <w:style w:type="paragraph" w:customStyle="1" w:styleId="3CBB60D726A041C48F8DD92B45814995">
    <w:name w:val="3CBB60D726A041C48F8DD92B45814995"/>
    <w:rsid w:val="00A03D9D"/>
  </w:style>
  <w:style w:type="paragraph" w:customStyle="1" w:styleId="1FAC69DAFEE14FAB972DA6C8A9724BBB">
    <w:name w:val="1FAC69DAFEE14FAB972DA6C8A9724BBB"/>
    <w:rsid w:val="00297A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D0BBBB-8077-4868-81B2-29F683F8FD52}">
  <we:reference id="f78a3046-9e99-4300-aa2b-5814002b01a2" version="1.55.1.0" store="EXCatalog" storeType="EXCatalog"/>
  <we:alternateReferences>
    <we:reference id="WA104382081" version="1.55.1.0" store="fr-BE" storeType="OMEX"/>
  </we:alternateReferences>
  <we:properties>
    <we:property name="MENDELEY_BIBLIOGRAPHY_IS_DIRTY" value="true"/>
    <we:property name="MENDELEY_BIBLIOGRAPHY_LAST_MODIFIED" value="1770733663853"/>
    <we:property name="MENDELEY_CITATIONS" value="[{&quot;citationID&quot;:&quot;MENDELEY_CITATION_0b6ab0ee-6d9a-4d75-b149-0534a13f7188&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&quot;,&quot;citationItems&quot;:[{&quot;id&quot;:&quot;210490fb-e1d6-3827-baae-b369aa086f5e&quot;,&quot;itemData&quot;:{&quot;type&quot;:&quot;report&quot;,&quot;id&quot;:&quot;210490fb-e1d6-3827-baae-b369aa086f5e&quot;,&quot;title&quot;:&quot;Transcriptomic analysis of human ALS skeletal muscle reveals a disease-specific pattern of dysregulated circRNAs&quot;,&quot;author&quot;:[{&quot;family&quot;:&quot;Tsitsipatis&quot;,&quot;given&quot;:&quot;Dimitrios&quot;,&quot;parse-names&quot;:false,&quot;dropping-particle&quot;:&quot;&quot;,&quot;non-dropping-particle&quot;:&quot;&quot;},{&quot;family&quot;:&quot;Mazan-Mamczarz&quot;,&quot;given&quot;:&quot;Krystyna&quot;,&quot;parse-names&quot;:false,&quot;dropping-particle&quot;:&quot;&quot;,&quot;non-dropping-particle&quot;:&quot;&quot;},{&quot;family&quot;:&quot;Si&quot;,&quot;given&quot;:&quot;Ying&quot;,&quot;parse-names&quot;:false,&quot;dropping-particle&quot;:&quot;&quot;,&quot;non-dropping-particle&quot;:&quot;&quot;},{&quot;family&quot;:&quot;Herman&quot;,&quot;given&quot;:&quot;Allison B&quot;,&quot;parse-names&quot;:false,&quot;dropping-particle&quot;:&quot;&quot;,&quot;non-dropping-particle&quot;:&quot;&quot;},{&quot;family&quot;:&quot;Yang&quot;,&quot;given&quot;:&quot;Jen-Hao&quot;,&quot;parse-names&quot;:false,&quot;dropping-particle&quot;:&quot;&quot;,&quot;non-dropping-particle&quot;:&quot;&quot;},{&quot;family&quot;:&quot;Guha&quot;,&quot;given&quot;:&quot;Abhishek&quot;,&quot;parse-names&quot;:false,&quot;dropping-particle&quot;:&quot;&quot;,&quot;non-dropping-particle&quot;:&quot;&quot;},{&quot;family&quot;:&quot;Piao&quot;,&quot;given&quot;:&quot;Yulan&quot;,&quot;parse-names&quot;:false,&quot;dropping-particle&quot;:&quot;&quot;,&quot;non-dropping-particle&quot;:&quot;&quot;},{&quot;family&quot;:&quot;Fan&quot;,&quot;given&quot;:&quot;Jinshui&quot;,&quot;parse-names&quot;:false,&quot;dropping-particle&quot;:&quot;&quot;,&quot;non-dropping-particle&quot;:&quot;&quot;},{&quot;family&quot;:&quot;Martindale&quot;,&quot;given&quot;:&quot;Jennifer L&quot;,&quot;parse-names&quot;:false,&quot;dropping-particle&quot;:&quot;&quot;,&quot;non-dropping-particle&quot;:&quot;&quot;},{&quot;family&quot;:&quot;Munk&quot;,&quot;given&quot;:&quot;Rachel&quot;,&quot;parse-names&quot;:false,&quot;dropping-particle&quot;:&quot;&quot;,&quot;non-dropping-particle&quot;:&quot;&quot;},{&quot;family&quot;:&quot;Yang&quot;,&quot;given&quot;:&quot;Xiaoling&quot;,&quot;parse-names&quot;:false,&quot;dropping-particle&quot;:&quot;&quot;,&quot;non-dropping-particle&quot;:&quot;&quot;},{&quot;family&quot;:&quot;De&quot;,&quot;given&quot;:&quot;Supriyo&quot;,&quot;parse-names&quot;:false,&quot;dropping-particle&quot;:&quot;&quot;,&quot;non-dropping-particle&quot;:&quot;&quot;},{&quot;family&quot;:&quot;Singh&quot;,&quot;given&quot;:&quot;Brijesh K&quot;,&quot;parse-names&quot;:false,&quot;dropping-particle&quot;:&quot;&quot;,&quot;non-dropping-particle&quot;:&quot;&quot;},{&quot;family&quot;:&quot;Ho&quot;,&quot;given&quot;:&quot;Ritchie&quot;,&quot;parse-names&quot;:false,&quot;dropping-particle&quot;:&quot;&quot;,&quot;non-dropping-particle&quot;:&quot;&quot;},{&quot;family&quot;:&quot;Gorospe&quot;,&quot;given&quot;:&quot;Myriam&quot;,&quot;parse-names&quot;:false,&quot;dropping-particle&quot;:&quot;&quot;,&quot;non-dropping-particle&quot;:&quot;&quot;},{&quot;family&quot;:&quot;King&quot;,&quot;given&quot;:&quot;Peter H&quot;,&quot;parse-names&quot;:false,&quot;dropping-particle&quot;:&quot;&quot;,&quot;non-dropping-particle&quot;:&quot;&quot;}],&quot;container-title&quot;:&quot;AGING 2022&quot;,&quot;URL&quot;:&quot;www.aging-us.comwww.aging-us.com&quot;,&quot;issued&quot;:{&quot;date-parts&quot;:[[2022]]},&quot;abstract&quot;:&quot;Circular RNAs are abundant, covalently closed transcripts that arise in cells through back-splicing and display distinct expression patterns across cells and developmental stages. While their functions are largely unknown, their intrinsic stability has made them valuable biomarkers in many diseases. Here, we set out to examine circRNA patterns in amyotrophic lateral sclerosis (ALS). By RNA-sequencing analysis, we first identified circRNAs and linear RNAs that were differentially abundant in skeletal muscle biopsies from ALS compared to normal individuals. By RT-qPCR analysis, we confirmed that 8 circRNAs were significantly elevated and 10 were significantly reduced in ALS, while the linear mRNA counterparts, arising from shared precursor RNAs, generally did not change. Several of these circRNAs were also differentially abundant in motor neurons derived from human induced pluripotent stem cells (iPSCs) bearing ALS mutations, and across different disease stages in skeletal muscle from a mouse model of ALS (SOD1 G93A). Interestingly, a subset of the circRNAs significantly elevated in ALS muscle biopsies were significantly reduced in the spinal cord samples from ALS patients and ALS (SOD1 G93A) mice. In sum, we have identified differentially abundant circRNAs in ALS-relevant tissues (muscle and spinal cord) that could inform about neuromuscular molecular programs in ALS and guide the development of therapies.&quot;,&quot;issue&quot;:&quot;24&quot;,&quot;volume&quot;:&quot;14&quot;,&quot;container-title-short&quot;:&quot;&quot;},&quot;isTemporary&quot;:false}]},{&quot;citationID&quot;:&quot;MENDELEY_CITATION_8a38b6a4-2600-45cd-90e7-8c4c172155dd&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&quot;,&quot;citationItems&quot;:[{&quot;id&quot;:&quot;8a97cfb8-b397-3c8b-9f71-49aed673c73c&quot;,&quot;itemData&quot;:{&quot;type&quot;:&quot;article-journal&quot;,&quot;id&quot;:&quot;8a97cfb8-b397-3c8b-9f71-49aed673c73c&quot;,&quot;title&quot;:&quot;STAR: Ultrafast universal RNA-seq aligner&quot;,&quot;author&quot;:[{&quot;family&quot;:&quot;Dobin&quot;,&quot;given&quot;:&quot;Alexander&quot;,&quot;parse-names&quot;:false,&quot;dropping-particle&quot;:&quot;&quot;,&quot;non-dropping-particle&quot;:&quot;&quot;},{&quot;family&quot;:&quot;Davis&quot;,&quot;given&quot;:&quot;Carrie A.&quot;,&quot;parse-names&quot;:false,&quot;dropping-particle&quot;:&quot;&quot;,&quot;non-dropping-particle&quot;:&quot;&quot;},{&quot;family&quot;:&quot;Schlesinger&quot;,&quot;given&quot;:&quot;Felix&quot;,&quot;parse-names&quot;:false,&quot;dropping-particle&quot;:&quot;&quot;,&quot;non-dropping-particle&quot;:&quot;&quot;},{&quot;family&quot;:&quot;Drenkow&quot;,&quot;given&quot;:&quot;Jorg&quot;,&quot;parse-names&quot;:false,&quot;dropping-particle&quot;:&quot;&quot;,&quot;non-dropping-particle&quot;:&quot;&quot;},{&quot;family&quot;:&quot;Zaleski&quot;,&quot;given&quot;:&quot;Chris&quot;,&quot;parse-names&quot;:false,&quot;dropping-particle&quot;:&quot;&quot;,&quot;non-dropping-particle&quot;:&quot;&quot;},{&quot;family&quot;:&quot;Jha&quot;,&quot;given&quot;:&quot;Sonali&quot;,&quot;parse-names&quot;:false,&quot;dropping-particle&quot;:&quot;&quot;,&quot;non-dropping-particle&quot;:&quot;&quot;},{&quot;family&quot;:&quot;Batut&quot;,&quot;given&quot;:&quot;Philippe&quot;,&quot;parse-names&quot;:false,&quot;dropping-particle&quot;:&quot;&quot;,&quot;non-dropping-particle&quot;:&quot;&quot;},{&quot;family&quot;:&quot;Chaisson&quot;,&quot;given&quot;:&quot;Mark&quot;,&quot;parse-names&quot;:false,&quot;dropping-particle&quot;:&quot;&quot;,&quot;non-dropping-particle&quot;:&quot;&quot;},{&quot;family&quot;:&quot;Gingeras&quot;,&quot;given&quot;:&quot;Thomas R.&quot;,&quot;parse-names&quot;:false,&quot;dropping-particle&quot;:&quot;&quot;,&quot;non-dropping-particle&quot;:&quot;&quot;}],&quot;container-title&quot;:&quot;Bioinformatics&quot;,&quot;DOI&quot;:&quot;10.1093/bioinformatics/bts635&quot;,&quot;ISSN&quot;:&quot;13674803&quot;,&quot;PMID&quot;:&quot;23104886&quot;,&quot;issued&quot;:{&quot;date-parts&quot;:[[2013,1]]},&quot;page&quot;:&quot;15-21&quot;,&quot;abstract&quot;:&quo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 The Author(s) 2012. Published by Oxford University Press.&quot;,&quot;issue&quot;:&quot;1&quot;,&quot;volume&quot;:&quot;29&quot;,&quot;container-title-short&quot;:&quot;&quot;},&quot;isTemporary&quot;:false}]},{&quot;citationID&quot;:&quot;MENDELEY_CITATION_4c77be7c-0098-45bf-89d1-95c707b27a2b&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&quot;,&quot;citationItems&quot;:[{&quot;id&quot;:&quot;7828f011-84c6-39dd-8f17-55b671551419&quot;,&quot;itemData&quot;:{&quot;type&quot;:&quot;article-journal&quot;,&quot;id&quot;:&quot;7828f011-84c6-39dd-8f17-55b671551419&quot;,&quot;title&quot;:&quot;FeatureCounts: An efficient general purpose program for assigning sequence reads to genomic features&quot;,&quot;author&quot;:[{&quot;family&quot;:&quot;Liao&quot;,&quot;given&quot;:&quot;Yang&quot;,&quot;parse-names&quot;:false,&quot;dropping-particle&quot;:&quot;&quot;,&quot;non-dropping-particle&quot;:&quot;&quot;},{&quot;family&quot;:&quot;Smyth&quot;,&quot;given&quot;:&quot;Gordon K.&quot;,&quot;parse-names&quot;:false,&quot;dropping-particle&quot;:&quot;&quot;,&quot;non-dropping-particle&quot;:&quot;&quot;},{&quot;family&quot;:&quot;Shi&quot;,&quot;given&quot;:&quot;Wei&quot;,&quot;parse-names&quot;:false,&quot;dropping-particle&quot;:&quot;&quot;,&quot;non-dropping-particle&quot;:&quot;&quot;}],&quot;container-title&quot;:&quot;Bioinformatics&quot;,&quot;DOI&quot;:&quot;10.1093/bioinformatics/btt656&quot;,&quot;ISSN&quot;:&quot;14602059&quot;,&quot;PMID&quot;:&quot;24227677&quot;,&quot;issued&quot;:{&quot;date-parts&quot;:[[2014,4,1]]},&quot;page&quot;:&quot;923-930&quot;,&quot;abstract&quot;:&quot;Motivation: Next-generation sequencing technologies generate millions of short sequence reads, which are usually aligned to a reference genome. In many applications, the key information required for downstream analysis is the number of reads mapping to each genomic feature, for example to each exon or each gene. The process of counting reads is called read summarization. Read summarization is required for a great variety of genomic analyses but has so far received relatively little attention in the literature.Results: We present featureCounts, a read summarization program suitable for counting reads generated from either RNA or genomic DNA sequencing experiments. featureCounts implements highly efficient chromosome hashing and feature blocking techniques. It is considerably faster than existing methods (by an order of magnitude for gene-level summarization) and requires far less computer memory. It works with either single or paired-end reads and provides a wide range of options appropriate for different sequencing applications. © 2013 The Author 2013. Published by Oxford University Press. All rights reserved.&quot;,&quot;publisher&quot;:&quot;Oxford University Press&quot;,&quot;issue&quot;:&quot;7&quot;,&quot;volume&quot;:&quot;30&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4BAE3-B041-4EEC-8F0F-DB97A4DF1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3275</Words>
  <Characters>18014</Characters>
  <Application>Microsoft Office Word</Application>
  <DocSecurity>0</DocSecurity>
  <Lines>150</Lines>
  <Paragraphs>42</Paragraphs>
  <ScaleCrop>false</ScaleCrop>
  <Company/>
  <LinksUpToDate>false</LinksUpToDate>
  <CharactersWithSpaces>21247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Sebastiaan Dalle</dc:creator>
  <cp:keywords/>
  <dc:description/>
  <cp:lastModifiedBy>Sebastiaan Dalle</cp:lastModifiedBy>
  <cp:revision>101</cp:revision>
  <dcterms:created xsi:type="dcterms:W3CDTF">2026-02-10T14:11:00Z</dcterms:created>
  <dcterms:modified xsi:type="dcterms:W3CDTF">2026-07-24T13:56:00Z</dcterms:modified>
</cp:coreProperties>
</file>