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32EB1" w14:textId="6438D9DA" w:rsidR="005206EC" w:rsidRPr="009A5453" w:rsidRDefault="003433D6" w:rsidP="00E82A85">
      <w:pPr>
        <w:tabs>
          <w:tab w:val="left" w:pos="1218"/>
        </w:tabs>
        <w:ind w:left="-99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3EA1" w:rsidRPr="00025EFA">
        <w:rPr>
          <w:rFonts w:ascii="Times New Roman" w:hAnsi="Times New Roman" w:cs="Times New Roman"/>
          <w:sz w:val="24"/>
          <w:szCs w:val="24"/>
        </w:rPr>
        <w:t xml:space="preserve">Table </w:t>
      </w:r>
      <w:r w:rsidR="00A42514">
        <w:rPr>
          <w:rFonts w:ascii="Times New Roman" w:hAnsi="Times New Roman" w:cs="Times New Roman"/>
          <w:sz w:val="24"/>
          <w:szCs w:val="24"/>
        </w:rPr>
        <w:t>S</w:t>
      </w:r>
      <w:r w:rsidR="00EC1DC3">
        <w:rPr>
          <w:rFonts w:ascii="Times New Roman" w:hAnsi="Times New Roman" w:cs="Times New Roman"/>
          <w:sz w:val="24"/>
          <w:szCs w:val="24"/>
        </w:rPr>
        <w:t>1</w:t>
      </w:r>
      <w:r w:rsidR="00323EA1" w:rsidRPr="00025EFA">
        <w:rPr>
          <w:rFonts w:ascii="Times New Roman" w:hAnsi="Times New Roman" w:cs="Times New Roman"/>
          <w:sz w:val="24"/>
          <w:szCs w:val="24"/>
        </w:rPr>
        <w:t>.</w:t>
      </w:r>
      <w:r w:rsidR="00E71F35">
        <w:rPr>
          <w:rFonts w:ascii="Times New Roman" w:hAnsi="Times New Roman" w:cs="Times New Roman"/>
          <w:sz w:val="24"/>
          <w:szCs w:val="24"/>
        </w:rPr>
        <w:t xml:space="preserve"> </w:t>
      </w:r>
      <w:r w:rsidR="00110B06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00110B06" w:rsidRPr="009A5453">
        <w:rPr>
          <w:rFonts w:ascii="Times New Roman" w:hAnsi="Times New Roman" w:cs="Times New Roman"/>
          <w:i/>
          <w:iCs/>
          <w:sz w:val="24"/>
          <w:szCs w:val="24"/>
        </w:rPr>
        <w:t>ummary of study characteristics, m</w:t>
      </w:r>
      <w:r w:rsidR="00DE03F6" w:rsidRPr="009A5453">
        <w:rPr>
          <w:rFonts w:ascii="Times New Roman" w:hAnsi="Times New Roman" w:cs="Times New Roman"/>
          <w:i/>
          <w:iCs/>
          <w:sz w:val="24"/>
          <w:szCs w:val="24"/>
        </w:rPr>
        <w:t>ethodology</w:t>
      </w:r>
      <w:r w:rsidR="00110B06" w:rsidRPr="009A5453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DE03F6" w:rsidRPr="009A5453">
        <w:rPr>
          <w:rFonts w:ascii="Times New Roman" w:hAnsi="Times New Roman" w:cs="Times New Roman"/>
          <w:i/>
          <w:iCs/>
          <w:sz w:val="24"/>
          <w:szCs w:val="24"/>
        </w:rPr>
        <w:t xml:space="preserve"> and </w:t>
      </w:r>
      <w:r w:rsidR="00110B06" w:rsidRPr="009A5453">
        <w:rPr>
          <w:rFonts w:ascii="Times New Roman" w:hAnsi="Times New Roman" w:cs="Times New Roman"/>
          <w:i/>
          <w:iCs/>
          <w:sz w:val="24"/>
          <w:szCs w:val="24"/>
        </w:rPr>
        <w:t xml:space="preserve">results </w:t>
      </w:r>
      <w:r w:rsidR="00DE03F6" w:rsidRPr="009A5453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="00110B06" w:rsidRPr="009A5453">
        <w:rPr>
          <w:rFonts w:ascii="Times New Roman" w:hAnsi="Times New Roman" w:cs="Times New Roman"/>
          <w:i/>
          <w:iCs/>
          <w:sz w:val="24"/>
          <w:szCs w:val="24"/>
        </w:rPr>
        <w:t>f</w:t>
      </w:r>
      <w:r w:rsidR="00D9014A" w:rsidRPr="009A5453">
        <w:rPr>
          <w:rFonts w:ascii="Times New Roman" w:hAnsi="Times New Roman" w:cs="Times New Roman"/>
          <w:i/>
          <w:iCs/>
          <w:sz w:val="24"/>
          <w:szCs w:val="24"/>
        </w:rPr>
        <w:t xml:space="preserve"> studies</w:t>
      </w:r>
      <w:r w:rsidR="00110B06" w:rsidRPr="009A5453">
        <w:rPr>
          <w:rFonts w:ascii="Times New Roman" w:hAnsi="Times New Roman" w:cs="Times New Roman"/>
          <w:i/>
          <w:iCs/>
          <w:sz w:val="24"/>
          <w:szCs w:val="24"/>
        </w:rPr>
        <w:t xml:space="preserve"> employing latent class analysis of drug use patterns among adolescents</w:t>
      </w:r>
      <w:r w:rsidR="00D9014A" w:rsidRPr="009A545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pPr w:leftFromText="181" w:rightFromText="181" w:vertAnchor="text" w:horzAnchor="margin" w:tblpX="-993" w:tblpY="294"/>
        <w:tblW w:w="15876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855"/>
        <w:gridCol w:w="1418"/>
        <w:gridCol w:w="1559"/>
        <w:gridCol w:w="992"/>
        <w:gridCol w:w="704"/>
        <w:gridCol w:w="1706"/>
        <w:gridCol w:w="1843"/>
        <w:gridCol w:w="2551"/>
        <w:gridCol w:w="1418"/>
        <w:gridCol w:w="1842"/>
      </w:tblGrid>
      <w:tr w:rsidR="009A5453" w:rsidRPr="009A5453" w14:paraId="385EC163" w14:textId="77777777" w:rsidTr="00E82A85">
        <w:trPr>
          <w:trHeight w:val="268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6A1CE478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Author(s) (year)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7175BFF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 xml:space="preserve">Sample size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4D53121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Sample characteristics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06E9093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Sample represent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35126FA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Drug types in LCA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1F52EF48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Definition of polydrug use</w:t>
            </w:r>
          </w:p>
        </w:tc>
        <w:tc>
          <w:tcPr>
            <w:tcW w:w="1706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4BB24FC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Key drug use measures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12AC89F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Cluster names and prevalence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0034E94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Cluster descriptors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08E5EC8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Measures of academic performance and school factors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000000" w:fill="FFFFFF"/>
            <w:hideMark/>
          </w:tcPr>
          <w:p w14:paraId="77B00FE5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Correlates of academic performance with polydrug use findings</w:t>
            </w:r>
          </w:p>
        </w:tc>
      </w:tr>
      <w:tr w:rsidR="009A5453" w:rsidRPr="009A5453" w14:paraId="7C360B2D" w14:textId="77777777" w:rsidTr="00E82A85">
        <w:trPr>
          <w:trHeight w:val="1510"/>
        </w:trPr>
        <w:tc>
          <w:tcPr>
            <w:tcW w:w="988" w:type="dxa"/>
            <w:tcBorders>
              <w:bottom w:val="nil"/>
            </w:tcBorders>
            <w:shd w:val="clear" w:color="auto" w:fill="auto"/>
          </w:tcPr>
          <w:p w14:paraId="262DD19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Assanangkornchai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et al. (2018)</w:t>
            </w:r>
          </w:p>
        </w:tc>
        <w:tc>
          <w:tcPr>
            <w:tcW w:w="855" w:type="dxa"/>
            <w:tcBorders>
              <w:bottom w:val="nil"/>
            </w:tcBorders>
            <w:shd w:val="clear" w:color="auto" w:fill="auto"/>
          </w:tcPr>
          <w:p w14:paraId="46CEC43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25566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14:paraId="606A6792" w14:textId="2CCAA141" w:rsidR="00EA0FF2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54% female</w:t>
            </w:r>
          </w:p>
          <w:p w14:paraId="054AE99F" w14:textId="4D703B8D" w:rsidR="005206EC" w:rsidRPr="009A5453" w:rsidRDefault="00EA0FF2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ge range = 12-15</w:t>
            </w:r>
            <w:r w:rsidR="009A5453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years</w:t>
            </w:r>
          </w:p>
          <w:p w14:paraId="25F1389A" w14:textId="74990756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Location: Thailand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auto"/>
          </w:tcPr>
          <w:p w14:paraId="32153C7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Sample drawn from 119 schools using 2-stage stratified clustering, responses from the National School survey.</w:t>
            </w:r>
          </w:p>
        </w:tc>
        <w:tc>
          <w:tcPr>
            <w:tcW w:w="992" w:type="dxa"/>
            <w:tcBorders>
              <w:bottom w:val="nil"/>
            </w:tcBorders>
            <w:shd w:val="clear" w:color="auto" w:fill="auto"/>
          </w:tcPr>
          <w:p w14:paraId="7A86FED9" w14:textId="77777777" w:rsidR="006369DE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 C E H IN MT T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Cannabis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</w:r>
            <w:r w:rsidR="00B55A8D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Anxiolytics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</w:r>
            <w:r w:rsidR="006369DE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Meth</w:t>
            </w:r>
          </w:p>
          <w:p w14:paraId="73BE91BA" w14:textId="14902FD0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Ketamine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Kratom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Opium </w:t>
            </w:r>
          </w:p>
        </w:tc>
        <w:tc>
          <w:tcPr>
            <w:tcW w:w="704" w:type="dxa"/>
            <w:tcBorders>
              <w:bottom w:val="nil"/>
            </w:tcBorders>
            <w:shd w:val="clear" w:color="auto" w:fill="auto"/>
          </w:tcPr>
          <w:p w14:paraId="70E9723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month A use; past year drug use</w:t>
            </w:r>
          </w:p>
        </w:tc>
        <w:tc>
          <w:tcPr>
            <w:tcW w:w="1706" w:type="dxa"/>
            <w:tcBorders>
              <w:bottom w:val="nil"/>
            </w:tcBorders>
            <w:shd w:val="clear" w:color="auto" w:fill="auto"/>
          </w:tcPr>
          <w:p w14:paraId="46D0C775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20 discrete variables assessing different health risk areas (A use, drugs, behaviours related to unintentional &amp; intentional injury)</w:t>
            </w:r>
          </w:p>
        </w:tc>
        <w:tc>
          <w:tcPr>
            <w:tcW w:w="1843" w:type="dxa"/>
            <w:tcBorders>
              <w:bottom w:val="nil"/>
            </w:tcBorders>
            <w:shd w:val="clear" w:color="auto" w:fill="auto"/>
          </w:tcPr>
          <w:p w14:paraId="5280B4F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Low risk behaviours (88%); II. Moderate risk behaviours (11%); III. High risk behaviours (0.6%)</w:t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14:paraId="2EAC0D7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low-risk behaviours (moderate A use)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Moderate-risk behaviours e.g., driving under the influence of A, fighting, carrying a weapon, A &amp; T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High-risk behaviours e.g., use of illicit drugs (kratom &amp; cannabis)</w:t>
            </w:r>
          </w:p>
        </w:tc>
        <w:tc>
          <w:tcPr>
            <w:tcW w:w="1418" w:type="dxa"/>
            <w:tcBorders>
              <w:bottom w:val="nil"/>
            </w:tcBorders>
            <w:shd w:val="clear" w:color="auto" w:fill="auto"/>
          </w:tcPr>
          <w:p w14:paraId="198CCFD1" w14:textId="0332C101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GPA (0 - 4, with higher indicating better performance).</w:t>
            </w:r>
          </w:p>
        </w:tc>
        <w:tc>
          <w:tcPr>
            <w:tcW w:w="1842" w:type="dxa"/>
            <w:tcBorders>
              <w:bottom w:val="nil"/>
            </w:tcBorders>
            <w:shd w:val="clear" w:color="auto" w:fill="auto"/>
          </w:tcPr>
          <w:p w14:paraId="4A0D5300" w14:textId="7CB7B10A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Moderate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High-risk classes associated with a lower GPA</w:t>
            </w:r>
          </w:p>
        </w:tc>
      </w:tr>
      <w:tr w:rsidR="009A5453" w:rsidRPr="009A5453" w14:paraId="047CB48A" w14:textId="77777777" w:rsidTr="00E82A85">
        <w:trPr>
          <w:trHeight w:val="2195"/>
        </w:trPr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057B7E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Banks et al. (2020)</w:t>
            </w:r>
          </w:p>
        </w:tc>
        <w:tc>
          <w:tcPr>
            <w:tcW w:w="855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038059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White: </w:t>
            </w:r>
          </w:p>
          <w:p w14:paraId="003B73C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7271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</w:r>
          </w:p>
          <w:p w14:paraId="03D5982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Black: </w:t>
            </w:r>
          </w:p>
          <w:p w14:paraId="343ABF8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1301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84BB2D6" w14:textId="44EEA7E1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White: 54.61% female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Black: 59.89% female</w:t>
            </w:r>
          </w:p>
          <w:p w14:paraId="7518F5DF" w14:textId="0A11498A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Age </w:t>
            </w:r>
            <w:r w:rsid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nr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.</w:t>
            </w:r>
          </w:p>
          <w:p w14:paraId="599D6FCF" w14:textId="52FA4C1C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Location: USA (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midwest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)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7D74586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State sample of 159 schools from 21 districts, drawn from a larger longitudinal study.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Grades: 9-12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892D9A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T A M I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Other (e.g., C E LSD MT)</w:t>
            </w:r>
          </w:p>
        </w:tc>
        <w:tc>
          <w:tcPr>
            <w:tcW w:w="704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64B5C44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30-day use</w:t>
            </w:r>
          </w:p>
        </w:tc>
        <w:tc>
          <w:tcPr>
            <w:tcW w:w="1706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2C387A8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Frequency of use in past 30 days (0 days/1-2/3-9/10-30)</w:t>
            </w:r>
          </w:p>
        </w:tc>
        <w:tc>
          <w:tcPr>
            <w:tcW w:w="1843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0DC0EAC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Black: 4 clusters - I. Non-use (87.8%); II. A &amp; M use (6.3%); III.A, M, &amp; cigarette use (3.8%); IV. Frequent Polysubstance use (2%)</w:t>
            </w:r>
          </w:p>
          <w:p w14:paraId="3CFC93F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White: 5 clusters - I. Non-use (73.4%); II. A (13.9%); III. A, M, &amp; cigarette use (9.4%); IV. Moderate Polysubstance use (1.6%); Frequent Polysubstance use (1.7%)</w:t>
            </w: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0C43362" w14:textId="071A7428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Black: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I. Low prob. of any substance use in the past 30 days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prob. of M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 use only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prob. of A, M,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T (cigarette use) only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High prob. use of all substances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</w:r>
          </w:p>
          <w:p w14:paraId="41F3FE3C" w14:textId="5C17BA24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White: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I. Low prob. of any substance use in the past 30 days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prob. of A use only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prob. of A, M,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T (cigarette use) only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IV. Moderate Polysubstance use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V. Frequent Polysubstance use</w:t>
            </w:r>
          </w:p>
        </w:tc>
        <w:tc>
          <w:tcPr>
            <w:tcW w:w="1418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486D1026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tcBorders>
              <w:top w:val="nil"/>
              <w:bottom w:val="nil"/>
            </w:tcBorders>
            <w:shd w:val="clear" w:color="auto" w:fill="auto"/>
            <w:hideMark/>
          </w:tcPr>
          <w:p w14:paraId="1B115F2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64D11955" w14:textId="77777777" w:rsidTr="00E82A85">
        <w:trPr>
          <w:trHeight w:val="1397"/>
        </w:trPr>
        <w:tc>
          <w:tcPr>
            <w:tcW w:w="988" w:type="dxa"/>
            <w:tcBorders>
              <w:top w:val="nil"/>
            </w:tcBorders>
            <w:shd w:val="clear" w:color="auto" w:fill="auto"/>
            <w:hideMark/>
          </w:tcPr>
          <w:p w14:paraId="3F26C34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Chan et al. (2016)</w:t>
            </w:r>
          </w:p>
        </w:tc>
        <w:tc>
          <w:tcPr>
            <w:tcW w:w="855" w:type="dxa"/>
            <w:tcBorders>
              <w:top w:val="nil"/>
            </w:tcBorders>
            <w:shd w:val="clear" w:color="auto" w:fill="auto"/>
            <w:hideMark/>
          </w:tcPr>
          <w:p w14:paraId="4D1EA75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5412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hideMark/>
          </w:tcPr>
          <w:p w14:paraId="2C070DC0" w14:textId="1F854BC9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50% male;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13.50</w:t>
            </w:r>
          </w:p>
          <w:p w14:paraId="1C83529F" w14:textId="717C07AA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50% female;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13.43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Australia (Victoria)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hideMark/>
          </w:tcPr>
          <w:p w14:paraId="75055C5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Participants randomly selected via 2-stage cluster sampling. Grades: 7, 9, 11</w:t>
            </w:r>
          </w:p>
        </w:tc>
        <w:tc>
          <w:tcPr>
            <w:tcW w:w="992" w:type="dxa"/>
            <w:tcBorders>
              <w:top w:val="nil"/>
            </w:tcBorders>
            <w:shd w:val="clear" w:color="auto" w:fill="auto"/>
            <w:hideMark/>
          </w:tcPr>
          <w:p w14:paraId="69B3CFB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 T C IN Other</w:t>
            </w:r>
          </w:p>
        </w:tc>
        <w:tc>
          <w:tcPr>
            <w:tcW w:w="704" w:type="dxa"/>
            <w:tcBorders>
              <w:top w:val="nil"/>
            </w:tcBorders>
            <w:shd w:val="clear" w:color="auto" w:fill="auto"/>
            <w:hideMark/>
          </w:tcPr>
          <w:p w14:paraId="323396B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30-day use</w:t>
            </w:r>
          </w:p>
        </w:tc>
        <w:tc>
          <w:tcPr>
            <w:tcW w:w="1706" w:type="dxa"/>
            <w:tcBorders>
              <w:top w:val="nil"/>
            </w:tcBorders>
            <w:shd w:val="clear" w:color="auto" w:fill="auto"/>
            <w:hideMark/>
          </w:tcPr>
          <w:p w14:paraId="002A978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Frequency of use in past 30 days (0 times/1-2/3-5/6+)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hideMark/>
          </w:tcPr>
          <w:p w14:paraId="7D0482E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No drug use (68.2% male, 69.14% female); II. Mainly A use (26.02% male, 26.68% female); III. Polysubstance use (5.06% male; 4.18% female)</w:t>
            </w:r>
          </w:p>
        </w:tc>
        <w:tc>
          <w:tcPr>
            <w:tcW w:w="2551" w:type="dxa"/>
            <w:tcBorders>
              <w:top w:val="nil"/>
            </w:tcBorders>
            <w:shd w:val="clear" w:color="auto" w:fill="auto"/>
            <w:hideMark/>
          </w:tcPr>
          <w:p w14:paraId="311E450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No substance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Mainly A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Very high prob. using A &amp; T, moderate prob. using C, small prob. using IN &amp; other illicit drugs.</w:t>
            </w:r>
          </w:p>
        </w:tc>
        <w:tc>
          <w:tcPr>
            <w:tcW w:w="1418" w:type="dxa"/>
            <w:tcBorders>
              <w:top w:val="nil"/>
            </w:tcBorders>
            <w:shd w:val="clear" w:color="auto" w:fill="auto"/>
            <w:hideMark/>
          </w:tcPr>
          <w:p w14:paraId="714B5B2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School connectedness (control variable)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Academic failure (control variable)</w:t>
            </w:r>
          </w:p>
        </w:tc>
        <w:tc>
          <w:tcPr>
            <w:tcW w:w="1842" w:type="dxa"/>
            <w:tcBorders>
              <w:top w:val="nil"/>
            </w:tcBorders>
            <w:shd w:val="clear" w:color="auto" w:fill="auto"/>
            <w:hideMark/>
          </w:tcPr>
          <w:p w14:paraId="72F6100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0CD963A0" w14:textId="77777777" w:rsidTr="00E82A85">
        <w:trPr>
          <w:trHeight w:val="716"/>
        </w:trPr>
        <w:tc>
          <w:tcPr>
            <w:tcW w:w="988" w:type="dxa"/>
            <w:shd w:val="clear" w:color="auto" w:fill="auto"/>
            <w:hideMark/>
          </w:tcPr>
          <w:p w14:paraId="44C5AE6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Chan et al. (2017)</w:t>
            </w:r>
          </w:p>
        </w:tc>
        <w:tc>
          <w:tcPr>
            <w:tcW w:w="855" w:type="dxa"/>
            <w:shd w:val="clear" w:color="auto" w:fill="auto"/>
            <w:hideMark/>
          </w:tcPr>
          <w:p w14:paraId="6EC0FED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9966</w:t>
            </w:r>
          </w:p>
        </w:tc>
        <w:tc>
          <w:tcPr>
            <w:tcW w:w="1418" w:type="dxa"/>
            <w:shd w:val="clear" w:color="auto" w:fill="auto"/>
            <w:hideMark/>
          </w:tcPr>
          <w:p w14:paraId="003CCF4B" w14:textId="77777777" w:rsidR="007238A1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49.34% male</w:t>
            </w:r>
          </w:p>
          <w:p w14:paraId="3B949D92" w14:textId="168335C3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14.3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Australia (Victoria)</w:t>
            </w:r>
          </w:p>
        </w:tc>
        <w:tc>
          <w:tcPr>
            <w:tcW w:w="1559" w:type="dxa"/>
            <w:shd w:val="clear" w:color="auto" w:fill="auto"/>
            <w:hideMark/>
          </w:tcPr>
          <w:p w14:paraId="4F6DB125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Participants randomly selected via 2-stage cluster sampling. Grades: 7, 9, 11</w:t>
            </w:r>
          </w:p>
        </w:tc>
        <w:tc>
          <w:tcPr>
            <w:tcW w:w="992" w:type="dxa"/>
            <w:shd w:val="clear" w:color="auto" w:fill="auto"/>
            <w:hideMark/>
          </w:tcPr>
          <w:p w14:paraId="3E31C0B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 T C IN Other</w:t>
            </w:r>
          </w:p>
        </w:tc>
        <w:tc>
          <w:tcPr>
            <w:tcW w:w="704" w:type="dxa"/>
            <w:shd w:val="clear" w:color="auto" w:fill="auto"/>
            <w:hideMark/>
          </w:tcPr>
          <w:p w14:paraId="15BC0CD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30-day use</w:t>
            </w:r>
          </w:p>
        </w:tc>
        <w:tc>
          <w:tcPr>
            <w:tcW w:w="1706" w:type="dxa"/>
            <w:shd w:val="clear" w:color="auto" w:fill="auto"/>
            <w:hideMark/>
          </w:tcPr>
          <w:p w14:paraId="6A46844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Frequency of use in past 30 days (0 times/1-2/3-5/6+)</w:t>
            </w:r>
          </w:p>
        </w:tc>
        <w:tc>
          <w:tcPr>
            <w:tcW w:w="1843" w:type="dxa"/>
            <w:shd w:val="clear" w:color="auto" w:fill="auto"/>
            <w:hideMark/>
          </w:tcPr>
          <w:p w14:paraId="2E4E6E2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Non-use (47.7%); II. A use (44.1%); III. Polysubstance use (8.2%)</w:t>
            </w:r>
          </w:p>
        </w:tc>
        <w:tc>
          <w:tcPr>
            <w:tcW w:w="2551" w:type="dxa"/>
            <w:shd w:val="clear" w:color="auto" w:fill="auto"/>
            <w:hideMark/>
          </w:tcPr>
          <w:p w14:paraId="11E431B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No substance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Mainly A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Very high prob. using A &amp; T, moderate prob. using C, small prob. using IN &amp; other illicit drugs.</w:t>
            </w:r>
          </w:p>
        </w:tc>
        <w:tc>
          <w:tcPr>
            <w:tcW w:w="1418" w:type="dxa"/>
            <w:shd w:val="clear" w:color="auto" w:fill="auto"/>
            <w:hideMark/>
          </w:tcPr>
          <w:p w14:paraId="7A53529A" w14:textId="3A677A96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School commitment (7 items)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Reward for prosocial school involvement (3 items)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Academic failure (2 items)</w:t>
            </w:r>
          </w:p>
        </w:tc>
        <w:tc>
          <w:tcPr>
            <w:tcW w:w="1842" w:type="dxa"/>
            <w:shd w:val="clear" w:color="auto" w:fill="auto"/>
            <w:hideMark/>
          </w:tcPr>
          <w:p w14:paraId="6994CF16" w14:textId="0768123C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Low school commitment </w:t>
            </w:r>
            <w:r w:rsidR="007238A1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&amp;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academic failure related to III. (compared to I.); academic failure associated with III. (relative to II.). High school commitment &amp; prosocial involvement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lastRenderedPageBreak/>
              <w:t>reward related to lower likelihood of polysubstance use.</w:t>
            </w:r>
          </w:p>
        </w:tc>
      </w:tr>
      <w:tr w:rsidR="009A5453" w:rsidRPr="009A5453" w14:paraId="1375A255" w14:textId="77777777" w:rsidTr="00E82A85">
        <w:trPr>
          <w:trHeight w:val="1197"/>
        </w:trPr>
        <w:tc>
          <w:tcPr>
            <w:tcW w:w="988" w:type="dxa"/>
            <w:shd w:val="clear" w:color="auto" w:fill="auto"/>
            <w:hideMark/>
          </w:tcPr>
          <w:p w14:paraId="0ACFA26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lastRenderedPageBreak/>
              <w:t>Charak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et al. (2015)</w:t>
            </w:r>
          </w:p>
        </w:tc>
        <w:tc>
          <w:tcPr>
            <w:tcW w:w="855" w:type="dxa"/>
            <w:shd w:val="clear" w:color="auto" w:fill="auto"/>
            <w:hideMark/>
          </w:tcPr>
          <w:p w14:paraId="5A971D5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918</w:t>
            </w:r>
          </w:p>
        </w:tc>
        <w:tc>
          <w:tcPr>
            <w:tcW w:w="1418" w:type="dxa"/>
            <w:shd w:val="clear" w:color="auto" w:fill="auto"/>
            <w:hideMark/>
          </w:tcPr>
          <w:p w14:paraId="724E7CF5" w14:textId="671C7A49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49.6% female;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age = 14.9; 68.3% </w:t>
            </w:r>
            <w:r w:rsidR="00B55A8D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aucasian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USA</w:t>
            </w:r>
          </w:p>
        </w:tc>
        <w:tc>
          <w:tcPr>
            <w:tcW w:w="1559" w:type="dxa"/>
            <w:shd w:val="clear" w:color="auto" w:fill="auto"/>
            <w:hideMark/>
          </w:tcPr>
          <w:p w14:paraId="481CACB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Participants reporting sexual/physical assault selected from a larger study (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4023)</w:t>
            </w:r>
          </w:p>
        </w:tc>
        <w:tc>
          <w:tcPr>
            <w:tcW w:w="992" w:type="dxa"/>
            <w:shd w:val="clear" w:color="auto" w:fill="auto"/>
            <w:hideMark/>
          </w:tcPr>
          <w:p w14:paraId="0F1B40C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T A M C PCP LSD H MD IN NUPM </w:t>
            </w:r>
          </w:p>
        </w:tc>
        <w:tc>
          <w:tcPr>
            <w:tcW w:w="704" w:type="dxa"/>
            <w:shd w:val="clear" w:color="auto" w:fill="auto"/>
            <w:hideMark/>
          </w:tcPr>
          <w:p w14:paraId="2391BB2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Lifetime use</w:t>
            </w:r>
          </w:p>
        </w:tc>
        <w:tc>
          <w:tcPr>
            <w:tcW w:w="1706" w:type="dxa"/>
            <w:shd w:val="clear" w:color="auto" w:fill="auto"/>
            <w:hideMark/>
          </w:tcPr>
          <w:p w14:paraId="28C5E0B3" w14:textId="0FB57061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Ever use of T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A; frequency of T (cigarettes / snuff / chewing) in past 30 days; frequency of A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heavy drinking in past year (5+ drinks one occasion); ever use of non-prescribed or illicit drugs (recoded as single drug use or use of 2+ drugs).</w:t>
            </w:r>
          </w:p>
        </w:tc>
        <w:tc>
          <w:tcPr>
            <w:tcW w:w="1843" w:type="dxa"/>
            <w:shd w:val="clear" w:color="auto" w:fill="auto"/>
            <w:hideMark/>
          </w:tcPr>
          <w:p w14:paraId="4A49ED7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Experimental use (35.95%); II. Light polysubstance use (35.62%); III. Polysubstance use (28.43%).</w:t>
            </w:r>
          </w:p>
        </w:tc>
        <w:tc>
          <w:tcPr>
            <w:tcW w:w="2551" w:type="dxa"/>
            <w:shd w:val="clear" w:color="auto" w:fill="auto"/>
            <w:hideMark/>
          </w:tcPr>
          <w:p w14:paraId="11280883" w14:textId="57D4FD41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Minimal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II. High prob. heavy drinking in past year, use of NUPM, single type drug use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Regular use T, heavy drinking, NUPM, single-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poly-drug use</w:t>
            </w:r>
          </w:p>
        </w:tc>
        <w:tc>
          <w:tcPr>
            <w:tcW w:w="1418" w:type="dxa"/>
            <w:shd w:val="clear" w:color="auto" w:fill="auto"/>
            <w:hideMark/>
          </w:tcPr>
          <w:p w14:paraId="47DB3CF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40BFA6F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07D427CF" w14:textId="77777777" w:rsidTr="00E82A85">
        <w:trPr>
          <w:trHeight w:val="1197"/>
        </w:trPr>
        <w:tc>
          <w:tcPr>
            <w:tcW w:w="988" w:type="dxa"/>
            <w:shd w:val="clear" w:color="auto" w:fill="auto"/>
            <w:hideMark/>
          </w:tcPr>
          <w:p w14:paraId="22E164B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Connell et al. (2010)</w:t>
            </w:r>
          </w:p>
        </w:tc>
        <w:tc>
          <w:tcPr>
            <w:tcW w:w="855" w:type="dxa"/>
            <w:shd w:val="clear" w:color="auto" w:fill="auto"/>
            <w:hideMark/>
          </w:tcPr>
          <w:p w14:paraId="3BE22935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1236</w:t>
            </w:r>
          </w:p>
        </w:tc>
        <w:tc>
          <w:tcPr>
            <w:tcW w:w="1418" w:type="dxa"/>
            <w:shd w:val="clear" w:color="auto" w:fill="auto"/>
            <w:hideMark/>
          </w:tcPr>
          <w:p w14:paraId="6E53B6D5" w14:textId="4C2A63F0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53% female;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 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14.6; 89% Caucasian</w:t>
            </w:r>
          </w:p>
          <w:p w14:paraId="1C9A0EC1" w14:textId="1148C6D5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Location: USA (Connecticut)</w:t>
            </w:r>
          </w:p>
        </w:tc>
        <w:tc>
          <w:tcPr>
            <w:tcW w:w="1559" w:type="dxa"/>
            <w:shd w:val="clear" w:color="auto" w:fill="auto"/>
            <w:hideMark/>
          </w:tcPr>
          <w:p w14:paraId="5D34C1E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Regional sample representing 10 public/non-vocational schools. </w:t>
            </w:r>
          </w:p>
          <w:p w14:paraId="4BFE9E5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Grades: 9-10</w:t>
            </w:r>
          </w:p>
        </w:tc>
        <w:tc>
          <w:tcPr>
            <w:tcW w:w="992" w:type="dxa"/>
            <w:shd w:val="clear" w:color="auto" w:fill="auto"/>
            <w:hideMark/>
          </w:tcPr>
          <w:p w14:paraId="020C718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 T M NUPM IN C H E</w:t>
            </w:r>
          </w:p>
        </w:tc>
        <w:tc>
          <w:tcPr>
            <w:tcW w:w="704" w:type="dxa"/>
            <w:shd w:val="clear" w:color="auto" w:fill="auto"/>
            <w:hideMark/>
          </w:tcPr>
          <w:p w14:paraId="326B20CE" w14:textId="15BB4A3B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30-day use (</w:t>
            </w:r>
            <w:r w:rsidR="007E2D06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illicit drugs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); lifetime use (NUPM; IN)</w:t>
            </w:r>
          </w:p>
        </w:tc>
        <w:tc>
          <w:tcPr>
            <w:tcW w:w="1706" w:type="dxa"/>
            <w:shd w:val="clear" w:color="auto" w:fill="auto"/>
            <w:hideMark/>
          </w:tcPr>
          <w:p w14:paraId="52D6487E" w14:textId="34C2EA0A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Lifetime use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30-day use</w:t>
            </w:r>
            <w:r w:rsidR="003657F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(f</w:t>
            </w:r>
            <w:r w:rsidR="00903A18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requency </w:t>
            </w:r>
            <w:r w:rsidR="003657F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of use on an 8-point scale, from </w:t>
            </w:r>
            <w:r w:rsidR="000E6618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</w:t>
            </w:r>
            <w:r w:rsidR="003657F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use to daily use)</w:t>
            </w:r>
            <w:r w:rsidR="000E6618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. These 2 measures combined into 4-point scale: </w:t>
            </w:r>
            <w:r w:rsidR="00A737B2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1) </w:t>
            </w:r>
            <w:r w:rsidR="000E6618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no </w:t>
            </w:r>
            <w:r w:rsidR="00DA6770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history of</w:t>
            </w:r>
            <w:r w:rsidR="000E6618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use</w:t>
            </w:r>
            <w:r w:rsidR="00A737B2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; 2)</w:t>
            </w:r>
            <w:r w:rsidR="000E6618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</w:t>
            </w:r>
            <w:r w:rsidR="00DA6770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 30-day past use</w:t>
            </w:r>
            <w:r w:rsidR="00A737B2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; 3)</w:t>
            </w:r>
            <w:r w:rsidR="00DA6770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use 1-5 days</w:t>
            </w:r>
            <w:r w:rsidR="00A737B2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; 4) </w:t>
            </w:r>
            <w:r w:rsidR="00DA6770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use 6+ days.</w:t>
            </w:r>
          </w:p>
        </w:tc>
        <w:tc>
          <w:tcPr>
            <w:tcW w:w="1843" w:type="dxa"/>
            <w:shd w:val="clear" w:color="auto" w:fill="auto"/>
            <w:hideMark/>
          </w:tcPr>
          <w:p w14:paraId="01A7E976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4 clusters - I. Non-users (22%); II. A </w:t>
            </w:r>
            <w:proofErr w:type="gram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experimenters (38%)</w:t>
            </w:r>
            <w:proofErr w:type="gram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; III. Occasional polysubstance users (29%); IV. Frequent polysubstance users (10%)</w:t>
            </w:r>
          </w:p>
        </w:tc>
        <w:tc>
          <w:tcPr>
            <w:tcW w:w="2551" w:type="dxa"/>
            <w:shd w:val="clear" w:color="auto" w:fill="auto"/>
            <w:hideMark/>
          </w:tcPr>
          <w:p w14:paraId="21B4059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No history of substance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Moderate prob. of lifetime A use; lower prob. of A use in past month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Higher prob. of use for each substance than I. or II; many with history of A, T, M use although low prob. of use in past month.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Highest prob. of initiation for each substance; past month use &gt; 6 or more days high for A, T, &amp; M; highest prob. lifetime hard drug, IN, or NUPM use</w:t>
            </w:r>
          </w:p>
        </w:tc>
        <w:tc>
          <w:tcPr>
            <w:tcW w:w="1418" w:type="dxa"/>
            <w:shd w:val="clear" w:color="auto" w:fill="auto"/>
            <w:hideMark/>
          </w:tcPr>
          <w:p w14:paraId="12486F9F" w14:textId="0BAD38AC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Academic grades (self-reported 9-point scale - mostly </w:t>
            </w:r>
            <w:proofErr w:type="gram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As</w:t>
            </w:r>
            <w:proofErr w:type="gram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to mostly Fs - converted to a score from 0–4 to reflect approximate GPA)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Youth commitment to school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education (self-reported 5-items on a 4-point scale)</w:t>
            </w:r>
          </w:p>
        </w:tc>
        <w:tc>
          <w:tcPr>
            <w:tcW w:w="1842" w:type="dxa"/>
            <w:shd w:val="clear" w:color="auto" w:fill="auto"/>
            <w:hideMark/>
          </w:tcPr>
          <w:p w14:paraId="7FEED0F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Higher grades associated with reduced odds of frequent/occasional polysubstance use (relative to experimental alcohol use or non-use)</w:t>
            </w:r>
          </w:p>
        </w:tc>
      </w:tr>
      <w:tr w:rsidR="009A5453" w:rsidRPr="009A5453" w14:paraId="21FA3E53" w14:textId="77777777" w:rsidTr="00E82A85">
        <w:trPr>
          <w:trHeight w:val="1142"/>
        </w:trPr>
        <w:tc>
          <w:tcPr>
            <w:tcW w:w="988" w:type="dxa"/>
            <w:shd w:val="clear" w:color="auto" w:fill="auto"/>
            <w:hideMark/>
          </w:tcPr>
          <w:p w14:paraId="7107DA6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Cranford et al. (2013)</w:t>
            </w:r>
          </w:p>
        </w:tc>
        <w:tc>
          <w:tcPr>
            <w:tcW w:w="855" w:type="dxa"/>
            <w:shd w:val="clear" w:color="auto" w:fill="auto"/>
            <w:hideMark/>
          </w:tcPr>
          <w:p w14:paraId="5551C58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2744</w:t>
            </w:r>
          </w:p>
        </w:tc>
        <w:tc>
          <w:tcPr>
            <w:tcW w:w="1418" w:type="dxa"/>
            <w:shd w:val="clear" w:color="auto" w:fill="auto"/>
            <w:hideMark/>
          </w:tcPr>
          <w:p w14:paraId="3D14BE6A" w14:textId="1F79271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50.4% female;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14.8; 64.1% Caucasian</w:t>
            </w:r>
          </w:p>
          <w:p w14:paraId="5FD9BC93" w14:textId="30008849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Location: USA (Michigan)</w:t>
            </w:r>
          </w:p>
        </w:tc>
        <w:tc>
          <w:tcPr>
            <w:tcW w:w="1559" w:type="dxa"/>
            <w:shd w:val="clear" w:color="auto" w:fill="auto"/>
            <w:hideMark/>
          </w:tcPr>
          <w:p w14:paraId="3F244BF6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Internet survey of adolescents across 2 districts representing 5 schools.</w:t>
            </w:r>
          </w:p>
        </w:tc>
        <w:tc>
          <w:tcPr>
            <w:tcW w:w="992" w:type="dxa"/>
            <w:shd w:val="clear" w:color="auto" w:fill="auto"/>
            <w:hideMark/>
          </w:tcPr>
          <w:p w14:paraId="6E83002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T A M I NUPM EXPM</w:t>
            </w:r>
          </w:p>
        </w:tc>
        <w:tc>
          <w:tcPr>
            <w:tcW w:w="704" w:type="dxa"/>
            <w:shd w:val="clear" w:color="auto" w:fill="auto"/>
            <w:hideMark/>
          </w:tcPr>
          <w:p w14:paraId="32AA6FB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12-months use</w:t>
            </w:r>
          </w:p>
        </w:tc>
        <w:tc>
          <w:tcPr>
            <w:tcW w:w="1706" w:type="dxa"/>
            <w:shd w:val="clear" w:color="auto" w:fill="auto"/>
            <w:hideMark/>
          </w:tcPr>
          <w:p w14:paraId="4F8D0105" w14:textId="698D13FB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Frequency of use in past 12 months - NUPM (≥1 of 6 types), EXPM (≥1 of 7 types), T, A, M, </w:t>
            </w:r>
            <w:r w:rsidR="007E2D06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Illicit drugs,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Internalizing/externalizing problems - Youth Self-Report (YSR; 112 items; Achenbach &amp; Rescorla, 2001)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Parental monitoring (6 items)</w:t>
            </w:r>
            <w:r w:rsidR="00E97A4F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Children of Alcoholics Screening Test (CAST; 6 item version; Jones, 1983).</w:t>
            </w:r>
          </w:p>
        </w:tc>
        <w:tc>
          <w:tcPr>
            <w:tcW w:w="1843" w:type="dxa"/>
            <w:shd w:val="clear" w:color="auto" w:fill="auto"/>
            <w:hideMark/>
          </w:tcPr>
          <w:p w14:paraId="6F6CFD79" w14:textId="3B52B86D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4 clusters - I. Low/no use (76.3%); II. Multiple </w:t>
            </w:r>
            <w:r w:rsidR="008424E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illicit drugs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(4.2%); III. TAM (1</w:t>
            </w:r>
            <w:r w:rsidR="008424E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1.5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%); IV. </w:t>
            </w:r>
            <w:r w:rsidR="008424E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NUPM, EXPM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(8.0%)</w:t>
            </w:r>
          </w:p>
        </w:tc>
        <w:tc>
          <w:tcPr>
            <w:tcW w:w="2551" w:type="dxa"/>
            <w:shd w:val="clear" w:color="auto" w:fill="auto"/>
            <w:hideMark/>
          </w:tcPr>
          <w:p w14:paraId="4344F0EF" w14:textId="038BDB44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No / very low prob. using any substances (past 12 months)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Relatively high prob. using all substances ≥1 time (past 12 months)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Relatively high prob. using three of the six substances (TAM) ≥1 time (past 12 months)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Relatively high prob. A, NUPM,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EXPM (past 12 months)</w:t>
            </w:r>
          </w:p>
        </w:tc>
        <w:tc>
          <w:tcPr>
            <w:tcW w:w="1418" w:type="dxa"/>
            <w:shd w:val="clear" w:color="auto" w:fill="auto"/>
            <w:hideMark/>
          </w:tcPr>
          <w:p w14:paraId="46DBE2E8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7C9CAF3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5EE80442" w14:textId="77777777" w:rsidTr="00E82A85">
        <w:trPr>
          <w:trHeight w:val="708"/>
        </w:trPr>
        <w:tc>
          <w:tcPr>
            <w:tcW w:w="988" w:type="dxa"/>
            <w:shd w:val="clear" w:color="auto" w:fill="auto"/>
            <w:hideMark/>
          </w:tcPr>
          <w:p w14:paraId="1835C74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Delk et al. (2019)</w:t>
            </w:r>
          </w:p>
        </w:tc>
        <w:tc>
          <w:tcPr>
            <w:tcW w:w="855" w:type="dxa"/>
            <w:shd w:val="clear" w:color="auto" w:fill="auto"/>
            <w:hideMark/>
          </w:tcPr>
          <w:p w14:paraId="622BA3F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2733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7th grade: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765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9th grade: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913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11th grade: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1055</w:t>
            </w:r>
          </w:p>
        </w:tc>
        <w:tc>
          <w:tcPr>
            <w:tcW w:w="1418" w:type="dxa"/>
            <w:shd w:val="clear" w:color="auto" w:fill="auto"/>
            <w:hideMark/>
          </w:tcPr>
          <w:p w14:paraId="3F3D65FD" w14:textId="05DE987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7th grade: 48.8% female,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12.3; 53.8% Hispanic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9th grade: 48.9% female,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14.3; 55.7% Hispanic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11th grade: 49.0% female,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16.0; 52.8% Hispanic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USA (Texas)</w:t>
            </w:r>
          </w:p>
        </w:tc>
        <w:tc>
          <w:tcPr>
            <w:tcW w:w="1559" w:type="dxa"/>
            <w:shd w:val="clear" w:color="auto" w:fill="auto"/>
            <w:hideMark/>
          </w:tcPr>
          <w:p w14:paraId="317E640B" w14:textId="48B4669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Drawn from Wave 3 of the Texas Adolescent Tobacco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Marketing Surveillance System (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461069), 79 schools represented</w:t>
            </w:r>
          </w:p>
        </w:tc>
        <w:tc>
          <w:tcPr>
            <w:tcW w:w="992" w:type="dxa"/>
            <w:shd w:val="clear" w:color="auto" w:fill="auto"/>
            <w:hideMark/>
          </w:tcPr>
          <w:p w14:paraId="58D0B84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T A M</w:t>
            </w:r>
          </w:p>
        </w:tc>
        <w:tc>
          <w:tcPr>
            <w:tcW w:w="704" w:type="dxa"/>
            <w:shd w:val="clear" w:color="auto" w:fill="auto"/>
            <w:hideMark/>
          </w:tcPr>
          <w:p w14:paraId="5A39BA0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 days use (current use)</w:t>
            </w:r>
          </w:p>
        </w:tc>
        <w:tc>
          <w:tcPr>
            <w:tcW w:w="1706" w:type="dxa"/>
            <w:shd w:val="clear" w:color="auto" w:fill="auto"/>
            <w:hideMark/>
          </w:tcPr>
          <w:p w14:paraId="73A1A621" w14:textId="11BEB4A6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Ever use, current use,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susceptibility to T (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eCigarettes</w:t>
            </w:r>
            <w:proofErr w:type="spellEnd"/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combustible)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Current use of A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BD (past 14 days)</w:t>
            </w:r>
          </w:p>
        </w:tc>
        <w:tc>
          <w:tcPr>
            <w:tcW w:w="1843" w:type="dxa"/>
            <w:shd w:val="clear" w:color="auto" w:fill="auto"/>
            <w:hideMark/>
          </w:tcPr>
          <w:p w14:paraId="1B6F442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7th grade: 2 clusters - I. No risk (77.5%); II. Tobacco susceptible (22.4%)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9th grade: 3 clusters - I. No risk (48.3%); II. Tobacco susceptible (37.8%); III. Tobacco ever use (13.9%)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11th grade: 4 clusters - I. No risk (39.5%); II. Tobacco susceptible (26.1%); III. Tobacco ever use (24.4%); IV. All products use (10%)</w:t>
            </w:r>
          </w:p>
        </w:tc>
        <w:tc>
          <w:tcPr>
            <w:tcW w:w="2551" w:type="dxa"/>
            <w:shd w:val="clear" w:color="auto" w:fill="auto"/>
            <w:hideMark/>
          </w:tcPr>
          <w:p w14:paraId="1696C29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I. low prob. of susceptibility to or use of products.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prob. of being susceptible to combustible T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prob. of ever use of combustible T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high prob. of ever use of combustible T &amp; e-cigarettes, high prob. past 30-day A &amp; M use, past 14-day BD</w:t>
            </w:r>
          </w:p>
        </w:tc>
        <w:tc>
          <w:tcPr>
            <w:tcW w:w="1418" w:type="dxa"/>
            <w:shd w:val="clear" w:color="auto" w:fill="auto"/>
            <w:hideMark/>
          </w:tcPr>
          <w:p w14:paraId="30B50C8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2CAF5F4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210C44D9" w14:textId="77777777" w:rsidTr="00E82A85">
        <w:trPr>
          <w:trHeight w:val="1197"/>
        </w:trPr>
        <w:tc>
          <w:tcPr>
            <w:tcW w:w="988" w:type="dxa"/>
            <w:shd w:val="clear" w:color="auto" w:fill="auto"/>
            <w:hideMark/>
          </w:tcPr>
          <w:p w14:paraId="05F8386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Göbel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et al. (2016)</w:t>
            </w:r>
          </w:p>
        </w:tc>
        <w:tc>
          <w:tcPr>
            <w:tcW w:w="855" w:type="dxa"/>
            <w:shd w:val="clear" w:color="auto" w:fill="auto"/>
            <w:hideMark/>
          </w:tcPr>
          <w:p w14:paraId="1E98E538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33566</w:t>
            </w:r>
          </w:p>
        </w:tc>
        <w:tc>
          <w:tcPr>
            <w:tcW w:w="1418" w:type="dxa"/>
            <w:shd w:val="clear" w:color="auto" w:fill="auto"/>
            <w:hideMark/>
          </w:tcPr>
          <w:p w14:paraId="6A9E5D59" w14:textId="129B75D0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50.6% female;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M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= 13.9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Locations: Armenia, Sweden, Austria, Belgium, Bosnia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Herzegovina, Cyprus, Czech Republic, Denmark, Estonia, Finland, France, Germany, Hungary, Iceland, Ireland, Italy, Lithuania, The Netherlands, Switzerland, Norway, Poland, Portugal, Russia, Slovenia, Spain</w:t>
            </w:r>
          </w:p>
        </w:tc>
        <w:tc>
          <w:tcPr>
            <w:tcW w:w="1559" w:type="dxa"/>
            <w:shd w:val="clear" w:color="auto" w:fill="auto"/>
            <w:hideMark/>
          </w:tcPr>
          <w:p w14:paraId="58700E86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Data from the Second International Self-Report Delinquency Study (ISRD-2), administered in 25 European countries (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67883). Participating schools randomly selected. Grades: 7-9</w:t>
            </w:r>
          </w:p>
        </w:tc>
        <w:tc>
          <w:tcPr>
            <w:tcW w:w="992" w:type="dxa"/>
            <w:shd w:val="clear" w:color="auto" w:fill="auto"/>
            <w:hideMark/>
          </w:tcPr>
          <w:p w14:paraId="5DEA19C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 M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Other Illicit substances</w:t>
            </w:r>
          </w:p>
        </w:tc>
        <w:tc>
          <w:tcPr>
            <w:tcW w:w="704" w:type="dxa"/>
            <w:shd w:val="clear" w:color="auto" w:fill="auto"/>
            <w:hideMark/>
          </w:tcPr>
          <w:p w14:paraId="78EC8F42" w14:textId="1F0BEF5A" w:rsidR="005206EC" w:rsidRPr="009A5453" w:rsidRDefault="00BA13AA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Past month 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of other </w:t>
            </w:r>
            <w:proofErr w:type="spellStart"/>
            <w:proofErr w:type="gram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illicits</w:t>
            </w:r>
            <w:proofErr w:type="spellEnd"/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,  frequency</w:t>
            </w:r>
            <w:proofErr w:type="gramEnd"/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of recent use </w:t>
            </w:r>
          </w:p>
        </w:tc>
        <w:tc>
          <w:tcPr>
            <w:tcW w:w="1706" w:type="dxa"/>
            <w:shd w:val="clear" w:color="auto" w:fill="auto"/>
            <w:hideMark/>
          </w:tcPr>
          <w:p w14:paraId="2640C340" w14:textId="2A17EAD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Lifetime use, recent use (past month),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frequency of recent use (0 times, 1-2, 3+), for 4 categories of drug: A (beer, wine, alcopops); Spirits (e.g., rum, vodka, whisky); M; Other illicit substances (e.g., E AM LSD H C)</w:t>
            </w:r>
          </w:p>
        </w:tc>
        <w:tc>
          <w:tcPr>
            <w:tcW w:w="1843" w:type="dxa"/>
            <w:shd w:val="clear" w:color="auto" w:fill="auto"/>
            <w:hideMark/>
          </w:tcPr>
          <w:p w14:paraId="1D8F33DC" w14:textId="70F56EC0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4 clusters - I. Non-users (68%), II. Low A users (16.1%), III. A </w:t>
            </w:r>
            <w:proofErr w:type="gram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users (11.2%)</w:t>
            </w:r>
            <w:proofErr w:type="gram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; IV. Polysubstance users</w:t>
            </w:r>
            <w:r w:rsidR="00F67EBF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(past month)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(4.7%). </w:t>
            </w:r>
          </w:p>
        </w:tc>
        <w:tc>
          <w:tcPr>
            <w:tcW w:w="2551" w:type="dxa"/>
            <w:shd w:val="clear" w:color="auto" w:fill="auto"/>
            <w:hideMark/>
          </w:tcPr>
          <w:p w14:paraId="19C54EF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Non-users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Recent use of A (e.g., beer, wine, alcopops)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Recent use of A; lifetime use of 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Recent use of A, M, &amp; other illicit drugs</w:t>
            </w:r>
          </w:p>
        </w:tc>
        <w:tc>
          <w:tcPr>
            <w:tcW w:w="1418" w:type="dxa"/>
            <w:shd w:val="clear" w:color="auto" w:fill="auto"/>
            <w:hideMark/>
          </w:tcPr>
          <w:p w14:paraId="4172737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5EC4054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335655EB" w14:textId="77777777" w:rsidTr="00E82A85">
        <w:trPr>
          <w:trHeight w:val="433"/>
        </w:trPr>
        <w:tc>
          <w:tcPr>
            <w:tcW w:w="988" w:type="dxa"/>
            <w:shd w:val="clear" w:color="auto" w:fill="auto"/>
            <w:hideMark/>
          </w:tcPr>
          <w:p w14:paraId="6EBA058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Karlsson et al. (2019)</w:t>
            </w:r>
          </w:p>
        </w:tc>
        <w:tc>
          <w:tcPr>
            <w:tcW w:w="855" w:type="dxa"/>
            <w:shd w:val="clear" w:color="auto" w:fill="auto"/>
            <w:hideMark/>
          </w:tcPr>
          <w:p w14:paraId="717418C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3374</w:t>
            </w:r>
          </w:p>
        </w:tc>
        <w:tc>
          <w:tcPr>
            <w:tcW w:w="1418" w:type="dxa"/>
            <w:shd w:val="clear" w:color="auto" w:fill="auto"/>
            <w:hideMark/>
          </w:tcPr>
          <w:p w14:paraId="0DE7CF2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56.1% male</w:t>
            </w:r>
          </w:p>
          <w:p w14:paraId="1102056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E82A8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nr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Sweden</w:t>
            </w:r>
          </w:p>
        </w:tc>
        <w:tc>
          <w:tcPr>
            <w:tcW w:w="1559" w:type="dxa"/>
            <w:shd w:val="clear" w:color="auto" w:fill="auto"/>
            <w:hideMark/>
          </w:tcPr>
          <w:p w14:paraId="1596D14F" w14:textId="17B0A3A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Selected from a nationally representative larger survey (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= 36007) if they reported </w:t>
            </w:r>
            <w:r w:rsidR="000A2CB0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illicit drug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lifetime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Grades: 9, 11</w:t>
            </w:r>
          </w:p>
        </w:tc>
        <w:tc>
          <w:tcPr>
            <w:tcW w:w="992" w:type="dxa"/>
            <w:shd w:val="clear" w:color="auto" w:fill="auto"/>
            <w:hideMark/>
          </w:tcPr>
          <w:p w14:paraId="55E88BB4" w14:textId="380DA292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 AM C E H S</w:t>
            </w:r>
            <w:r w:rsidR="00BA3DF4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pice </w:t>
            </w:r>
            <w:r w:rsidR="008D1CE4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Hash</w:t>
            </w:r>
          </w:p>
        </w:tc>
        <w:tc>
          <w:tcPr>
            <w:tcW w:w="704" w:type="dxa"/>
            <w:shd w:val="clear" w:color="auto" w:fill="auto"/>
            <w:hideMark/>
          </w:tcPr>
          <w:p w14:paraId="55446795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Combination of past 30 days use; past 12 months; 10+ times</w:t>
            </w:r>
          </w:p>
        </w:tc>
        <w:tc>
          <w:tcPr>
            <w:tcW w:w="1706" w:type="dxa"/>
            <w:shd w:val="clear" w:color="auto" w:fill="auto"/>
            <w:hideMark/>
          </w:tcPr>
          <w:p w14:paraId="3C46AE40" w14:textId="5FA985C5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10 binary questions: Use of illicit substances in past 30 days</w:t>
            </w:r>
            <w:r w:rsidR="00E802B6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and in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12 months,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10+ times. Respondents indicating 'yes' to any of these items asked to indicate use of 7 specific drugs.</w:t>
            </w:r>
          </w:p>
        </w:tc>
        <w:tc>
          <w:tcPr>
            <w:tcW w:w="1843" w:type="dxa"/>
            <w:shd w:val="clear" w:color="auto" w:fill="auto"/>
            <w:hideMark/>
          </w:tcPr>
          <w:p w14:paraId="7E978F09" w14:textId="35D11178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4 clusters - I. M testers (60%); II. M users (17%); III. Cannabinoid users (15%); IV. Polydrug users</w:t>
            </w:r>
            <w:r w:rsidR="003433D6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(7%) </w:t>
            </w:r>
          </w:p>
        </w:tc>
        <w:tc>
          <w:tcPr>
            <w:tcW w:w="2551" w:type="dxa"/>
            <w:shd w:val="clear" w:color="auto" w:fill="auto"/>
            <w:hideMark/>
          </w:tcPr>
          <w:p w14:paraId="1757388B" w14:textId="2E6F29AD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lowest prob. illicit substance use of all classes (low prob. of 10+ times use); infrequent use of 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Highest prob. use in past 30 days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12 months; less likely to have tried other 6 drugs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prob. use HA, M, SP. Highest prob. drug use 10+ times; lower prob. use in past 30 days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High. prob on all indicators; very likely to have used 10+ times</w:t>
            </w:r>
          </w:p>
        </w:tc>
        <w:tc>
          <w:tcPr>
            <w:tcW w:w="1418" w:type="dxa"/>
            <w:shd w:val="clear" w:color="auto" w:fill="auto"/>
            <w:hideMark/>
          </w:tcPr>
          <w:p w14:paraId="0820F21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72F4C5D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1CA6E798" w14:textId="77777777" w:rsidTr="00E82A85">
        <w:trPr>
          <w:trHeight w:val="423"/>
        </w:trPr>
        <w:tc>
          <w:tcPr>
            <w:tcW w:w="988" w:type="dxa"/>
            <w:shd w:val="clear" w:color="auto" w:fill="auto"/>
            <w:hideMark/>
          </w:tcPr>
          <w:p w14:paraId="122AF49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Kelly et al. (2015)</w:t>
            </w:r>
          </w:p>
        </w:tc>
        <w:tc>
          <w:tcPr>
            <w:tcW w:w="855" w:type="dxa"/>
            <w:shd w:val="clear" w:color="auto" w:fill="auto"/>
            <w:hideMark/>
          </w:tcPr>
          <w:p w14:paraId="14F6CF2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10273</w:t>
            </w:r>
          </w:p>
        </w:tc>
        <w:tc>
          <w:tcPr>
            <w:tcW w:w="1418" w:type="dxa"/>
            <w:shd w:val="clear" w:color="auto" w:fill="auto"/>
            <w:hideMark/>
          </w:tcPr>
          <w:p w14:paraId="5B75D3C6" w14:textId="0456934C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49.34% male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age = 12.51 years </w:t>
            </w:r>
            <w:r w:rsidR="0049020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(Grade 7);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14.46 years</w:t>
            </w:r>
            <w:r w:rsidR="0049020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(Grade 9);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16.4 years</w:t>
            </w:r>
            <w:r w:rsidR="0049020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(Grade 11)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Australia (Victoria)</w:t>
            </w:r>
          </w:p>
        </w:tc>
        <w:tc>
          <w:tcPr>
            <w:tcW w:w="1559" w:type="dxa"/>
            <w:shd w:val="clear" w:color="auto" w:fill="auto"/>
            <w:hideMark/>
          </w:tcPr>
          <w:p w14:paraId="524A2D2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Participants randomly selected via 2-stage cluster sampling. Grades: 7, 9, 11</w:t>
            </w:r>
          </w:p>
        </w:tc>
        <w:tc>
          <w:tcPr>
            <w:tcW w:w="992" w:type="dxa"/>
            <w:shd w:val="clear" w:color="auto" w:fill="auto"/>
            <w:hideMark/>
          </w:tcPr>
          <w:p w14:paraId="02B2B298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 T C IN Other</w:t>
            </w:r>
          </w:p>
        </w:tc>
        <w:tc>
          <w:tcPr>
            <w:tcW w:w="704" w:type="dxa"/>
            <w:shd w:val="clear" w:color="auto" w:fill="auto"/>
            <w:hideMark/>
          </w:tcPr>
          <w:p w14:paraId="1C7A360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30-day use</w:t>
            </w:r>
          </w:p>
        </w:tc>
        <w:tc>
          <w:tcPr>
            <w:tcW w:w="1706" w:type="dxa"/>
            <w:shd w:val="clear" w:color="auto" w:fill="auto"/>
            <w:hideMark/>
          </w:tcPr>
          <w:p w14:paraId="1776947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Frequency of use in past 30 days (0 days; 1-2; 3-9; 10-30)</w:t>
            </w:r>
          </w:p>
        </w:tc>
        <w:tc>
          <w:tcPr>
            <w:tcW w:w="1843" w:type="dxa"/>
            <w:shd w:val="clear" w:color="auto" w:fill="auto"/>
            <w:hideMark/>
          </w:tcPr>
          <w:p w14:paraId="3B2A6A6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No drug use (47.7%); II. mainly A use (44.1%); III. Polydrug use (8.2%).</w:t>
            </w:r>
          </w:p>
        </w:tc>
        <w:tc>
          <w:tcPr>
            <w:tcW w:w="2551" w:type="dxa"/>
            <w:shd w:val="clear" w:color="auto" w:fill="auto"/>
            <w:hideMark/>
          </w:tcPr>
          <w:p w14:paraId="653FDA36" w14:textId="4F2E7712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I. 0 prob. use any drugs (specified 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a priori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Mod</w:t>
            </w:r>
            <w:r w:rsidR="00057D66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erate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to high prob. use of A, small prob. use of T (</w:t>
            </w:r>
            <w:proofErr w:type="gram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other</w:t>
            </w:r>
            <w:proofErr w:type="gram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drug use negligible)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prob. use of A &amp; T, mod</w:t>
            </w:r>
            <w:r w:rsidR="00057D66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erate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prob. use M, small prob. use other </w:t>
            </w:r>
            <w:r w:rsidR="007B4C6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illicit substances</w:t>
            </w:r>
          </w:p>
        </w:tc>
        <w:tc>
          <w:tcPr>
            <w:tcW w:w="1418" w:type="dxa"/>
            <w:shd w:val="clear" w:color="auto" w:fill="auto"/>
            <w:hideMark/>
          </w:tcPr>
          <w:p w14:paraId="5DA334B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Academic failure (2 items)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History of suspension from school (1 item; binary response)</w:t>
            </w:r>
          </w:p>
        </w:tc>
        <w:tc>
          <w:tcPr>
            <w:tcW w:w="1842" w:type="dxa"/>
            <w:shd w:val="clear" w:color="auto" w:fill="auto"/>
            <w:hideMark/>
          </w:tcPr>
          <w:p w14:paraId="5929336E" w14:textId="5347DD7C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Polydrug use (relative to mainly A use class) positively associated with academic failure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school suspension</w:t>
            </w:r>
          </w:p>
        </w:tc>
      </w:tr>
      <w:tr w:rsidR="009A5453" w:rsidRPr="009A5453" w14:paraId="3C7121FE" w14:textId="77777777" w:rsidTr="00E82A85">
        <w:trPr>
          <w:trHeight w:val="2395"/>
        </w:trPr>
        <w:tc>
          <w:tcPr>
            <w:tcW w:w="988" w:type="dxa"/>
            <w:shd w:val="clear" w:color="auto" w:fill="auto"/>
            <w:hideMark/>
          </w:tcPr>
          <w:p w14:paraId="4A0F6385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Miech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et al. (2016)</w:t>
            </w:r>
          </w:p>
        </w:tc>
        <w:tc>
          <w:tcPr>
            <w:tcW w:w="855" w:type="dxa"/>
            <w:shd w:val="clear" w:color="auto" w:fill="auto"/>
            <w:hideMark/>
          </w:tcPr>
          <w:p w14:paraId="7A5F3C15" w14:textId="715F375E" w:rsidR="007945A1" w:rsidRPr="009A5453" w:rsidRDefault="007945A1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= </w:t>
            </w:r>
            <w:r w:rsidR="004150A4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16615</w:t>
            </w:r>
          </w:p>
          <w:p w14:paraId="4B69D316" w14:textId="3290FC8C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 8: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 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5060</w:t>
            </w:r>
          </w:p>
          <w:p w14:paraId="35D3D0CE" w14:textId="775DC69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 10: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 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4443</w:t>
            </w:r>
          </w:p>
          <w:p w14:paraId="19FE3233" w14:textId="6399AB8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 12: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 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8597</w:t>
            </w:r>
          </w:p>
        </w:tc>
        <w:tc>
          <w:tcPr>
            <w:tcW w:w="1418" w:type="dxa"/>
            <w:shd w:val="clear" w:color="auto" w:fill="auto"/>
            <w:hideMark/>
          </w:tcPr>
          <w:p w14:paraId="47D88D51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 8: 51.25% female</w:t>
            </w:r>
          </w:p>
          <w:p w14:paraId="59B23E81" w14:textId="64644FF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 10: 50.06% female</w:t>
            </w:r>
          </w:p>
          <w:p w14:paraId="2614D227" w14:textId="7E0D6EE5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Grade 12: 51.17% female </w:t>
            </w:r>
          </w:p>
          <w:p w14:paraId="25E3E13C" w14:textId="04A9B83B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E82A85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nr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USA</w:t>
            </w:r>
          </w:p>
        </w:tc>
        <w:tc>
          <w:tcPr>
            <w:tcW w:w="1559" w:type="dxa"/>
            <w:shd w:val="clear" w:color="auto" w:fill="auto"/>
            <w:hideMark/>
          </w:tcPr>
          <w:p w14:paraId="324482C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Data drawn from Monitoring the Future study (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= 41551) using a multistage stratified approach, nationally representative.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Grades 8, 10, 12</w:t>
            </w:r>
          </w:p>
        </w:tc>
        <w:tc>
          <w:tcPr>
            <w:tcW w:w="992" w:type="dxa"/>
            <w:shd w:val="clear" w:color="auto" w:fill="auto"/>
            <w:hideMark/>
          </w:tcPr>
          <w:p w14:paraId="095AE1AB" w14:textId="7107107E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T M/H</w:t>
            </w:r>
            <w:r w:rsidR="00896BDF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ash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NUPM BD</w:t>
            </w:r>
          </w:p>
        </w:tc>
        <w:tc>
          <w:tcPr>
            <w:tcW w:w="704" w:type="dxa"/>
            <w:shd w:val="clear" w:color="auto" w:fill="auto"/>
            <w:hideMark/>
          </w:tcPr>
          <w:p w14:paraId="7E9025D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30 days use (past 2 weeks for BD)</w:t>
            </w:r>
          </w:p>
        </w:tc>
        <w:tc>
          <w:tcPr>
            <w:tcW w:w="1706" w:type="dxa"/>
            <w:shd w:val="clear" w:color="auto" w:fill="auto"/>
            <w:hideMark/>
          </w:tcPr>
          <w:p w14:paraId="7B09EA86" w14:textId="7DB02C01" w:rsidR="005206EC" w:rsidRPr="009A5453" w:rsidRDefault="00962B85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ast 30</w:t>
            </w:r>
            <w:r w:rsidR="001045AE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-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day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drug use (binary question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)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, or past two weeks for BD episodes (defined as 5+ drinks in a row)</w:t>
            </w:r>
          </w:p>
        </w:tc>
        <w:tc>
          <w:tcPr>
            <w:tcW w:w="1843" w:type="dxa"/>
            <w:shd w:val="clear" w:color="auto" w:fill="auto"/>
            <w:hideMark/>
          </w:tcPr>
          <w:p w14:paraId="4677031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 8: 2 clusters - I. Low-level users (91%); II. Poly-users (9%)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 10: 2 clusters - I. Low-level users (82%); II. Poly-users (18%)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Grade 12: 3 clusters - I. Low-level users (76%); II. Predominant 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users (7%); III. Poly-users (17%)</w:t>
            </w:r>
          </w:p>
        </w:tc>
        <w:tc>
          <w:tcPr>
            <w:tcW w:w="2551" w:type="dxa"/>
            <w:shd w:val="clear" w:color="auto" w:fill="auto"/>
            <w:hideMark/>
          </w:tcPr>
          <w:p w14:paraId="5EBECFFD" w14:textId="425CD35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Grade 8: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I. Low prob. of substance use, 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use highest prob. use (3x as high as any other substances)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II. High prob to use any of the 5 substances (slightly lower for NUPM)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 10: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I.</w:t>
            </w:r>
            <w:r w:rsidR="00896BDF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Similarly low prob. use of 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, M,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BD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 to use any of the 5 substances (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more prominent)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 12: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I. Low prob. of substance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II. Very high prob. 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use, moderate prob. M, BD, &amp; T use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 to use any of the 5 substances (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eC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more prominent)</w:t>
            </w:r>
          </w:p>
        </w:tc>
        <w:tc>
          <w:tcPr>
            <w:tcW w:w="1418" w:type="dxa"/>
            <w:shd w:val="clear" w:color="auto" w:fill="auto"/>
            <w:hideMark/>
          </w:tcPr>
          <w:p w14:paraId="593E0B0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3C3AF26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439E4389" w14:textId="77777777" w:rsidTr="00E82A85">
        <w:trPr>
          <w:trHeight w:val="2065"/>
        </w:trPr>
        <w:tc>
          <w:tcPr>
            <w:tcW w:w="988" w:type="dxa"/>
            <w:shd w:val="clear" w:color="auto" w:fill="auto"/>
          </w:tcPr>
          <w:p w14:paraId="5B31F44C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Nakawaki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Crano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(2015)</w:t>
            </w:r>
          </w:p>
        </w:tc>
        <w:tc>
          <w:tcPr>
            <w:tcW w:w="855" w:type="dxa"/>
            <w:shd w:val="clear" w:color="auto" w:fill="auto"/>
          </w:tcPr>
          <w:p w14:paraId="2675FE7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= 7476 </w:t>
            </w:r>
          </w:p>
        </w:tc>
        <w:tc>
          <w:tcPr>
            <w:tcW w:w="1418" w:type="dxa"/>
            <w:shd w:val="clear" w:color="auto" w:fill="auto"/>
          </w:tcPr>
          <w:p w14:paraId="17AF386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53% female</w:t>
            </w:r>
          </w:p>
          <w:p w14:paraId="38138AD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Age range = 12-17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USA</w:t>
            </w:r>
          </w:p>
        </w:tc>
        <w:tc>
          <w:tcPr>
            <w:tcW w:w="1559" w:type="dxa"/>
            <w:shd w:val="clear" w:color="auto" w:fill="auto"/>
          </w:tcPr>
          <w:p w14:paraId="60C2B951" w14:textId="3DA5C6AF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Sample drawn from 2012 National Survey of Drug Use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Health (NSDUH), if they reported past year IN use</w:t>
            </w:r>
          </w:p>
        </w:tc>
        <w:tc>
          <w:tcPr>
            <w:tcW w:w="992" w:type="dxa"/>
            <w:shd w:val="clear" w:color="auto" w:fill="auto"/>
          </w:tcPr>
          <w:p w14:paraId="294C366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T A M IN C H Hallucinogens NUPM (Opioid, Sedative, Stimulant, Tranquiliser)</w:t>
            </w:r>
          </w:p>
        </w:tc>
        <w:tc>
          <w:tcPr>
            <w:tcW w:w="704" w:type="dxa"/>
            <w:shd w:val="clear" w:color="auto" w:fill="auto"/>
          </w:tcPr>
          <w:p w14:paraId="6BCF4542" w14:textId="4B5CF254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year users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non-past year users</w:t>
            </w:r>
          </w:p>
        </w:tc>
        <w:tc>
          <w:tcPr>
            <w:tcW w:w="1706" w:type="dxa"/>
            <w:shd w:val="clear" w:color="auto" w:fill="auto"/>
          </w:tcPr>
          <w:p w14:paraId="09A0F841" w14:textId="4BB96DF4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</w:t>
            </w:r>
            <w:r w:rsidR="00962B8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year use (binary</w:t>
            </w:r>
            <w:r w:rsidR="00962B85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questions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) for each of the 8 substances</w:t>
            </w:r>
          </w:p>
        </w:tc>
        <w:tc>
          <w:tcPr>
            <w:tcW w:w="1843" w:type="dxa"/>
            <w:shd w:val="clear" w:color="auto" w:fill="auto"/>
          </w:tcPr>
          <w:p w14:paraId="7F609214" w14:textId="55971F28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6 clusters - I. high substance use/high delinquency (5.6%); II. cigarettes/alcohol/ 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M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/opioids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/moderate delinquency (11.7%); III. low substance use/fighting (17.5%); IV. high substance use/low delinquency (10.1%); V. 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Cig</w:t>
            </w:r>
            <w:r w:rsidR="00B57F04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arette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/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/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(23.4%); VI. low substance use/low delinquency (31.8%)</w:t>
            </w:r>
          </w:p>
        </w:tc>
        <w:tc>
          <w:tcPr>
            <w:tcW w:w="2551" w:type="dxa"/>
            <w:shd w:val="clear" w:color="auto" w:fill="auto"/>
          </w:tcPr>
          <w:p w14:paraId="36D0F982" w14:textId="1D3FDB84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high in both substance use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delinquency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prob. of T, A, &amp; M use, moderately high nonmedical use of prescription opioids,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moderate levels of delinquency.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past year fights (both alone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in groups), low prob. of substance use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delinquency.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IV. high prob. substance use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low delinquency.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V. likely to use IN, cigarettes, A, &amp; M; otherwise, low substance use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delinquency.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 xml:space="preserve">VI. low prob. substance use &amp; delinquent behaviours. </w:t>
            </w:r>
          </w:p>
        </w:tc>
        <w:tc>
          <w:tcPr>
            <w:tcW w:w="1418" w:type="dxa"/>
            <w:shd w:val="clear" w:color="auto" w:fill="auto"/>
          </w:tcPr>
          <w:p w14:paraId="0A00CDF7" w14:textId="0EBF9F8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Academic grades during most recent grading period on </w:t>
            </w:r>
            <w:r w:rsidR="009A20D1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4-point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scale ('A' to 'D or less')</w:t>
            </w:r>
          </w:p>
        </w:tc>
        <w:tc>
          <w:tcPr>
            <w:tcW w:w="1842" w:type="dxa"/>
            <w:shd w:val="clear" w:color="auto" w:fill="auto"/>
          </w:tcPr>
          <w:p w14:paraId="5BEA391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Poorer grades in Class 1 - 5 (relative to Class 6)</w:t>
            </w:r>
          </w:p>
        </w:tc>
      </w:tr>
      <w:tr w:rsidR="009A5453" w:rsidRPr="009A5453" w14:paraId="61A02755" w14:textId="77777777" w:rsidTr="00E82A85">
        <w:trPr>
          <w:trHeight w:val="1197"/>
        </w:trPr>
        <w:tc>
          <w:tcPr>
            <w:tcW w:w="988" w:type="dxa"/>
            <w:shd w:val="clear" w:color="auto" w:fill="auto"/>
            <w:hideMark/>
          </w:tcPr>
          <w:p w14:paraId="2991C07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proofErr w:type="spellStart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Schnieder</w:t>
            </w:r>
            <w:proofErr w:type="spellEnd"/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et al. (2020)</w:t>
            </w:r>
          </w:p>
        </w:tc>
        <w:tc>
          <w:tcPr>
            <w:tcW w:w="855" w:type="dxa"/>
            <w:shd w:val="clear" w:color="auto" w:fill="auto"/>
            <w:hideMark/>
          </w:tcPr>
          <w:p w14:paraId="5791DCC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387</w:t>
            </w:r>
          </w:p>
        </w:tc>
        <w:tc>
          <w:tcPr>
            <w:tcW w:w="1418" w:type="dxa"/>
            <w:shd w:val="clear" w:color="auto" w:fill="auto"/>
            <w:hideMark/>
          </w:tcPr>
          <w:p w14:paraId="11CF19E2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60% female</w:t>
            </w:r>
          </w:p>
          <w:p w14:paraId="51209BF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en-AU"/>
              </w:rPr>
              <w:t>Age nr</w:t>
            </w:r>
          </w:p>
          <w:p w14:paraId="6B0B1FC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77% non-Hispanic Black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USA (Maryland)</w:t>
            </w:r>
          </w:p>
        </w:tc>
        <w:tc>
          <w:tcPr>
            <w:tcW w:w="1559" w:type="dxa"/>
            <w:shd w:val="clear" w:color="auto" w:fill="auto"/>
            <w:hideMark/>
          </w:tcPr>
          <w:p w14:paraId="24CFDE9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Selected from a larger sample (</w:t>
            </w: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N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= 805) if they reported lifetime use ≥1 drug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Grades: 9-12</w:t>
            </w:r>
          </w:p>
        </w:tc>
        <w:tc>
          <w:tcPr>
            <w:tcW w:w="992" w:type="dxa"/>
            <w:shd w:val="clear" w:color="auto" w:fill="auto"/>
            <w:hideMark/>
          </w:tcPr>
          <w:p w14:paraId="559B9FC6" w14:textId="4ACF7F70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A M SM C MT H PM IN E </w:t>
            </w:r>
            <w:r w:rsidR="00465FF7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ST</w:t>
            </w:r>
          </w:p>
        </w:tc>
        <w:tc>
          <w:tcPr>
            <w:tcW w:w="704" w:type="dxa"/>
            <w:shd w:val="clear" w:color="auto" w:fill="auto"/>
            <w:hideMark/>
          </w:tcPr>
          <w:p w14:paraId="4E4D430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Lifetime use</w:t>
            </w:r>
          </w:p>
        </w:tc>
        <w:tc>
          <w:tcPr>
            <w:tcW w:w="1706" w:type="dxa"/>
            <w:shd w:val="clear" w:color="auto" w:fill="auto"/>
            <w:hideMark/>
          </w:tcPr>
          <w:p w14:paraId="05102933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Lifetime use of 10 drug types</w:t>
            </w:r>
          </w:p>
        </w:tc>
        <w:tc>
          <w:tcPr>
            <w:tcW w:w="1843" w:type="dxa"/>
            <w:shd w:val="clear" w:color="auto" w:fill="auto"/>
            <w:hideMark/>
          </w:tcPr>
          <w:p w14:paraId="580946F8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A &amp; M use (68.6%); II. Polysubstance use (22.0%); III. A/PM/IN use (9.4%)</w:t>
            </w:r>
          </w:p>
        </w:tc>
        <w:tc>
          <w:tcPr>
            <w:tcW w:w="2551" w:type="dxa"/>
            <w:shd w:val="clear" w:color="auto" w:fill="auto"/>
            <w:hideMark/>
          </w:tcPr>
          <w:p w14:paraId="76F46FD5" w14:textId="61CF80C1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High prob. use A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prob. use A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all drug types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A, IN,</w:t>
            </w:r>
            <w:r w:rsidR="00BD2F2A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&amp;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PM use, some M use.</w:t>
            </w:r>
          </w:p>
        </w:tc>
        <w:tc>
          <w:tcPr>
            <w:tcW w:w="1418" w:type="dxa"/>
            <w:shd w:val="clear" w:color="auto" w:fill="auto"/>
            <w:hideMark/>
          </w:tcPr>
          <w:p w14:paraId="1A73331F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507CDFBD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  <w:tr w:rsidR="009A5453" w:rsidRPr="009A5453" w14:paraId="1E2B1FA6" w14:textId="77777777" w:rsidTr="00E82A85">
        <w:trPr>
          <w:trHeight w:val="1474"/>
        </w:trPr>
        <w:tc>
          <w:tcPr>
            <w:tcW w:w="988" w:type="dxa"/>
            <w:shd w:val="clear" w:color="auto" w:fill="auto"/>
            <w:hideMark/>
          </w:tcPr>
          <w:p w14:paraId="5811C14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Valente et al. (2017)</w:t>
            </w:r>
          </w:p>
        </w:tc>
        <w:tc>
          <w:tcPr>
            <w:tcW w:w="855" w:type="dxa"/>
            <w:shd w:val="clear" w:color="auto" w:fill="auto"/>
            <w:hideMark/>
          </w:tcPr>
          <w:p w14:paraId="3C30424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 xml:space="preserve">n 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= 6381</w:t>
            </w:r>
          </w:p>
        </w:tc>
        <w:tc>
          <w:tcPr>
            <w:tcW w:w="1418" w:type="dxa"/>
            <w:shd w:val="clear" w:color="auto" w:fill="auto"/>
            <w:hideMark/>
          </w:tcPr>
          <w:p w14:paraId="226C0300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51.21% female</w:t>
            </w:r>
          </w:p>
          <w:p w14:paraId="24BBE2FB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  <w:lang w:eastAsia="en-AU"/>
              </w:rPr>
              <w:t>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 age = 12.61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Location: Brazil</w:t>
            </w:r>
          </w:p>
        </w:tc>
        <w:tc>
          <w:tcPr>
            <w:tcW w:w="1559" w:type="dxa"/>
            <w:shd w:val="clear" w:color="auto" w:fill="auto"/>
            <w:hideMark/>
          </w:tcPr>
          <w:p w14:paraId="56FF71B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Baseline data from a randomised control trial testing a school-based substance use prevention program in 6 cities. </w:t>
            </w:r>
          </w:p>
          <w:p w14:paraId="20B9DAE9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Grades: 7-8</w:t>
            </w:r>
          </w:p>
        </w:tc>
        <w:tc>
          <w:tcPr>
            <w:tcW w:w="992" w:type="dxa"/>
            <w:shd w:val="clear" w:color="auto" w:fill="auto"/>
            <w:hideMark/>
          </w:tcPr>
          <w:p w14:paraId="150FF24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A BD T M IN</w:t>
            </w:r>
          </w:p>
        </w:tc>
        <w:tc>
          <w:tcPr>
            <w:tcW w:w="704" w:type="dxa"/>
            <w:shd w:val="clear" w:color="auto" w:fill="auto"/>
            <w:hideMark/>
          </w:tcPr>
          <w:p w14:paraId="1FCECBF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Past 12-month use</w:t>
            </w:r>
          </w:p>
        </w:tc>
        <w:tc>
          <w:tcPr>
            <w:tcW w:w="1706" w:type="dxa"/>
            <w:shd w:val="clear" w:color="auto" w:fill="auto"/>
            <w:hideMark/>
          </w:tcPr>
          <w:p w14:paraId="5B73765B" w14:textId="3A266EAA" w:rsidR="005206EC" w:rsidRPr="009A5453" w:rsidRDefault="00962B85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 xml:space="preserve">Past 12-month use </w:t>
            </w:r>
            <w:r w:rsidR="005206EC"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of drug types (includes BD episodes, defined as 5+ drinks in 2hr period)</w:t>
            </w:r>
          </w:p>
        </w:tc>
        <w:tc>
          <w:tcPr>
            <w:tcW w:w="1843" w:type="dxa"/>
            <w:shd w:val="clear" w:color="auto" w:fill="auto"/>
            <w:hideMark/>
          </w:tcPr>
          <w:p w14:paraId="779060AA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3 clusters - I. Abstainers/low users (81.54%); II. A use / BD (16.65%); III. Polydrug users (1.80%).</w:t>
            </w:r>
          </w:p>
        </w:tc>
        <w:tc>
          <w:tcPr>
            <w:tcW w:w="2551" w:type="dxa"/>
            <w:shd w:val="clear" w:color="auto" w:fill="auto"/>
            <w:hideMark/>
          </w:tcPr>
          <w:p w14:paraId="78D95144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t>I. Average prob. A use, very low prob. other drug use. 0 BD episodes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II. High prob. A &amp; BD, average prob. IN, low prob. T, very low prob. M</w:t>
            </w:r>
            <w:r w:rsidRPr="009A5453"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  <w:br/>
              <w:t>III. High prob. use of all drugs</w:t>
            </w:r>
          </w:p>
        </w:tc>
        <w:tc>
          <w:tcPr>
            <w:tcW w:w="1418" w:type="dxa"/>
            <w:shd w:val="clear" w:color="auto" w:fill="auto"/>
            <w:hideMark/>
          </w:tcPr>
          <w:p w14:paraId="440F931E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  <w:tc>
          <w:tcPr>
            <w:tcW w:w="1842" w:type="dxa"/>
            <w:shd w:val="clear" w:color="auto" w:fill="auto"/>
            <w:hideMark/>
          </w:tcPr>
          <w:p w14:paraId="248BB1A7" w14:textId="77777777" w:rsidR="005206EC" w:rsidRPr="009A5453" w:rsidRDefault="005206EC" w:rsidP="00E82A8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AU"/>
              </w:rPr>
            </w:pPr>
          </w:p>
        </w:tc>
      </w:tr>
    </w:tbl>
    <w:p w14:paraId="1316DD7B" w14:textId="3F49A6ED" w:rsidR="0064604E" w:rsidRDefault="00E934FC" w:rsidP="007C4F97">
      <w:pPr>
        <w:ind w:left="-993"/>
      </w:pPr>
      <w:r w:rsidRPr="00E934FC">
        <w:rPr>
          <w:rFonts w:ascii="Times New Roman" w:eastAsia="Times New Roman" w:hAnsi="Times New Roman" w:cs="Times New Roman"/>
          <w:i/>
          <w:iCs/>
          <w:color w:val="000000"/>
          <w:lang w:eastAsia="en-AU"/>
        </w:rPr>
        <w:t xml:space="preserve">Note. </w:t>
      </w:r>
      <w:r w:rsidR="009A5453" w:rsidRPr="009A5453">
        <w:rPr>
          <w:rFonts w:ascii="Times New Roman" w:eastAsia="Times New Roman" w:hAnsi="Times New Roman" w:cs="Times New Roman"/>
          <w:color w:val="000000"/>
          <w:lang w:eastAsia="en-AU"/>
        </w:rPr>
        <w:t>nr = not reported,</w:t>
      </w:r>
      <w:r w:rsidR="009A5453">
        <w:rPr>
          <w:rFonts w:ascii="Times New Roman" w:eastAsia="Times New Roman" w:hAnsi="Times New Roman" w:cs="Times New Roman"/>
          <w:i/>
          <w:iCs/>
          <w:color w:val="000000"/>
          <w:lang w:eastAsia="en-AU"/>
        </w:rPr>
        <w:t xml:space="preserve"> </w:t>
      </w:r>
      <w:r w:rsidRPr="00E934FC">
        <w:rPr>
          <w:rFonts w:ascii="Times New Roman" w:eastAsia="Times New Roman" w:hAnsi="Times New Roman" w:cs="Times New Roman"/>
          <w:color w:val="000000"/>
          <w:lang w:eastAsia="en-AU"/>
        </w:rPr>
        <w:t>T = tobacco, A = alcohol, BD = binge drinking; M = marijuana</w:t>
      </w:r>
      <w:r w:rsidRPr="00E934FC">
        <w:rPr>
          <w:rFonts w:ascii="Times New Roman" w:eastAsia="Times New Roman" w:hAnsi="Times New Roman" w:cs="Times New Roman"/>
          <w:i/>
          <w:iCs/>
          <w:color w:val="000000"/>
          <w:lang w:eastAsia="en-AU"/>
        </w:rPr>
        <w:t>,</w:t>
      </w:r>
      <w:r w:rsidRPr="00E934FC">
        <w:rPr>
          <w:rFonts w:ascii="Times New Roman" w:eastAsia="Times New Roman" w:hAnsi="Times New Roman" w:cs="Times New Roman"/>
          <w:color w:val="000000"/>
          <w:lang w:eastAsia="en-AU"/>
        </w:rPr>
        <w:t xml:space="preserve"> SM = synthetic marijuana, C = cocaine; PM = pain medications (non-prescribed); ST = steroids; IN = inhalants; E = ecstasy; H = heroin; LSD = Lysergic acid diethylamide; MT = </w:t>
      </w:r>
      <w:r w:rsidR="009A20D1" w:rsidRPr="00E934FC">
        <w:rPr>
          <w:rFonts w:ascii="Times New Roman" w:eastAsia="Times New Roman" w:hAnsi="Times New Roman" w:cs="Times New Roman"/>
          <w:color w:val="000000"/>
          <w:lang w:eastAsia="en-AU"/>
        </w:rPr>
        <w:t>methamphetamine</w:t>
      </w:r>
      <w:r w:rsidRPr="00E934FC">
        <w:rPr>
          <w:rFonts w:ascii="Times New Roman" w:eastAsia="Times New Roman" w:hAnsi="Times New Roman" w:cs="Times New Roman"/>
          <w:color w:val="000000"/>
          <w:lang w:eastAsia="en-AU"/>
        </w:rPr>
        <w:t>; MD = methadone; AM = amphetamine; PCP = phencyclidine; NUPM = nonmedical use of prescription medications</w:t>
      </w:r>
      <w:r w:rsidR="000A2CB0">
        <w:rPr>
          <w:rFonts w:ascii="Times New Roman" w:eastAsia="Times New Roman" w:hAnsi="Times New Roman" w:cs="Times New Roman"/>
          <w:color w:val="000000"/>
          <w:lang w:eastAsia="en-AU"/>
        </w:rPr>
        <w:t>;</w:t>
      </w:r>
      <w:r w:rsidRPr="00E934FC">
        <w:rPr>
          <w:rFonts w:ascii="Times New Roman" w:eastAsia="Times New Roman" w:hAnsi="Times New Roman" w:cs="Times New Roman"/>
          <w:color w:val="000000"/>
          <w:lang w:eastAsia="en-AU"/>
        </w:rPr>
        <w:t xml:space="preserve"> EXPM = excessive use of prescription medications</w:t>
      </w:r>
      <w:r w:rsidR="000A2CB0">
        <w:rPr>
          <w:rFonts w:ascii="Times New Roman" w:eastAsia="Times New Roman" w:hAnsi="Times New Roman" w:cs="Times New Roman"/>
          <w:color w:val="000000"/>
          <w:lang w:eastAsia="en-AU"/>
        </w:rPr>
        <w:t>;</w:t>
      </w:r>
      <w:r w:rsidR="00BD2F2A">
        <w:rPr>
          <w:rFonts w:ascii="Times New Roman" w:eastAsia="Times New Roman" w:hAnsi="Times New Roman" w:cs="Times New Roman"/>
          <w:color w:val="000000"/>
          <w:lang w:eastAsia="en-AU"/>
        </w:rPr>
        <w:t xml:space="preserve"> </w:t>
      </w:r>
      <w:proofErr w:type="spellStart"/>
      <w:r w:rsidR="00BD2F2A">
        <w:rPr>
          <w:rFonts w:ascii="Times New Roman" w:eastAsia="Times New Roman" w:hAnsi="Times New Roman" w:cs="Times New Roman"/>
          <w:color w:val="000000"/>
          <w:lang w:eastAsia="en-AU"/>
        </w:rPr>
        <w:t>eC</w:t>
      </w:r>
      <w:proofErr w:type="spellEnd"/>
      <w:r w:rsidR="00BD2F2A">
        <w:rPr>
          <w:rFonts w:ascii="Times New Roman" w:eastAsia="Times New Roman" w:hAnsi="Times New Roman" w:cs="Times New Roman"/>
          <w:color w:val="000000"/>
          <w:lang w:eastAsia="en-AU"/>
        </w:rPr>
        <w:t xml:space="preserve"> = </w:t>
      </w:r>
      <w:proofErr w:type="spellStart"/>
      <w:r w:rsidR="00BD2F2A">
        <w:rPr>
          <w:rFonts w:ascii="Times New Roman" w:eastAsia="Times New Roman" w:hAnsi="Times New Roman" w:cs="Times New Roman"/>
          <w:color w:val="000000"/>
          <w:lang w:eastAsia="en-AU"/>
        </w:rPr>
        <w:t>eCigarette</w:t>
      </w:r>
      <w:proofErr w:type="spellEnd"/>
      <w:r w:rsidRPr="00E934FC">
        <w:rPr>
          <w:rFonts w:ascii="Times New Roman" w:eastAsia="Times New Roman" w:hAnsi="Times New Roman" w:cs="Times New Roman"/>
          <w:color w:val="000000"/>
          <w:lang w:eastAsia="en-AU"/>
        </w:rPr>
        <w:t>; prob. = probabilities</w:t>
      </w:r>
    </w:p>
    <w:sectPr w:rsidR="0064604E" w:rsidSect="004472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087"/>
    <w:rsid w:val="00011C45"/>
    <w:rsid w:val="00025EFA"/>
    <w:rsid w:val="000330FC"/>
    <w:rsid w:val="00036087"/>
    <w:rsid w:val="00040E32"/>
    <w:rsid w:val="00057D66"/>
    <w:rsid w:val="000637FC"/>
    <w:rsid w:val="000A2CB0"/>
    <w:rsid w:val="000B4908"/>
    <w:rsid w:val="000C1AB2"/>
    <w:rsid w:val="000C5C1D"/>
    <w:rsid w:val="000E6618"/>
    <w:rsid w:val="001045AE"/>
    <w:rsid w:val="00105041"/>
    <w:rsid w:val="0010758D"/>
    <w:rsid w:val="00110B06"/>
    <w:rsid w:val="00115521"/>
    <w:rsid w:val="001161F3"/>
    <w:rsid w:val="00146952"/>
    <w:rsid w:val="00164558"/>
    <w:rsid w:val="00167F67"/>
    <w:rsid w:val="001A2881"/>
    <w:rsid w:val="001B48B2"/>
    <w:rsid w:val="001C3C57"/>
    <w:rsid w:val="001C563E"/>
    <w:rsid w:val="001D208D"/>
    <w:rsid w:val="001D5783"/>
    <w:rsid w:val="001D6C54"/>
    <w:rsid w:val="001E618C"/>
    <w:rsid w:val="0020496A"/>
    <w:rsid w:val="00204C45"/>
    <w:rsid w:val="002344FE"/>
    <w:rsid w:val="00247394"/>
    <w:rsid w:val="002A1731"/>
    <w:rsid w:val="002A3C75"/>
    <w:rsid w:val="002B16C4"/>
    <w:rsid w:val="003161F9"/>
    <w:rsid w:val="00323EA1"/>
    <w:rsid w:val="00327FAA"/>
    <w:rsid w:val="003433D6"/>
    <w:rsid w:val="003657F5"/>
    <w:rsid w:val="00393748"/>
    <w:rsid w:val="003C32EC"/>
    <w:rsid w:val="004150A4"/>
    <w:rsid w:val="0044693E"/>
    <w:rsid w:val="00447234"/>
    <w:rsid w:val="00451EFE"/>
    <w:rsid w:val="00465FF7"/>
    <w:rsid w:val="00475DBF"/>
    <w:rsid w:val="00476EC3"/>
    <w:rsid w:val="0048165C"/>
    <w:rsid w:val="0049020C"/>
    <w:rsid w:val="004903E2"/>
    <w:rsid w:val="00495199"/>
    <w:rsid w:val="004A2EE7"/>
    <w:rsid w:val="004B2BD4"/>
    <w:rsid w:val="004B5E4B"/>
    <w:rsid w:val="004B5E58"/>
    <w:rsid w:val="004C204E"/>
    <w:rsid w:val="004D018D"/>
    <w:rsid w:val="004F0923"/>
    <w:rsid w:val="00510C94"/>
    <w:rsid w:val="0051226E"/>
    <w:rsid w:val="005206EC"/>
    <w:rsid w:val="005274AE"/>
    <w:rsid w:val="00527CC7"/>
    <w:rsid w:val="00531EC0"/>
    <w:rsid w:val="00557545"/>
    <w:rsid w:val="005724B8"/>
    <w:rsid w:val="005748CB"/>
    <w:rsid w:val="0058027D"/>
    <w:rsid w:val="005950DF"/>
    <w:rsid w:val="005A0C60"/>
    <w:rsid w:val="005B3450"/>
    <w:rsid w:val="005B77EA"/>
    <w:rsid w:val="005D5613"/>
    <w:rsid w:val="005F23BC"/>
    <w:rsid w:val="00606828"/>
    <w:rsid w:val="00607DA6"/>
    <w:rsid w:val="0061578C"/>
    <w:rsid w:val="006213BD"/>
    <w:rsid w:val="006369DE"/>
    <w:rsid w:val="0064604E"/>
    <w:rsid w:val="00663527"/>
    <w:rsid w:val="00672EFB"/>
    <w:rsid w:val="006779A3"/>
    <w:rsid w:val="00681975"/>
    <w:rsid w:val="00684638"/>
    <w:rsid w:val="00693BE2"/>
    <w:rsid w:val="006C357F"/>
    <w:rsid w:val="006D3182"/>
    <w:rsid w:val="006D6B37"/>
    <w:rsid w:val="006F1972"/>
    <w:rsid w:val="007042F9"/>
    <w:rsid w:val="00721F66"/>
    <w:rsid w:val="00722B68"/>
    <w:rsid w:val="007236FC"/>
    <w:rsid w:val="007238A1"/>
    <w:rsid w:val="007408EF"/>
    <w:rsid w:val="00751588"/>
    <w:rsid w:val="00762FDD"/>
    <w:rsid w:val="00777302"/>
    <w:rsid w:val="00793850"/>
    <w:rsid w:val="007945A1"/>
    <w:rsid w:val="007B4C6A"/>
    <w:rsid w:val="007B4C84"/>
    <w:rsid w:val="007C4F97"/>
    <w:rsid w:val="007E0947"/>
    <w:rsid w:val="007E2D06"/>
    <w:rsid w:val="007F049D"/>
    <w:rsid w:val="00805D6E"/>
    <w:rsid w:val="00807E0B"/>
    <w:rsid w:val="00831682"/>
    <w:rsid w:val="008424E5"/>
    <w:rsid w:val="00847948"/>
    <w:rsid w:val="00861B2F"/>
    <w:rsid w:val="00896BDF"/>
    <w:rsid w:val="008D1CE4"/>
    <w:rsid w:val="008F1735"/>
    <w:rsid w:val="00903A18"/>
    <w:rsid w:val="00912D2A"/>
    <w:rsid w:val="00962B85"/>
    <w:rsid w:val="009A20D1"/>
    <w:rsid w:val="009A3CBE"/>
    <w:rsid w:val="009A5453"/>
    <w:rsid w:val="009A6488"/>
    <w:rsid w:val="00A2250B"/>
    <w:rsid w:val="00A35431"/>
    <w:rsid w:val="00A40D1C"/>
    <w:rsid w:val="00A42514"/>
    <w:rsid w:val="00A431D5"/>
    <w:rsid w:val="00A71EF7"/>
    <w:rsid w:val="00A737B2"/>
    <w:rsid w:val="00A97CE6"/>
    <w:rsid w:val="00AB23AE"/>
    <w:rsid w:val="00AF563D"/>
    <w:rsid w:val="00B55A8D"/>
    <w:rsid w:val="00B57F04"/>
    <w:rsid w:val="00BA13AA"/>
    <w:rsid w:val="00BA3DF4"/>
    <w:rsid w:val="00BB267E"/>
    <w:rsid w:val="00BC0887"/>
    <w:rsid w:val="00BD04F3"/>
    <w:rsid w:val="00BD10EA"/>
    <w:rsid w:val="00BD2F2A"/>
    <w:rsid w:val="00BF3D12"/>
    <w:rsid w:val="00BF545C"/>
    <w:rsid w:val="00C05352"/>
    <w:rsid w:val="00C14BA6"/>
    <w:rsid w:val="00C4674E"/>
    <w:rsid w:val="00C944A8"/>
    <w:rsid w:val="00CA4D47"/>
    <w:rsid w:val="00CB66E3"/>
    <w:rsid w:val="00CD65D1"/>
    <w:rsid w:val="00CE30C5"/>
    <w:rsid w:val="00CE717B"/>
    <w:rsid w:val="00CE7F0C"/>
    <w:rsid w:val="00CF2BEE"/>
    <w:rsid w:val="00D07499"/>
    <w:rsid w:val="00D30A23"/>
    <w:rsid w:val="00D30A3E"/>
    <w:rsid w:val="00D37801"/>
    <w:rsid w:val="00D730F7"/>
    <w:rsid w:val="00D753E9"/>
    <w:rsid w:val="00D82079"/>
    <w:rsid w:val="00D9014A"/>
    <w:rsid w:val="00DA0C1C"/>
    <w:rsid w:val="00DA6770"/>
    <w:rsid w:val="00DC5943"/>
    <w:rsid w:val="00DE03F6"/>
    <w:rsid w:val="00E04FDB"/>
    <w:rsid w:val="00E27048"/>
    <w:rsid w:val="00E4013C"/>
    <w:rsid w:val="00E41490"/>
    <w:rsid w:val="00E469DC"/>
    <w:rsid w:val="00E47AC0"/>
    <w:rsid w:val="00E71F35"/>
    <w:rsid w:val="00E71F88"/>
    <w:rsid w:val="00E802B6"/>
    <w:rsid w:val="00E82A85"/>
    <w:rsid w:val="00E934FC"/>
    <w:rsid w:val="00E96EC6"/>
    <w:rsid w:val="00E97A4F"/>
    <w:rsid w:val="00EA0FF2"/>
    <w:rsid w:val="00EC1DC3"/>
    <w:rsid w:val="00EE2173"/>
    <w:rsid w:val="00EE62C3"/>
    <w:rsid w:val="00EF6A9B"/>
    <w:rsid w:val="00F13944"/>
    <w:rsid w:val="00F278C2"/>
    <w:rsid w:val="00F3524C"/>
    <w:rsid w:val="00F42DFE"/>
    <w:rsid w:val="00F62C2D"/>
    <w:rsid w:val="00F64EC5"/>
    <w:rsid w:val="00F67EBF"/>
    <w:rsid w:val="00F73D95"/>
    <w:rsid w:val="00F948E9"/>
    <w:rsid w:val="00FA3558"/>
    <w:rsid w:val="00FB7586"/>
    <w:rsid w:val="00FE004A"/>
    <w:rsid w:val="00FE2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556133"/>
  <w15:chartTrackingRefBased/>
  <w15:docId w15:val="{05505D37-1EE2-448D-A41E-441EC129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03608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6087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styleId="Hyperlink">
    <w:name w:val="Hyperlink"/>
    <w:basedOn w:val="DefaultParagraphFont"/>
    <w:uiPriority w:val="99"/>
    <w:semiHidden/>
    <w:unhideWhenUsed/>
    <w:rsid w:val="00036087"/>
    <w:rPr>
      <w:color w:val="0000FF"/>
      <w:u w:val="single"/>
    </w:rPr>
  </w:style>
  <w:style w:type="character" w:customStyle="1" w:styleId="hidden">
    <w:name w:val="hidden"/>
    <w:basedOn w:val="DefaultParagraphFont"/>
    <w:rsid w:val="00036087"/>
  </w:style>
  <w:style w:type="character" w:customStyle="1" w:styleId="tiny-normal">
    <w:name w:val="tiny-normal"/>
    <w:basedOn w:val="DefaultParagraphFont"/>
    <w:rsid w:val="00036087"/>
  </w:style>
  <w:style w:type="character" w:customStyle="1" w:styleId="medium-bold">
    <w:name w:val="medium-bold"/>
    <w:basedOn w:val="DefaultParagraphFont"/>
    <w:rsid w:val="00036087"/>
  </w:style>
  <w:style w:type="character" w:customStyle="1" w:styleId="medium-normal">
    <w:name w:val="medium-normal"/>
    <w:basedOn w:val="DefaultParagraphFont"/>
    <w:rsid w:val="00036087"/>
  </w:style>
  <w:style w:type="paragraph" w:styleId="BalloonText">
    <w:name w:val="Balloon Text"/>
    <w:basedOn w:val="Normal"/>
    <w:link w:val="BalloonTextChar"/>
    <w:uiPriority w:val="99"/>
    <w:semiHidden/>
    <w:unhideWhenUsed/>
    <w:rsid w:val="000360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608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10E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10E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10E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10E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10EA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93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6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E8944B4CDC1468BE904690F78FE6E" ma:contentTypeVersion="12" ma:contentTypeDescription="Create a new document." ma:contentTypeScope="" ma:versionID="b198cc363b4ecfd8ec95c96584a4b689">
  <xsd:schema xmlns:xsd="http://www.w3.org/2001/XMLSchema" xmlns:xs="http://www.w3.org/2001/XMLSchema" xmlns:p="http://schemas.microsoft.com/office/2006/metadata/properties" xmlns:ns3="4ae04824-9721-49a2-ae7a-23e473202763" xmlns:ns4="dc0d1561-e24f-47fe-85e4-084b60e68265" targetNamespace="http://schemas.microsoft.com/office/2006/metadata/properties" ma:root="true" ma:fieldsID="eae1e080f29cdb49a9701c37bdb2e8fc" ns3:_="" ns4:_="">
    <xsd:import namespace="4ae04824-9721-49a2-ae7a-23e473202763"/>
    <xsd:import namespace="dc0d1561-e24f-47fe-85e4-084b60e682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e04824-9721-49a2-ae7a-23e4732027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0d1561-e24f-47fe-85e4-084b60e6826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0F992B-2AAE-42D5-88FA-A0A00DB70E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10C06ED-45ED-4613-A9CE-8161DD3C5F0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961206-CAB2-4717-9E9F-FED6D4056A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49EE5B7-1405-421C-9237-91649CEAF2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e04824-9721-49a2-ae7a-23e473202763"/>
    <ds:schemaRef ds:uri="dc0d1561-e24f-47fe-85e4-084b60e682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2199</Words>
  <Characters>12537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Callula Killingly</dc:creator>
  <cp:keywords/>
  <dc:description/>
  <cp:lastModifiedBy>Adrian Kelly</cp:lastModifiedBy>
  <cp:revision>3</cp:revision>
  <cp:lastPrinted>2020-12-04T04:45:00Z</cp:lastPrinted>
  <dcterms:created xsi:type="dcterms:W3CDTF">2020-12-06T02:34:00Z</dcterms:created>
  <dcterms:modified xsi:type="dcterms:W3CDTF">2021-06-01T02:51:00Z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0x01010085EE8944B4CDC1468BE904690F78FE6E</vt:lpwstr>
  </property>
</Properties>
</file>