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9351" w:type="dxa"/>
        <w:tblLook w:val="04A0" w:firstRow="1" w:lastRow="0" w:firstColumn="1" w:lastColumn="0" w:noHBand="0" w:noVBand="1"/>
      </w:tblPr>
      <w:tblGrid>
        <w:gridCol w:w="1696"/>
        <w:gridCol w:w="1276"/>
        <w:gridCol w:w="3189"/>
        <w:gridCol w:w="3190"/>
      </w:tblGrid>
      <w:tr w:rsidR="004B36B5" w:rsidRPr="0036378D" w14:paraId="5EC85407" w14:textId="77777777" w:rsidTr="00D77857">
        <w:trPr>
          <w:trHeight w:val="244"/>
        </w:trPr>
        <w:tc>
          <w:tcPr>
            <w:tcW w:w="9351" w:type="dxa"/>
            <w:gridSpan w:val="4"/>
            <w:vAlign w:val="center"/>
          </w:tcPr>
          <w:p w14:paraId="029D1201" w14:textId="4197FE02" w:rsidR="004B36B5" w:rsidRPr="0036378D" w:rsidRDefault="004B36B5" w:rsidP="00D1793D">
            <w:pPr>
              <w:jc w:val="center"/>
              <w:rPr>
                <w:b/>
                <w:bCs/>
              </w:rPr>
            </w:pPr>
            <w:r>
              <w:rPr>
                <w:b/>
                <w:bCs/>
              </w:rPr>
              <w:t>Preclinical evidence</w:t>
            </w:r>
          </w:p>
        </w:tc>
      </w:tr>
      <w:tr w:rsidR="004B36B5" w:rsidRPr="0036378D" w14:paraId="34787568" w14:textId="77777777" w:rsidTr="00524A44">
        <w:trPr>
          <w:trHeight w:val="244"/>
        </w:trPr>
        <w:tc>
          <w:tcPr>
            <w:tcW w:w="1696" w:type="dxa"/>
            <w:vAlign w:val="center"/>
          </w:tcPr>
          <w:p w14:paraId="0C7098E5" w14:textId="06B1A48D" w:rsidR="004B36B5" w:rsidRPr="0036378D" w:rsidRDefault="004B36B5" w:rsidP="00D1793D">
            <w:pPr>
              <w:jc w:val="center"/>
              <w:rPr>
                <w:b/>
                <w:bCs/>
              </w:rPr>
            </w:pPr>
            <w:r w:rsidRPr="0036378D">
              <w:rPr>
                <w:b/>
                <w:bCs/>
              </w:rPr>
              <w:t>Study</w:t>
            </w:r>
          </w:p>
        </w:tc>
        <w:tc>
          <w:tcPr>
            <w:tcW w:w="1276" w:type="dxa"/>
          </w:tcPr>
          <w:p w14:paraId="56A09296" w14:textId="2A4C45EA" w:rsidR="004B36B5" w:rsidRPr="0036378D" w:rsidRDefault="00524A44" w:rsidP="00D1793D">
            <w:pPr>
              <w:jc w:val="center"/>
              <w:rPr>
                <w:b/>
                <w:bCs/>
              </w:rPr>
            </w:pPr>
            <w:r>
              <w:rPr>
                <w:b/>
                <w:bCs/>
              </w:rPr>
              <w:t>Species</w:t>
            </w:r>
          </w:p>
        </w:tc>
        <w:tc>
          <w:tcPr>
            <w:tcW w:w="3189" w:type="dxa"/>
            <w:vAlign w:val="center"/>
          </w:tcPr>
          <w:p w14:paraId="45EA75D5" w14:textId="726638DE" w:rsidR="004B36B5" w:rsidRPr="0036378D" w:rsidRDefault="004B36B5" w:rsidP="00D1793D">
            <w:pPr>
              <w:jc w:val="center"/>
              <w:rPr>
                <w:b/>
                <w:bCs/>
              </w:rPr>
            </w:pPr>
            <w:r w:rsidRPr="0036378D">
              <w:rPr>
                <w:b/>
                <w:bCs/>
              </w:rPr>
              <w:t>Context</w:t>
            </w:r>
          </w:p>
        </w:tc>
        <w:tc>
          <w:tcPr>
            <w:tcW w:w="3190" w:type="dxa"/>
            <w:vAlign w:val="center"/>
          </w:tcPr>
          <w:p w14:paraId="33789853" w14:textId="59755FA6" w:rsidR="004B36B5" w:rsidRPr="0036378D" w:rsidRDefault="004B36B5" w:rsidP="00D1793D">
            <w:pPr>
              <w:jc w:val="center"/>
              <w:rPr>
                <w:b/>
                <w:bCs/>
              </w:rPr>
            </w:pPr>
            <w:r w:rsidRPr="0036378D">
              <w:rPr>
                <w:b/>
                <w:bCs/>
              </w:rPr>
              <w:t>Summary of results</w:t>
            </w:r>
          </w:p>
        </w:tc>
      </w:tr>
      <w:tr w:rsidR="00E9227B" w14:paraId="272B0A42" w14:textId="77777777" w:rsidTr="00524A44">
        <w:trPr>
          <w:trHeight w:val="120"/>
        </w:trPr>
        <w:tc>
          <w:tcPr>
            <w:tcW w:w="1696" w:type="dxa"/>
          </w:tcPr>
          <w:p w14:paraId="3845A36C" w14:textId="6FFDBED1" w:rsidR="00E9227B" w:rsidRDefault="00E9227B" w:rsidP="006D4EEC">
            <w:pPr>
              <w:rPr>
                <w:sz w:val="20"/>
                <w:szCs w:val="20"/>
              </w:rPr>
            </w:pPr>
            <w:proofErr w:type="spellStart"/>
            <w:r>
              <w:rPr>
                <w:sz w:val="20"/>
                <w:szCs w:val="20"/>
              </w:rPr>
              <w:t>Beins</w:t>
            </w:r>
            <w:proofErr w:type="spellEnd"/>
            <w:r>
              <w:rPr>
                <w:sz w:val="20"/>
                <w:szCs w:val="20"/>
              </w:rPr>
              <w:t xml:space="preserve"> (2020)</w:t>
            </w:r>
          </w:p>
        </w:tc>
        <w:tc>
          <w:tcPr>
            <w:tcW w:w="1276" w:type="dxa"/>
          </w:tcPr>
          <w:p w14:paraId="629B4265" w14:textId="6A532DE4" w:rsidR="00E9227B" w:rsidRPr="00524A44" w:rsidRDefault="00E9227B" w:rsidP="006D4EEC">
            <w:pPr>
              <w:rPr>
                <w:sz w:val="20"/>
                <w:szCs w:val="20"/>
              </w:rPr>
            </w:pPr>
            <w:r>
              <w:rPr>
                <w:sz w:val="20"/>
                <w:szCs w:val="20"/>
              </w:rPr>
              <w:t>CB1 KO mice</w:t>
            </w:r>
          </w:p>
        </w:tc>
        <w:tc>
          <w:tcPr>
            <w:tcW w:w="3189" w:type="dxa"/>
          </w:tcPr>
          <w:p w14:paraId="794F0690" w14:textId="0D27BB83" w:rsidR="00E9227B" w:rsidRDefault="00E9227B" w:rsidP="006D4EEC">
            <w:pPr>
              <w:rPr>
                <w:sz w:val="20"/>
                <w:szCs w:val="20"/>
              </w:rPr>
            </w:pPr>
            <w:r>
              <w:rPr>
                <w:sz w:val="20"/>
                <w:szCs w:val="20"/>
              </w:rPr>
              <w:t xml:space="preserve">Lack of CB1, stress and neuroinflammation </w:t>
            </w:r>
          </w:p>
        </w:tc>
        <w:tc>
          <w:tcPr>
            <w:tcW w:w="3190" w:type="dxa"/>
          </w:tcPr>
          <w:p w14:paraId="67BBB566" w14:textId="4503404D" w:rsidR="00E9227B" w:rsidRDefault="00651065" w:rsidP="006D4EEC">
            <w:pPr>
              <w:rPr>
                <w:sz w:val="20"/>
                <w:szCs w:val="20"/>
              </w:rPr>
            </w:pPr>
            <w:r>
              <w:rPr>
                <w:sz w:val="20"/>
                <w:szCs w:val="20"/>
              </w:rPr>
              <w:t>Microglial parameters co</w:t>
            </w:r>
            <w:r w:rsidR="00E9227B">
              <w:rPr>
                <w:sz w:val="20"/>
                <w:szCs w:val="20"/>
              </w:rPr>
              <w:t xml:space="preserve">rrelated </w:t>
            </w:r>
            <w:r>
              <w:rPr>
                <w:sz w:val="20"/>
                <w:szCs w:val="20"/>
              </w:rPr>
              <w:t>with the severity of the behavioral phenotype.</w:t>
            </w:r>
          </w:p>
        </w:tc>
      </w:tr>
      <w:tr w:rsidR="006D4EEC" w14:paraId="1863E1F0" w14:textId="77777777" w:rsidTr="00524A44">
        <w:trPr>
          <w:trHeight w:val="120"/>
        </w:trPr>
        <w:tc>
          <w:tcPr>
            <w:tcW w:w="1696" w:type="dxa"/>
          </w:tcPr>
          <w:p w14:paraId="4EDFBA02" w14:textId="4C811AE1" w:rsidR="006D4EEC" w:rsidRPr="00524A44" w:rsidRDefault="006D4EEC" w:rsidP="006D4EEC">
            <w:pPr>
              <w:rPr>
                <w:rFonts w:cs="Times New Roman"/>
                <w:sz w:val="20"/>
                <w:szCs w:val="20"/>
              </w:rPr>
            </w:pPr>
            <w:r>
              <w:rPr>
                <w:sz w:val="20"/>
                <w:szCs w:val="20"/>
              </w:rPr>
              <w:t>Beyer et al., (2010)</w:t>
            </w:r>
          </w:p>
        </w:tc>
        <w:tc>
          <w:tcPr>
            <w:tcW w:w="1276" w:type="dxa"/>
          </w:tcPr>
          <w:p w14:paraId="77EFB3FE" w14:textId="0FF10707" w:rsidR="006D4EEC" w:rsidRPr="00524A44" w:rsidRDefault="006D4EEC" w:rsidP="006D4EEC">
            <w:pPr>
              <w:rPr>
                <w:sz w:val="20"/>
                <w:szCs w:val="20"/>
              </w:rPr>
            </w:pPr>
            <w:r w:rsidRPr="00524A44">
              <w:rPr>
                <w:sz w:val="20"/>
                <w:szCs w:val="20"/>
              </w:rPr>
              <w:t>Sprague-Dawley rats</w:t>
            </w:r>
          </w:p>
        </w:tc>
        <w:tc>
          <w:tcPr>
            <w:tcW w:w="3189" w:type="dxa"/>
          </w:tcPr>
          <w:p w14:paraId="41D90C3D" w14:textId="34130353" w:rsidR="006D4EEC" w:rsidRPr="00524A44" w:rsidRDefault="00E2625E" w:rsidP="006D4EEC">
            <w:pPr>
              <w:rPr>
                <w:sz w:val="20"/>
                <w:szCs w:val="20"/>
              </w:rPr>
            </w:pPr>
            <w:r>
              <w:rPr>
                <w:sz w:val="20"/>
                <w:szCs w:val="20"/>
              </w:rPr>
              <w:t>S</w:t>
            </w:r>
            <w:r w:rsidR="006D4EEC">
              <w:rPr>
                <w:sz w:val="20"/>
                <w:szCs w:val="20"/>
              </w:rPr>
              <w:t>ynthetic CB1 antagonist SR141716 in behavior and neurotransmission and inflammatory biomarkers.</w:t>
            </w:r>
          </w:p>
        </w:tc>
        <w:tc>
          <w:tcPr>
            <w:tcW w:w="3190" w:type="dxa"/>
          </w:tcPr>
          <w:p w14:paraId="3EB74877" w14:textId="22F139D5" w:rsidR="006D4EEC" w:rsidRDefault="00E2625E" w:rsidP="006D4EEC">
            <w:pPr>
              <w:rPr>
                <w:sz w:val="20"/>
                <w:szCs w:val="20"/>
              </w:rPr>
            </w:pPr>
            <w:r>
              <w:rPr>
                <w:sz w:val="20"/>
                <w:szCs w:val="20"/>
              </w:rPr>
              <w:t>Depressive</w:t>
            </w:r>
            <w:r w:rsidR="006D4EEC" w:rsidRPr="00273CCE">
              <w:rPr>
                <w:sz w:val="20"/>
                <w:szCs w:val="20"/>
              </w:rPr>
              <w:t xml:space="preserve">-like phenotype. </w:t>
            </w:r>
            <w:r>
              <w:rPr>
                <w:sz w:val="20"/>
                <w:szCs w:val="20"/>
              </w:rPr>
              <w:t>D</w:t>
            </w:r>
            <w:r w:rsidR="006D4EEC" w:rsidRPr="00273CCE">
              <w:rPr>
                <w:sz w:val="20"/>
                <w:szCs w:val="20"/>
              </w:rPr>
              <w:t>ecrease</w:t>
            </w:r>
            <w:r>
              <w:rPr>
                <w:sz w:val="20"/>
                <w:szCs w:val="20"/>
              </w:rPr>
              <w:t xml:space="preserve">d serotonin levels in </w:t>
            </w:r>
            <w:r w:rsidR="006D4EEC" w:rsidRPr="00273CCE">
              <w:rPr>
                <w:sz w:val="20"/>
                <w:szCs w:val="20"/>
              </w:rPr>
              <w:t>frontal cortex</w:t>
            </w:r>
            <w:r>
              <w:rPr>
                <w:sz w:val="20"/>
                <w:szCs w:val="20"/>
              </w:rPr>
              <w:t xml:space="preserve"> and</w:t>
            </w:r>
            <w:r w:rsidR="006D4EEC" w:rsidRPr="00273CCE">
              <w:rPr>
                <w:sz w:val="20"/>
                <w:szCs w:val="20"/>
              </w:rPr>
              <w:t xml:space="preserve"> hippocampal cell proliferation, survival</w:t>
            </w:r>
            <w:r>
              <w:rPr>
                <w:sz w:val="20"/>
                <w:szCs w:val="20"/>
              </w:rPr>
              <w:t xml:space="preserve">. Reduced </w:t>
            </w:r>
            <w:r w:rsidR="006D4EEC" w:rsidRPr="00273CCE">
              <w:rPr>
                <w:sz w:val="20"/>
                <w:szCs w:val="20"/>
              </w:rPr>
              <w:t xml:space="preserve">BDNF levels, and </w:t>
            </w:r>
            <w:r>
              <w:rPr>
                <w:sz w:val="20"/>
                <w:szCs w:val="20"/>
              </w:rPr>
              <w:t>increased</w:t>
            </w:r>
            <w:r w:rsidR="006D4EEC" w:rsidRPr="00273CCE">
              <w:rPr>
                <w:sz w:val="20"/>
                <w:szCs w:val="20"/>
              </w:rPr>
              <w:t xml:space="preserve"> concentrations of pro-inflammatory cytokines including interferon gamma and TNF alpha</w:t>
            </w:r>
            <w:r w:rsidR="006D4EEC">
              <w:rPr>
                <w:sz w:val="20"/>
                <w:szCs w:val="20"/>
              </w:rPr>
              <w:t>.</w:t>
            </w:r>
          </w:p>
        </w:tc>
      </w:tr>
      <w:tr w:rsidR="006D4EEC" w14:paraId="1A511A6E" w14:textId="77777777" w:rsidTr="00524A44">
        <w:trPr>
          <w:trHeight w:val="120"/>
        </w:trPr>
        <w:tc>
          <w:tcPr>
            <w:tcW w:w="1696" w:type="dxa"/>
          </w:tcPr>
          <w:p w14:paraId="174BBA2C" w14:textId="7CFFB1CD" w:rsidR="006D4EEC" w:rsidRPr="00524A44" w:rsidRDefault="006D4EEC" w:rsidP="006D4EEC">
            <w:pPr>
              <w:rPr>
                <w:rFonts w:cs="Times New Roman"/>
                <w:sz w:val="20"/>
                <w:szCs w:val="20"/>
              </w:rPr>
            </w:pPr>
            <w:r>
              <w:rPr>
                <w:sz w:val="20"/>
                <w:szCs w:val="20"/>
              </w:rPr>
              <w:t>Bridges et al., (2001)</w:t>
            </w:r>
          </w:p>
        </w:tc>
        <w:tc>
          <w:tcPr>
            <w:tcW w:w="1276" w:type="dxa"/>
          </w:tcPr>
          <w:p w14:paraId="4F31D5E4" w14:textId="78550FC0" w:rsidR="006D4EEC" w:rsidRPr="00524A44" w:rsidRDefault="006D4EEC" w:rsidP="006D4EEC">
            <w:pPr>
              <w:rPr>
                <w:sz w:val="20"/>
                <w:szCs w:val="20"/>
              </w:rPr>
            </w:pPr>
            <w:r>
              <w:rPr>
                <w:sz w:val="20"/>
                <w:szCs w:val="20"/>
              </w:rPr>
              <w:t>Wistar rats</w:t>
            </w:r>
          </w:p>
        </w:tc>
        <w:tc>
          <w:tcPr>
            <w:tcW w:w="3189" w:type="dxa"/>
          </w:tcPr>
          <w:p w14:paraId="45E7769A" w14:textId="707F25FD" w:rsidR="006D4EEC" w:rsidRPr="00524A44" w:rsidRDefault="004131E0" w:rsidP="006D4EEC">
            <w:pPr>
              <w:rPr>
                <w:sz w:val="20"/>
                <w:szCs w:val="20"/>
              </w:rPr>
            </w:pPr>
            <w:r>
              <w:rPr>
                <w:sz w:val="20"/>
                <w:szCs w:val="20"/>
              </w:rPr>
              <w:t>S</w:t>
            </w:r>
            <w:r w:rsidR="00E2625E">
              <w:rPr>
                <w:sz w:val="20"/>
                <w:szCs w:val="20"/>
              </w:rPr>
              <w:t xml:space="preserve">ynthetic CB1 agonist </w:t>
            </w:r>
            <w:r w:rsidR="006D4EEC">
              <w:rPr>
                <w:sz w:val="20"/>
                <w:szCs w:val="20"/>
              </w:rPr>
              <w:t>WIN55</w:t>
            </w:r>
            <w:proofErr w:type="gramStart"/>
            <w:r w:rsidR="006D4EEC">
              <w:rPr>
                <w:sz w:val="20"/>
                <w:szCs w:val="20"/>
              </w:rPr>
              <w:t>,212</w:t>
            </w:r>
            <w:proofErr w:type="gramEnd"/>
            <w:r w:rsidR="006D4EEC">
              <w:rPr>
                <w:sz w:val="20"/>
                <w:szCs w:val="20"/>
              </w:rPr>
              <w:t xml:space="preserve">-2 </w:t>
            </w:r>
            <w:r w:rsidR="00E2625E">
              <w:rPr>
                <w:sz w:val="20"/>
                <w:szCs w:val="20"/>
              </w:rPr>
              <w:t>and</w:t>
            </w:r>
            <w:r w:rsidR="006D4EEC">
              <w:rPr>
                <w:sz w:val="20"/>
                <w:szCs w:val="20"/>
              </w:rPr>
              <w:t xml:space="preserve"> neuropathic pain</w:t>
            </w:r>
          </w:p>
        </w:tc>
        <w:tc>
          <w:tcPr>
            <w:tcW w:w="3190" w:type="dxa"/>
          </w:tcPr>
          <w:p w14:paraId="5BBDC590" w14:textId="22D9CD03" w:rsidR="006D4EEC" w:rsidRDefault="006D4EEC" w:rsidP="006D4EEC">
            <w:pPr>
              <w:rPr>
                <w:sz w:val="20"/>
                <w:szCs w:val="20"/>
              </w:rPr>
            </w:pPr>
            <w:r>
              <w:rPr>
                <w:sz w:val="20"/>
                <w:szCs w:val="20"/>
              </w:rPr>
              <w:t>WIN55</w:t>
            </w:r>
            <w:proofErr w:type="gramStart"/>
            <w:r>
              <w:rPr>
                <w:sz w:val="20"/>
                <w:szCs w:val="20"/>
              </w:rPr>
              <w:t>,212</w:t>
            </w:r>
            <w:proofErr w:type="gramEnd"/>
            <w:r>
              <w:rPr>
                <w:sz w:val="20"/>
                <w:szCs w:val="20"/>
              </w:rPr>
              <w:t>-2 dose related reversal of all signs of neuropathy.</w:t>
            </w:r>
          </w:p>
        </w:tc>
      </w:tr>
      <w:tr w:rsidR="00E9227B" w:rsidRPr="00E9227B" w14:paraId="21D09B48" w14:textId="77777777" w:rsidTr="00A9369D">
        <w:trPr>
          <w:trHeight w:val="125"/>
        </w:trPr>
        <w:tc>
          <w:tcPr>
            <w:tcW w:w="1696" w:type="dxa"/>
          </w:tcPr>
          <w:p w14:paraId="3FE00376" w14:textId="3803A1C5" w:rsidR="00E9227B" w:rsidRDefault="00E9227B" w:rsidP="00A9369D">
            <w:pPr>
              <w:rPr>
                <w:sz w:val="20"/>
                <w:szCs w:val="20"/>
              </w:rPr>
            </w:pPr>
            <w:r>
              <w:rPr>
                <w:sz w:val="20"/>
                <w:szCs w:val="20"/>
              </w:rPr>
              <w:t>Chen et al., (2018)</w:t>
            </w:r>
          </w:p>
        </w:tc>
        <w:tc>
          <w:tcPr>
            <w:tcW w:w="1276" w:type="dxa"/>
          </w:tcPr>
          <w:p w14:paraId="0FF1A900" w14:textId="23E77A5F" w:rsidR="00E9227B" w:rsidRDefault="00E9227B" w:rsidP="00A9369D">
            <w:pPr>
              <w:rPr>
                <w:sz w:val="20"/>
                <w:szCs w:val="20"/>
              </w:rPr>
            </w:pPr>
            <w:r>
              <w:rPr>
                <w:sz w:val="20"/>
                <w:szCs w:val="20"/>
              </w:rPr>
              <w:t>Wistar rats</w:t>
            </w:r>
          </w:p>
        </w:tc>
        <w:tc>
          <w:tcPr>
            <w:tcW w:w="3189" w:type="dxa"/>
          </w:tcPr>
          <w:p w14:paraId="44ED2464" w14:textId="0C3D09F4" w:rsidR="00E9227B" w:rsidRDefault="00E9227B" w:rsidP="00A9369D">
            <w:pPr>
              <w:rPr>
                <w:sz w:val="20"/>
                <w:szCs w:val="20"/>
              </w:rPr>
            </w:pPr>
            <w:r>
              <w:rPr>
                <w:sz w:val="20"/>
                <w:szCs w:val="20"/>
              </w:rPr>
              <w:t>FAAH inhibition and inflammatory-related genes after acute stress.</w:t>
            </w:r>
          </w:p>
        </w:tc>
        <w:tc>
          <w:tcPr>
            <w:tcW w:w="3190" w:type="dxa"/>
          </w:tcPr>
          <w:p w14:paraId="5899DD6E" w14:textId="10B14A74" w:rsidR="00E9227B" w:rsidRPr="00E9227B" w:rsidRDefault="00E9227B" w:rsidP="00A9369D">
            <w:pPr>
              <w:rPr>
                <w:sz w:val="20"/>
                <w:szCs w:val="20"/>
              </w:rPr>
            </w:pPr>
            <w:r w:rsidRPr="00E9227B">
              <w:rPr>
                <w:sz w:val="20"/>
                <w:szCs w:val="20"/>
              </w:rPr>
              <w:t>FAAH inhibition decreases plasma corticosterone at 60 minutes of</w:t>
            </w:r>
            <w:r>
              <w:rPr>
                <w:sz w:val="20"/>
                <w:szCs w:val="20"/>
              </w:rPr>
              <w:t xml:space="preserve"> stress. Attenuation of inflammatory markers expression</w:t>
            </w:r>
          </w:p>
        </w:tc>
      </w:tr>
      <w:tr w:rsidR="00D704C6" w14:paraId="0D5C6370" w14:textId="77777777" w:rsidTr="00A9369D">
        <w:trPr>
          <w:trHeight w:val="125"/>
        </w:trPr>
        <w:tc>
          <w:tcPr>
            <w:tcW w:w="1696" w:type="dxa"/>
          </w:tcPr>
          <w:p w14:paraId="76D24E48" w14:textId="1F33E6CB" w:rsidR="00D704C6" w:rsidRDefault="00D704C6" w:rsidP="00D704C6">
            <w:pPr>
              <w:rPr>
                <w:sz w:val="20"/>
                <w:szCs w:val="20"/>
              </w:rPr>
            </w:pPr>
            <w:proofErr w:type="spellStart"/>
            <w:r>
              <w:rPr>
                <w:rFonts w:cs="Times New Roman"/>
                <w:sz w:val="20"/>
                <w:szCs w:val="20"/>
              </w:rPr>
              <w:t>Foga</w:t>
            </w:r>
            <w:r w:rsidRPr="00651065">
              <w:rPr>
                <w:rFonts w:cs="Times New Roman"/>
                <w:sz w:val="20"/>
                <w:szCs w:val="20"/>
              </w:rPr>
              <w:t>ç</w:t>
            </w:r>
            <w:r>
              <w:rPr>
                <w:rFonts w:cs="Times New Roman"/>
                <w:sz w:val="20"/>
                <w:szCs w:val="20"/>
              </w:rPr>
              <w:t>a</w:t>
            </w:r>
            <w:proofErr w:type="spellEnd"/>
            <w:r>
              <w:rPr>
                <w:rFonts w:cs="Times New Roman"/>
                <w:sz w:val="20"/>
                <w:szCs w:val="20"/>
              </w:rPr>
              <w:t xml:space="preserve"> et al., (2018)</w:t>
            </w:r>
          </w:p>
        </w:tc>
        <w:tc>
          <w:tcPr>
            <w:tcW w:w="1276" w:type="dxa"/>
          </w:tcPr>
          <w:p w14:paraId="7D120754" w14:textId="2529B730" w:rsidR="00D704C6" w:rsidRDefault="00D704C6" w:rsidP="00D704C6">
            <w:pPr>
              <w:rPr>
                <w:sz w:val="20"/>
                <w:szCs w:val="20"/>
              </w:rPr>
            </w:pPr>
            <w:r>
              <w:rPr>
                <w:sz w:val="20"/>
                <w:szCs w:val="20"/>
              </w:rPr>
              <w:t>C57BL/6 mice</w:t>
            </w:r>
          </w:p>
        </w:tc>
        <w:tc>
          <w:tcPr>
            <w:tcW w:w="3189" w:type="dxa"/>
          </w:tcPr>
          <w:p w14:paraId="37B0265D" w14:textId="4C65842E" w:rsidR="00D704C6" w:rsidRDefault="00D704C6" w:rsidP="00D704C6">
            <w:pPr>
              <w:rPr>
                <w:sz w:val="20"/>
                <w:szCs w:val="20"/>
              </w:rPr>
            </w:pPr>
            <w:r>
              <w:rPr>
                <w:sz w:val="20"/>
                <w:szCs w:val="20"/>
              </w:rPr>
              <w:t>CBD, chronic stress and neurogenesis</w:t>
            </w:r>
          </w:p>
        </w:tc>
        <w:tc>
          <w:tcPr>
            <w:tcW w:w="3190" w:type="dxa"/>
          </w:tcPr>
          <w:p w14:paraId="7BBC9992" w14:textId="6D8CA715" w:rsidR="00D704C6" w:rsidRDefault="00D704C6" w:rsidP="00D704C6">
            <w:pPr>
              <w:rPr>
                <w:sz w:val="20"/>
                <w:szCs w:val="20"/>
              </w:rPr>
            </w:pPr>
            <w:r>
              <w:rPr>
                <w:sz w:val="20"/>
                <w:szCs w:val="20"/>
              </w:rPr>
              <w:t xml:space="preserve">Treatment prevents: anxiety-like behavior, decrease in neurogenesis, and dendritic remodeling induced by chronic stress </w:t>
            </w:r>
          </w:p>
        </w:tc>
      </w:tr>
      <w:tr w:rsidR="00D704C6" w14:paraId="5F730481" w14:textId="77777777" w:rsidTr="00A9369D">
        <w:trPr>
          <w:trHeight w:val="125"/>
        </w:trPr>
        <w:tc>
          <w:tcPr>
            <w:tcW w:w="1696" w:type="dxa"/>
          </w:tcPr>
          <w:p w14:paraId="3BEB97EA" w14:textId="77777777" w:rsidR="00D704C6" w:rsidRPr="00524A44" w:rsidRDefault="00D704C6" w:rsidP="00D704C6">
            <w:pPr>
              <w:rPr>
                <w:sz w:val="20"/>
                <w:szCs w:val="20"/>
              </w:rPr>
            </w:pPr>
            <w:r>
              <w:rPr>
                <w:sz w:val="20"/>
                <w:szCs w:val="20"/>
              </w:rPr>
              <w:t>Haller et al., (2002)</w:t>
            </w:r>
          </w:p>
        </w:tc>
        <w:tc>
          <w:tcPr>
            <w:tcW w:w="1276" w:type="dxa"/>
          </w:tcPr>
          <w:p w14:paraId="582FCD1D" w14:textId="77777777" w:rsidR="00D704C6" w:rsidRPr="00524A44" w:rsidRDefault="00D704C6" w:rsidP="00D704C6">
            <w:pPr>
              <w:rPr>
                <w:sz w:val="20"/>
                <w:szCs w:val="20"/>
              </w:rPr>
            </w:pPr>
            <w:r>
              <w:rPr>
                <w:sz w:val="20"/>
                <w:szCs w:val="20"/>
              </w:rPr>
              <w:t>CB1 KO mice</w:t>
            </w:r>
          </w:p>
        </w:tc>
        <w:tc>
          <w:tcPr>
            <w:tcW w:w="3189" w:type="dxa"/>
          </w:tcPr>
          <w:p w14:paraId="3CDCBAF6" w14:textId="77777777" w:rsidR="00D704C6" w:rsidRPr="00524A44" w:rsidRDefault="00D704C6" w:rsidP="00D704C6">
            <w:pPr>
              <w:rPr>
                <w:sz w:val="20"/>
                <w:szCs w:val="20"/>
              </w:rPr>
            </w:pPr>
            <w:r>
              <w:rPr>
                <w:sz w:val="20"/>
                <w:szCs w:val="20"/>
              </w:rPr>
              <w:t>Behavioral characterization of CB1-KO mice combined with a cannabinoid antagonist.</w:t>
            </w:r>
          </w:p>
        </w:tc>
        <w:tc>
          <w:tcPr>
            <w:tcW w:w="3190" w:type="dxa"/>
          </w:tcPr>
          <w:p w14:paraId="7AFD38A5" w14:textId="4BADCA8B" w:rsidR="00D704C6" w:rsidRPr="00524A44" w:rsidRDefault="00D704C6" w:rsidP="00D704C6">
            <w:pPr>
              <w:rPr>
                <w:sz w:val="20"/>
                <w:szCs w:val="20"/>
              </w:rPr>
            </w:pPr>
            <w:r>
              <w:rPr>
                <w:sz w:val="20"/>
                <w:szCs w:val="20"/>
              </w:rPr>
              <w:t>Increased anxiety-like behavior reversed by administration of the cannabinoid antagonist.</w:t>
            </w:r>
          </w:p>
        </w:tc>
      </w:tr>
      <w:tr w:rsidR="00D704C6" w14:paraId="1761CC6A" w14:textId="77777777" w:rsidTr="00524A44">
        <w:trPr>
          <w:trHeight w:val="120"/>
        </w:trPr>
        <w:tc>
          <w:tcPr>
            <w:tcW w:w="1696" w:type="dxa"/>
          </w:tcPr>
          <w:p w14:paraId="02C12110" w14:textId="5C3E6729" w:rsidR="00D704C6" w:rsidRDefault="00D704C6" w:rsidP="00D704C6">
            <w:pPr>
              <w:rPr>
                <w:rFonts w:cs="Times New Roman"/>
                <w:sz w:val="20"/>
                <w:szCs w:val="20"/>
              </w:rPr>
            </w:pPr>
            <w:r w:rsidRPr="00524A44">
              <w:rPr>
                <w:rFonts w:cs="Times New Roman"/>
                <w:sz w:val="20"/>
                <w:szCs w:val="20"/>
              </w:rPr>
              <w:fldChar w:fldCharType="begin"/>
            </w:r>
            <w:r w:rsidRPr="00524A44">
              <w:rPr>
                <w:rFonts w:cs="Times New Roman"/>
                <w:sz w:val="20"/>
                <w:szCs w:val="20"/>
              </w:rPr>
              <w:instrText xml:space="preserve"> ADDIN ZOTERO_ITEM CSL_CITATION {"citationID":"us62De9M","properties":{"custom":"(Hill et al., 2008b)","formattedCitation":"(Hill et al., 2008b)","plainCitation":"(Hill et al., 2008b)","noteIndex":0},"citationItems":[{"id":821,"uris":["http://zotero.org/users/6592908/items/49754S7Z"],"uri":["http://zotero.org/users/6592908/items/49754S7Z"],"itemData":{"id":821,"type":"article-journal","abstract":"The goal of this study was to determine whether the endocannabinoid system is altered by chronic antidepressant treatment. The effects of three week administration of the monoamine oxidase inhibitor, tranylcypromine (10 mg/kg) and the selective serotonin reuptake inhibitor, fluoxetine (5 mg/kg) on cannabinoid CB1 receptor densities and endocannabinoid contents were determined in limbic brain regions of the rat. Tranylcypromine significantly reduced tissue content of the endocannabinoid N-arachidonylethanolamine (anandamide) in the prefrontal cortex, hippocampus and hypothalamus and increased 2-arachidonoylglycerol content in the prefrontal cortex. Tranylcypromine treatment significantly increased CB1 receptor binding density in the prefrontal cortex and hippocampus, but not in the hypothalamus. Treatment with fluoxetine increased CB1 receptor density in the prefrontal cortex, but had no effect on endocannabinoid contents in any brain region examined. These data suggest that monoaminergic neurotransmission can regulate the endocannabinoid system and further indicates a role of the endocannabinoid system in affective illness and its treatment.","container-title":"Journal of neural transmission (Vienna, Austria : 1996)","DOI":"10.1007/s00702-008-0131-7","ISSN":"0300-9564","issue":"12","journalAbbreviation":"J Neural Transm","note":"PMID: 18974922\nPMCID: PMC2992975","page":"1673-1679","source":"PubMed Central","title":"Differential Effects of the Antidepressants Tranylcypromine and Fluoxetine on Limbic Cannabinoid Receptor Binding and Endocannabinoid Contents","volume":"115","author":[{"family":"Hill","given":"Matthew N."},{"family":"Ho","given":"Wing-Sze Vanessa"},{"family":"Hillard","given":"Cecilia J."},{"family":"Gorzalka","given":"Boris B."}],"issued":{"literal":"2008b"}}}],"schema":"https://github.com/citation-style-language/schema/raw/master/csl-citation.json"} </w:instrText>
            </w:r>
            <w:r w:rsidRPr="00524A44">
              <w:rPr>
                <w:rFonts w:cs="Times New Roman"/>
                <w:sz w:val="20"/>
                <w:szCs w:val="20"/>
              </w:rPr>
              <w:fldChar w:fldCharType="separate"/>
            </w:r>
            <w:r w:rsidRPr="00524A44">
              <w:rPr>
                <w:rFonts w:cs="Times New Roman"/>
                <w:sz w:val="20"/>
                <w:szCs w:val="20"/>
              </w:rPr>
              <w:t xml:space="preserve">Hill et al., </w:t>
            </w:r>
            <w:r>
              <w:rPr>
                <w:rFonts w:cs="Times New Roman"/>
                <w:sz w:val="20"/>
                <w:szCs w:val="20"/>
              </w:rPr>
              <w:t>(</w:t>
            </w:r>
            <w:r w:rsidRPr="00524A44">
              <w:rPr>
                <w:rFonts w:cs="Times New Roman"/>
                <w:sz w:val="20"/>
                <w:szCs w:val="20"/>
              </w:rPr>
              <w:t>2008b</w:t>
            </w:r>
            <w:r w:rsidRPr="00524A44">
              <w:rPr>
                <w:rFonts w:cs="Times New Roman"/>
                <w:sz w:val="20"/>
                <w:szCs w:val="20"/>
              </w:rPr>
              <w:fldChar w:fldCharType="end"/>
            </w:r>
            <w:r>
              <w:rPr>
                <w:rFonts w:cs="Times New Roman"/>
                <w:sz w:val="20"/>
                <w:szCs w:val="20"/>
              </w:rPr>
              <w:t>)</w:t>
            </w:r>
          </w:p>
        </w:tc>
        <w:tc>
          <w:tcPr>
            <w:tcW w:w="1276" w:type="dxa"/>
          </w:tcPr>
          <w:p w14:paraId="461E07E7" w14:textId="61088A40" w:rsidR="00D704C6" w:rsidRDefault="00D704C6" w:rsidP="00D704C6">
            <w:pPr>
              <w:rPr>
                <w:sz w:val="20"/>
                <w:szCs w:val="20"/>
              </w:rPr>
            </w:pPr>
            <w:r w:rsidRPr="00524A44">
              <w:rPr>
                <w:sz w:val="20"/>
                <w:szCs w:val="20"/>
              </w:rPr>
              <w:t>Sprague-Dawley rats</w:t>
            </w:r>
          </w:p>
        </w:tc>
        <w:tc>
          <w:tcPr>
            <w:tcW w:w="3189" w:type="dxa"/>
          </w:tcPr>
          <w:p w14:paraId="0921FF64" w14:textId="1D476DDF" w:rsidR="00D704C6" w:rsidRDefault="00D704C6" w:rsidP="00D704C6">
            <w:pPr>
              <w:rPr>
                <w:sz w:val="20"/>
                <w:szCs w:val="20"/>
              </w:rPr>
            </w:pPr>
            <w:r>
              <w:rPr>
                <w:sz w:val="20"/>
                <w:szCs w:val="20"/>
              </w:rPr>
              <w:t>C</w:t>
            </w:r>
            <w:r w:rsidRPr="00524A44">
              <w:rPr>
                <w:sz w:val="20"/>
                <w:szCs w:val="20"/>
              </w:rPr>
              <w:t>hronic antidepressant treatment</w:t>
            </w:r>
            <w:r>
              <w:rPr>
                <w:sz w:val="20"/>
                <w:szCs w:val="20"/>
              </w:rPr>
              <w:t xml:space="preserve"> (</w:t>
            </w:r>
            <w:r w:rsidRPr="00524A44">
              <w:rPr>
                <w:sz w:val="20"/>
                <w:szCs w:val="20"/>
              </w:rPr>
              <w:t>tranylcypromine and fluoxetine</w:t>
            </w:r>
            <w:r>
              <w:rPr>
                <w:sz w:val="20"/>
                <w:szCs w:val="20"/>
              </w:rPr>
              <w:t>)</w:t>
            </w:r>
            <w:r w:rsidRPr="00524A44">
              <w:rPr>
                <w:sz w:val="20"/>
                <w:szCs w:val="20"/>
              </w:rPr>
              <w:t xml:space="preserve"> </w:t>
            </w:r>
            <w:r w:rsidR="00E20BBF">
              <w:rPr>
                <w:sz w:val="20"/>
                <w:szCs w:val="20"/>
              </w:rPr>
              <w:t>on</w:t>
            </w:r>
            <w:r w:rsidRPr="00524A44">
              <w:rPr>
                <w:sz w:val="20"/>
                <w:szCs w:val="20"/>
              </w:rPr>
              <w:t xml:space="preserve"> cannabinoid CB1 receptor density and endocannabinoid availability.</w:t>
            </w:r>
          </w:p>
        </w:tc>
        <w:tc>
          <w:tcPr>
            <w:tcW w:w="3190" w:type="dxa"/>
          </w:tcPr>
          <w:p w14:paraId="3E22E208" w14:textId="77777777" w:rsidR="00D704C6" w:rsidRDefault="00D704C6" w:rsidP="00D704C6">
            <w:pPr>
              <w:rPr>
                <w:sz w:val="20"/>
                <w:szCs w:val="20"/>
              </w:rPr>
            </w:pPr>
            <w:r>
              <w:rPr>
                <w:sz w:val="20"/>
                <w:szCs w:val="20"/>
              </w:rPr>
              <w:t>R</w:t>
            </w:r>
            <w:r w:rsidRPr="00524A44">
              <w:rPr>
                <w:sz w:val="20"/>
                <w:szCs w:val="20"/>
              </w:rPr>
              <w:t xml:space="preserve">eduction of </w:t>
            </w:r>
            <w:r>
              <w:rPr>
                <w:sz w:val="20"/>
                <w:szCs w:val="20"/>
              </w:rPr>
              <w:t>AEA</w:t>
            </w:r>
            <w:r w:rsidRPr="00524A44">
              <w:rPr>
                <w:sz w:val="20"/>
                <w:szCs w:val="20"/>
              </w:rPr>
              <w:t xml:space="preserve"> in PFC, hippocampus and hypothalamus and hypothalamus and increased 2-AG in PFC following tranylcypromine administration.</w:t>
            </w:r>
          </w:p>
          <w:p w14:paraId="784F5AF8" w14:textId="5B462445" w:rsidR="00D704C6" w:rsidRDefault="00D704C6" w:rsidP="00D704C6">
            <w:pPr>
              <w:rPr>
                <w:sz w:val="20"/>
                <w:szCs w:val="20"/>
              </w:rPr>
            </w:pPr>
            <w:r>
              <w:rPr>
                <w:sz w:val="20"/>
                <w:szCs w:val="20"/>
              </w:rPr>
              <w:t>I</w:t>
            </w:r>
            <w:r w:rsidRPr="00524A44">
              <w:rPr>
                <w:sz w:val="20"/>
                <w:szCs w:val="20"/>
              </w:rPr>
              <w:t>ncreased CB1 receptor binding density in PFC and hippocampus.</w:t>
            </w:r>
          </w:p>
        </w:tc>
      </w:tr>
      <w:tr w:rsidR="00D704C6" w14:paraId="5B998460" w14:textId="77777777" w:rsidTr="00524A44">
        <w:trPr>
          <w:trHeight w:val="120"/>
        </w:trPr>
        <w:tc>
          <w:tcPr>
            <w:tcW w:w="1696" w:type="dxa"/>
          </w:tcPr>
          <w:p w14:paraId="16DE01F5" w14:textId="39911C13" w:rsidR="00D704C6" w:rsidRPr="00524A44" w:rsidRDefault="00D704C6" w:rsidP="00D704C6">
            <w:pPr>
              <w:rPr>
                <w:rFonts w:cs="Times New Roman"/>
                <w:sz w:val="20"/>
                <w:szCs w:val="20"/>
              </w:rPr>
            </w:pPr>
            <w:proofErr w:type="spellStart"/>
            <w:r>
              <w:rPr>
                <w:rFonts w:cs="Times New Roman"/>
                <w:sz w:val="20"/>
                <w:szCs w:val="20"/>
              </w:rPr>
              <w:t>Foga</w:t>
            </w:r>
            <w:r w:rsidRPr="00651065">
              <w:rPr>
                <w:rFonts w:cs="Times New Roman"/>
                <w:sz w:val="20"/>
                <w:szCs w:val="20"/>
              </w:rPr>
              <w:t>ç</w:t>
            </w:r>
            <w:r>
              <w:rPr>
                <w:rFonts w:cs="Times New Roman"/>
                <w:sz w:val="20"/>
                <w:szCs w:val="20"/>
              </w:rPr>
              <w:t>a</w:t>
            </w:r>
            <w:proofErr w:type="spellEnd"/>
            <w:r>
              <w:rPr>
                <w:rFonts w:cs="Times New Roman"/>
                <w:sz w:val="20"/>
                <w:szCs w:val="20"/>
              </w:rPr>
              <w:t xml:space="preserve"> et al., (2018)</w:t>
            </w:r>
          </w:p>
        </w:tc>
        <w:tc>
          <w:tcPr>
            <w:tcW w:w="1276" w:type="dxa"/>
          </w:tcPr>
          <w:p w14:paraId="5DFDD198" w14:textId="7C353005" w:rsidR="00D704C6" w:rsidRPr="00524A44" w:rsidRDefault="00D704C6" w:rsidP="00D704C6">
            <w:pPr>
              <w:rPr>
                <w:sz w:val="20"/>
                <w:szCs w:val="20"/>
              </w:rPr>
            </w:pPr>
            <w:r>
              <w:rPr>
                <w:sz w:val="20"/>
                <w:szCs w:val="20"/>
              </w:rPr>
              <w:t>C57BL/6 mice</w:t>
            </w:r>
          </w:p>
        </w:tc>
        <w:tc>
          <w:tcPr>
            <w:tcW w:w="3189" w:type="dxa"/>
          </w:tcPr>
          <w:p w14:paraId="6D5E99E5" w14:textId="159CACAE" w:rsidR="00D704C6" w:rsidRPr="00524A44" w:rsidRDefault="00D704C6" w:rsidP="00D704C6">
            <w:pPr>
              <w:rPr>
                <w:sz w:val="20"/>
                <w:szCs w:val="20"/>
              </w:rPr>
            </w:pPr>
            <w:r>
              <w:rPr>
                <w:sz w:val="20"/>
                <w:szCs w:val="20"/>
              </w:rPr>
              <w:t>CBD, chronic stress and neurogenesis</w:t>
            </w:r>
          </w:p>
        </w:tc>
        <w:tc>
          <w:tcPr>
            <w:tcW w:w="3190" w:type="dxa"/>
          </w:tcPr>
          <w:p w14:paraId="6142D2B0" w14:textId="7BC641B6" w:rsidR="00D704C6" w:rsidRDefault="00D704C6" w:rsidP="00D704C6">
            <w:pPr>
              <w:rPr>
                <w:sz w:val="20"/>
                <w:szCs w:val="20"/>
              </w:rPr>
            </w:pPr>
            <w:r>
              <w:rPr>
                <w:sz w:val="20"/>
                <w:szCs w:val="20"/>
              </w:rPr>
              <w:t xml:space="preserve">Treatment prevents: anxiety-like behavior, decrease in neurogenesis, and dendritic remodeling induced by chronic stress </w:t>
            </w:r>
          </w:p>
        </w:tc>
      </w:tr>
      <w:tr w:rsidR="00D704C6" w14:paraId="42A6BE29" w14:textId="77777777" w:rsidTr="00524A44">
        <w:trPr>
          <w:trHeight w:val="120"/>
        </w:trPr>
        <w:tc>
          <w:tcPr>
            <w:tcW w:w="1696" w:type="dxa"/>
          </w:tcPr>
          <w:p w14:paraId="0C3CD4AD" w14:textId="7370E00B" w:rsidR="00D704C6" w:rsidRPr="00D704C6" w:rsidRDefault="00D704C6" w:rsidP="00D704C6">
            <w:pPr>
              <w:rPr>
                <w:sz w:val="20"/>
                <w:szCs w:val="20"/>
              </w:rPr>
            </w:pPr>
            <w:proofErr w:type="spellStart"/>
            <w:r w:rsidRPr="00D704C6">
              <w:rPr>
                <w:sz w:val="20"/>
                <w:szCs w:val="20"/>
              </w:rPr>
              <w:t>Jenniches</w:t>
            </w:r>
            <w:proofErr w:type="spellEnd"/>
            <w:r w:rsidRPr="00D704C6">
              <w:rPr>
                <w:sz w:val="20"/>
                <w:szCs w:val="20"/>
              </w:rPr>
              <w:t xml:space="preserve"> et al., (2016)</w:t>
            </w:r>
          </w:p>
        </w:tc>
        <w:tc>
          <w:tcPr>
            <w:tcW w:w="1276" w:type="dxa"/>
          </w:tcPr>
          <w:p w14:paraId="32B9BAC2" w14:textId="687B4457" w:rsidR="00D704C6" w:rsidRPr="00D704C6" w:rsidRDefault="00D704C6" w:rsidP="00D704C6">
            <w:pPr>
              <w:rPr>
                <w:sz w:val="20"/>
                <w:szCs w:val="20"/>
              </w:rPr>
            </w:pPr>
            <w:r>
              <w:rPr>
                <w:sz w:val="20"/>
                <w:szCs w:val="20"/>
              </w:rPr>
              <w:t>DAGL-</w:t>
            </w:r>
            <w:r w:rsidRPr="00D704C6">
              <w:rPr>
                <w:sz w:val="20"/>
                <w:szCs w:val="20"/>
              </w:rPr>
              <w:t>α</w:t>
            </w:r>
            <w:r>
              <w:rPr>
                <w:sz w:val="20"/>
                <w:szCs w:val="20"/>
              </w:rPr>
              <w:t xml:space="preserve"> KO mice</w:t>
            </w:r>
          </w:p>
        </w:tc>
        <w:tc>
          <w:tcPr>
            <w:tcW w:w="3189" w:type="dxa"/>
          </w:tcPr>
          <w:p w14:paraId="645B937F" w14:textId="4082837E" w:rsidR="00D704C6" w:rsidRPr="00D704C6" w:rsidRDefault="00D704C6" w:rsidP="00D704C6">
            <w:pPr>
              <w:rPr>
                <w:sz w:val="20"/>
                <w:szCs w:val="20"/>
              </w:rPr>
            </w:pPr>
            <w:r>
              <w:rPr>
                <w:sz w:val="20"/>
                <w:szCs w:val="20"/>
              </w:rPr>
              <w:t>Lack of DAGL-</w:t>
            </w:r>
            <w:r w:rsidRPr="00D704C6">
              <w:rPr>
                <w:sz w:val="20"/>
                <w:szCs w:val="20"/>
              </w:rPr>
              <w:t xml:space="preserve"> α</w:t>
            </w:r>
            <w:r>
              <w:rPr>
                <w:sz w:val="20"/>
                <w:szCs w:val="20"/>
              </w:rPr>
              <w:t>, hence, 2-AG function and anxiety like behavior</w:t>
            </w:r>
          </w:p>
        </w:tc>
        <w:tc>
          <w:tcPr>
            <w:tcW w:w="3190" w:type="dxa"/>
          </w:tcPr>
          <w:p w14:paraId="608E001A" w14:textId="0B003FA0" w:rsidR="00D704C6" w:rsidRPr="00D704C6" w:rsidRDefault="00D704C6" w:rsidP="00D704C6">
            <w:pPr>
              <w:rPr>
                <w:sz w:val="20"/>
                <w:szCs w:val="20"/>
              </w:rPr>
            </w:pPr>
            <w:r>
              <w:rPr>
                <w:sz w:val="20"/>
                <w:szCs w:val="20"/>
              </w:rPr>
              <w:t>Enhanced anxiety, stress and fear responses.</w:t>
            </w:r>
          </w:p>
        </w:tc>
      </w:tr>
      <w:tr w:rsidR="00D704C6" w14:paraId="231FDAC9" w14:textId="77777777" w:rsidTr="00A9369D">
        <w:trPr>
          <w:trHeight w:val="120"/>
        </w:trPr>
        <w:tc>
          <w:tcPr>
            <w:tcW w:w="1696" w:type="dxa"/>
          </w:tcPr>
          <w:p w14:paraId="0E0D2AE3" w14:textId="7DFCF5C4" w:rsidR="00D704C6" w:rsidRDefault="00D704C6" w:rsidP="00D704C6">
            <w:pPr>
              <w:rPr>
                <w:sz w:val="20"/>
                <w:szCs w:val="20"/>
              </w:rPr>
            </w:pPr>
            <w:r>
              <w:rPr>
                <w:sz w:val="20"/>
                <w:szCs w:val="20"/>
              </w:rPr>
              <w:t>Lee &amp; Hill (2013)</w:t>
            </w:r>
          </w:p>
        </w:tc>
        <w:tc>
          <w:tcPr>
            <w:tcW w:w="1276" w:type="dxa"/>
          </w:tcPr>
          <w:p w14:paraId="2A32FBF7" w14:textId="428D22E0" w:rsidR="00D704C6" w:rsidRDefault="00D704C6" w:rsidP="00D704C6">
            <w:pPr>
              <w:rPr>
                <w:sz w:val="20"/>
                <w:szCs w:val="20"/>
              </w:rPr>
            </w:pPr>
            <w:r>
              <w:rPr>
                <w:sz w:val="20"/>
                <w:szCs w:val="20"/>
              </w:rPr>
              <w:t>Sprague Dawley rats</w:t>
            </w:r>
          </w:p>
        </w:tc>
        <w:tc>
          <w:tcPr>
            <w:tcW w:w="3189" w:type="dxa"/>
          </w:tcPr>
          <w:p w14:paraId="00F900BC" w14:textId="2F7E4106" w:rsidR="00D704C6" w:rsidRDefault="00D704C6" w:rsidP="00D704C6">
            <w:pPr>
              <w:rPr>
                <w:sz w:val="20"/>
                <w:szCs w:val="20"/>
              </w:rPr>
            </w:pPr>
            <w:r>
              <w:rPr>
                <w:sz w:val="20"/>
                <w:szCs w:val="20"/>
              </w:rPr>
              <w:t>Restraint stress and CB1 receptor density in PFC, hippocampus and amygdala.</w:t>
            </w:r>
          </w:p>
        </w:tc>
        <w:tc>
          <w:tcPr>
            <w:tcW w:w="3190" w:type="dxa"/>
          </w:tcPr>
          <w:p w14:paraId="6B9DE324" w14:textId="256D471F" w:rsidR="00D704C6" w:rsidRDefault="00D704C6" w:rsidP="00D704C6">
            <w:pPr>
              <w:rPr>
                <w:sz w:val="20"/>
                <w:szCs w:val="20"/>
              </w:rPr>
            </w:pPr>
            <w:r>
              <w:rPr>
                <w:sz w:val="20"/>
                <w:szCs w:val="20"/>
              </w:rPr>
              <w:t>Upregulation of CB1 binding in PFC and amygdala in adolescence</w:t>
            </w:r>
          </w:p>
        </w:tc>
      </w:tr>
      <w:tr w:rsidR="00D704C6" w14:paraId="7685A255" w14:textId="77777777" w:rsidTr="00A9369D">
        <w:trPr>
          <w:trHeight w:val="120"/>
        </w:trPr>
        <w:tc>
          <w:tcPr>
            <w:tcW w:w="1696" w:type="dxa"/>
          </w:tcPr>
          <w:p w14:paraId="420237BD" w14:textId="77777777" w:rsidR="00D704C6" w:rsidRPr="00524A44" w:rsidRDefault="00D704C6" w:rsidP="00D704C6">
            <w:pPr>
              <w:rPr>
                <w:sz w:val="20"/>
                <w:szCs w:val="20"/>
              </w:rPr>
            </w:pPr>
            <w:proofErr w:type="spellStart"/>
            <w:r>
              <w:rPr>
                <w:sz w:val="20"/>
                <w:szCs w:val="20"/>
              </w:rPr>
              <w:t>Lisboa</w:t>
            </w:r>
            <w:proofErr w:type="spellEnd"/>
            <w:r>
              <w:rPr>
                <w:sz w:val="20"/>
                <w:szCs w:val="20"/>
              </w:rPr>
              <w:t xml:space="preserve"> et al., 2018</w:t>
            </w:r>
          </w:p>
        </w:tc>
        <w:tc>
          <w:tcPr>
            <w:tcW w:w="1276" w:type="dxa"/>
          </w:tcPr>
          <w:p w14:paraId="6A212DDE" w14:textId="77777777" w:rsidR="00D704C6" w:rsidRPr="00524A44" w:rsidRDefault="00D704C6" w:rsidP="00D704C6">
            <w:pPr>
              <w:rPr>
                <w:sz w:val="20"/>
                <w:szCs w:val="20"/>
              </w:rPr>
            </w:pPr>
            <w:r>
              <w:rPr>
                <w:sz w:val="20"/>
                <w:szCs w:val="20"/>
              </w:rPr>
              <w:t>C57BL/6 mice</w:t>
            </w:r>
          </w:p>
        </w:tc>
        <w:tc>
          <w:tcPr>
            <w:tcW w:w="3189" w:type="dxa"/>
          </w:tcPr>
          <w:p w14:paraId="15E9802F" w14:textId="2BDAEC7A" w:rsidR="00D704C6" w:rsidRPr="00524A44" w:rsidRDefault="00D704C6" w:rsidP="00D704C6">
            <w:pPr>
              <w:rPr>
                <w:sz w:val="20"/>
                <w:szCs w:val="20"/>
              </w:rPr>
            </w:pPr>
            <w:r>
              <w:rPr>
                <w:sz w:val="20"/>
                <w:szCs w:val="20"/>
              </w:rPr>
              <w:t>WIN55</w:t>
            </w:r>
            <w:proofErr w:type="gramStart"/>
            <w:r>
              <w:rPr>
                <w:sz w:val="20"/>
                <w:szCs w:val="20"/>
              </w:rPr>
              <w:t>,212</w:t>
            </w:r>
            <w:proofErr w:type="gramEnd"/>
            <w:r>
              <w:rPr>
                <w:sz w:val="20"/>
                <w:szCs w:val="20"/>
              </w:rPr>
              <w:t>-2 and stress-induced anxiety like behavior and neuroinflammation.</w:t>
            </w:r>
          </w:p>
        </w:tc>
        <w:tc>
          <w:tcPr>
            <w:tcW w:w="3190" w:type="dxa"/>
          </w:tcPr>
          <w:p w14:paraId="39E73915" w14:textId="3EF32A4C" w:rsidR="00D704C6" w:rsidRPr="00524A44" w:rsidRDefault="00D704C6" w:rsidP="00D704C6">
            <w:pPr>
              <w:rPr>
                <w:sz w:val="20"/>
                <w:szCs w:val="20"/>
              </w:rPr>
            </w:pPr>
            <w:r>
              <w:rPr>
                <w:sz w:val="20"/>
                <w:szCs w:val="20"/>
              </w:rPr>
              <w:t>R</w:t>
            </w:r>
            <w:r w:rsidRPr="00F43D19">
              <w:rPr>
                <w:sz w:val="20"/>
                <w:szCs w:val="20"/>
              </w:rPr>
              <w:t>ever</w:t>
            </w:r>
            <w:r>
              <w:rPr>
                <w:sz w:val="20"/>
                <w:szCs w:val="20"/>
              </w:rPr>
              <w:t>sal of</w:t>
            </w:r>
            <w:r w:rsidRPr="00F43D19">
              <w:rPr>
                <w:sz w:val="20"/>
                <w:szCs w:val="20"/>
              </w:rPr>
              <w:t xml:space="preserve"> social stress-induced neuroinflammation and anxiety-like symptomatology</w:t>
            </w:r>
          </w:p>
        </w:tc>
      </w:tr>
      <w:tr w:rsidR="00D704C6" w14:paraId="398693C0" w14:textId="77777777" w:rsidTr="00524A44">
        <w:trPr>
          <w:trHeight w:val="125"/>
        </w:trPr>
        <w:tc>
          <w:tcPr>
            <w:tcW w:w="1696" w:type="dxa"/>
          </w:tcPr>
          <w:p w14:paraId="11DA0722" w14:textId="4EB3B0B1" w:rsidR="00D704C6" w:rsidRPr="00524A44" w:rsidRDefault="00D704C6" w:rsidP="00D704C6">
            <w:pPr>
              <w:rPr>
                <w:sz w:val="20"/>
                <w:szCs w:val="20"/>
              </w:rPr>
            </w:pPr>
            <w:proofErr w:type="spellStart"/>
            <w:r>
              <w:rPr>
                <w:sz w:val="20"/>
                <w:szCs w:val="20"/>
              </w:rPr>
              <w:t>Litvin</w:t>
            </w:r>
            <w:proofErr w:type="spellEnd"/>
            <w:r>
              <w:rPr>
                <w:sz w:val="20"/>
                <w:szCs w:val="20"/>
              </w:rPr>
              <w:t xml:space="preserve"> et al., 2013</w:t>
            </w:r>
          </w:p>
        </w:tc>
        <w:tc>
          <w:tcPr>
            <w:tcW w:w="1276" w:type="dxa"/>
          </w:tcPr>
          <w:p w14:paraId="6B557186" w14:textId="1A501FDC" w:rsidR="00D704C6" w:rsidRPr="00524A44" w:rsidRDefault="00D704C6" w:rsidP="00D704C6">
            <w:pPr>
              <w:rPr>
                <w:sz w:val="20"/>
                <w:szCs w:val="20"/>
              </w:rPr>
            </w:pPr>
            <w:r>
              <w:rPr>
                <w:sz w:val="20"/>
                <w:szCs w:val="20"/>
              </w:rPr>
              <w:t>CB1 KO mice</w:t>
            </w:r>
          </w:p>
        </w:tc>
        <w:tc>
          <w:tcPr>
            <w:tcW w:w="3189" w:type="dxa"/>
          </w:tcPr>
          <w:p w14:paraId="4C924CFC" w14:textId="0FE64CCB" w:rsidR="00D704C6" w:rsidRPr="00524A44" w:rsidRDefault="00D704C6" w:rsidP="00D704C6">
            <w:pPr>
              <w:rPr>
                <w:sz w:val="20"/>
                <w:szCs w:val="20"/>
              </w:rPr>
            </w:pPr>
            <w:r>
              <w:rPr>
                <w:sz w:val="20"/>
                <w:szCs w:val="20"/>
              </w:rPr>
              <w:t>CB1 in social anxiety and memory.</w:t>
            </w:r>
          </w:p>
        </w:tc>
        <w:tc>
          <w:tcPr>
            <w:tcW w:w="3190" w:type="dxa"/>
          </w:tcPr>
          <w:p w14:paraId="6E832DF2" w14:textId="519CC41C" w:rsidR="00D704C6" w:rsidRPr="009A0B7F" w:rsidRDefault="00D704C6" w:rsidP="00E20BBF">
            <w:pPr>
              <w:rPr>
                <w:sz w:val="20"/>
                <w:szCs w:val="20"/>
                <w:lang w:val="uz-Cyrl-UZ"/>
              </w:rPr>
            </w:pPr>
            <w:r w:rsidRPr="00CE13FB">
              <w:rPr>
                <w:sz w:val="20"/>
                <w:szCs w:val="20"/>
                <w:lang w:val="uz-Cyrl-UZ"/>
              </w:rPr>
              <w:t>KOs showed active and passive defensive coping behaviors</w:t>
            </w:r>
            <w:r w:rsidRPr="00CE13FB">
              <w:rPr>
                <w:sz w:val="20"/>
                <w:szCs w:val="20"/>
              </w:rPr>
              <w:t xml:space="preserve"> compared to </w:t>
            </w:r>
            <w:r>
              <w:rPr>
                <w:sz w:val="20"/>
                <w:szCs w:val="20"/>
              </w:rPr>
              <w:t>wild type (WT)</w:t>
            </w:r>
            <w:r w:rsidRPr="00CE13FB">
              <w:rPr>
                <w:sz w:val="20"/>
                <w:szCs w:val="20"/>
              </w:rPr>
              <w:t xml:space="preserve">. </w:t>
            </w:r>
            <w:r w:rsidRPr="006C2569">
              <w:rPr>
                <w:sz w:val="20"/>
                <w:szCs w:val="20"/>
                <w:lang w:val="uz-Cyrl-UZ"/>
              </w:rPr>
              <w:t xml:space="preserve">CB1KOs and WT </w:t>
            </w:r>
            <w:r w:rsidR="00E20BBF">
              <w:rPr>
                <w:sz w:val="20"/>
                <w:szCs w:val="20"/>
                <w:lang w:val="uz-Cyrl-UZ"/>
              </w:rPr>
              <w:t>receiving</w:t>
            </w:r>
            <w:r w:rsidRPr="006C2569">
              <w:rPr>
                <w:sz w:val="20"/>
                <w:szCs w:val="20"/>
                <w:lang w:val="uz-Cyrl-UZ"/>
              </w:rPr>
              <w:t xml:space="preserve"> an acute dose of </w:t>
            </w:r>
            <w:bookmarkStart w:id="0" w:name="_GoBack"/>
            <w:bookmarkEnd w:id="0"/>
            <w:r>
              <w:rPr>
                <w:sz w:val="20"/>
                <w:szCs w:val="20"/>
              </w:rPr>
              <w:t xml:space="preserve">CB1 antagonist </w:t>
            </w:r>
            <w:r w:rsidRPr="006C2569">
              <w:rPr>
                <w:sz w:val="20"/>
                <w:szCs w:val="20"/>
                <w:lang w:val="uz-Cyrl-UZ"/>
              </w:rPr>
              <w:t>AM251 displayed anxiety-like behavio</w:t>
            </w:r>
            <w:r w:rsidRPr="006C2569">
              <w:rPr>
                <w:sz w:val="20"/>
                <w:szCs w:val="20"/>
              </w:rPr>
              <w:t xml:space="preserve">r </w:t>
            </w:r>
            <w:r>
              <w:rPr>
                <w:sz w:val="20"/>
                <w:szCs w:val="20"/>
              </w:rPr>
              <w:t xml:space="preserve">during social interaction tests and </w:t>
            </w:r>
            <w:r w:rsidRPr="009A0B7F">
              <w:rPr>
                <w:sz w:val="20"/>
                <w:szCs w:val="20"/>
              </w:rPr>
              <w:t>enhanced levels of social memory</w:t>
            </w:r>
            <w:r>
              <w:rPr>
                <w:sz w:val="20"/>
                <w:szCs w:val="20"/>
              </w:rPr>
              <w:t>.</w:t>
            </w:r>
          </w:p>
        </w:tc>
      </w:tr>
      <w:tr w:rsidR="00D704C6" w14:paraId="563B1286" w14:textId="77777777" w:rsidTr="00524A44">
        <w:trPr>
          <w:trHeight w:val="120"/>
        </w:trPr>
        <w:tc>
          <w:tcPr>
            <w:tcW w:w="1696" w:type="dxa"/>
          </w:tcPr>
          <w:p w14:paraId="7ADF09E2" w14:textId="00A1F175" w:rsidR="00D704C6" w:rsidRPr="00524A44" w:rsidRDefault="00D704C6" w:rsidP="00D704C6">
            <w:pPr>
              <w:rPr>
                <w:sz w:val="20"/>
                <w:szCs w:val="20"/>
              </w:rPr>
            </w:pPr>
            <w:r>
              <w:rPr>
                <w:sz w:val="20"/>
                <w:szCs w:val="20"/>
              </w:rPr>
              <w:t>Steiner et al., (2008)</w:t>
            </w:r>
          </w:p>
        </w:tc>
        <w:tc>
          <w:tcPr>
            <w:tcW w:w="1276" w:type="dxa"/>
          </w:tcPr>
          <w:p w14:paraId="08E72A44" w14:textId="6ABB2E36" w:rsidR="00D704C6" w:rsidRPr="00524A44" w:rsidRDefault="00D704C6" w:rsidP="00D704C6">
            <w:pPr>
              <w:rPr>
                <w:sz w:val="20"/>
                <w:szCs w:val="20"/>
              </w:rPr>
            </w:pPr>
            <w:r>
              <w:rPr>
                <w:sz w:val="20"/>
                <w:szCs w:val="20"/>
              </w:rPr>
              <w:t>CB1 KO C57BL/6 mice</w:t>
            </w:r>
          </w:p>
        </w:tc>
        <w:tc>
          <w:tcPr>
            <w:tcW w:w="3189" w:type="dxa"/>
          </w:tcPr>
          <w:p w14:paraId="489167C5" w14:textId="5FC74258" w:rsidR="00D704C6" w:rsidRPr="00524A44" w:rsidRDefault="00D704C6" w:rsidP="00D704C6">
            <w:pPr>
              <w:rPr>
                <w:sz w:val="20"/>
                <w:szCs w:val="20"/>
              </w:rPr>
            </w:pPr>
            <w:r>
              <w:rPr>
                <w:sz w:val="20"/>
                <w:szCs w:val="20"/>
              </w:rPr>
              <w:t xml:space="preserve">CB1 receptor in stress coping behaviors </w:t>
            </w:r>
          </w:p>
        </w:tc>
        <w:tc>
          <w:tcPr>
            <w:tcW w:w="3190" w:type="dxa"/>
          </w:tcPr>
          <w:p w14:paraId="307A1316" w14:textId="252624BE" w:rsidR="00D704C6" w:rsidRPr="00524A44" w:rsidRDefault="00D704C6" w:rsidP="00D704C6">
            <w:pPr>
              <w:rPr>
                <w:sz w:val="20"/>
                <w:szCs w:val="20"/>
              </w:rPr>
            </w:pPr>
            <w:r>
              <w:rPr>
                <w:sz w:val="20"/>
                <w:szCs w:val="20"/>
              </w:rPr>
              <w:t>Impaired CB1 receptor function promotes passive stress coping behavior</w:t>
            </w:r>
          </w:p>
        </w:tc>
      </w:tr>
      <w:tr w:rsidR="00D704C6" w14:paraId="42B7779B" w14:textId="77777777" w:rsidTr="00524A44">
        <w:trPr>
          <w:trHeight w:val="120"/>
        </w:trPr>
        <w:tc>
          <w:tcPr>
            <w:tcW w:w="1696" w:type="dxa"/>
          </w:tcPr>
          <w:p w14:paraId="3462AC08" w14:textId="024B4F50" w:rsidR="00D704C6" w:rsidRDefault="00D704C6" w:rsidP="00D704C6">
            <w:pPr>
              <w:rPr>
                <w:sz w:val="20"/>
                <w:szCs w:val="20"/>
              </w:rPr>
            </w:pPr>
            <w:r>
              <w:rPr>
                <w:sz w:val="20"/>
                <w:szCs w:val="20"/>
              </w:rPr>
              <w:lastRenderedPageBreak/>
              <w:t>Wang et al., (2010)</w:t>
            </w:r>
          </w:p>
        </w:tc>
        <w:tc>
          <w:tcPr>
            <w:tcW w:w="1276" w:type="dxa"/>
          </w:tcPr>
          <w:p w14:paraId="486E7FFA" w14:textId="2D7BD62D" w:rsidR="00D704C6" w:rsidRPr="00524A44" w:rsidRDefault="00D704C6" w:rsidP="00D704C6">
            <w:pPr>
              <w:rPr>
                <w:sz w:val="20"/>
                <w:szCs w:val="20"/>
              </w:rPr>
            </w:pPr>
            <w:r>
              <w:rPr>
                <w:sz w:val="20"/>
                <w:szCs w:val="20"/>
              </w:rPr>
              <w:t>CB1 KO C57BL/6 mice</w:t>
            </w:r>
          </w:p>
        </w:tc>
        <w:tc>
          <w:tcPr>
            <w:tcW w:w="3189" w:type="dxa"/>
          </w:tcPr>
          <w:p w14:paraId="52308830" w14:textId="375CF138" w:rsidR="00D704C6" w:rsidRDefault="00D704C6" w:rsidP="00D704C6">
            <w:pPr>
              <w:rPr>
                <w:sz w:val="20"/>
                <w:szCs w:val="20"/>
              </w:rPr>
            </w:pPr>
            <w:r>
              <w:rPr>
                <w:sz w:val="20"/>
                <w:szCs w:val="20"/>
              </w:rPr>
              <w:t>ECS signaling in the nucleus accumbens in chronic unpredictable stress paradigm</w:t>
            </w:r>
          </w:p>
        </w:tc>
        <w:tc>
          <w:tcPr>
            <w:tcW w:w="3190" w:type="dxa"/>
          </w:tcPr>
          <w:p w14:paraId="2AE588A2" w14:textId="09D7EDEF" w:rsidR="00D704C6" w:rsidRDefault="00D704C6" w:rsidP="00D704C6">
            <w:pPr>
              <w:rPr>
                <w:sz w:val="20"/>
                <w:szCs w:val="20"/>
              </w:rPr>
            </w:pPr>
            <w:r>
              <w:rPr>
                <w:sz w:val="20"/>
                <w:szCs w:val="20"/>
              </w:rPr>
              <w:t>Impaired form of endocannabinoid/CB1 mediated plasticity in accumbens.</w:t>
            </w:r>
          </w:p>
        </w:tc>
      </w:tr>
      <w:tr w:rsidR="00D704C6" w14:paraId="6DAACB0D" w14:textId="77777777" w:rsidTr="00524A44">
        <w:trPr>
          <w:trHeight w:val="120"/>
        </w:trPr>
        <w:tc>
          <w:tcPr>
            <w:tcW w:w="1696" w:type="dxa"/>
          </w:tcPr>
          <w:p w14:paraId="3EE08D55" w14:textId="5B5FDC81" w:rsidR="00D704C6" w:rsidRPr="00524A44" w:rsidRDefault="00D704C6" w:rsidP="00D704C6">
            <w:pPr>
              <w:rPr>
                <w:sz w:val="20"/>
                <w:szCs w:val="20"/>
              </w:rPr>
            </w:pPr>
            <w:r>
              <w:rPr>
                <w:sz w:val="20"/>
                <w:szCs w:val="20"/>
              </w:rPr>
              <w:t>Wang et al.</w:t>
            </w:r>
            <w:proofErr w:type="gramStart"/>
            <w:r>
              <w:rPr>
                <w:sz w:val="20"/>
                <w:szCs w:val="20"/>
              </w:rPr>
              <w:t>,(</w:t>
            </w:r>
            <w:proofErr w:type="gramEnd"/>
            <w:r>
              <w:rPr>
                <w:sz w:val="20"/>
                <w:szCs w:val="20"/>
              </w:rPr>
              <w:t xml:space="preserve"> 2012) </w:t>
            </w:r>
          </w:p>
        </w:tc>
        <w:tc>
          <w:tcPr>
            <w:tcW w:w="1276" w:type="dxa"/>
          </w:tcPr>
          <w:p w14:paraId="257AF590" w14:textId="7AAC2CD7" w:rsidR="00D704C6" w:rsidRPr="00524A44" w:rsidRDefault="00D704C6" w:rsidP="00D704C6">
            <w:pPr>
              <w:rPr>
                <w:sz w:val="20"/>
                <w:szCs w:val="20"/>
              </w:rPr>
            </w:pPr>
            <w:r>
              <w:rPr>
                <w:sz w:val="20"/>
                <w:szCs w:val="20"/>
              </w:rPr>
              <w:t>Sprague Dawley rats</w:t>
            </w:r>
          </w:p>
        </w:tc>
        <w:tc>
          <w:tcPr>
            <w:tcW w:w="3189" w:type="dxa"/>
          </w:tcPr>
          <w:p w14:paraId="198712DD" w14:textId="52849D78" w:rsidR="00D704C6" w:rsidRPr="00524A44" w:rsidRDefault="00D704C6" w:rsidP="00D704C6">
            <w:pPr>
              <w:rPr>
                <w:sz w:val="20"/>
                <w:szCs w:val="20"/>
              </w:rPr>
            </w:pPr>
            <w:r>
              <w:rPr>
                <w:sz w:val="20"/>
                <w:szCs w:val="20"/>
              </w:rPr>
              <w:t>ECS response to acute stress</w:t>
            </w:r>
          </w:p>
        </w:tc>
        <w:tc>
          <w:tcPr>
            <w:tcW w:w="3190" w:type="dxa"/>
          </w:tcPr>
          <w:p w14:paraId="60E93533" w14:textId="75807AB7" w:rsidR="00D704C6" w:rsidRPr="00524A44" w:rsidRDefault="00D704C6" w:rsidP="00D704C6">
            <w:pPr>
              <w:rPr>
                <w:sz w:val="20"/>
                <w:szCs w:val="20"/>
              </w:rPr>
            </w:pPr>
            <w:r>
              <w:rPr>
                <w:sz w:val="20"/>
                <w:szCs w:val="20"/>
              </w:rPr>
              <w:t>Delayed increased hippocampal 2-AG content responsible for DSI.</w:t>
            </w:r>
          </w:p>
        </w:tc>
      </w:tr>
      <w:tr w:rsidR="00D704C6" w14:paraId="64D9B7C8" w14:textId="77777777" w:rsidTr="00524A44">
        <w:trPr>
          <w:trHeight w:val="120"/>
        </w:trPr>
        <w:tc>
          <w:tcPr>
            <w:tcW w:w="1696" w:type="dxa"/>
          </w:tcPr>
          <w:p w14:paraId="00492788" w14:textId="06D5179F" w:rsidR="00D704C6" w:rsidRDefault="00D704C6" w:rsidP="00D704C6">
            <w:pPr>
              <w:rPr>
                <w:sz w:val="20"/>
                <w:szCs w:val="20"/>
              </w:rPr>
            </w:pPr>
            <w:r>
              <w:rPr>
                <w:sz w:val="20"/>
                <w:szCs w:val="20"/>
              </w:rPr>
              <w:t>Zhang et al., (2015)</w:t>
            </w:r>
          </w:p>
        </w:tc>
        <w:tc>
          <w:tcPr>
            <w:tcW w:w="1276" w:type="dxa"/>
          </w:tcPr>
          <w:p w14:paraId="117E3911" w14:textId="390293E4" w:rsidR="00D704C6" w:rsidRDefault="00D704C6" w:rsidP="00D704C6">
            <w:pPr>
              <w:rPr>
                <w:sz w:val="20"/>
                <w:szCs w:val="20"/>
              </w:rPr>
            </w:pPr>
            <w:r>
              <w:rPr>
                <w:sz w:val="20"/>
                <w:szCs w:val="20"/>
              </w:rPr>
              <w:t>C57BL/6 mice</w:t>
            </w:r>
          </w:p>
        </w:tc>
        <w:tc>
          <w:tcPr>
            <w:tcW w:w="3189" w:type="dxa"/>
          </w:tcPr>
          <w:p w14:paraId="325FFE8B" w14:textId="60AE7048" w:rsidR="00D704C6" w:rsidRDefault="00D704C6" w:rsidP="00D704C6">
            <w:pPr>
              <w:rPr>
                <w:sz w:val="20"/>
                <w:szCs w:val="20"/>
              </w:rPr>
            </w:pPr>
            <w:r>
              <w:rPr>
                <w:sz w:val="20"/>
                <w:szCs w:val="20"/>
              </w:rPr>
              <w:t>Inhibition of MAGL, chronic stress and neurogenesis</w:t>
            </w:r>
          </w:p>
        </w:tc>
        <w:tc>
          <w:tcPr>
            <w:tcW w:w="3190" w:type="dxa"/>
          </w:tcPr>
          <w:p w14:paraId="27B4F9A3" w14:textId="13D7DA16" w:rsidR="00D704C6" w:rsidRDefault="00D704C6" w:rsidP="00D704C6">
            <w:pPr>
              <w:rPr>
                <w:sz w:val="20"/>
                <w:szCs w:val="20"/>
              </w:rPr>
            </w:pPr>
            <w:r>
              <w:rPr>
                <w:sz w:val="20"/>
                <w:szCs w:val="20"/>
              </w:rPr>
              <w:t xml:space="preserve">Enhanced adult neurogenesis contributes to anxiolytic like effects of MAGL inhibitor </w:t>
            </w:r>
          </w:p>
        </w:tc>
      </w:tr>
      <w:tr w:rsidR="00D704C6" w14:paraId="581023EE" w14:textId="77777777" w:rsidTr="00524A44">
        <w:trPr>
          <w:trHeight w:val="120"/>
        </w:trPr>
        <w:tc>
          <w:tcPr>
            <w:tcW w:w="1696" w:type="dxa"/>
          </w:tcPr>
          <w:p w14:paraId="4EA8450F" w14:textId="391A6404" w:rsidR="00D704C6" w:rsidRDefault="00D704C6" w:rsidP="00D704C6">
            <w:pPr>
              <w:rPr>
                <w:sz w:val="20"/>
                <w:szCs w:val="20"/>
              </w:rPr>
            </w:pPr>
            <w:proofErr w:type="spellStart"/>
            <w:r>
              <w:rPr>
                <w:sz w:val="20"/>
                <w:szCs w:val="20"/>
              </w:rPr>
              <w:t>Zoppi</w:t>
            </w:r>
            <w:proofErr w:type="spellEnd"/>
            <w:r>
              <w:rPr>
                <w:sz w:val="20"/>
                <w:szCs w:val="20"/>
              </w:rPr>
              <w:t xml:space="preserve"> et al., (2014)</w:t>
            </w:r>
          </w:p>
        </w:tc>
        <w:tc>
          <w:tcPr>
            <w:tcW w:w="1276" w:type="dxa"/>
          </w:tcPr>
          <w:p w14:paraId="286E3202" w14:textId="7DD9FD2F" w:rsidR="00D704C6" w:rsidRPr="00524A44" w:rsidRDefault="00D704C6" w:rsidP="00D704C6">
            <w:pPr>
              <w:rPr>
                <w:sz w:val="20"/>
                <w:szCs w:val="20"/>
              </w:rPr>
            </w:pPr>
            <w:r>
              <w:rPr>
                <w:sz w:val="20"/>
                <w:szCs w:val="20"/>
              </w:rPr>
              <w:t>CB2 KO mice</w:t>
            </w:r>
          </w:p>
        </w:tc>
        <w:tc>
          <w:tcPr>
            <w:tcW w:w="3189" w:type="dxa"/>
          </w:tcPr>
          <w:p w14:paraId="26813D3C" w14:textId="33F4A9E6" w:rsidR="00D704C6" w:rsidRDefault="00D704C6" w:rsidP="00D704C6">
            <w:pPr>
              <w:rPr>
                <w:sz w:val="20"/>
                <w:szCs w:val="20"/>
              </w:rPr>
            </w:pPr>
            <w:r>
              <w:rPr>
                <w:sz w:val="20"/>
                <w:szCs w:val="20"/>
              </w:rPr>
              <w:t>CB2 receptor and stress-induced neuroinflammation</w:t>
            </w:r>
          </w:p>
        </w:tc>
        <w:tc>
          <w:tcPr>
            <w:tcW w:w="3190" w:type="dxa"/>
          </w:tcPr>
          <w:p w14:paraId="4716FDB7" w14:textId="64EAE4D7" w:rsidR="00D704C6" w:rsidRDefault="00D704C6" w:rsidP="00D704C6">
            <w:pPr>
              <w:rPr>
                <w:sz w:val="20"/>
                <w:szCs w:val="20"/>
              </w:rPr>
            </w:pPr>
            <w:r>
              <w:rPr>
                <w:sz w:val="20"/>
                <w:szCs w:val="20"/>
              </w:rPr>
              <w:t>CB2 absence exacerbated stress-induced neuroinflammatory responses.</w:t>
            </w:r>
          </w:p>
        </w:tc>
      </w:tr>
    </w:tbl>
    <w:p w14:paraId="596D7BE7" w14:textId="1289B31E" w:rsidR="009E6A84" w:rsidRDefault="009E6A84"/>
    <w:tbl>
      <w:tblPr>
        <w:tblStyle w:val="Tablaconcuadrcula"/>
        <w:tblW w:w="9351" w:type="dxa"/>
        <w:tblLook w:val="04A0" w:firstRow="1" w:lastRow="0" w:firstColumn="1" w:lastColumn="0" w:noHBand="0" w:noVBand="1"/>
      </w:tblPr>
      <w:tblGrid>
        <w:gridCol w:w="1696"/>
        <w:gridCol w:w="1276"/>
        <w:gridCol w:w="3189"/>
        <w:gridCol w:w="3190"/>
      </w:tblGrid>
      <w:tr w:rsidR="00F43D19" w:rsidRPr="0036378D" w14:paraId="23B0A7C2" w14:textId="77777777" w:rsidTr="00FC4BAB">
        <w:trPr>
          <w:trHeight w:val="244"/>
        </w:trPr>
        <w:tc>
          <w:tcPr>
            <w:tcW w:w="9351" w:type="dxa"/>
            <w:gridSpan w:val="4"/>
            <w:vAlign w:val="center"/>
          </w:tcPr>
          <w:p w14:paraId="43D6D4DB" w14:textId="2D54AAEC" w:rsidR="00F43D19" w:rsidRPr="0036378D" w:rsidRDefault="00F43D19" w:rsidP="00FC4BAB">
            <w:pPr>
              <w:jc w:val="center"/>
              <w:rPr>
                <w:b/>
                <w:bCs/>
              </w:rPr>
            </w:pPr>
            <w:r>
              <w:rPr>
                <w:b/>
                <w:bCs/>
              </w:rPr>
              <w:t>Clinical evidence</w:t>
            </w:r>
          </w:p>
        </w:tc>
      </w:tr>
      <w:tr w:rsidR="00F43D19" w:rsidRPr="0036378D" w14:paraId="6D5295FA" w14:textId="77777777" w:rsidTr="00FC4BAB">
        <w:trPr>
          <w:trHeight w:val="244"/>
        </w:trPr>
        <w:tc>
          <w:tcPr>
            <w:tcW w:w="1696" w:type="dxa"/>
            <w:vAlign w:val="center"/>
          </w:tcPr>
          <w:p w14:paraId="4B207AEB" w14:textId="77777777" w:rsidR="00F43D19" w:rsidRPr="0036378D" w:rsidRDefault="00F43D19" w:rsidP="00FC4BAB">
            <w:pPr>
              <w:jc w:val="center"/>
              <w:rPr>
                <w:b/>
                <w:bCs/>
              </w:rPr>
            </w:pPr>
            <w:r w:rsidRPr="0036378D">
              <w:rPr>
                <w:b/>
                <w:bCs/>
              </w:rPr>
              <w:t>Study</w:t>
            </w:r>
          </w:p>
        </w:tc>
        <w:tc>
          <w:tcPr>
            <w:tcW w:w="1276" w:type="dxa"/>
          </w:tcPr>
          <w:p w14:paraId="3818611D" w14:textId="73CB1AE7" w:rsidR="00F43D19" w:rsidRPr="0036378D" w:rsidRDefault="00F43D19" w:rsidP="00FC4BAB">
            <w:pPr>
              <w:jc w:val="center"/>
              <w:rPr>
                <w:b/>
                <w:bCs/>
              </w:rPr>
            </w:pPr>
          </w:p>
        </w:tc>
        <w:tc>
          <w:tcPr>
            <w:tcW w:w="3189" w:type="dxa"/>
            <w:vAlign w:val="center"/>
          </w:tcPr>
          <w:p w14:paraId="1A5263EA" w14:textId="77777777" w:rsidR="00F43D19" w:rsidRPr="0036378D" w:rsidRDefault="00F43D19" w:rsidP="00FC4BAB">
            <w:pPr>
              <w:jc w:val="center"/>
              <w:rPr>
                <w:b/>
                <w:bCs/>
              </w:rPr>
            </w:pPr>
            <w:r w:rsidRPr="0036378D">
              <w:rPr>
                <w:b/>
                <w:bCs/>
              </w:rPr>
              <w:t>Context</w:t>
            </w:r>
          </w:p>
        </w:tc>
        <w:tc>
          <w:tcPr>
            <w:tcW w:w="3190" w:type="dxa"/>
            <w:vAlign w:val="center"/>
          </w:tcPr>
          <w:p w14:paraId="65CFBB55" w14:textId="77777777" w:rsidR="00F43D19" w:rsidRPr="0036378D" w:rsidRDefault="00F43D19" w:rsidP="00FC4BAB">
            <w:pPr>
              <w:jc w:val="center"/>
              <w:rPr>
                <w:b/>
                <w:bCs/>
              </w:rPr>
            </w:pPr>
            <w:r w:rsidRPr="0036378D">
              <w:rPr>
                <w:b/>
                <w:bCs/>
              </w:rPr>
              <w:t>Summary of results</w:t>
            </w:r>
          </w:p>
        </w:tc>
      </w:tr>
      <w:tr w:rsidR="00F43D19" w14:paraId="108128EE" w14:textId="77777777" w:rsidTr="00FC4BAB">
        <w:trPr>
          <w:trHeight w:val="125"/>
        </w:trPr>
        <w:tc>
          <w:tcPr>
            <w:tcW w:w="1696" w:type="dxa"/>
          </w:tcPr>
          <w:p w14:paraId="0C4724DF" w14:textId="5C5E2414" w:rsidR="00F43D19" w:rsidRPr="00524A44" w:rsidRDefault="00B70B4C" w:rsidP="00FC4BAB">
            <w:pPr>
              <w:rPr>
                <w:sz w:val="20"/>
                <w:szCs w:val="20"/>
              </w:rPr>
            </w:pPr>
            <w:proofErr w:type="spellStart"/>
            <w:r>
              <w:rPr>
                <w:sz w:val="20"/>
                <w:szCs w:val="20"/>
              </w:rPr>
              <w:t>Domsche</w:t>
            </w:r>
            <w:proofErr w:type="spellEnd"/>
            <w:r>
              <w:rPr>
                <w:sz w:val="20"/>
                <w:szCs w:val="20"/>
              </w:rPr>
              <w:t xml:space="preserve"> et al., (2008)</w:t>
            </w:r>
          </w:p>
        </w:tc>
        <w:tc>
          <w:tcPr>
            <w:tcW w:w="1276" w:type="dxa"/>
          </w:tcPr>
          <w:p w14:paraId="205E29F3" w14:textId="2AE796E9" w:rsidR="00F43D19" w:rsidRPr="00524A44" w:rsidRDefault="00F43D19" w:rsidP="00FC4BAB">
            <w:pPr>
              <w:rPr>
                <w:sz w:val="20"/>
                <w:szCs w:val="20"/>
              </w:rPr>
            </w:pPr>
          </w:p>
        </w:tc>
        <w:tc>
          <w:tcPr>
            <w:tcW w:w="3189" w:type="dxa"/>
          </w:tcPr>
          <w:p w14:paraId="577C05D3" w14:textId="53D0F2D9" w:rsidR="00F43D19" w:rsidRPr="00524A44" w:rsidRDefault="00B70B4C" w:rsidP="00FC4BAB">
            <w:pPr>
              <w:rPr>
                <w:sz w:val="20"/>
                <w:szCs w:val="20"/>
              </w:rPr>
            </w:pPr>
            <w:r>
              <w:rPr>
                <w:sz w:val="20"/>
                <w:szCs w:val="20"/>
              </w:rPr>
              <w:t>Genetic study of a CB1 polymorphism</w:t>
            </w:r>
            <w:r w:rsidR="00AE42F3">
              <w:rPr>
                <w:sz w:val="20"/>
                <w:szCs w:val="20"/>
              </w:rPr>
              <w:t xml:space="preserve"> </w:t>
            </w:r>
            <w:r w:rsidR="00AE42F3" w:rsidRPr="00AE42F3">
              <w:rPr>
                <w:sz w:val="20"/>
                <w:szCs w:val="20"/>
              </w:rPr>
              <w:t>CNR1rs1049353</w:t>
            </w:r>
          </w:p>
        </w:tc>
        <w:tc>
          <w:tcPr>
            <w:tcW w:w="3190" w:type="dxa"/>
          </w:tcPr>
          <w:p w14:paraId="4BF8527B" w14:textId="79856686" w:rsidR="00F43D19" w:rsidRPr="00524A44" w:rsidRDefault="00B70B4C" w:rsidP="00FC4BAB">
            <w:pPr>
              <w:rPr>
                <w:sz w:val="20"/>
                <w:szCs w:val="20"/>
              </w:rPr>
            </w:pPr>
            <w:r>
              <w:rPr>
                <w:sz w:val="20"/>
                <w:szCs w:val="20"/>
              </w:rPr>
              <w:t>Association to antidepressant resistance</w:t>
            </w:r>
          </w:p>
        </w:tc>
      </w:tr>
      <w:tr w:rsidR="00AE42F3" w14:paraId="707B4EF0" w14:textId="77777777" w:rsidTr="00FC4BAB">
        <w:trPr>
          <w:trHeight w:val="125"/>
        </w:trPr>
        <w:tc>
          <w:tcPr>
            <w:tcW w:w="1696" w:type="dxa"/>
          </w:tcPr>
          <w:p w14:paraId="48578C4D" w14:textId="49A0090A" w:rsidR="00AE42F3" w:rsidRDefault="00AE42F3" w:rsidP="00AE42F3">
            <w:pPr>
              <w:rPr>
                <w:sz w:val="20"/>
                <w:szCs w:val="20"/>
              </w:rPr>
            </w:pPr>
            <w:proofErr w:type="spellStart"/>
            <w:r>
              <w:rPr>
                <w:sz w:val="20"/>
                <w:szCs w:val="20"/>
              </w:rPr>
              <w:t>Icick</w:t>
            </w:r>
            <w:proofErr w:type="spellEnd"/>
            <w:r>
              <w:rPr>
                <w:sz w:val="20"/>
                <w:szCs w:val="20"/>
              </w:rPr>
              <w:t xml:space="preserve"> et al., (2015)</w:t>
            </w:r>
          </w:p>
        </w:tc>
        <w:tc>
          <w:tcPr>
            <w:tcW w:w="1276" w:type="dxa"/>
          </w:tcPr>
          <w:p w14:paraId="61AE2FA0" w14:textId="77777777" w:rsidR="00AE42F3" w:rsidRPr="00524A44" w:rsidRDefault="00AE42F3" w:rsidP="00AE42F3">
            <w:pPr>
              <w:rPr>
                <w:sz w:val="20"/>
                <w:szCs w:val="20"/>
              </w:rPr>
            </w:pPr>
          </w:p>
        </w:tc>
        <w:tc>
          <w:tcPr>
            <w:tcW w:w="3189" w:type="dxa"/>
          </w:tcPr>
          <w:p w14:paraId="7265FC2A" w14:textId="51E17C60" w:rsidR="00AE42F3" w:rsidRDefault="00AE42F3" w:rsidP="00AE42F3">
            <w:pPr>
              <w:rPr>
                <w:sz w:val="20"/>
                <w:szCs w:val="20"/>
              </w:rPr>
            </w:pPr>
            <w:r>
              <w:rPr>
                <w:sz w:val="20"/>
                <w:szCs w:val="20"/>
              </w:rPr>
              <w:t>Genetic study of a CB1 polymorphism</w:t>
            </w:r>
          </w:p>
        </w:tc>
        <w:tc>
          <w:tcPr>
            <w:tcW w:w="3190" w:type="dxa"/>
          </w:tcPr>
          <w:p w14:paraId="4D87DECD" w14:textId="747213B7" w:rsidR="00AE42F3" w:rsidRDefault="00AE42F3" w:rsidP="00AE42F3">
            <w:pPr>
              <w:rPr>
                <w:sz w:val="20"/>
                <w:szCs w:val="20"/>
              </w:rPr>
            </w:pPr>
            <w:r>
              <w:rPr>
                <w:sz w:val="20"/>
                <w:szCs w:val="20"/>
              </w:rPr>
              <w:t>Protective influence against MDD</w:t>
            </w:r>
          </w:p>
        </w:tc>
      </w:tr>
      <w:tr w:rsidR="00AE42F3" w14:paraId="1AF8A816" w14:textId="77777777" w:rsidTr="00FC4BAB">
        <w:trPr>
          <w:trHeight w:val="120"/>
        </w:trPr>
        <w:tc>
          <w:tcPr>
            <w:tcW w:w="1696" w:type="dxa"/>
          </w:tcPr>
          <w:p w14:paraId="460BE9AF" w14:textId="5D3A5365" w:rsidR="00AE42F3" w:rsidRPr="00524A44" w:rsidRDefault="00AE42F3" w:rsidP="00AE42F3">
            <w:pPr>
              <w:rPr>
                <w:sz w:val="20"/>
                <w:szCs w:val="20"/>
              </w:rPr>
            </w:pPr>
            <w:proofErr w:type="spellStart"/>
            <w:r>
              <w:rPr>
                <w:sz w:val="20"/>
                <w:szCs w:val="20"/>
              </w:rPr>
              <w:t>Lazary</w:t>
            </w:r>
            <w:proofErr w:type="spellEnd"/>
            <w:r>
              <w:rPr>
                <w:sz w:val="20"/>
                <w:szCs w:val="20"/>
              </w:rPr>
              <w:t xml:space="preserve"> et al., (2019)</w:t>
            </w:r>
          </w:p>
        </w:tc>
        <w:tc>
          <w:tcPr>
            <w:tcW w:w="1276" w:type="dxa"/>
          </w:tcPr>
          <w:p w14:paraId="5210B364" w14:textId="68738112" w:rsidR="00AE42F3" w:rsidRPr="00524A44" w:rsidRDefault="00AE42F3" w:rsidP="00AE42F3">
            <w:pPr>
              <w:rPr>
                <w:sz w:val="20"/>
                <w:szCs w:val="20"/>
              </w:rPr>
            </w:pPr>
          </w:p>
        </w:tc>
        <w:tc>
          <w:tcPr>
            <w:tcW w:w="3189" w:type="dxa"/>
          </w:tcPr>
          <w:p w14:paraId="65BEF4D8" w14:textId="075BEACD" w:rsidR="00AE42F3" w:rsidRPr="00524A44" w:rsidRDefault="00AE42F3" w:rsidP="00AE42F3">
            <w:pPr>
              <w:rPr>
                <w:sz w:val="20"/>
                <w:szCs w:val="20"/>
              </w:rPr>
            </w:pPr>
            <w:r>
              <w:rPr>
                <w:sz w:val="20"/>
                <w:szCs w:val="20"/>
              </w:rPr>
              <w:t>Polymorphisms of CB2 gene and FAAH and childhood trauma</w:t>
            </w:r>
          </w:p>
        </w:tc>
        <w:tc>
          <w:tcPr>
            <w:tcW w:w="3190" w:type="dxa"/>
          </w:tcPr>
          <w:p w14:paraId="69C3E36C" w14:textId="0C92977E" w:rsidR="00AE42F3" w:rsidRPr="00524A44" w:rsidRDefault="00AE42F3" w:rsidP="00AE42F3">
            <w:pPr>
              <w:rPr>
                <w:sz w:val="20"/>
                <w:szCs w:val="20"/>
              </w:rPr>
            </w:pPr>
            <w:r>
              <w:rPr>
                <w:sz w:val="20"/>
                <w:szCs w:val="20"/>
              </w:rPr>
              <w:t>Both polymorphisms associated to greater sensitivity to childhood trauma.</w:t>
            </w:r>
          </w:p>
        </w:tc>
      </w:tr>
      <w:tr w:rsidR="00AE42F3" w14:paraId="38B7CA60" w14:textId="77777777" w:rsidTr="00FC4BAB">
        <w:trPr>
          <w:trHeight w:val="125"/>
        </w:trPr>
        <w:tc>
          <w:tcPr>
            <w:tcW w:w="1696" w:type="dxa"/>
          </w:tcPr>
          <w:p w14:paraId="50552583" w14:textId="632E8200" w:rsidR="00AE42F3" w:rsidRPr="00524A44" w:rsidRDefault="00AE42F3" w:rsidP="00AE42F3">
            <w:pPr>
              <w:rPr>
                <w:sz w:val="20"/>
                <w:szCs w:val="20"/>
              </w:rPr>
            </w:pPr>
            <w:proofErr w:type="spellStart"/>
            <w:r>
              <w:rPr>
                <w:sz w:val="20"/>
                <w:szCs w:val="20"/>
              </w:rPr>
              <w:t>Mitjans</w:t>
            </w:r>
            <w:proofErr w:type="spellEnd"/>
            <w:r>
              <w:rPr>
                <w:sz w:val="20"/>
                <w:szCs w:val="20"/>
              </w:rPr>
              <w:t xml:space="preserve"> et al., (2013)</w:t>
            </w:r>
          </w:p>
        </w:tc>
        <w:tc>
          <w:tcPr>
            <w:tcW w:w="1276" w:type="dxa"/>
          </w:tcPr>
          <w:p w14:paraId="6D8D0467" w14:textId="4964BE28" w:rsidR="00AE42F3" w:rsidRPr="00524A44" w:rsidRDefault="00AE42F3" w:rsidP="00AE42F3">
            <w:pPr>
              <w:rPr>
                <w:sz w:val="20"/>
                <w:szCs w:val="20"/>
              </w:rPr>
            </w:pPr>
          </w:p>
        </w:tc>
        <w:tc>
          <w:tcPr>
            <w:tcW w:w="3189" w:type="dxa"/>
          </w:tcPr>
          <w:p w14:paraId="55EEE03F" w14:textId="03EBD7B2" w:rsidR="00AE42F3" w:rsidRPr="00524A44" w:rsidRDefault="00AE42F3" w:rsidP="00AE42F3">
            <w:pPr>
              <w:rPr>
                <w:sz w:val="20"/>
                <w:szCs w:val="20"/>
              </w:rPr>
            </w:pPr>
            <w:r>
              <w:rPr>
                <w:sz w:val="20"/>
                <w:szCs w:val="20"/>
              </w:rPr>
              <w:t xml:space="preserve">Genetic study of a CB1 polymorphism </w:t>
            </w:r>
            <w:r w:rsidRPr="00AE42F3">
              <w:rPr>
                <w:sz w:val="20"/>
                <w:szCs w:val="20"/>
              </w:rPr>
              <w:t>G allele of rs806371</w:t>
            </w:r>
          </w:p>
        </w:tc>
        <w:tc>
          <w:tcPr>
            <w:tcW w:w="3190" w:type="dxa"/>
          </w:tcPr>
          <w:p w14:paraId="481DC267" w14:textId="6F270C42" w:rsidR="00AE42F3" w:rsidRPr="00524A44" w:rsidRDefault="00AE42F3" w:rsidP="00AE42F3">
            <w:pPr>
              <w:rPr>
                <w:sz w:val="20"/>
                <w:szCs w:val="20"/>
              </w:rPr>
            </w:pPr>
            <w:r>
              <w:rPr>
                <w:sz w:val="20"/>
                <w:szCs w:val="20"/>
              </w:rPr>
              <w:t>Higher presence in patients with MDD.</w:t>
            </w:r>
          </w:p>
        </w:tc>
      </w:tr>
      <w:tr w:rsidR="00AE42F3" w14:paraId="29B1E517" w14:textId="77777777" w:rsidTr="00FC4BAB">
        <w:trPr>
          <w:trHeight w:val="120"/>
        </w:trPr>
        <w:tc>
          <w:tcPr>
            <w:tcW w:w="1696" w:type="dxa"/>
          </w:tcPr>
          <w:p w14:paraId="7DDBA05C" w14:textId="64F8743E" w:rsidR="00AE42F3" w:rsidRPr="00524A44" w:rsidRDefault="00AE42F3" w:rsidP="00AE42F3">
            <w:pPr>
              <w:rPr>
                <w:sz w:val="20"/>
                <w:szCs w:val="20"/>
              </w:rPr>
            </w:pPr>
            <w:proofErr w:type="spellStart"/>
            <w:r>
              <w:rPr>
                <w:sz w:val="20"/>
                <w:szCs w:val="20"/>
              </w:rPr>
              <w:t>Onaivi</w:t>
            </w:r>
            <w:proofErr w:type="spellEnd"/>
            <w:r>
              <w:rPr>
                <w:sz w:val="20"/>
                <w:szCs w:val="20"/>
              </w:rPr>
              <w:t xml:space="preserve"> et al., 2008</w:t>
            </w:r>
          </w:p>
        </w:tc>
        <w:tc>
          <w:tcPr>
            <w:tcW w:w="1276" w:type="dxa"/>
          </w:tcPr>
          <w:p w14:paraId="6DA3E14E" w14:textId="77777777" w:rsidR="00AE42F3" w:rsidRPr="00524A44" w:rsidRDefault="00AE42F3" w:rsidP="00AE42F3">
            <w:pPr>
              <w:rPr>
                <w:sz w:val="20"/>
                <w:szCs w:val="20"/>
              </w:rPr>
            </w:pPr>
          </w:p>
        </w:tc>
        <w:tc>
          <w:tcPr>
            <w:tcW w:w="3189" w:type="dxa"/>
          </w:tcPr>
          <w:p w14:paraId="43075F27" w14:textId="50252227" w:rsidR="00AE42F3" w:rsidRPr="00524A44" w:rsidRDefault="00AE42F3" w:rsidP="00AE42F3">
            <w:pPr>
              <w:rPr>
                <w:sz w:val="20"/>
                <w:szCs w:val="20"/>
              </w:rPr>
            </w:pPr>
            <w:r>
              <w:rPr>
                <w:sz w:val="20"/>
                <w:szCs w:val="20"/>
              </w:rPr>
              <w:t xml:space="preserve">Genetic study of a CB2 polymorphism </w:t>
            </w:r>
            <w:r w:rsidRPr="00AE42F3">
              <w:rPr>
                <w:sz w:val="20"/>
                <w:szCs w:val="20"/>
              </w:rPr>
              <w:t>CNR2rs2501432</w:t>
            </w:r>
          </w:p>
        </w:tc>
        <w:tc>
          <w:tcPr>
            <w:tcW w:w="3190" w:type="dxa"/>
          </w:tcPr>
          <w:p w14:paraId="0CDA31B7" w14:textId="1BBA77A2" w:rsidR="00AE42F3" w:rsidRPr="002942E0" w:rsidRDefault="00AE42F3" w:rsidP="00AE42F3">
            <w:pPr>
              <w:autoSpaceDE w:val="0"/>
              <w:autoSpaceDN w:val="0"/>
              <w:adjustRightInd w:val="0"/>
              <w:rPr>
                <w:rFonts w:ascii="Times New Roman" w:hAnsi="Times New Roman" w:cs="Times New Roman"/>
                <w:sz w:val="18"/>
                <w:szCs w:val="18"/>
                <w:lang w:val="en-GB"/>
              </w:rPr>
            </w:pPr>
            <w:r>
              <w:rPr>
                <w:sz w:val="20"/>
                <w:szCs w:val="20"/>
              </w:rPr>
              <w:t>Association between genetic variants of CB2 gene and depressive patients.</w:t>
            </w:r>
          </w:p>
        </w:tc>
      </w:tr>
    </w:tbl>
    <w:p w14:paraId="2A806BF4" w14:textId="77777777" w:rsidR="00F43D19" w:rsidRDefault="00F43D19" w:rsidP="00F43D19"/>
    <w:p w14:paraId="47A9455D" w14:textId="77777777" w:rsidR="00F43D19" w:rsidRDefault="00F43D19"/>
    <w:sectPr w:rsidR="00F43D19" w:rsidSect="00FB3B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93D"/>
    <w:rsid w:val="00273CCE"/>
    <w:rsid w:val="002942E0"/>
    <w:rsid w:val="0036378D"/>
    <w:rsid w:val="004131E0"/>
    <w:rsid w:val="0046523B"/>
    <w:rsid w:val="004B36B5"/>
    <w:rsid w:val="00524A44"/>
    <w:rsid w:val="00623672"/>
    <w:rsid w:val="00651065"/>
    <w:rsid w:val="006C2569"/>
    <w:rsid w:val="006D4EEC"/>
    <w:rsid w:val="009362C4"/>
    <w:rsid w:val="00940423"/>
    <w:rsid w:val="009A0B7F"/>
    <w:rsid w:val="009E6A84"/>
    <w:rsid w:val="00A2118F"/>
    <w:rsid w:val="00AC1B22"/>
    <w:rsid w:val="00AE42F3"/>
    <w:rsid w:val="00B26080"/>
    <w:rsid w:val="00B70B4C"/>
    <w:rsid w:val="00C41E1A"/>
    <w:rsid w:val="00CE13FB"/>
    <w:rsid w:val="00D07A08"/>
    <w:rsid w:val="00D1793D"/>
    <w:rsid w:val="00D46DAD"/>
    <w:rsid w:val="00D704C6"/>
    <w:rsid w:val="00E20BBF"/>
    <w:rsid w:val="00E2625E"/>
    <w:rsid w:val="00E26E6A"/>
    <w:rsid w:val="00E9227B"/>
    <w:rsid w:val="00EC55B7"/>
    <w:rsid w:val="00F43D19"/>
    <w:rsid w:val="00F644FB"/>
    <w:rsid w:val="00F92B7E"/>
    <w:rsid w:val="00FB0171"/>
    <w:rsid w:val="00FB3B12"/>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F2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179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179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177624">
      <w:bodyDiv w:val="1"/>
      <w:marLeft w:val="0"/>
      <w:marRight w:val="0"/>
      <w:marTop w:val="0"/>
      <w:marBottom w:val="0"/>
      <w:divBdr>
        <w:top w:val="none" w:sz="0" w:space="0" w:color="auto"/>
        <w:left w:val="none" w:sz="0" w:space="0" w:color="auto"/>
        <w:bottom w:val="none" w:sz="0" w:space="0" w:color="auto"/>
        <w:right w:val="none" w:sz="0" w:space="0" w:color="auto"/>
      </w:divBdr>
    </w:div>
    <w:div w:id="929655815">
      <w:bodyDiv w:val="1"/>
      <w:marLeft w:val="0"/>
      <w:marRight w:val="0"/>
      <w:marTop w:val="0"/>
      <w:marBottom w:val="0"/>
      <w:divBdr>
        <w:top w:val="none" w:sz="0" w:space="0" w:color="auto"/>
        <w:left w:val="none" w:sz="0" w:space="0" w:color="auto"/>
        <w:bottom w:val="none" w:sz="0" w:space="0" w:color="auto"/>
        <w:right w:val="none" w:sz="0" w:space="0" w:color="auto"/>
      </w:divBdr>
    </w:div>
    <w:div w:id="1003124292">
      <w:bodyDiv w:val="1"/>
      <w:marLeft w:val="0"/>
      <w:marRight w:val="0"/>
      <w:marTop w:val="0"/>
      <w:marBottom w:val="0"/>
      <w:divBdr>
        <w:top w:val="none" w:sz="0" w:space="0" w:color="auto"/>
        <w:left w:val="none" w:sz="0" w:space="0" w:color="auto"/>
        <w:bottom w:val="none" w:sz="0" w:space="0" w:color="auto"/>
        <w:right w:val="none" w:sz="0" w:space="0" w:color="auto"/>
      </w:divBdr>
    </w:div>
    <w:div w:id="17664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1011</Words>
  <Characters>5562</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Gallego-Landin</dc:creator>
  <cp:keywords/>
  <dc:description/>
  <cp:lastModifiedBy>Olga Valverde</cp:lastModifiedBy>
  <cp:revision>2</cp:revision>
  <dcterms:created xsi:type="dcterms:W3CDTF">2021-09-22T14:34:00Z</dcterms:created>
  <dcterms:modified xsi:type="dcterms:W3CDTF">2021-09-22T14:34:00Z</dcterms:modified>
</cp:coreProperties>
</file>