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8E6D7" w14:textId="77777777" w:rsidR="0000489D" w:rsidRDefault="0000489D" w:rsidP="00E2318D">
      <w:pPr>
        <w:pStyle w:val="Lgende"/>
      </w:pPr>
    </w:p>
    <w:p w14:paraId="27876F0D" w14:textId="23F997A3" w:rsidR="008D4590" w:rsidRDefault="008D4590" w:rsidP="00E2318D">
      <w:pPr>
        <w:pStyle w:val="Lgende"/>
        <w:rPr>
          <w:rFonts w:ascii="Garamond" w:hAnsi="Garamond"/>
          <w:sz w:val="24"/>
          <w:szCs w:val="24"/>
        </w:rPr>
      </w:pPr>
      <w:r w:rsidRPr="00C82AF4">
        <w:rPr>
          <w:rFonts w:ascii="Garamond" w:hAnsi="Garamond"/>
          <w:b/>
          <w:bCs/>
          <w:sz w:val="24"/>
          <w:szCs w:val="24"/>
        </w:rPr>
        <w:t xml:space="preserve">Supplementary Table </w:t>
      </w:r>
      <w:r w:rsidRPr="00C82AF4">
        <w:rPr>
          <w:rFonts w:ascii="Garamond" w:hAnsi="Garamond"/>
          <w:b/>
          <w:bCs/>
          <w:sz w:val="24"/>
          <w:szCs w:val="24"/>
        </w:rPr>
        <w:fldChar w:fldCharType="begin"/>
      </w:r>
      <w:r w:rsidRPr="00C82AF4">
        <w:rPr>
          <w:rFonts w:ascii="Garamond" w:hAnsi="Garamond"/>
          <w:b/>
          <w:bCs/>
          <w:sz w:val="24"/>
          <w:szCs w:val="24"/>
        </w:rPr>
        <w:instrText xml:space="preserve"> SEQ Supplementary_Table \* ARABIC </w:instrText>
      </w:r>
      <w:r w:rsidRPr="00C82AF4">
        <w:rPr>
          <w:rFonts w:ascii="Garamond" w:hAnsi="Garamond"/>
          <w:b/>
          <w:bCs/>
          <w:sz w:val="24"/>
          <w:szCs w:val="24"/>
        </w:rPr>
        <w:fldChar w:fldCharType="separate"/>
      </w:r>
      <w:r w:rsidRPr="00C82AF4">
        <w:rPr>
          <w:rFonts w:ascii="Garamond" w:hAnsi="Garamond"/>
          <w:b/>
          <w:bCs/>
          <w:noProof/>
          <w:sz w:val="24"/>
          <w:szCs w:val="24"/>
        </w:rPr>
        <w:t>1</w:t>
      </w:r>
      <w:r w:rsidRPr="00C82AF4">
        <w:rPr>
          <w:rFonts w:ascii="Garamond" w:hAnsi="Garamond"/>
          <w:b/>
          <w:bCs/>
          <w:noProof/>
          <w:sz w:val="24"/>
          <w:szCs w:val="24"/>
        </w:rPr>
        <w:fldChar w:fldCharType="end"/>
      </w:r>
      <w:r w:rsidRPr="00C82AF4">
        <w:rPr>
          <w:rFonts w:ascii="Garamond" w:hAnsi="Garamond"/>
          <w:sz w:val="24"/>
          <w:szCs w:val="24"/>
        </w:rPr>
        <w:t xml:space="preserve"> Characteristics of studies </w:t>
      </w:r>
      <w:r w:rsidR="00BE79EA" w:rsidRPr="00C82AF4">
        <w:rPr>
          <w:rFonts w:ascii="Garamond" w:hAnsi="Garamond"/>
          <w:sz w:val="24"/>
          <w:szCs w:val="24"/>
        </w:rPr>
        <w:t>included</w:t>
      </w:r>
    </w:p>
    <w:tbl>
      <w:tblPr>
        <w:tblW w:w="13394" w:type="dxa"/>
        <w:tblCellMar>
          <w:left w:w="70" w:type="dxa"/>
          <w:right w:w="70" w:type="dxa"/>
        </w:tblCellMar>
        <w:tblLook w:val="04A0" w:firstRow="1" w:lastRow="0" w:firstColumn="1" w:lastColumn="0" w:noHBand="0" w:noVBand="1"/>
      </w:tblPr>
      <w:tblGrid>
        <w:gridCol w:w="2410"/>
        <w:gridCol w:w="773"/>
        <w:gridCol w:w="2204"/>
        <w:gridCol w:w="1082"/>
        <w:gridCol w:w="1180"/>
        <w:gridCol w:w="1424"/>
        <w:gridCol w:w="1232"/>
        <w:gridCol w:w="882"/>
        <w:gridCol w:w="1077"/>
        <w:gridCol w:w="1130"/>
      </w:tblGrid>
      <w:tr w:rsidR="008C1796" w:rsidRPr="00431BC4" w14:paraId="4D006236" w14:textId="77777777" w:rsidTr="008C1796">
        <w:trPr>
          <w:trHeight w:val="290"/>
        </w:trPr>
        <w:tc>
          <w:tcPr>
            <w:tcW w:w="2410" w:type="dxa"/>
            <w:tcBorders>
              <w:top w:val="single" w:sz="12" w:space="0" w:color="auto"/>
              <w:left w:val="nil"/>
              <w:bottom w:val="single" w:sz="12" w:space="0" w:color="auto"/>
              <w:right w:val="nil"/>
            </w:tcBorders>
            <w:noWrap/>
            <w:hideMark/>
          </w:tcPr>
          <w:p w14:paraId="05B892DA" w14:textId="1B5F41AB"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Author</w:t>
            </w:r>
          </w:p>
        </w:tc>
        <w:tc>
          <w:tcPr>
            <w:tcW w:w="773" w:type="dxa"/>
            <w:tcBorders>
              <w:top w:val="single" w:sz="12" w:space="0" w:color="auto"/>
              <w:left w:val="nil"/>
              <w:bottom w:val="single" w:sz="12" w:space="0" w:color="auto"/>
              <w:right w:val="nil"/>
            </w:tcBorders>
            <w:noWrap/>
            <w:hideMark/>
          </w:tcPr>
          <w:p w14:paraId="14E65737" w14:textId="327BD72C"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Study year</w:t>
            </w:r>
            <w:r w:rsidRPr="00431BC4">
              <w:rPr>
                <w:rFonts w:ascii="Garamond" w:eastAsia="Times New Roman" w:hAnsi="Garamond" w:cs="Calibri"/>
                <w:i/>
                <w:iCs/>
                <w:color w:val="000000"/>
                <w:kern w:val="0"/>
                <w:sz w:val="20"/>
                <w:szCs w:val="20"/>
                <w:vertAlign w:val="superscript"/>
                <w:lang w:eastAsia="fr-FR"/>
                <w14:ligatures w14:val="none"/>
              </w:rPr>
              <w:t>1</w:t>
            </w:r>
          </w:p>
        </w:tc>
        <w:tc>
          <w:tcPr>
            <w:tcW w:w="2204" w:type="dxa"/>
            <w:tcBorders>
              <w:top w:val="single" w:sz="12" w:space="0" w:color="auto"/>
              <w:left w:val="nil"/>
              <w:bottom w:val="single" w:sz="12" w:space="0" w:color="auto"/>
              <w:right w:val="nil"/>
            </w:tcBorders>
            <w:noWrap/>
            <w:hideMark/>
          </w:tcPr>
          <w:p w14:paraId="63AC9E4A" w14:textId="516B614A"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Country</w:t>
            </w:r>
          </w:p>
        </w:tc>
        <w:tc>
          <w:tcPr>
            <w:tcW w:w="1082" w:type="dxa"/>
            <w:tcBorders>
              <w:top w:val="single" w:sz="12" w:space="0" w:color="auto"/>
              <w:left w:val="nil"/>
              <w:bottom w:val="single" w:sz="12" w:space="0" w:color="auto"/>
              <w:right w:val="nil"/>
            </w:tcBorders>
            <w:noWrap/>
            <w:hideMark/>
          </w:tcPr>
          <w:p w14:paraId="70415765" w14:textId="124490F2"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Design</w:t>
            </w:r>
          </w:p>
        </w:tc>
        <w:tc>
          <w:tcPr>
            <w:tcW w:w="1180" w:type="dxa"/>
            <w:tcBorders>
              <w:top w:val="single" w:sz="12" w:space="0" w:color="auto"/>
              <w:left w:val="nil"/>
              <w:bottom w:val="single" w:sz="12" w:space="0" w:color="auto"/>
              <w:right w:val="nil"/>
            </w:tcBorders>
            <w:noWrap/>
            <w:hideMark/>
          </w:tcPr>
          <w:p w14:paraId="15C2A7B8" w14:textId="25C603BC"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Setting</w:t>
            </w:r>
          </w:p>
        </w:tc>
        <w:tc>
          <w:tcPr>
            <w:tcW w:w="1424" w:type="dxa"/>
            <w:tcBorders>
              <w:top w:val="single" w:sz="12" w:space="0" w:color="auto"/>
              <w:left w:val="nil"/>
              <w:bottom w:val="single" w:sz="12" w:space="0" w:color="auto"/>
              <w:right w:val="nil"/>
            </w:tcBorders>
            <w:noWrap/>
            <w:hideMark/>
          </w:tcPr>
          <w:p w14:paraId="67A8F237" w14:textId="25029F99"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Participant</w:t>
            </w:r>
          </w:p>
        </w:tc>
        <w:tc>
          <w:tcPr>
            <w:tcW w:w="1232" w:type="dxa"/>
            <w:tcBorders>
              <w:top w:val="single" w:sz="12" w:space="0" w:color="auto"/>
              <w:left w:val="nil"/>
              <w:bottom w:val="single" w:sz="12" w:space="0" w:color="auto"/>
              <w:right w:val="nil"/>
            </w:tcBorders>
            <w:noWrap/>
            <w:hideMark/>
          </w:tcPr>
          <w:p w14:paraId="576126E8" w14:textId="612D1B8D"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Sampling</w:t>
            </w:r>
          </w:p>
        </w:tc>
        <w:tc>
          <w:tcPr>
            <w:tcW w:w="882" w:type="dxa"/>
            <w:tcBorders>
              <w:top w:val="single" w:sz="12" w:space="0" w:color="auto"/>
              <w:left w:val="nil"/>
              <w:bottom w:val="single" w:sz="12" w:space="0" w:color="auto"/>
              <w:right w:val="nil"/>
            </w:tcBorders>
            <w:noWrap/>
            <w:hideMark/>
          </w:tcPr>
          <w:p w14:paraId="3F2BC4A3" w14:textId="77777777"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Risk of bias</w:t>
            </w:r>
          </w:p>
        </w:tc>
        <w:tc>
          <w:tcPr>
            <w:tcW w:w="1077" w:type="dxa"/>
            <w:tcBorders>
              <w:top w:val="single" w:sz="12" w:space="0" w:color="auto"/>
              <w:left w:val="nil"/>
              <w:bottom w:val="single" w:sz="12" w:space="0" w:color="auto"/>
              <w:right w:val="nil"/>
            </w:tcBorders>
            <w:noWrap/>
            <w:hideMark/>
          </w:tcPr>
          <w:p w14:paraId="0D236913" w14:textId="17634580"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Suspected</w:t>
            </w:r>
            <w:r w:rsidRPr="00431BC4">
              <w:rPr>
                <w:rFonts w:ascii="Garamond" w:eastAsia="Times New Roman" w:hAnsi="Garamond" w:cs="Calibri"/>
                <w:color w:val="000000"/>
                <w:kern w:val="0"/>
                <w:sz w:val="20"/>
                <w:szCs w:val="20"/>
                <w:lang w:eastAsia="fr-FR"/>
                <w14:ligatures w14:val="none"/>
              </w:rPr>
              <w:t xml:space="preserve"> cases (n)</w:t>
            </w:r>
          </w:p>
        </w:tc>
        <w:tc>
          <w:tcPr>
            <w:tcW w:w="1130" w:type="dxa"/>
            <w:tcBorders>
              <w:top w:val="single" w:sz="12" w:space="0" w:color="auto"/>
              <w:left w:val="nil"/>
              <w:bottom w:val="single" w:sz="12" w:space="0" w:color="auto"/>
              <w:right w:val="nil"/>
            </w:tcBorders>
            <w:noWrap/>
            <w:hideMark/>
          </w:tcPr>
          <w:p w14:paraId="0BF83B1C" w14:textId="6CFC93F4" w:rsidR="008C1796" w:rsidRPr="00431BC4" w:rsidRDefault="008C1796" w:rsidP="0000489D">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eastAsia="Times New Roman" w:hAnsi="Garamond" w:cs="Calibri"/>
                <w:color w:val="000000"/>
                <w:kern w:val="0"/>
                <w:sz w:val="20"/>
                <w:szCs w:val="20"/>
                <w:lang w:eastAsia="fr-FR"/>
                <w14:ligatures w14:val="none"/>
              </w:rPr>
              <w:t>Case fatality rate (%)</w:t>
            </w:r>
          </w:p>
        </w:tc>
      </w:tr>
      <w:tr w:rsidR="00925CF9" w:rsidRPr="00431BC4" w14:paraId="50F0D3F2" w14:textId="77777777" w:rsidTr="00300AE5">
        <w:trPr>
          <w:trHeight w:val="290"/>
        </w:trPr>
        <w:tc>
          <w:tcPr>
            <w:tcW w:w="2410" w:type="dxa"/>
            <w:noWrap/>
          </w:tcPr>
          <w:p w14:paraId="22C47E92" w14:textId="685D8D74" w:rsidR="00925CF9" w:rsidRPr="00925CF9" w:rsidRDefault="00925CF9" w:rsidP="002329B2">
            <w:pPr>
              <w:spacing w:after="0" w:line="240" w:lineRule="auto"/>
              <w:rPr>
                <w:rFonts w:ascii="Garamond" w:hAnsi="Garamond" w:cs="Calibri"/>
                <w:color w:val="000000"/>
                <w:sz w:val="20"/>
                <w:szCs w:val="20"/>
              </w:rPr>
            </w:pPr>
            <w:r w:rsidRPr="00925CF9">
              <w:rPr>
                <w:rFonts w:ascii="Garamond" w:hAnsi="Garamond" w:cs="Calibri"/>
                <w:color w:val="000000"/>
                <w:sz w:val="20"/>
                <w:szCs w:val="20"/>
              </w:rPr>
              <w:t>Breman</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2D2955">
              <w:rPr>
                <w:rFonts w:ascii="Garamond" w:hAnsi="Garamond" w:cs="Calibri"/>
                <w:color w:val="000000"/>
                <w:sz w:val="20"/>
                <w:szCs w:val="20"/>
              </w:rPr>
              <w:t xml:space="preserve"> </w:t>
            </w:r>
            <w:r w:rsidR="002D2955">
              <w:rPr>
                <w:rFonts w:ascii="Garamond" w:hAnsi="Garamond" w:cs="Calibri"/>
                <w:color w:val="000000"/>
                <w:sz w:val="20"/>
                <w:szCs w:val="20"/>
              </w:rPr>
              <w:fldChar w:fldCharType="begin"/>
            </w:r>
            <w:r w:rsidR="002D2955">
              <w:rPr>
                <w:rFonts w:ascii="Garamond" w:hAnsi="Garamond" w:cs="Calibri"/>
                <w:color w:val="000000"/>
                <w:sz w:val="20"/>
                <w:szCs w:val="20"/>
              </w:rPr>
              <w:instrText xml:space="preserve"> ADDIN ZOTERO_ITEM CSL_CITATION {"citationID":"2jYkg6WC","properties":{"formattedCitation":"[1]","plainCitation":"[1]","noteIndex":0},"citationItems":[{"id":3843,"uris":["http://zotero.org/users/1791235/items/WJLXLDJ4"],"itemData":{"id":3843,"type":"article-journal","abstract":"Increasing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2D2955">
              <w:rPr>
                <w:rFonts w:ascii="Garamond" w:hAnsi="Garamond" w:cs="Calibri"/>
                <w:color w:val="000000"/>
                <w:sz w:val="20"/>
                <w:szCs w:val="20"/>
              </w:rPr>
              <w:fldChar w:fldCharType="separate"/>
            </w:r>
            <w:r w:rsidR="002329B2" w:rsidRPr="002329B2">
              <w:rPr>
                <w:rFonts w:ascii="Garamond" w:hAnsi="Garamond"/>
                <w:sz w:val="20"/>
              </w:rPr>
              <w:t>[1]</w:t>
            </w:r>
            <w:r w:rsidR="002D2955">
              <w:rPr>
                <w:rFonts w:ascii="Garamond" w:hAnsi="Garamond" w:cs="Calibri"/>
                <w:color w:val="000000"/>
                <w:sz w:val="20"/>
                <w:szCs w:val="20"/>
              </w:rPr>
              <w:fldChar w:fldCharType="end"/>
            </w:r>
          </w:p>
        </w:tc>
        <w:tc>
          <w:tcPr>
            <w:tcW w:w="773" w:type="dxa"/>
            <w:noWrap/>
          </w:tcPr>
          <w:p w14:paraId="67386F6B" w14:textId="70F5C5AA"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1970</w:t>
            </w:r>
          </w:p>
        </w:tc>
        <w:tc>
          <w:tcPr>
            <w:tcW w:w="2204" w:type="dxa"/>
            <w:noWrap/>
          </w:tcPr>
          <w:p w14:paraId="7B17478A" w14:textId="1FAD008C"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 xml:space="preserve">Liberia </w:t>
            </w:r>
          </w:p>
        </w:tc>
        <w:tc>
          <w:tcPr>
            <w:tcW w:w="1082" w:type="dxa"/>
            <w:noWrap/>
          </w:tcPr>
          <w:p w14:paraId="47207A02" w14:textId="4AFAC30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43F588C0" w14:textId="1118473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3D8C086A" w14:textId="6B711638"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402B9C1B" w14:textId="6C6E4B3E"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6993CBC7" w14:textId="5E496EC0"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L</w:t>
            </w:r>
          </w:p>
        </w:tc>
        <w:tc>
          <w:tcPr>
            <w:tcW w:w="1077" w:type="dxa"/>
            <w:noWrap/>
          </w:tcPr>
          <w:p w14:paraId="65FD8308" w14:textId="422AA4E0"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4</w:t>
            </w:r>
          </w:p>
        </w:tc>
        <w:tc>
          <w:tcPr>
            <w:tcW w:w="1130" w:type="dxa"/>
            <w:noWrap/>
          </w:tcPr>
          <w:p w14:paraId="0401B7B2" w14:textId="7903F92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0,0</w:t>
            </w:r>
          </w:p>
        </w:tc>
      </w:tr>
      <w:tr w:rsidR="00925CF9" w:rsidRPr="00431BC4" w14:paraId="5A3DEC21" w14:textId="77777777" w:rsidTr="00300AE5">
        <w:trPr>
          <w:trHeight w:val="290"/>
        </w:trPr>
        <w:tc>
          <w:tcPr>
            <w:tcW w:w="2410" w:type="dxa"/>
            <w:noWrap/>
          </w:tcPr>
          <w:p w14:paraId="51822CFA" w14:textId="0A4FFFFD" w:rsidR="00925CF9" w:rsidRPr="00925CF9" w:rsidRDefault="00925CF9" w:rsidP="002329B2">
            <w:pPr>
              <w:spacing w:after="0" w:line="240" w:lineRule="auto"/>
              <w:rPr>
                <w:rFonts w:ascii="Garamond" w:hAnsi="Garamond" w:cs="Calibri"/>
                <w:color w:val="000000"/>
                <w:sz w:val="20"/>
                <w:szCs w:val="20"/>
              </w:rPr>
            </w:pPr>
            <w:r w:rsidRPr="00925CF9">
              <w:rPr>
                <w:rFonts w:ascii="Garamond" w:hAnsi="Garamond" w:cs="Calibri"/>
                <w:color w:val="000000"/>
                <w:sz w:val="20"/>
                <w:szCs w:val="20"/>
              </w:rPr>
              <w:t>Breman</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2D2955">
              <w:rPr>
                <w:rFonts w:ascii="Garamond" w:hAnsi="Garamond" w:cs="Calibri"/>
                <w:color w:val="000000"/>
                <w:sz w:val="20"/>
                <w:szCs w:val="20"/>
              </w:rPr>
              <w:t>.</w:t>
            </w:r>
            <w:r w:rsidR="00D52BE1">
              <w:rPr>
                <w:rFonts w:ascii="Garamond" w:hAnsi="Garamond" w:cs="Calibri"/>
                <w:color w:val="000000"/>
                <w:sz w:val="20"/>
                <w:szCs w:val="20"/>
              </w:rPr>
              <w:t xml:space="preserve"> </w:t>
            </w:r>
            <w:r w:rsidR="00D52BE1">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{"citationID":"4M0gYLof","properties":{"formattedCitation":"[1]","plainCitation":"[1]","noteIndex":0},"citationItems":[{"id":3843,"uris":["http://zotero.org/users/1791235/items/WJLXLDJ4"],"itemData":{"id":3843,"type":"article-journal","abstract":"Increasing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D52BE1">
              <w:rPr>
                <w:rFonts w:ascii="Garamond" w:hAnsi="Garamond" w:cs="Calibri"/>
                <w:color w:val="000000"/>
                <w:sz w:val="20"/>
                <w:szCs w:val="20"/>
              </w:rPr>
              <w:fldChar w:fldCharType="separate"/>
            </w:r>
            <w:r w:rsidR="002329B2" w:rsidRPr="002329B2">
              <w:rPr>
                <w:rFonts w:ascii="Garamond" w:hAnsi="Garamond"/>
                <w:sz w:val="20"/>
              </w:rPr>
              <w:t>[1]</w:t>
            </w:r>
            <w:r w:rsidR="00D52BE1">
              <w:rPr>
                <w:rFonts w:ascii="Garamond" w:hAnsi="Garamond" w:cs="Calibri"/>
                <w:color w:val="000000"/>
                <w:sz w:val="20"/>
                <w:szCs w:val="20"/>
              </w:rPr>
              <w:fldChar w:fldCharType="end"/>
            </w:r>
          </w:p>
        </w:tc>
        <w:tc>
          <w:tcPr>
            <w:tcW w:w="773" w:type="dxa"/>
            <w:noWrap/>
          </w:tcPr>
          <w:p w14:paraId="0A045787" w14:textId="662508FD"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1971</w:t>
            </w:r>
          </w:p>
        </w:tc>
        <w:tc>
          <w:tcPr>
            <w:tcW w:w="2204" w:type="dxa"/>
            <w:noWrap/>
          </w:tcPr>
          <w:p w14:paraId="639E8E50" w14:textId="35D6AF1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Nigeria</w:t>
            </w:r>
          </w:p>
        </w:tc>
        <w:tc>
          <w:tcPr>
            <w:tcW w:w="1082" w:type="dxa"/>
            <w:noWrap/>
          </w:tcPr>
          <w:p w14:paraId="54C67CB6" w14:textId="0809109B"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5DAB304D" w14:textId="5ECEC3B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0B68E02E" w14:textId="3D36AF7A"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516CEEE5" w14:textId="75F6A20D"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5B15AB25" w14:textId="11B3B88C"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L</w:t>
            </w:r>
          </w:p>
        </w:tc>
        <w:tc>
          <w:tcPr>
            <w:tcW w:w="1077" w:type="dxa"/>
            <w:noWrap/>
          </w:tcPr>
          <w:p w14:paraId="6953901E" w14:textId="36BB9506"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2</w:t>
            </w:r>
          </w:p>
        </w:tc>
        <w:tc>
          <w:tcPr>
            <w:tcW w:w="1130" w:type="dxa"/>
            <w:noWrap/>
          </w:tcPr>
          <w:p w14:paraId="45CCBB65" w14:textId="5550C991"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0,0</w:t>
            </w:r>
          </w:p>
        </w:tc>
      </w:tr>
      <w:tr w:rsidR="00925CF9" w:rsidRPr="00431BC4" w14:paraId="3208A3C0" w14:textId="77777777" w:rsidTr="00300AE5">
        <w:trPr>
          <w:trHeight w:val="290"/>
        </w:trPr>
        <w:tc>
          <w:tcPr>
            <w:tcW w:w="2410" w:type="dxa"/>
            <w:noWrap/>
          </w:tcPr>
          <w:p w14:paraId="23502C7F" w14:textId="23E9D1F4" w:rsidR="00925CF9" w:rsidRPr="00925CF9" w:rsidRDefault="00925CF9" w:rsidP="002329B2">
            <w:pPr>
              <w:spacing w:after="0" w:line="240" w:lineRule="auto"/>
              <w:rPr>
                <w:rFonts w:ascii="Garamond" w:hAnsi="Garamond" w:cs="Calibri"/>
                <w:color w:val="000000"/>
                <w:sz w:val="20"/>
                <w:szCs w:val="20"/>
              </w:rPr>
            </w:pPr>
            <w:r w:rsidRPr="00925CF9">
              <w:rPr>
                <w:rFonts w:ascii="Garamond" w:hAnsi="Garamond" w:cs="Calibri"/>
                <w:color w:val="000000"/>
                <w:sz w:val="20"/>
                <w:szCs w:val="20"/>
              </w:rPr>
              <w:t>Breman</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D52BE1">
              <w:rPr>
                <w:rFonts w:ascii="Garamond" w:hAnsi="Garamond" w:cs="Calibri"/>
                <w:color w:val="000000"/>
                <w:sz w:val="20"/>
                <w:szCs w:val="20"/>
              </w:rPr>
              <w:t xml:space="preserve"> </w:t>
            </w:r>
            <w:r w:rsidR="00D52BE1">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{"citationID":"uBpfQ3ZZ","properties":{"formattedCitation":"[1]","plainCitation":"[1]","noteIndex":0},"citationItems":[{"id":3843,"uris":["http://zotero.org/users/1791235/items/WJLXLDJ4"],"itemData":{"id":3843,"type":"article-journal","abstract":"Increasing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D52BE1">
              <w:rPr>
                <w:rFonts w:ascii="Garamond" w:hAnsi="Garamond" w:cs="Calibri"/>
                <w:color w:val="000000"/>
                <w:sz w:val="20"/>
                <w:szCs w:val="20"/>
              </w:rPr>
              <w:fldChar w:fldCharType="separate"/>
            </w:r>
            <w:r w:rsidR="002329B2" w:rsidRPr="002329B2">
              <w:rPr>
                <w:rFonts w:ascii="Garamond" w:hAnsi="Garamond"/>
                <w:sz w:val="20"/>
              </w:rPr>
              <w:t>[1]</w:t>
            </w:r>
            <w:r w:rsidR="00D52BE1">
              <w:rPr>
                <w:rFonts w:ascii="Garamond" w:hAnsi="Garamond" w:cs="Calibri"/>
                <w:color w:val="000000"/>
                <w:sz w:val="20"/>
                <w:szCs w:val="20"/>
              </w:rPr>
              <w:fldChar w:fldCharType="end"/>
            </w:r>
          </w:p>
        </w:tc>
        <w:tc>
          <w:tcPr>
            <w:tcW w:w="773" w:type="dxa"/>
            <w:noWrap/>
          </w:tcPr>
          <w:p w14:paraId="55C7C2DA" w14:textId="30197306"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1979</w:t>
            </w:r>
          </w:p>
        </w:tc>
        <w:tc>
          <w:tcPr>
            <w:tcW w:w="2204" w:type="dxa"/>
            <w:noWrap/>
          </w:tcPr>
          <w:p w14:paraId="6B8B004E" w14:textId="5B5E793B"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Democratic Republic of Congo</w:t>
            </w:r>
          </w:p>
        </w:tc>
        <w:tc>
          <w:tcPr>
            <w:tcW w:w="1082" w:type="dxa"/>
            <w:noWrap/>
          </w:tcPr>
          <w:p w14:paraId="4E97ABBE" w14:textId="525DB44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2BA47828" w14:textId="6FDA24EA"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5FA27218" w14:textId="1EC7216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75FFDB35" w14:textId="5858C0E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73896DF2" w14:textId="5FEC89D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L</w:t>
            </w:r>
          </w:p>
        </w:tc>
        <w:tc>
          <w:tcPr>
            <w:tcW w:w="1077" w:type="dxa"/>
            <w:noWrap/>
          </w:tcPr>
          <w:p w14:paraId="7A4BDA1E" w14:textId="10712B51"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38</w:t>
            </w:r>
          </w:p>
        </w:tc>
        <w:tc>
          <w:tcPr>
            <w:tcW w:w="1130" w:type="dxa"/>
            <w:noWrap/>
          </w:tcPr>
          <w:p w14:paraId="4AFB9ED1" w14:textId="609781F7"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21,1</w:t>
            </w:r>
          </w:p>
        </w:tc>
      </w:tr>
      <w:tr w:rsidR="00925CF9" w:rsidRPr="00431BC4" w14:paraId="71EDE483" w14:textId="77777777" w:rsidTr="00300AE5">
        <w:trPr>
          <w:trHeight w:val="290"/>
        </w:trPr>
        <w:tc>
          <w:tcPr>
            <w:tcW w:w="2410" w:type="dxa"/>
            <w:noWrap/>
          </w:tcPr>
          <w:p w14:paraId="08F2D266" w14:textId="23EA9FB0"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Arita</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D52BE1">
              <w:rPr>
                <w:rFonts w:ascii="Garamond" w:hAnsi="Garamond" w:cs="Calibri"/>
                <w:color w:val="000000"/>
                <w:sz w:val="20"/>
                <w:szCs w:val="20"/>
              </w:rPr>
              <w:t xml:space="preserve"> </w:t>
            </w:r>
            <w:r w:rsidR="00D52BE1">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{"citationID":"a17fhv266l6","properties":{"formattedCitation":"[2]","plainCitation":"[2]","noteIndex":0},"citationItems":[{"id":4490,"uris":["http://zotero.org/users/1791235/items/XFE6XBUB"],"itemData":{"id":4490,"type":"article-journal","container-title":"The American journal of tropical medicine and hygiene","issue":"4","page":"781–789","source":"Google Scholar","title":"Human monkeypox: a newly emerged orthopoxvirus zoonosis in the tropical rain forests of Africa.","title-short":"Human monkeypox","volume":"34","author":[{"family":"Arita","given":"I."},{"family":"Jezek","given":"Z."},{"family":"Khodakevich","given":"L."},{"family":"Ruti","given":"Kalisa"}],"issued":{"date-parts":[["1985"]]}}}],"schema":"https://github.com/citation-style-language/schema/raw/master/csl-citation.json"} </w:instrText>
            </w:r>
            <w:r w:rsidR="00D52BE1">
              <w:rPr>
                <w:rFonts w:ascii="Garamond" w:hAnsi="Garamond" w:cs="Calibri"/>
                <w:color w:val="000000"/>
                <w:sz w:val="20"/>
                <w:szCs w:val="20"/>
              </w:rPr>
              <w:fldChar w:fldCharType="separate"/>
            </w:r>
            <w:r w:rsidR="002329B2" w:rsidRPr="002329B2">
              <w:rPr>
                <w:rFonts w:ascii="Garamond" w:hAnsi="Garamond" w:cs="Times New Roman"/>
                <w:kern w:val="0"/>
                <w:sz w:val="20"/>
              </w:rPr>
              <w:t>[2]</w:t>
            </w:r>
            <w:r w:rsidR="00D52BE1">
              <w:rPr>
                <w:rFonts w:ascii="Garamond" w:hAnsi="Garamond" w:cs="Calibri"/>
                <w:color w:val="000000"/>
                <w:sz w:val="20"/>
                <w:szCs w:val="20"/>
              </w:rPr>
              <w:fldChar w:fldCharType="end"/>
            </w:r>
          </w:p>
        </w:tc>
        <w:tc>
          <w:tcPr>
            <w:tcW w:w="773" w:type="dxa"/>
            <w:noWrap/>
          </w:tcPr>
          <w:p w14:paraId="667E4C39" w14:textId="536D42A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1983</w:t>
            </w:r>
          </w:p>
        </w:tc>
        <w:tc>
          <w:tcPr>
            <w:tcW w:w="2204" w:type="dxa"/>
            <w:noWrap/>
          </w:tcPr>
          <w:p w14:paraId="163F1741" w14:textId="21A271C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Multinational</w:t>
            </w:r>
          </w:p>
        </w:tc>
        <w:tc>
          <w:tcPr>
            <w:tcW w:w="1082" w:type="dxa"/>
            <w:noWrap/>
          </w:tcPr>
          <w:p w14:paraId="0D6BC559" w14:textId="6FF2F3B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7A7EABAA" w14:textId="567BD3CC"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688C8BC5" w14:textId="677914B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72DAFDDF" w14:textId="2B1DC2D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564A5723" w14:textId="2FC8C20B"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L</w:t>
            </w:r>
          </w:p>
        </w:tc>
        <w:tc>
          <w:tcPr>
            <w:tcW w:w="1077" w:type="dxa"/>
            <w:noWrap/>
          </w:tcPr>
          <w:p w14:paraId="7CFDAEC1" w14:textId="43C8F736"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155</w:t>
            </w:r>
          </w:p>
        </w:tc>
        <w:tc>
          <w:tcPr>
            <w:tcW w:w="1130" w:type="dxa"/>
            <w:noWrap/>
          </w:tcPr>
          <w:p w14:paraId="2B262889" w14:textId="0FC0BCF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11,0</w:t>
            </w:r>
          </w:p>
        </w:tc>
      </w:tr>
      <w:tr w:rsidR="00925CF9" w:rsidRPr="00431BC4" w14:paraId="6B279A36" w14:textId="77777777" w:rsidTr="00300AE5">
        <w:trPr>
          <w:trHeight w:val="290"/>
        </w:trPr>
        <w:tc>
          <w:tcPr>
            <w:tcW w:w="2410" w:type="dxa"/>
            <w:noWrap/>
          </w:tcPr>
          <w:p w14:paraId="38E03CA2" w14:textId="5CA15D1A"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Durski</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D52BE1" w:rsidRPr="006B75EC">
              <w:rPr>
                <w:rFonts w:ascii="Garamond" w:hAnsi="Garamond" w:cs="Calibri"/>
                <w:i/>
                <w:iCs/>
                <w:color w:val="000000"/>
                <w:sz w:val="20"/>
                <w:szCs w:val="20"/>
              </w:rPr>
              <w:t xml:space="preserve"> </w:t>
            </w:r>
            <w:r w:rsidR="00D52BE1">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{"citationID":"a4errcq7n9","properties":{"formattedCitation":"[3]","plainCitation":"[3]","noteIndex":0},"citationItems":[{"id":4430,"uris":["http://zotero.org/users/1791235/items/IRD42T88"],"itemData":{"id":4430,"type":"article-journal","abstract":"The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00D52BE1">
              <w:rPr>
                <w:rFonts w:ascii="Garamond" w:hAnsi="Garamond" w:cs="Calibri"/>
                <w:color w:val="000000"/>
                <w:sz w:val="20"/>
                <w:szCs w:val="20"/>
              </w:rPr>
              <w:fldChar w:fldCharType="separate"/>
            </w:r>
            <w:r w:rsidR="002329B2" w:rsidRPr="002329B2">
              <w:rPr>
                <w:rFonts w:ascii="Garamond" w:hAnsi="Garamond" w:cs="Times New Roman"/>
                <w:kern w:val="0"/>
                <w:sz w:val="20"/>
              </w:rPr>
              <w:t>[3]</w:t>
            </w:r>
            <w:r w:rsidR="00D52BE1">
              <w:rPr>
                <w:rFonts w:ascii="Garamond" w:hAnsi="Garamond" w:cs="Calibri"/>
                <w:color w:val="000000"/>
                <w:sz w:val="20"/>
                <w:szCs w:val="20"/>
              </w:rPr>
              <w:fldChar w:fldCharType="end"/>
            </w:r>
          </w:p>
        </w:tc>
        <w:tc>
          <w:tcPr>
            <w:tcW w:w="773" w:type="dxa"/>
            <w:noWrap/>
          </w:tcPr>
          <w:p w14:paraId="0D82E44D" w14:textId="2C3C55A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1984</w:t>
            </w:r>
          </w:p>
        </w:tc>
        <w:tc>
          <w:tcPr>
            <w:tcW w:w="2204" w:type="dxa"/>
            <w:noWrap/>
          </w:tcPr>
          <w:p w14:paraId="717D2274" w14:textId="21AFEE9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Central African Republic</w:t>
            </w:r>
          </w:p>
        </w:tc>
        <w:tc>
          <w:tcPr>
            <w:tcW w:w="1082" w:type="dxa"/>
            <w:noWrap/>
          </w:tcPr>
          <w:p w14:paraId="689FBD17" w14:textId="7560224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53260C6C" w14:textId="040F72A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75B768BE" w14:textId="5FAD61EE"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183A353D" w14:textId="1992C05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0C193483" w14:textId="2DE91A5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M</w:t>
            </w:r>
          </w:p>
        </w:tc>
        <w:tc>
          <w:tcPr>
            <w:tcW w:w="1077" w:type="dxa"/>
            <w:noWrap/>
          </w:tcPr>
          <w:p w14:paraId="3E0046C7" w14:textId="62A3CAC0"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6</w:t>
            </w:r>
          </w:p>
        </w:tc>
        <w:tc>
          <w:tcPr>
            <w:tcW w:w="1130" w:type="dxa"/>
            <w:noWrap/>
          </w:tcPr>
          <w:p w14:paraId="2BA81B2F" w14:textId="40A61778"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0,0</w:t>
            </w:r>
          </w:p>
        </w:tc>
      </w:tr>
      <w:tr w:rsidR="00925CF9" w:rsidRPr="00431BC4" w14:paraId="7C869B88" w14:textId="77777777" w:rsidTr="00300AE5">
        <w:trPr>
          <w:trHeight w:val="290"/>
        </w:trPr>
        <w:tc>
          <w:tcPr>
            <w:tcW w:w="2410" w:type="dxa"/>
            <w:noWrap/>
          </w:tcPr>
          <w:p w14:paraId="23AA474F" w14:textId="6520EA0E"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Jezek</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D52BE1">
              <w:rPr>
                <w:rFonts w:ascii="Garamond" w:hAnsi="Garamond" w:cs="Calibri"/>
                <w:color w:val="000000"/>
                <w:sz w:val="20"/>
                <w:szCs w:val="20"/>
              </w:rPr>
              <w:t xml:space="preserve"> </w:t>
            </w:r>
            <w:r w:rsidR="00D52BE1">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{"citationID":"alg133c931","properties":{"formattedCitation":"[4]","plainCitation":"[4]","noteIndex":0},"citationItems":[{"id":3584,"uris":["http://zotero.org/users/1791235/items/S59Z6XAW"],"itemData":{"id":3584,"type":"article-journal","container-title":"Journal of Infectious Diseases","DOI":"10.1093/infdis/154.4.551","ISSN":"0022-1899, 1537-6613","issue":"4","journalAbbreviation":"Journal of Infectious Diseases","language":"en","page":"551-5","source":"DOI.org (Crossref)","title":"Human Monkeypox: A Study of 2,510 Contacts of 214 Patients","title-short":"Human Monkeypox","volume":"154","author":[{"family":"Jezek","given":"Z."},{"family":"Marennikova","given":"S. S."},{"family":"Mutumbo","given":"M."},{"family":"Nakano","given":"J. H."},{"family":"Paluku","given":"K. M."},{"family":"Szczeniowski","given":"M."}],"issued":{"date-parts":[["1986"]]}}}],"schema":"https://github.com/citation-style-language/schema/raw/master/csl-citation.json"} </w:instrText>
            </w:r>
            <w:r w:rsidR="00D52BE1">
              <w:rPr>
                <w:rFonts w:ascii="Garamond" w:hAnsi="Garamond" w:cs="Calibri"/>
                <w:color w:val="000000"/>
                <w:sz w:val="20"/>
                <w:szCs w:val="20"/>
              </w:rPr>
              <w:fldChar w:fldCharType="separate"/>
            </w:r>
            <w:r w:rsidR="002329B2" w:rsidRPr="002329B2">
              <w:rPr>
                <w:rFonts w:ascii="Garamond" w:hAnsi="Garamond" w:cs="Times New Roman"/>
                <w:kern w:val="0"/>
                <w:sz w:val="20"/>
              </w:rPr>
              <w:t>[4]</w:t>
            </w:r>
            <w:r w:rsidR="00D52BE1">
              <w:rPr>
                <w:rFonts w:ascii="Garamond" w:hAnsi="Garamond" w:cs="Calibri"/>
                <w:color w:val="000000"/>
                <w:sz w:val="20"/>
                <w:szCs w:val="20"/>
              </w:rPr>
              <w:fldChar w:fldCharType="end"/>
            </w:r>
          </w:p>
        </w:tc>
        <w:tc>
          <w:tcPr>
            <w:tcW w:w="773" w:type="dxa"/>
            <w:noWrap/>
          </w:tcPr>
          <w:p w14:paraId="567E570C" w14:textId="12520F82"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1985</w:t>
            </w:r>
          </w:p>
        </w:tc>
        <w:tc>
          <w:tcPr>
            <w:tcW w:w="2204" w:type="dxa"/>
            <w:noWrap/>
          </w:tcPr>
          <w:p w14:paraId="47DE4DC9" w14:textId="7129B6C1"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Democratic Republic of Congo</w:t>
            </w:r>
          </w:p>
        </w:tc>
        <w:tc>
          <w:tcPr>
            <w:tcW w:w="1082" w:type="dxa"/>
            <w:noWrap/>
          </w:tcPr>
          <w:p w14:paraId="365AFD79" w14:textId="685503B8"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5BBAE28C" w14:textId="207CA28E"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2B91FBAA" w14:textId="6874ECF6"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1A706454" w14:textId="68B38F3A"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64C5AD80" w14:textId="4B8A998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L</w:t>
            </w:r>
          </w:p>
        </w:tc>
        <w:tc>
          <w:tcPr>
            <w:tcW w:w="1077" w:type="dxa"/>
            <w:noWrap/>
          </w:tcPr>
          <w:p w14:paraId="0E9DF02E" w14:textId="1F31D59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282</w:t>
            </w:r>
          </w:p>
        </w:tc>
        <w:tc>
          <w:tcPr>
            <w:tcW w:w="1130" w:type="dxa"/>
            <w:noWrap/>
          </w:tcPr>
          <w:p w14:paraId="5C13BEAB" w14:textId="55DC0F78"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9,6</w:t>
            </w:r>
          </w:p>
        </w:tc>
      </w:tr>
      <w:tr w:rsidR="00925CF9" w:rsidRPr="00431BC4" w14:paraId="61C11183" w14:textId="77777777" w:rsidTr="00300AE5">
        <w:trPr>
          <w:trHeight w:val="290"/>
        </w:trPr>
        <w:tc>
          <w:tcPr>
            <w:tcW w:w="2410" w:type="dxa"/>
            <w:noWrap/>
          </w:tcPr>
          <w:p w14:paraId="0A5D8CD3" w14:textId="3E8309DD"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Jezek</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D52BE1">
              <w:rPr>
                <w:rFonts w:ascii="Garamond" w:hAnsi="Garamond" w:cs="Calibri"/>
                <w:color w:val="000000"/>
                <w:sz w:val="20"/>
                <w:szCs w:val="20"/>
              </w:rPr>
              <w:t xml:space="preserve"> </w:t>
            </w:r>
            <w:r w:rsidR="00D52BE1">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{"citationID":"a1btsvfmki6","properties":{"formattedCitation":"[4]","plainCitation":"[4]","noteIndex":0},"citationItems":[{"id":3584,"uris":["http://zotero.org/users/1791235/items/S59Z6XAW"],"itemData":{"id":3584,"type":"article-journal","container-title":"Journal of Infectious Diseases","DOI":"10.1093/infdis/154.4.551","ISSN":"0022-1899, 1537-6613","issue":"4","journalAbbreviation":"Journal of Infectious Diseases","language":"en","page":"551-5","source":"DOI.org (Crossref)","title":"Human Monkeypox: A Study of 2,510 Contacts of 214 Patients","title-short":"Human Monkeypox","volume":"154","author":[{"family":"Jezek","given":"Z."},{"family":"Marennikova","given":"S. S."},{"family":"Mutumbo","given":"M."},{"family":"Nakano","given":"J. H."},{"family":"Paluku","given":"K. M."},{"family":"Szczeniowski","given":"M."}],"issued":{"date-parts":[["1986"]]}}}],"schema":"https://github.com/citation-style-language/schema/raw/master/csl-citation.json"} </w:instrText>
            </w:r>
            <w:r w:rsidR="00D52BE1">
              <w:rPr>
                <w:rFonts w:ascii="Garamond" w:hAnsi="Garamond" w:cs="Calibri"/>
                <w:color w:val="000000"/>
                <w:sz w:val="20"/>
                <w:szCs w:val="20"/>
              </w:rPr>
              <w:fldChar w:fldCharType="separate"/>
            </w:r>
            <w:r w:rsidR="002329B2" w:rsidRPr="002329B2">
              <w:rPr>
                <w:rFonts w:ascii="Garamond" w:hAnsi="Garamond" w:cs="Times New Roman"/>
                <w:kern w:val="0"/>
                <w:sz w:val="20"/>
              </w:rPr>
              <w:t>[4]</w:t>
            </w:r>
            <w:r w:rsidR="00D52BE1">
              <w:rPr>
                <w:rFonts w:ascii="Garamond" w:hAnsi="Garamond" w:cs="Calibri"/>
                <w:color w:val="000000"/>
                <w:sz w:val="20"/>
                <w:szCs w:val="20"/>
              </w:rPr>
              <w:fldChar w:fldCharType="end"/>
            </w:r>
          </w:p>
        </w:tc>
        <w:tc>
          <w:tcPr>
            <w:tcW w:w="773" w:type="dxa"/>
            <w:noWrap/>
          </w:tcPr>
          <w:p w14:paraId="41F0315A" w14:textId="1C844815"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1986</w:t>
            </w:r>
          </w:p>
        </w:tc>
        <w:tc>
          <w:tcPr>
            <w:tcW w:w="2204" w:type="dxa"/>
            <w:noWrap/>
          </w:tcPr>
          <w:p w14:paraId="36A2141A" w14:textId="19CE1231"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Democratic Republic of Congo</w:t>
            </w:r>
          </w:p>
        </w:tc>
        <w:tc>
          <w:tcPr>
            <w:tcW w:w="1082" w:type="dxa"/>
            <w:noWrap/>
          </w:tcPr>
          <w:p w14:paraId="02E9EB16" w14:textId="119C9CF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62EC62F6" w14:textId="403FA925"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219D6B83" w14:textId="6548C75B"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2F323989" w14:textId="3414E2D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34D61868" w14:textId="205065AC"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L</w:t>
            </w:r>
          </w:p>
        </w:tc>
        <w:tc>
          <w:tcPr>
            <w:tcW w:w="1077" w:type="dxa"/>
            <w:noWrap/>
          </w:tcPr>
          <w:p w14:paraId="14732D3E" w14:textId="4759371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276</w:t>
            </w:r>
          </w:p>
        </w:tc>
        <w:tc>
          <w:tcPr>
            <w:tcW w:w="1130" w:type="dxa"/>
            <w:noWrap/>
          </w:tcPr>
          <w:p w14:paraId="219B66BC" w14:textId="44A39C17"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2,2</w:t>
            </w:r>
          </w:p>
        </w:tc>
      </w:tr>
      <w:tr w:rsidR="00925CF9" w:rsidRPr="00431BC4" w14:paraId="17338812" w14:textId="77777777" w:rsidTr="00300AE5">
        <w:trPr>
          <w:trHeight w:val="290"/>
        </w:trPr>
        <w:tc>
          <w:tcPr>
            <w:tcW w:w="2410" w:type="dxa"/>
            <w:noWrap/>
          </w:tcPr>
          <w:p w14:paraId="6ED5CB01" w14:textId="636F9ED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Durski</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2D2955">
              <w:rPr>
                <w:rFonts w:ascii="Garamond" w:hAnsi="Garamond" w:cs="Calibri"/>
                <w:color w:val="000000"/>
                <w:sz w:val="20"/>
                <w:szCs w:val="20"/>
              </w:rPr>
              <w:t>.</w:t>
            </w:r>
            <w:r w:rsidR="002329B2">
              <w:rPr>
                <w:rFonts w:ascii="Garamond" w:hAnsi="Garamond" w:cs="Calibri"/>
                <w:color w:val="000000"/>
                <w:sz w:val="20"/>
                <w:szCs w:val="20"/>
              </w:rPr>
              <w:t xml:space="preserve"> </w:t>
            </w:r>
            <w:r w:rsidR="002329B2">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{"citationID":"4vuzYHTc","properties":{"formattedCitation":"[3]","plainCitation":"[3]","noteIndex":0},"citationItems":[{"id":4430,"uris":["http://zotero.org/users/1791235/items/IRD42T88"],"itemData":{"id":4430,"type":"article-journal","abstract":"The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002329B2">
              <w:rPr>
                <w:rFonts w:ascii="Garamond" w:hAnsi="Garamond" w:cs="Calibri"/>
                <w:color w:val="000000"/>
                <w:sz w:val="20"/>
                <w:szCs w:val="20"/>
              </w:rPr>
              <w:fldChar w:fldCharType="separate"/>
            </w:r>
            <w:r w:rsidR="002329B2" w:rsidRPr="002329B2">
              <w:rPr>
                <w:rFonts w:ascii="Garamond" w:hAnsi="Garamond" w:cs="Times New Roman"/>
                <w:kern w:val="0"/>
                <w:sz w:val="20"/>
              </w:rPr>
              <w:t>[3]</w:t>
            </w:r>
            <w:r w:rsidR="002329B2">
              <w:rPr>
                <w:rFonts w:ascii="Garamond" w:hAnsi="Garamond" w:cs="Calibri"/>
                <w:color w:val="000000"/>
                <w:sz w:val="20"/>
                <w:szCs w:val="20"/>
              </w:rPr>
              <w:fldChar w:fldCharType="end"/>
            </w:r>
          </w:p>
        </w:tc>
        <w:tc>
          <w:tcPr>
            <w:tcW w:w="773" w:type="dxa"/>
            <w:noWrap/>
          </w:tcPr>
          <w:p w14:paraId="1AD9C56D" w14:textId="6B880340"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1987</w:t>
            </w:r>
          </w:p>
        </w:tc>
        <w:tc>
          <w:tcPr>
            <w:tcW w:w="2204" w:type="dxa"/>
            <w:noWrap/>
          </w:tcPr>
          <w:p w14:paraId="2F7794FB" w14:textId="5BF1A54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Gabon</w:t>
            </w:r>
          </w:p>
        </w:tc>
        <w:tc>
          <w:tcPr>
            <w:tcW w:w="1082" w:type="dxa"/>
            <w:noWrap/>
          </w:tcPr>
          <w:p w14:paraId="199B255F" w14:textId="605FB9AA"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Cross-sectional</w:t>
            </w:r>
          </w:p>
        </w:tc>
        <w:tc>
          <w:tcPr>
            <w:tcW w:w="1180" w:type="dxa"/>
            <w:noWrap/>
          </w:tcPr>
          <w:p w14:paraId="6FF56C39" w14:textId="53629329"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Community</w:t>
            </w:r>
          </w:p>
        </w:tc>
        <w:tc>
          <w:tcPr>
            <w:tcW w:w="1424" w:type="dxa"/>
            <w:noWrap/>
          </w:tcPr>
          <w:p w14:paraId="3545C82F" w14:textId="07B47506"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General population</w:t>
            </w:r>
          </w:p>
        </w:tc>
        <w:tc>
          <w:tcPr>
            <w:tcW w:w="1232" w:type="dxa"/>
            <w:noWrap/>
          </w:tcPr>
          <w:p w14:paraId="511D881E" w14:textId="30FA1496"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Non-probabilistic</w:t>
            </w:r>
          </w:p>
        </w:tc>
        <w:tc>
          <w:tcPr>
            <w:tcW w:w="882" w:type="dxa"/>
            <w:noWrap/>
          </w:tcPr>
          <w:p w14:paraId="74FBC6F4" w14:textId="04F49B2F"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M</w:t>
            </w:r>
          </w:p>
        </w:tc>
        <w:tc>
          <w:tcPr>
            <w:tcW w:w="1077" w:type="dxa"/>
            <w:noWrap/>
          </w:tcPr>
          <w:p w14:paraId="7A0C7998" w14:textId="36F201A3"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9</w:t>
            </w:r>
          </w:p>
        </w:tc>
        <w:tc>
          <w:tcPr>
            <w:tcW w:w="1130" w:type="dxa"/>
            <w:noWrap/>
          </w:tcPr>
          <w:p w14:paraId="4BA1BF45" w14:textId="7D35A074" w:rsidR="00925CF9" w:rsidRPr="00925CF9" w:rsidRDefault="00925CF9" w:rsidP="00925CF9">
            <w:pPr>
              <w:spacing w:after="0" w:line="240" w:lineRule="auto"/>
              <w:rPr>
                <w:rFonts w:ascii="Garamond" w:hAnsi="Garamond" w:cs="Calibri"/>
                <w:color w:val="000000"/>
                <w:sz w:val="20"/>
                <w:szCs w:val="20"/>
              </w:rPr>
            </w:pPr>
            <w:r w:rsidRPr="00925CF9">
              <w:rPr>
                <w:rFonts w:ascii="Garamond" w:hAnsi="Garamond" w:cs="Calibri"/>
                <w:color w:val="000000"/>
                <w:sz w:val="20"/>
                <w:szCs w:val="20"/>
              </w:rPr>
              <w:t>22,2</w:t>
            </w:r>
          </w:p>
        </w:tc>
      </w:tr>
      <w:tr w:rsidR="00925CF9" w:rsidRPr="002D2955" w14:paraId="0470526F" w14:textId="77777777" w:rsidTr="00300AE5">
        <w:trPr>
          <w:trHeight w:val="290"/>
        </w:trPr>
        <w:tc>
          <w:tcPr>
            <w:tcW w:w="2410" w:type="dxa"/>
            <w:noWrap/>
          </w:tcPr>
          <w:p w14:paraId="3B86363D" w14:textId="5DFE18C8"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Mwamba</w:t>
            </w:r>
            <w:r w:rsidR="002D2955">
              <w:rPr>
                <w:rFonts w:ascii="Garamond" w:hAnsi="Garamond" w:cs="Calibri"/>
                <w:color w:val="000000"/>
                <w:sz w:val="20"/>
                <w:szCs w:val="20"/>
              </w:rPr>
              <w:t xml:space="preserve"> </w:t>
            </w:r>
            <w:r w:rsidR="002D2955" w:rsidRPr="006B75EC">
              <w:rPr>
                <w:rFonts w:ascii="Garamond" w:hAnsi="Garamond" w:cs="Calibri"/>
                <w:i/>
                <w:iCs/>
                <w:color w:val="000000"/>
                <w:sz w:val="20"/>
                <w:szCs w:val="20"/>
              </w:rPr>
              <w:t>et al.</w:t>
            </w:r>
            <w:r w:rsidR="002329B2" w:rsidRPr="006B75EC">
              <w:rPr>
                <w:rFonts w:ascii="Garamond" w:hAnsi="Garamond" w:cs="Calibri"/>
                <w:i/>
                <w:iCs/>
                <w:color w:val="000000"/>
                <w:sz w:val="20"/>
                <w:szCs w:val="20"/>
              </w:rPr>
              <w:t xml:space="preserve"> </w:t>
            </w:r>
            <w:r w:rsidR="002329B2">
              <w:rPr>
                <w:rFonts w:ascii="Garamond" w:hAnsi="Garamond" w:cs="Calibri"/>
                <w:color w:val="000000"/>
                <w:sz w:val="20"/>
                <w:szCs w:val="20"/>
              </w:rPr>
              <w:fldChar w:fldCharType="begin"/>
            </w:r>
            <w:r w:rsidR="002329B2">
              <w:rPr>
                <w:rFonts w:ascii="Garamond" w:hAnsi="Garamond" w:cs="Calibri"/>
                <w:color w:val="000000"/>
                <w:sz w:val="20"/>
                <w:szCs w:val="20"/>
              </w:rPr>
              <w:instrText xml:space="preserve"> ADDIN ZOTERO_ITEM CSL_CITATION {"citationID":"aa28a6nsj0","properties":{"formattedCitation":"[5]","plainCitation":"[5]","noteIndex":0},"citationItems":[{"id":3538,"uris":["http://zotero.org/users/1791235/items/UX998NTP"],"itemData":{"id":3538,"type":"article-journal","abstract":"Monkeypox is an orthopoxvirus with enzootic circulation in the rainforests of central and western Africa; the virus can be transmitted to humans and cause a syndrome clinically similar to smallpox (e.g., pustular rash, fever, respiratory symptoms, and in","container-title":"Eurosurveillance","DOI":"10.2807/esm.02.05.00161-en","ISSN":"1560-7917","issue":"5","language":"en","note":"publisher: European Centre for Disease Prevention and Control","page":"33-5","source":"www.eurosurveillance.org","title":"Human monkeypox in Kasaï Oriental, Zaire (1996-1997)","volume":"2","author":[{"family":"Mwanba","given":"P. T."},{"family":"Tshioko","given":"K. F."},{"family":"Moudi","given":"A."},{"family":"Mukinda","given":"V."},{"family":"Mwema","given":"G. N."},{"family":"Messinger","given":"D."},{"family":"Okito","given":"L."},{"family":"Barakymfyte","given":"D."},{"family":"Malfait","given":"P."},{"family":"Pebody","given":"R."},{"family":"Szczeniowski","given":"M."},{"family":"Esteves","given":"K."},{"family":"Heymann","given":"D."},{"family":"Hutin","given":"Y."},{"family":"Williams","given":"R. J."},{"family":"Khan","given":"A. S."},{"family":"Esposito","given":"J. J."}],"issued":{"date-parts":[["1997"]]}}}],"schema":"https://github.com/citation-style-language/schema/raw/master/csl-citation.json"} </w:instrText>
            </w:r>
            <w:r w:rsidR="002329B2">
              <w:rPr>
                <w:rFonts w:ascii="Garamond" w:hAnsi="Garamond" w:cs="Calibri"/>
                <w:color w:val="000000"/>
                <w:sz w:val="20"/>
                <w:szCs w:val="20"/>
              </w:rPr>
              <w:fldChar w:fldCharType="separate"/>
            </w:r>
            <w:r w:rsidR="002329B2" w:rsidRPr="002329B2">
              <w:rPr>
                <w:rFonts w:ascii="Garamond" w:hAnsi="Garamond" w:cs="Times New Roman"/>
                <w:kern w:val="0"/>
                <w:sz w:val="20"/>
              </w:rPr>
              <w:t>[5]</w:t>
            </w:r>
            <w:r w:rsidR="002329B2">
              <w:rPr>
                <w:rFonts w:ascii="Garamond" w:hAnsi="Garamond" w:cs="Calibri"/>
                <w:color w:val="000000"/>
                <w:sz w:val="20"/>
                <w:szCs w:val="20"/>
              </w:rPr>
              <w:fldChar w:fldCharType="end"/>
            </w:r>
          </w:p>
        </w:tc>
        <w:tc>
          <w:tcPr>
            <w:tcW w:w="773" w:type="dxa"/>
            <w:noWrap/>
          </w:tcPr>
          <w:p w14:paraId="26DB8F0A" w14:textId="3E4ED744"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1997</w:t>
            </w:r>
          </w:p>
        </w:tc>
        <w:tc>
          <w:tcPr>
            <w:tcW w:w="2204" w:type="dxa"/>
            <w:noWrap/>
          </w:tcPr>
          <w:p w14:paraId="500B340B" w14:textId="71A515E1"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Democratic Republic of Congo</w:t>
            </w:r>
          </w:p>
        </w:tc>
        <w:tc>
          <w:tcPr>
            <w:tcW w:w="1082" w:type="dxa"/>
            <w:noWrap/>
          </w:tcPr>
          <w:p w14:paraId="58D879CA" w14:textId="65455232"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Cross-sectional</w:t>
            </w:r>
          </w:p>
        </w:tc>
        <w:tc>
          <w:tcPr>
            <w:tcW w:w="1180" w:type="dxa"/>
            <w:noWrap/>
          </w:tcPr>
          <w:p w14:paraId="03C51487" w14:textId="2F6F32F0"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Community</w:t>
            </w:r>
          </w:p>
        </w:tc>
        <w:tc>
          <w:tcPr>
            <w:tcW w:w="1424" w:type="dxa"/>
            <w:noWrap/>
          </w:tcPr>
          <w:p w14:paraId="3AB11FDD" w14:textId="5801F4CE"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General population</w:t>
            </w:r>
          </w:p>
        </w:tc>
        <w:tc>
          <w:tcPr>
            <w:tcW w:w="1232" w:type="dxa"/>
            <w:noWrap/>
          </w:tcPr>
          <w:p w14:paraId="38202A31" w14:textId="5E1977F3"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Non-probabilistic</w:t>
            </w:r>
          </w:p>
        </w:tc>
        <w:tc>
          <w:tcPr>
            <w:tcW w:w="882" w:type="dxa"/>
            <w:noWrap/>
          </w:tcPr>
          <w:p w14:paraId="44FF6986" w14:textId="121B7B73"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L</w:t>
            </w:r>
          </w:p>
        </w:tc>
        <w:tc>
          <w:tcPr>
            <w:tcW w:w="1077" w:type="dxa"/>
            <w:noWrap/>
          </w:tcPr>
          <w:p w14:paraId="15801DB6" w14:textId="435B99E8"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92</w:t>
            </w:r>
          </w:p>
        </w:tc>
        <w:tc>
          <w:tcPr>
            <w:tcW w:w="1130" w:type="dxa"/>
            <w:noWrap/>
          </w:tcPr>
          <w:p w14:paraId="6F009566" w14:textId="2C2C3CCA" w:rsidR="00925CF9" w:rsidRPr="002D2955" w:rsidRDefault="00925CF9" w:rsidP="00925CF9">
            <w:pPr>
              <w:spacing w:after="0" w:line="240" w:lineRule="auto"/>
              <w:rPr>
                <w:rFonts w:ascii="Garamond" w:hAnsi="Garamond" w:cs="Calibri"/>
                <w:color w:val="000000"/>
                <w:sz w:val="20"/>
                <w:szCs w:val="20"/>
              </w:rPr>
            </w:pPr>
            <w:r w:rsidRPr="002D2955">
              <w:rPr>
                <w:rFonts w:ascii="Garamond" w:hAnsi="Garamond" w:cs="Calibri"/>
                <w:color w:val="000000"/>
                <w:sz w:val="20"/>
                <w:szCs w:val="20"/>
              </w:rPr>
              <w:t>3,3</w:t>
            </w:r>
          </w:p>
        </w:tc>
      </w:tr>
      <w:tr w:rsidR="00925CF9" w:rsidRPr="00431BC4" w14:paraId="0C1F9EC7" w14:textId="77777777" w:rsidTr="008C1796">
        <w:trPr>
          <w:trHeight w:val="290"/>
        </w:trPr>
        <w:tc>
          <w:tcPr>
            <w:tcW w:w="2410" w:type="dxa"/>
            <w:tcBorders>
              <w:top w:val="nil"/>
              <w:left w:val="nil"/>
              <w:bottom w:val="nil"/>
              <w:right w:val="nil"/>
            </w:tcBorders>
            <w:noWrap/>
          </w:tcPr>
          <w:p w14:paraId="0A7FB36F" w14:textId="2B74133C" w:rsidR="00925CF9" w:rsidRPr="00431BC4" w:rsidRDefault="00925CF9" w:rsidP="002329B2">
            <w:pPr>
              <w:spacing w:after="0" w:line="240" w:lineRule="auto"/>
              <w:rPr>
                <w:rFonts w:ascii="Garamond" w:hAnsi="Garamond" w:cs="Calibri"/>
                <w:color w:val="000000"/>
                <w:sz w:val="20"/>
                <w:szCs w:val="20"/>
              </w:rPr>
            </w:pPr>
            <w:r w:rsidRPr="00431BC4">
              <w:rPr>
                <w:rFonts w:ascii="Garamond" w:hAnsi="Garamond" w:cs="Calibri"/>
                <w:color w:val="000000"/>
                <w:sz w:val="20"/>
                <w:szCs w:val="20"/>
              </w:rPr>
              <w:t>Hutin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{"citationID":"1FtlhYym","properties":{"formattedCitation":"[6]","plainCitation":"[6]","noteIndex":0},"citationItems":[{"id":3586,"uris":["http://zotero.org/users/1791235/items/2434MRXM"],"itemData":{"id":3586,"type":"article-journal","container-title":"Emerging Infectious Diseases","DOI":"10.3201/eid0703.010311","ISSN":"1080-6040, 1080-6059","issue":"3","journalAbbreviation":"Emerg. Infect. Dis.","page":"434-8","source":"DOI.org (Crossref)","title":"Outbreak of Human Monkeypox, Democratic Republic of Congo, 1996 to 1997","volume":"7","author":[{"family":"Hutin","given":"Yvan J.F."},{"family":"Williams","given":"R. Joel"},{"family":"Malfait","given":"Philippe"},{"family":"Pebody","given":"Richard"},{"family":"Loparev","given":"Vladamir N."},{"family":"Ropp","given":"Susan L."},{"family":"Rodriguez","given":"Mariangelli"},{"family":"Knight","given":"Janice C"},{"family":"Tshioko","given":"Florimont K."},{"family":"Khan","given":"Ali S"},{"family":"Szczeniowski","given":"Mark V."},{"family":"Esposito","given":"Joseph J."}],"issued":{"date-parts":[["2001"]]}}}],"schema":"https://github.com/citation-style-language/schema/raw/master/csl-citation.json"}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[6]</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60135741" w14:textId="448BD975"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1997</w:t>
            </w:r>
          </w:p>
        </w:tc>
        <w:tc>
          <w:tcPr>
            <w:tcW w:w="2204" w:type="dxa"/>
            <w:tcBorders>
              <w:top w:val="nil"/>
              <w:left w:val="nil"/>
              <w:bottom w:val="nil"/>
              <w:right w:val="nil"/>
            </w:tcBorders>
            <w:noWrap/>
          </w:tcPr>
          <w:p w14:paraId="61073FB7" w14:textId="44222822"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D</w:t>
            </w:r>
            <w:r>
              <w:rPr>
                <w:rFonts w:ascii="Garamond" w:hAnsi="Garamond" w:cs="Calibri"/>
                <w:color w:val="000000"/>
                <w:sz w:val="20"/>
                <w:szCs w:val="20"/>
              </w:rPr>
              <w:t>emocratic Republic of Congo</w:t>
            </w:r>
          </w:p>
        </w:tc>
        <w:tc>
          <w:tcPr>
            <w:tcW w:w="1082" w:type="dxa"/>
            <w:tcBorders>
              <w:top w:val="nil"/>
              <w:left w:val="nil"/>
              <w:bottom w:val="nil"/>
              <w:right w:val="nil"/>
            </w:tcBorders>
            <w:noWrap/>
          </w:tcPr>
          <w:p w14:paraId="6E2426EB" w14:textId="6D6A76E4"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7BF60499" w14:textId="2860012A"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281B4BE8" w14:textId="06197750"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3A3BD388" w14:textId="1A02DD61"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42ED07D" w14:textId="7AF3973E" w:rsidR="00925CF9" w:rsidRDefault="00925CF9" w:rsidP="00925CF9">
            <w:pPr>
              <w:spacing w:after="0" w:line="240" w:lineRule="auto"/>
              <w:rPr>
                <w:rFonts w:ascii="Garamond" w:hAnsi="Garamond" w:cs="Calibri"/>
                <w:color w:val="000000"/>
                <w:sz w:val="20"/>
                <w:szCs w:val="20"/>
              </w:rPr>
            </w:pPr>
            <w:r>
              <w:rPr>
                <w:rFonts w:ascii="Garamond" w:hAnsi="Garamond" w:cs="Calibri"/>
                <w:color w:val="000000"/>
                <w:sz w:val="20"/>
                <w:szCs w:val="20"/>
              </w:rPr>
              <w:t>Low</w:t>
            </w:r>
          </w:p>
        </w:tc>
        <w:tc>
          <w:tcPr>
            <w:tcW w:w="1077" w:type="dxa"/>
            <w:tcBorders>
              <w:top w:val="nil"/>
              <w:left w:val="nil"/>
              <w:bottom w:val="nil"/>
              <w:right w:val="nil"/>
            </w:tcBorders>
            <w:noWrap/>
          </w:tcPr>
          <w:p w14:paraId="33011B36" w14:textId="6DFE30E3"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88</w:t>
            </w:r>
          </w:p>
        </w:tc>
        <w:tc>
          <w:tcPr>
            <w:tcW w:w="1130" w:type="dxa"/>
            <w:tcBorders>
              <w:top w:val="nil"/>
              <w:left w:val="nil"/>
              <w:bottom w:val="nil"/>
              <w:right w:val="nil"/>
            </w:tcBorders>
            <w:noWrap/>
          </w:tcPr>
          <w:p w14:paraId="4C7DAB40" w14:textId="4BA66EF9" w:rsidR="00925CF9" w:rsidRPr="00431BC4" w:rsidRDefault="00925CF9" w:rsidP="00925CF9">
            <w:pPr>
              <w:spacing w:after="0" w:line="240" w:lineRule="auto"/>
              <w:rPr>
                <w:rFonts w:ascii="Garamond" w:hAnsi="Garamond" w:cs="Calibri"/>
                <w:color w:val="000000"/>
                <w:sz w:val="20"/>
                <w:szCs w:val="20"/>
              </w:rPr>
            </w:pPr>
            <w:r w:rsidRPr="00431BC4">
              <w:rPr>
                <w:rFonts w:ascii="Garamond" w:hAnsi="Garamond" w:cs="Calibri"/>
                <w:color w:val="000000"/>
                <w:sz w:val="20"/>
                <w:szCs w:val="20"/>
              </w:rPr>
              <w:t>0.0</w:t>
            </w:r>
          </w:p>
        </w:tc>
      </w:tr>
      <w:tr w:rsidR="00925CF9" w:rsidRPr="00431BC4" w14:paraId="38E4E0D8" w14:textId="77777777" w:rsidTr="008C1796">
        <w:trPr>
          <w:trHeight w:val="290"/>
        </w:trPr>
        <w:tc>
          <w:tcPr>
            <w:tcW w:w="2410" w:type="dxa"/>
            <w:tcBorders>
              <w:top w:val="nil"/>
              <w:left w:val="nil"/>
              <w:bottom w:val="nil"/>
              <w:right w:val="nil"/>
            </w:tcBorders>
            <w:noWrap/>
          </w:tcPr>
          <w:p w14:paraId="41FFD22A" w14:textId="7CE06557"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Aplogan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{"citationID":"FloWhRxB","properties":{"formattedCitation":"[7]","plainCitation":"[7]","noteIndex":0},"citationItems":[{"id":3609,"uris":["http://zotero.org/users/1791235/items/A36M75BK"],"itemData":{"id":3609,"type":"article-journal","abstract":"Human monkeypox is a severe smallpox-like illness caused by monkeypox virus (MPV); monkeypox occurs in sporadic outbreaks, and infection is enzootic among squirrels and monkeys in the rainforests of western and central Africa. In 1996, cases of monkeypox were reported from villages in the Katako-Kombe Health Zone, Kasai Oriental, Zaire (i.e., Democratic Republic of Congo). The World Health Organization (WHO), in collaboration with CDC, investigated this outbreak and identified 92 suspected cases with onset during February 1996-February 1997, and isolated MPV from lesions of active cases. Cases continued to be reported, and a new investigation was initiated by WHO and CDC in October 1997. This report summarizes the results of the field investigation, which indicate that this is the largest human monkeypox outbreak ever recorded.","container-title":"MMWR. Morbidity and mortality weekly report","ISSN":"0149-2195","issue":"49","journalAbbreviation":"MMWR Morb Mortal Wkly Rep","language":"eng","note":"PMID: 9408046","page":"1168-71","source":"PubMed","title":"Human monkeypox -- Kasai Oriental, Democratic Republic of Congo, February 1996-October 1997","volume":"46","author":[{"family":"Aplogan","given":"A"},{"family":"Mangindula","given":"V"},{"family":"Muamba","given":"PT"},{"family":"Mwema","given":"GN"},{"family":"Okito","given":"L"},{"family":"Pebody","given":"RG"},{"family":"Roth","given":"CE"}],"issued":{"date-parts":[["1997"]]}}}],"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[7]</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0E2E7AA4" w14:textId="4560F6D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1997</w:t>
            </w:r>
          </w:p>
        </w:tc>
        <w:tc>
          <w:tcPr>
            <w:tcW w:w="2204" w:type="dxa"/>
            <w:tcBorders>
              <w:top w:val="nil"/>
              <w:left w:val="nil"/>
              <w:bottom w:val="nil"/>
              <w:right w:val="nil"/>
            </w:tcBorders>
            <w:noWrap/>
          </w:tcPr>
          <w:p w14:paraId="28238FD7" w14:textId="50325A0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w:t>
            </w:r>
            <w:r>
              <w:rPr>
                <w:rFonts w:ascii="Garamond" w:hAnsi="Garamond" w:cs="Calibri"/>
                <w:color w:val="000000"/>
                <w:sz w:val="20"/>
                <w:szCs w:val="20"/>
              </w:rPr>
              <w:t>emocratic Republic of Congo</w:t>
            </w:r>
          </w:p>
        </w:tc>
        <w:tc>
          <w:tcPr>
            <w:tcW w:w="1082" w:type="dxa"/>
            <w:tcBorders>
              <w:top w:val="nil"/>
              <w:left w:val="nil"/>
              <w:bottom w:val="nil"/>
              <w:right w:val="nil"/>
            </w:tcBorders>
            <w:noWrap/>
          </w:tcPr>
          <w:p w14:paraId="7751EFA9" w14:textId="57ACA41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1D642E51" w14:textId="151F00B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2751A016" w14:textId="616A119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01772A7D" w14:textId="3D329E4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138EA806" w14:textId="6EAA6C3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62D0B236" w14:textId="48E99D6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419</w:t>
            </w:r>
          </w:p>
        </w:tc>
        <w:tc>
          <w:tcPr>
            <w:tcW w:w="1130" w:type="dxa"/>
            <w:tcBorders>
              <w:top w:val="nil"/>
              <w:left w:val="nil"/>
              <w:bottom w:val="nil"/>
              <w:right w:val="nil"/>
            </w:tcBorders>
            <w:noWrap/>
          </w:tcPr>
          <w:p w14:paraId="0A1DEB9F" w14:textId="7BDC949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1219ED78" w14:textId="77777777" w:rsidTr="008C1796">
        <w:trPr>
          <w:trHeight w:val="290"/>
        </w:trPr>
        <w:tc>
          <w:tcPr>
            <w:tcW w:w="2410" w:type="dxa"/>
            <w:tcBorders>
              <w:top w:val="nil"/>
              <w:left w:val="nil"/>
              <w:bottom w:val="nil"/>
              <w:right w:val="nil"/>
            </w:tcBorders>
            <w:noWrap/>
          </w:tcPr>
          <w:p w14:paraId="3F928D25" w14:textId="56E608B4"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Durski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{"citationID":"9efy6eQ7","properties":{"formattedCitation":"[3]","plainCitation":"[3]","noteIndex":0},"citationItems":[{"id":4430,"uris":["http://zotero.org/users/1791235/items/IRD42T88"],"itemData":{"id":4430,"type":"article-journal","abstract":"The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43D93A3" w14:textId="392944F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2003</w:t>
            </w:r>
          </w:p>
        </w:tc>
        <w:tc>
          <w:tcPr>
            <w:tcW w:w="2204" w:type="dxa"/>
            <w:tcBorders>
              <w:top w:val="nil"/>
              <w:left w:val="nil"/>
              <w:bottom w:val="nil"/>
              <w:right w:val="nil"/>
            </w:tcBorders>
            <w:noWrap/>
          </w:tcPr>
          <w:p w14:paraId="7955D430" w14:textId="7F46DEF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Congo</w:t>
            </w:r>
          </w:p>
        </w:tc>
        <w:tc>
          <w:tcPr>
            <w:tcW w:w="1082" w:type="dxa"/>
            <w:tcBorders>
              <w:top w:val="nil"/>
              <w:left w:val="nil"/>
              <w:bottom w:val="nil"/>
              <w:right w:val="nil"/>
            </w:tcBorders>
            <w:noWrap/>
          </w:tcPr>
          <w:p w14:paraId="6CBA3EEE" w14:textId="5CE3940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400D164A" w14:textId="21B2875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11CE907" w14:textId="58FDFFC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5D248AB5" w14:textId="234B18F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7A119DCD" w14:textId="1E0E5C0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10DFB2B1" w14:textId="1A8D598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12</w:t>
            </w:r>
          </w:p>
        </w:tc>
        <w:tc>
          <w:tcPr>
            <w:tcW w:w="1130" w:type="dxa"/>
            <w:tcBorders>
              <w:top w:val="nil"/>
              <w:left w:val="nil"/>
              <w:bottom w:val="nil"/>
              <w:right w:val="nil"/>
            </w:tcBorders>
            <w:noWrap/>
          </w:tcPr>
          <w:p w14:paraId="01937C73" w14:textId="2E22793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21.1</w:t>
            </w:r>
          </w:p>
        </w:tc>
      </w:tr>
      <w:tr w:rsidR="00925CF9" w:rsidRPr="00431BC4" w14:paraId="18FEAB13" w14:textId="77777777" w:rsidTr="008C1796">
        <w:trPr>
          <w:trHeight w:val="290"/>
        </w:trPr>
        <w:tc>
          <w:tcPr>
            <w:tcW w:w="2410" w:type="dxa"/>
            <w:tcBorders>
              <w:top w:val="nil"/>
              <w:left w:val="nil"/>
              <w:bottom w:val="nil"/>
              <w:right w:val="nil"/>
            </w:tcBorders>
            <w:noWrap/>
          </w:tcPr>
          <w:p w14:paraId="07B7D616" w14:textId="07F17887"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Boumandouki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{"citationID":"yGL4KB4n","properties":{"formattedCitation":"[8]","plainCitation":"[8]","noteIndex":0},"citationItems":[{"id":4723,"uris":["http://zotero.org/users/1791235/items/WXFECLD7"],"itemData":{"id":4723,"type":"article-journal","abstract":"Monkeypox or simian smallpox is a viral disease whose clinical manifestations are similar to the human smallpox. In this study authors describe the care management and follow up of eight patients hospitalized at the Impfondo hospital in Congo. It was a transversal study conducted from the 23rd of May till the 7th of July 2003 at the District Hospital of Impfondo (Likouala province, Republic of Congo). We have analyzed 81 patient files hospitalized during that period. Using the Atlanta CDC criteria of case definition modified in 2003, monkeypox has been diagnosed in 8 patients. Our series has 4 male and 4 female patients. The mean age is 9.05 +/- 5.86 with extremes ranging from 5 months to 18 years old. The clinical manifestations included fever (n = 7), rash (n=8), articulations and muscles pains (n=2), mumps (n=4) and pruritus (n=6). 7 patients recovered among them 5 without complications and 2 with persistent hypochromic lesions for more than 6 weeks. The monkeypox strain responsible for these infections appeared not to be lethal to humans. However this study shows that monkeypox is an endemic public health risk in the sanitary district of Impfondo, within the Congo River basin. The endemic presence of monkeypox in the Congo basin could trigger a new outbreak if the viral strains involved here became lethal.","container-title":"Bulletin De La Societe De Pathologie Exotique (1990)","ISSN":"0037-9085","issue":"1","journalAbbreviation":"Bull Soc Pathol Exot","language":"fre","note":"PMID: 17402687","page":"17-21","source":"PubMed","title":"[Simian smallpox (or monkey smallpox): study of 8 cases observed at Impfondo Hospital in Republic of Congo]","title-short":"[Simian smallpox (or monkey smallpox)","volume":"100","author":[{"family":"Boumandouki","given":"P."},{"family":"Bileckot","given":"R."},{"family":"Ibara","given":"J. R."},{"family":"Satounkazi","given":"C."},{"family":"Wassa Wassa","given":"D."},{"family":"Libama","given":"E."},{"family":"Moudzeo","given":"H."},{"family":"Bolanda","given":"J. D."},{"family":"Ngokaba","given":"C."}],"issued":{"date-parts":[["2007"]]}}}],"schema":"https://github.com/citation-style-language/schema/raw/master/csl-citation.json"}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[8]</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329CBF88" w14:textId="6F6882A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2003</w:t>
            </w:r>
          </w:p>
        </w:tc>
        <w:tc>
          <w:tcPr>
            <w:tcW w:w="2204" w:type="dxa"/>
            <w:tcBorders>
              <w:top w:val="nil"/>
              <w:left w:val="nil"/>
              <w:bottom w:val="nil"/>
              <w:right w:val="nil"/>
            </w:tcBorders>
            <w:noWrap/>
          </w:tcPr>
          <w:p w14:paraId="426C82B6" w14:textId="1769E80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Congo</w:t>
            </w:r>
          </w:p>
        </w:tc>
        <w:tc>
          <w:tcPr>
            <w:tcW w:w="1082" w:type="dxa"/>
            <w:tcBorders>
              <w:top w:val="nil"/>
              <w:left w:val="nil"/>
              <w:bottom w:val="nil"/>
              <w:right w:val="nil"/>
            </w:tcBorders>
            <w:noWrap/>
          </w:tcPr>
          <w:p w14:paraId="57DF4816" w14:textId="7D109E2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Case series</w:t>
            </w:r>
          </w:p>
        </w:tc>
        <w:tc>
          <w:tcPr>
            <w:tcW w:w="1180" w:type="dxa"/>
            <w:tcBorders>
              <w:top w:val="nil"/>
              <w:left w:val="nil"/>
              <w:bottom w:val="nil"/>
              <w:right w:val="nil"/>
            </w:tcBorders>
            <w:noWrap/>
          </w:tcPr>
          <w:p w14:paraId="2BDD4C8F" w14:textId="3568B0C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63CED83F" w14:textId="0C52801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114AE1F9" w14:textId="5409866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6C33F52" w14:textId="1B07258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2B60FDCA" w14:textId="02DCD07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8</w:t>
            </w:r>
          </w:p>
        </w:tc>
        <w:tc>
          <w:tcPr>
            <w:tcW w:w="1130" w:type="dxa"/>
            <w:tcBorders>
              <w:top w:val="nil"/>
              <w:left w:val="nil"/>
              <w:bottom w:val="nil"/>
              <w:right w:val="nil"/>
            </w:tcBorders>
            <w:noWrap/>
          </w:tcPr>
          <w:p w14:paraId="4B4B0B55" w14:textId="183DFB4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11.0</w:t>
            </w:r>
          </w:p>
        </w:tc>
      </w:tr>
      <w:tr w:rsidR="00925CF9" w:rsidRPr="00431BC4" w14:paraId="22185B0C" w14:textId="77777777" w:rsidTr="008C1796">
        <w:trPr>
          <w:trHeight w:val="290"/>
        </w:trPr>
        <w:tc>
          <w:tcPr>
            <w:tcW w:w="2410" w:type="dxa"/>
            <w:tcBorders>
              <w:top w:val="nil"/>
              <w:left w:val="nil"/>
              <w:bottom w:val="nil"/>
              <w:right w:val="nil"/>
            </w:tcBorders>
            <w:noWrap/>
          </w:tcPr>
          <w:p w14:paraId="7CF5C0A8" w14:textId="0E3CECB4"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Formenty</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{"citationID":"xkS6sTgk","properties":{"formattedCitation":"[9]","plainCitation":"[9]","noteIndex":0},"citationItems":[{"id":4725,"uris":["http://zotero.org/users/1791235/items/YF8RZIBZ"],"itemData":{"id":4725,"type":"article-journal","abstract":"TOC Summary: This virus should be considered endemic to the wetland areas of Bentiu, Unity State, Sudan., To determine the outbreak source of monkeypox virus (MPXV) infections in Unity State, Sudan, in November 2005, we conducted a retrospective investigation. MPXV was identified in a sub-Sahelian savannah environment. Three case notification categories were used: suspected, probable, and confirmed. Molecular, virologic, and serologic assays were used to test blood specimens, vesicular swabs, and crust specimens obtained from symptomatic and recovering persons. Ten laboratory-confirmed cases and 9 probable cases of MPXV were reported during September–December 2005; no deaths occurred. Human-to-human transmission up to 5 generations was described. Our investigation could not fully determine the source of the outbreak. Preliminary data indicate that the MPXV strain isolated during this outbreak was a novel virus belonging to the Congo Basin clade. Our results indicate that MPXV should be considered endemic to the wetland areas of Unity State. This finding will enhance understanding of the ecologic niche for this virus.","container-title":"Emerging Infectious Diseases","DOI":"10.3201/eid1610.100713","ISSN":"1080-6040","issue":"10","journalAbbreviation":"Emerg Infect Dis","note":"PMID: 20875278\nPMCID: PMC3294404","page":"1539-1545","source":"PubMed Central","title":"Human Monkeypox Outbreak Caused by Novel Virus Belonging to Congo Basin Clade, Sudan, 2005","volume":"16","author":[{"family":"Formenty","given":"Pierre"},{"family":"Muntasir","given":"Mohammed O."},{"family":"Damon","given":"Inger"},{"family":"Chowdhary","given":"Vipul"},{"family":"Opoka","given":"Martin L."},{"family":"Monimart","given":"Charlotte"},{"family":"Mutasim","given":"Elmangory M."},{"family":"Manuguerra","given":"Jean-Claude"},{"family":"Davidson","given":"Whitni B."},{"family":"Karem","given":"Kevin L."},{"family":"Cabeza","given":"Jeanne"},{"family":"Wang","given":"Sharlenna"},{"family":"Malik","given":"Mamunur R."},{"family":"Durand","given":"Thierry"},{"family":"Khalid","given":"Abdalhalim"},{"family":"Rioton","given":"Thomas"},{"family":"Kuong-Ruay","given":"Andrea"},{"family":"Babiker","given":"Alimagboul A."},{"family":"Karsani","given":"Mubarak E.M."},{"family":"Abdalla","given":"Magdi S."}],"issued":{"date-parts":[["2010"]]}}}],"schema":"https://github.com/citation-style-language/schema/raw/master/csl-citation.json"}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[9]</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AECD52E" w14:textId="34FEEFF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2005</w:t>
            </w:r>
          </w:p>
        </w:tc>
        <w:tc>
          <w:tcPr>
            <w:tcW w:w="2204" w:type="dxa"/>
            <w:tcBorders>
              <w:top w:val="nil"/>
              <w:left w:val="nil"/>
              <w:bottom w:val="nil"/>
              <w:right w:val="nil"/>
            </w:tcBorders>
            <w:noWrap/>
          </w:tcPr>
          <w:p w14:paraId="6ABB3221" w14:textId="334865B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Sudan</w:t>
            </w:r>
          </w:p>
        </w:tc>
        <w:tc>
          <w:tcPr>
            <w:tcW w:w="1082" w:type="dxa"/>
            <w:tcBorders>
              <w:top w:val="nil"/>
              <w:left w:val="nil"/>
              <w:bottom w:val="nil"/>
              <w:right w:val="nil"/>
            </w:tcBorders>
            <w:noWrap/>
          </w:tcPr>
          <w:p w14:paraId="2A7F15E6" w14:textId="7B7303E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6877E055" w14:textId="0669C0B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9E61D88" w14:textId="2213C40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6C07BF86" w14:textId="6B54820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667D164D" w14:textId="7C38272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67CD6BED" w14:textId="4B7C77C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19</w:t>
            </w:r>
          </w:p>
        </w:tc>
        <w:tc>
          <w:tcPr>
            <w:tcW w:w="1130" w:type="dxa"/>
            <w:tcBorders>
              <w:top w:val="nil"/>
              <w:left w:val="nil"/>
              <w:bottom w:val="nil"/>
              <w:right w:val="nil"/>
            </w:tcBorders>
            <w:noWrap/>
          </w:tcPr>
          <w:p w14:paraId="2AC6A799" w14:textId="2B3E594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2F03238D" w14:textId="77777777" w:rsidTr="008C1796">
        <w:trPr>
          <w:trHeight w:val="290"/>
        </w:trPr>
        <w:tc>
          <w:tcPr>
            <w:tcW w:w="2410" w:type="dxa"/>
            <w:tcBorders>
              <w:top w:val="nil"/>
              <w:left w:val="nil"/>
              <w:bottom w:val="nil"/>
              <w:right w:val="nil"/>
            </w:tcBorders>
            <w:noWrap/>
          </w:tcPr>
          <w:p w14:paraId="1B699342" w14:textId="29528A81"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Damon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{"citationID":"YJJKVBQL","properties":{"formattedCitation":"[10]","plainCitation":"[10]","noteIndex":0},"citationItems":[{"id":3511,"uris":["http://zotero.org/users/1791235/items/YESWT3GR"],"itemData":{"id":3511,"type":"article-journal","abstract":"To the Editor: On November 4, 2005, the Poxvirus Program at the Centers for Disease Control and Prevention (CDC), a World Health Organization (WHO) Collaborating Center for Smallpox and other Poxvirus Infections, was contacted by a former volunteer with Médecins sans Frontières (MSF) with a request for information regarding a child with a generalized pustular rash illness in southern Sudan. On the basis of a review of a photograph of the child (Figure 1), dated October 28, 2005, and limited clinical information describing a febrile period of disease, it was agreed that the findings were suggestive of a systemic orthopoxvirus . . .","container-title":"New England Journal of Medicine","DOI":"10.1056/NEJMc060792","ISSN":"0028-4793","issue":"9","note":"publisher: Massachusetts Medical Society\n_eprint: https://www.nejm.org/doi/pdf/10.1056/NEJMc060792","page":"962-63","source":"Taylor and Francis+NEJM","title":"Discovery of Monkeypox in Sudan","volume":"355","author":[{"family":"Damon","given":"Inger K."},{"family":"Roth","given":"Cathy E."},{"family":"Chowdhary","given":"Vipul"}],"issued":{"date-parts":[["2006"]]}}}],"schema":"https://github.com/citation-style-language/schema/raw/master/csl-citation.json"}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[10]</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3C4311C9" w14:textId="3D1E28C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2005</w:t>
            </w:r>
          </w:p>
        </w:tc>
        <w:tc>
          <w:tcPr>
            <w:tcW w:w="2204" w:type="dxa"/>
            <w:tcBorders>
              <w:top w:val="nil"/>
              <w:left w:val="nil"/>
              <w:bottom w:val="nil"/>
              <w:right w:val="nil"/>
            </w:tcBorders>
            <w:noWrap/>
          </w:tcPr>
          <w:p w14:paraId="740E1872" w14:textId="4910149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Sudan</w:t>
            </w:r>
          </w:p>
        </w:tc>
        <w:tc>
          <w:tcPr>
            <w:tcW w:w="1082" w:type="dxa"/>
            <w:tcBorders>
              <w:top w:val="nil"/>
              <w:left w:val="nil"/>
              <w:bottom w:val="nil"/>
              <w:right w:val="nil"/>
            </w:tcBorders>
            <w:noWrap/>
          </w:tcPr>
          <w:p w14:paraId="5BCCB1BE" w14:textId="08F3CA9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Case report</w:t>
            </w:r>
          </w:p>
        </w:tc>
        <w:tc>
          <w:tcPr>
            <w:tcW w:w="1180" w:type="dxa"/>
            <w:tcBorders>
              <w:top w:val="nil"/>
              <w:left w:val="nil"/>
              <w:bottom w:val="nil"/>
              <w:right w:val="nil"/>
            </w:tcBorders>
            <w:noWrap/>
          </w:tcPr>
          <w:p w14:paraId="56CBA841" w14:textId="0BAED60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E02A479" w14:textId="4D546FC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266C8E26" w14:textId="3B5009F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7261F673" w14:textId="1141EA7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33388620" w14:textId="7FB9AFC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795AE4A9" w14:textId="7E0AE60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9.6</w:t>
            </w:r>
          </w:p>
        </w:tc>
      </w:tr>
      <w:tr w:rsidR="00925CF9" w:rsidRPr="00431BC4" w14:paraId="401FE1E7" w14:textId="77777777" w:rsidTr="008C1796">
        <w:trPr>
          <w:trHeight w:val="290"/>
        </w:trPr>
        <w:tc>
          <w:tcPr>
            <w:tcW w:w="2410" w:type="dxa"/>
            <w:tcBorders>
              <w:top w:val="nil"/>
              <w:left w:val="nil"/>
              <w:bottom w:val="nil"/>
              <w:right w:val="nil"/>
            </w:tcBorders>
            <w:noWrap/>
          </w:tcPr>
          <w:p w14:paraId="2677B150" w14:textId="35CE7B0B"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Durski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{"citationID":"gftKk4vl","properties":{"formattedCitation":"[3]","plainCitation":"[3]","noteIndex":0},"citationItems":[{"id":4430,"uris":["http://zotero.org/users/1791235/items/IRD42T88"],"itemData":{"id":4430,"type":"article-journal","abstract":"The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58DA22C7" w14:textId="497C790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2010</w:t>
            </w:r>
          </w:p>
        </w:tc>
        <w:tc>
          <w:tcPr>
            <w:tcW w:w="2204" w:type="dxa"/>
            <w:tcBorders>
              <w:top w:val="nil"/>
              <w:left w:val="nil"/>
              <w:bottom w:val="nil"/>
              <w:right w:val="nil"/>
            </w:tcBorders>
            <w:noWrap/>
          </w:tcPr>
          <w:p w14:paraId="43750888" w14:textId="6F26376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C31AF">
              <w:rPr>
                <w:rFonts w:ascii="Garamond" w:hAnsi="Garamond" w:cs="Calibri"/>
                <w:color w:val="000000"/>
                <w:sz w:val="20"/>
                <w:szCs w:val="20"/>
              </w:rPr>
              <w:t>Central African Republic</w:t>
            </w:r>
          </w:p>
        </w:tc>
        <w:tc>
          <w:tcPr>
            <w:tcW w:w="1082" w:type="dxa"/>
            <w:tcBorders>
              <w:top w:val="nil"/>
              <w:left w:val="nil"/>
              <w:bottom w:val="nil"/>
              <w:right w:val="nil"/>
            </w:tcBorders>
            <w:noWrap/>
          </w:tcPr>
          <w:p w14:paraId="7BD513E2" w14:textId="040ADE4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3868B412" w14:textId="2FFD4FE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23D0F0D4" w14:textId="23EE7D0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21B3CA23" w14:textId="0F3E320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04CA96B7" w14:textId="27EC261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6B04A11A" w14:textId="0F0B546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7F6AD2A4" w14:textId="0824C61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2.2</w:t>
            </w:r>
          </w:p>
        </w:tc>
      </w:tr>
      <w:tr w:rsidR="00925CF9" w:rsidRPr="00431BC4" w14:paraId="6FEB38C5" w14:textId="77777777" w:rsidTr="008C1796">
        <w:trPr>
          <w:trHeight w:val="290"/>
        </w:trPr>
        <w:tc>
          <w:tcPr>
            <w:tcW w:w="2410" w:type="dxa"/>
            <w:tcBorders>
              <w:top w:val="nil"/>
              <w:left w:val="nil"/>
              <w:bottom w:val="nil"/>
              <w:right w:val="nil"/>
            </w:tcBorders>
            <w:noWrap/>
          </w:tcPr>
          <w:p w14:paraId="222A2C5E" w14:textId="1174D0B1"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Berthet</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{"citationID":"jX2GgVi5","properties":{"formattedCitation":"[11]","plainCitation":"[11]","noteIndex":0},"citationItems":[{"id":4433,"uris":["http://zotero.org/users/1791235/items/MWY7ZPWH"],"itemData":{"id":4433,"type":"article-journal","container-title":"The Lancet","DOI":"10.1016/S0140-6736(11)61142-2","ISSN":"0140-6736, 1474-547X","issue":"9799","journalAbbreviation":"The Lancet","language":"English","note":"publisher: Elsevier\nPMID: 21982097","page":"1354","source":"www.thelancet.com","title":"Maculopapular lesions in the Central African Republic","volume":"378","author":[{"family":"Berthet","given":"Nicolas"},{"family":"Nakouné","given":"Emmanuel"},{"family":"Whist","given":"Eline"},{"family":"Selekon","given":"Benjamin"},{"family":"Burguière","given":"Ana-Maria"},{"family":"Manuguerra","given":"Jean-Claude"},{"family":"Gessain","given":"Antoine"},{"family":"Kazanji","given":"Mirdad"}],"issued":{"date-parts":[["2011"]]}}}],"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[11]</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6F4D6A2" w14:textId="1AC11CA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2010</w:t>
            </w:r>
          </w:p>
        </w:tc>
        <w:tc>
          <w:tcPr>
            <w:tcW w:w="2204" w:type="dxa"/>
            <w:tcBorders>
              <w:top w:val="nil"/>
              <w:left w:val="nil"/>
              <w:bottom w:val="nil"/>
              <w:right w:val="nil"/>
            </w:tcBorders>
            <w:noWrap/>
          </w:tcPr>
          <w:p w14:paraId="39DADF71" w14:textId="15128FB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C31AF">
              <w:rPr>
                <w:rFonts w:ascii="Garamond" w:hAnsi="Garamond" w:cs="Calibri"/>
                <w:color w:val="000000"/>
                <w:sz w:val="20"/>
                <w:szCs w:val="20"/>
              </w:rPr>
              <w:t>Central African Republic</w:t>
            </w:r>
          </w:p>
        </w:tc>
        <w:tc>
          <w:tcPr>
            <w:tcW w:w="1082" w:type="dxa"/>
            <w:tcBorders>
              <w:top w:val="nil"/>
              <w:left w:val="nil"/>
              <w:bottom w:val="nil"/>
              <w:right w:val="nil"/>
            </w:tcBorders>
            <w:noWrap/>
          </w:tcPr>
          <w:p w14:paraId="1CBABCAF" w14:textId="010E22E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Case report</w:t>
            </w:r>
          </w:p>
        </w:tc>
        <w:tc>
          <w:tcPr>
            <w:tcW w:w="1180" w:type="dxa"/>
            <w:tcBorders>
              <w:top w:val="nil"/>
              <w:left w:val="nil"/>
              <w:bottom w:val="nil"/>
              <w:right w:val="nil"/>
            </w:tcBorders>
            <w:noWrap/>
          </w:tcPr>
          <w:p w14:paraId="42E535C1" w14:textId="165EB53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6E4BFF15" w14:textId="4A5BC88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7485BDE4" w14:textId="3E284FC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33E9F906" w14:textId="28CCAA2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32031BEB" w14:textId="5A4461A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52144D6D" w14:textId="47D311F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22.2</w:t>
            </w:r>
          </w:p>
        </w:tc>
      </w:tr>
      <w:tr w:rsidR="00925CF9" w:rsidRPr="00431BC4" w14:paraId="4853EB5E" w14:textId="77777777" w:rsidTr="008C1796">
        <w:trPr>
          <w:trHeight w:val="290"/>
        </w:trPr>
        <w:tc>
          <w:tcPr>
            <w:tcW w:w="2410" w:type="dxa"/>
            <w:tcBorders>
              <w:top w:val="nil"/>
              <w:left w:val="nil"/>
              <w:bottom w:val="nil"/>
              <w:right w:val="nil"/>
            </w:tcBorders>
            <w:noWrap/>
          </w:tcPr>
          <w:p w14:paraId="2DEDC62B" w14:textId="7A2B65DB"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Reynolds</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{"citationID":"HkF7pKgY","properties":{"formattedCitation":"[12]","plainCitation":"[12]","noteIndex":0},"citationItems":[{"id":4750,"uris":["http://zotero.org/users/1791235/items/YGJ8E7SZ"],"itemData":{"id":4750,"type":"article-journal","container-title":"The American journal of tropical medicine and hygiene","issue":"5","page":"982","source":"Google Scholar","title":"Detection of human monkeypox in the Republic of the Congo following intensive community education","volume":"88","author":[{"family":"Reynolds","given":"Mary G."},{"family":"Emerson","given":"Ginny L."},{"family":"Pukuta","given":"Elisabeth"},{"family":"Karhemere","given":"Stomy"},{"family":"Muyembe","given":"Jean J."},{"family":"Bikindou","given":"Alain"},{"family":"McCollum","given":"Andrea M."},{"family":"Moses","given":"Cynthia"},{"family":"Wilkins","given":"Kimberly"},{"family":"Zhao","given":"Hui"}],"issued":{"date-parts":[["2013"]]}}}],"schema":"https://github.com/citation-style-language/schema/raw/master/csl-citation.json"}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[12]</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15D828FB" w14:textId="7152FAC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2010</w:t>
            </w:r>
          </w:p>
        </w:tc>
        <w:tc>
          <w:tcPr>
            <w:tcW w:w="2204" w:type="dxa"/>
            <w:tcBorders>
              <w:top w:val="nil"/>
              <w:left w:val="nil"/>
              <w:bottom w:val="nil"/>
              <w:right w:val="nil"/>
            </w:tcBorders>
            <w:noWrap/>
          </w:tcPr>
          <w:p w14:paraId="20A8D1FE" w14:textId="176C738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Congo</w:t>
            </w:r>
          </w:p>
        </w:tc>
        <w:tc>
          <w:tcPr>
            <w:tcW w:w="1082" w:type="dxa"/>
            <w:tcBorders>
              <w:top w:val="nil"/>
              <w:left w:val="nil"/>
              <w:bottom w:val="nil"/>
              <w:right w:val="nil"/>
            </w:tcBorders>
            <w:noWrap/>
          </w:tcPr>
          <w:p w14:paraId="078CC895" w14:textId="6C43D18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Case series</w:t>
            </w:r>
          </w:p>
        </w:tc>
        <w:tc>
          <w:tcPr>
            <w:tcW w:w="1180" w:type="dxa"/>
            <w:tcBorders>
              <w:top w:val="nil"/>
              <w:left w:val="nil"/>
              <w:bottom w:val="nil"/>
              <w:right w:val="nil"/>
            </w:tcBorders>
            <w:noWrap/>
          </w:tcPr>
          <w:p w14:paraId="3EF79E4C" w14:textId="198A173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3C809CDB" w14:textId="61AA1E1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2D0E4FD5" w14:textId="5651CC5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7DEFB300" w14:textId="4EA95D1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6FB2FC1C" w14:textId="2C60B7A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11</w:t>
            </w:r>
          </w:p>
        </w:tc>
        <w:tc>
          <w:tcPr>
            <w:tcW w:w="1130" w:type="dxa"/>
            <w:tcBorders>
              <w:top w:val="nil"/>
              <w:left w:val="nil"/>
              <w:bottom w:val="nil"/>
              <w:right w:val="nil"/>
            </w:tcBorders>
            <w:noWrap/>
          </w:tcPr>
          <w:p w14:paraId="58D040D4" w14:textId="6FFD76E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3.3</w:t>
            </w:r>
          </w:p>
        </w:tc>
      </w:tr>
      <w:tr w:rsidR="00925CF9" w:rsidRPr="00431BC4" w14:paraId="6E69B6C5" w14:textId="77777777" w:rsidTr="008C1796">
        <w:trPr>
          <w:trHeight w:val="290"/>
        </w:trPr>
        <w:tc>
          <w:tcPr>
            <w:tcW w:w="2410" w:type="dxa"/>
            <w:tcBorders>
              <w:top w:val="nil"/>
              <w:left w:val="nil"/>
              <w:bottom w:val="nil"/>
              <w:right w:val="nil"/>
            </w:tcBorders>
            <w:noWrap/>
          </w:tcPr>
          <w:p w14:paraId="567953A2" w14:textId="489E48CC"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lastRenderedPageBreak/>
              <w:t>Pittman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{"citationID":"rFcbUClc","properties":{"formattedCitation":"[13]","plainCitation":"[13]","noteIndex":0},"citationItems":[{"id":3623,"uris":["http://zotero.org/users/1791235/items/E27F6G2V"],"itemData":{"id":3623,"type":"article-journal","abstract":"We describe the results of a prospective observational study of the clinical natural history of human monkeypox (mpox) virus (MPXV) infections at the remote L’Hopital General de Reference de Kole (Kole hospital), the rainforest of the Congo River basin of the Democratic Republic of the Congo (DRC) from March 2007 until August 2011. The research was conducted jointly by the Institute National de Recherche Biomedical (INRB) and the US Army Medical Research Institute of Infectious Diseases (USAMRIID). The Kole hospital was one of the two previous WHO Mpox study sites (1981–1986). The hospital is staffed by a Spanish Order of Catholic Nuns from La Congregation Des Soeurs Missionnaires Du Christ Jesus including two Spanish physicians, who were members of the Order as well, were part of the WHO study on human mpox. Of 244 patients admitted with a clinical diagnosis of MPXV infection, 216 were positive in both the Pan-Orthopox and MPXV specific PCR. The cardinal observations of these 216 patients are summarized in this report. There were three deaths (3/216) among these hospitalized patients; fetal death occurred in 3 of 4 patients who were pregnant at admission, with the placenta of one fetus demonstrating prominent MPXV infection of the chorionic villi. The most common complaints were rash (96.8%), malaise (85.2%), sore throat (78.2%), and lymphadenopathy/adenopathy (57.4%). The most common physical exam findings were mpox rash (99.5%) and lymphadenopathy (98.6%). The single patient without the classic mpox rash had been previously vaccinated against smallpox. Age group of less than 5 years had the highest lesion count. Primary household cases tended to have higher lesion counts than secondary or later same household cases. Of the 216 patients, 200 were tested for IgM &amp; IgG antibodies (Abs) to Orthopoxviruses. All 200 patients had anti-orthopoxvirus IgG Abs; whereas 189/200 were positive for IgM. Patients with hypoalbuminemia had a high risk of severe disease. Patients with fatal disease had higher maximum geometric mean values than survivors for the following variables, respectively: viral DNA in blood (DNAemia); maximum lesion count; day of admission mean AST and ALT.","container-title":"PLOS Neglected Tropical Diseases","DOI":"10.1371/journal.pntd.0010384","ISSN":"1935-2735","issue":"4","journalAbbreviation":"PLoS Negl Trop Dis","language":"en","page":"e0010384","source":"DOI.org (Crossref)","title":"Clinical characterization and placental pathology of mpox infection in hospitalized patients in the Democratic Republic of the Congo","volume":"17","author":[{"family":"Pittman","given":"Phillip R."},{"family":"Martin","given":"James W."},{"family":"Kingebeni","given":"Placide Mbala"},{"family":"Tamfum","given":"Jean-Jacques Muyembe"},{"family":"Mwema","given":"Gaston"},{"family":"Wan","given":"Qingwen"},{"family":"Ewala","given":"Pierre"},{"family":"Alonga","given":"Jules"},{"family":"Bilulu","given":"Guy"},{"family":"Reynolds","given":"Mary G."},{"family":"Quinn","given":"Xiaofei"},{"family":"Norris","given":"Sarah"},{"family":"Townsend","given":"Michael B."},{"family":"Satheshkumar","given":"Panayampalli S."},{"family":"Wadding","given":"James"},{"family":"Soltis","given":"Bryony"},{"family":"Honko","given":"Anna"},{"family":"Güereña","given":"Fernando B."},{"family":"Korman","given":"Lawrence"},{"family":"Patterson","given":"Kerry"},{"family":"Schwartz","given":"David A."},{"family":"Huggins","given":"John W."},{"literal":"on behalf of The Kole Human Mpox Infection Study Group"}],"editor":[{"family":"Bowman","given":"Natalie"}],"issued":{"date-parts":[["2023"]]}}}],"schema":"https://github.com/citation-style-language/schema/raw/master/csl-citation.json"}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078A4991" w14:textId="783F8CD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2011</w:t>
            </w:r>
          </w:p>
        </w:tc>
        <w:tc>
          <w:tcPr>
            <w:tcW w:w="2204" w:type="dxa"/>
            <w:tcBorders>
              <w:top w:val="nil"/>
              <w:left w:val="nil"/>
              <w:bottom w:val="nil"/>
              <w:right w:val="nil"/>
            </w:tcBorders>
            <w:noWrap/>
          </w:tcPr>
          <w:p w14:paraId="5F34FFBD" w14:textId="4F9ED03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w:t>
            </w:r>
            <w:r>
              <w:rPr>
                <w:rFonts w:ascii="Garamond" w:hAnsi="Garamond" w:cs="Calibri"/>
                <w:color w:val="000000"/>
                <w:sz w:val="20"/>
                <w:szCs w:val="20"/>
              </w:rPr>
              <w:t>emocratic Republic of Congo</w:t>
            </w:r>
          </w:p>
        </w:tc>
        <w:tc>
          <w:tcPr>
            <w:tcW w:w="1082" w:type="dxa"/>
            <w:tcBorders>
              <w:top w:val="nil"/>
              <w:left w:val="nil"/>
              <w:bottom w:val="nil"/>
              <w:right w:val="nil"/>
            </w:tcBorders>
            <w:noWrap/>
          </w:tcPr>
          <w:p w14:paraId="0F43DB1E" w14:textId="7D4FBBD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3939BF21" w14:textId="76E538A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7766156C" w14:textId="52BB8F6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2250D888" w14:textId="007A0EF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A7270E0" w14:textId="297D519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03610D95" w14:textId="0C45FE8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222</w:t>
            </w:r>
          </w:p>
        </w:tc>
        <w:tc>
          <w:tcPr>
            <w:tcW w:w="1130" w:type="dxa"/>
            <w:tcBorders>
              <w:top w:val="nil"/>
              <w:left w:val="nil"/>
              <w:bottom w:val="nil"/>
              <w:right w:val="nil"/>
            </w:tcBorders>
            <w:noWrap/>
          </w:tcPr>
          <w:p w14:paraId="29243DF5" w14:textId="2E96B3F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3.4</w:t>
            </w:r>
          </w:p>
        </w:tc>
      </w:tr>
      <w:tr w:rsidR="00925CF9" w:rsidRPr="00431BC4" w14:paraId="376EBCCC" w14:textId="77777777" w:rsidTr="008C1796">
        <w:trPr>
          <w:trHeight w:val="290"/>
        </w:trPr>
        <w:tc>
          <w:tcPr>
            <w:tcW w:w="2410" w:type="dxa"/>
            <w:tcBorders>
              <w:top w:val="nil"/>
              <w:left w:val="nil"/>
              <w:bottom w:val="nil"/>
              <w:right w:val="nil"/>
            </w:tcBorders>
            <w:noWrap/>
          </w:tcPr>
          <w:p w14:paraId="68958A71" w14:textId="54F52F08"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Durski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{"citationID":"MWy6TvVA","properties":{"formattedCitation":"[3]","plainCitation":"[3]","noteIndex":0},"citationItems":[{"id":4430,"uris":["http://zotero.org/users/1791235/items/IRD42T88"],"itemData":{"id":4430,"type":"article-journal","abstract":"The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BECFA06" w14:textId="0F742C2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2015</w:t>
            </w:r>
          </w:p>
        </w:tc>
        <w:tc>
          <w:tcPr>
            <w:tcW w:w="2204" w:type="dxa"/>
            <w:tcBorders>
              <w:top w:val="nil"/>
              <w:left w:val="nil"/>
              <w:bottom w:val="nil"/>
              <w:right w:val="nil"/>
            </w:tcBorders>
            <w:noWrap/>
          </w:tcPr>
          <w:p w14:paraId="5D40A460" w14:textId="2370398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AF06F2">
              <w:rPr>
                <w:rFonts w:ascii="Garamond" w:hAnsi="Garamond" w:cs="Calibri"/>
                <w:color w:val="000000"/>
                <w:sz w:val="20"/>
                <w:szCs w:val="20"/>
              </w:rPr>
              <w:t>Central African Republic</w:t>
            </w:r>
          </w:p>
        </w:tc>
        <w:tc>
          <w:tcPr>
            <w:tcW w:w="1082" w:type="dxa"/>
            <w:tcBorders>
              <w:top w:val="nil"/>
              <w:left w:val="nil"/>
              <w:bottom w:val="nil"/>
              <w:right w:val="nil"/>
            </w:tcBorders>
            <w:noWrap/>
          </w:tcPr>
          <w:p w14:paraId="13EEDBCE" w14:textId="45E3F00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4D733B03" w14:textId="547B21A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8ABBF60" w14:textId="12C765A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4FD9A52F" w14:textId="06938AE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613A4093" w14:textId="47B0BC0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12CC3121" w14:textId="24A7114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12</w:t>
            </w:r>
          </w:p>
        </w:tc>
        <w:tc>
          <w:tcPr>
            <w:tcW w:w="1130" w:type="dxa"/>
            <w:tcBorders>
              <w:top w:val="nil"/>
              <w:left w:val="nil"/>
              <w:bottom w:val="nil"/>
              <w:right w:val="nil"/>
            </w:tcBorders>
            <w:noWrap/>
          </w:tcPr>
          <w:p w14:paraId="22371D60" w14:textId="6F35D22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1.2</w:t>
            </w:r>
          </w:p>
        </w:tc>
      </w:tr>
      <w:tr w:rsidR="00925CF9" w:rsidRPr="00431BC4" w14:paraId="75B50DCD" w14:textId="77777777" w:rsidTr="008C1796">
        <w:trPr>
          <w:trHeight w:val="290"/>
        </w:trPr>
        <w:tc>
          <w:tcPr>
            <w:tcW w:w="2410" w:type="dxa"/>
            <w:tcBorders>
              <w:top w:val="nil"/>
              <w:left w:val="nil"/>
              <w:bottom w:val="nil"/>
              <w:right w:val="nil"/>
            </w:tcBorders>
            <w:noWrap/>
          </w:tcPr>
          <w:p w14:paraId="2E4DBE8B" w14:textId="4FE77B72"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Kalthan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{"citationID":"TM5p36Hj","properties":{"formattedCitation":"[14]","plainCitation":"[14]","noteIndex":0},"citationItems":[{"id":3514,"uris":["http://zotero.org/users/1791235/items/SNFPH456"],"itemData":{"id":3514,"type":"article-journal","abstract":"Une épidémie de maladie à virus monkeypox ou « variole du singe » a sévi fin 2015 dans le district de Bangassou. Une enquête a été réalisée dont l’objectif était de décrire l’épidémie selon les temps, les lieux et les personnes, et de déterminer son incidence et sa létalité. La collecte des données a été faite par interview. L’entretien a été réalisé avec les malades ou les parents des enfants malades. Des prélèvements ont été faits pour confirmation au laboratoire de l’Institut Pasteur de Bangui. Nos données ont été analysées avec Epi info7. Au total, 12 malades ont été enregistrés, dont 9 cas secondaires. Les tranches d’âge de 31 à 40 ans et de moins de 10 ans étaient les plus atteintes. La maladie a touché davantage les adultes. La moyenne d’âge était de 25 ans, allant de 15 mois à 41 ans. Le taux d’attaque et la létalité étaient respectivement de 0,2 pour 1 000 habitants et de 25 %. Plus de la moitié de la létalité frappait les enfants de moins de 10 ans. La fièvre et l’éruption cutanée étaient les symptômes dominants. Les adénopathies cervicales étaient présentes chez plus de la moitié des patients. Dix malades sur 12 ont dû être hospitalisés. La durée moyenne d’hospitalisation était de 13 jours. La maladie à virus monkeypox reste, comme la variole, une maladie grave, parfois mortelle. Une identification précise des souches virales s’avère indispensable. Lors d’une épidémie, une bonne communication et l’isolement des malades permettent de diminuer la transmission. D’autres mesures visant à limiter le contact avec la faune forestière pouvant être un réservoir de virus sont à encourager.","container-title":"Bulletin de la Société de pathologie exotique","DOI":"10.1007/s13149-016-0516-z","ISSN":"1961-9049","issue":"5","journalAbbreviation":"Bull. Soc. Pathol. Exot.","language":"fr","page":"358-63","source":"Springer Link","title":"Epidémie de 12 cas de maladie à virus monkeypox dans le district de Bangassou en République Centrafricaine en décembre 2015","volume":"109","author":[{"family":"Kalthan","given":"E."},{"family":"Dondo-Fongbia","given":"J. P."},{"family":"Yambele","given":"S."},{"family":"Dieu-Creer","given":"L. R."},{"family":"Zepio","given":"R."},{"family":"Pamatika","given":"C. M."}],"issued":{"date-parts":[["2016"]]}}}],"schema":"https://github.com/citation-style-language/schema/raw/master/csl-citation.json"}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[14]</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793AB91" w14:textId="17DDD05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2015</w:t>
            </w:r>
          </w:p>
        </w:tc>
        <w:tc>
          <w:tcPr>
            <w:tcW w:w="2204" w:type="dxa"/>
            <w:tcBorders>
              <w:top w:val="nil"/>
              <w:left w:val="nil"/>
              <w:bottom w:val="nil"/>
              <w:right w:val="nil"/>
            </w:tcBorders>
            <w:noWrap/>
          </w:tcPr>
          <w:p w14:paraId="7729C80B" w14:textId="1BB48BB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AF06F2">
              <w:rPr>
                <w:rFonts w:ascii="Garamond" w:hAnsi="Garamond" w:cs="Calibri"/>
                <w:color w:val="000000"/>
                <w:sz w:val="20"/>
                <w:szCs w:val="20"/>
              </w:rPr>
              <w:t>Central African Republic</w:t>
            </w:r>
          </w:p>
        </w:tc>
        <w:tc>
          <w:tcPr>
            <w:tcW w:w="1082" w:type="dxa"/>
            <w:tcBorders>
              <w:top w:val="nil"/>
              <w:left w:val="nil"/>
              <w:bottom w:val="nil"/>
              <w:right w:val="nil"/>
            </w:tcBorders>
            <w:noWrap/>
          </w:tcPr>
          <w:p w14:paraId="18EC3D44" w14:textId="07E1F8F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39F72981" w14:textId="0319475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9FFFE7F" w14:textId="7BD1C69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4CD336A9" w14:textId="39BD6D3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F9194BC" w14:textId="5265D01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7F03BB39" w14:textId="43910E6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12</w:t>
            </w:r>
          </w:p>
        </w:tc>
        <w:tc>
          <w:tcPr>
            <w:tcW w:w="1130" w:type="dxa"/>
            <w:tcBorders>
              <w:top w:val="nil"/>
              <w:left w:val="nil"/>
              <w:bottom w:val="nil"/>
              <w:right w:val="nil"/>
            </w:tcBorders>
            <w:noWrap/>
          </w:tcPr>
          <w:p w14:paraId="226AC930" w14:textId="02A6D11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8.3</w:t>
            </w:r>
          </w:p>
        </w:tc>
      </w:tr>
      <w:tr w:rsidR="00925CF9" w:rsidRPr="00431BC4" w14:paraId="177015EE" w14:textId="77777777" w:rsidTr="008C1796">
        <w:trPr>
          <w:trHeight w:val="290"/>
        </w:trPr>
        <w:tc>
          <w:tcPr>
            <w:tcW w:w="2410" w:type="dxa"/>
            <w:tcBorders>
              <w:top w:val="nil"/>
              <w:left w:val="nil"/>
              <w:bottom w:val="nil"/>
              <w:right w:val="nil"/>
            </w:tcBorders>
            <w:noWrap/>
          </w:tcPr>
          <w:p w14:paraId="3DDF69BC" w14:textId="46A6C8D7"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Kalthan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{"citationID":"BaDTtG4a","properties":{"formattedCitation":"[15]","plainCitation":"[15]","noteIndex":0},"citationItems":[{"id":4436,"uris":["http://zotero.org/users/1791235/items/4ZPHHLT3"],"itemData":{"id":4436,"type":"article-journal","abstract":"Background\nMonkeypox is a zoonosis caused by an Orthopoxvirus of the Poxviridae family. Human infections are often severe and are a public health problem.\nPatients and method\nWe conducted a monkeypox outbreak investigation of suspected case patients in five villages of the Alindao-Mingala Health District following blood sample confirmation of the virus by the Institut Pasteur in Bangui. We aimed to determine disease characteristics, to describe the context and the risk factors, and to measure the incidence and case fatality. Patients were reported in the villages of Rehou 4, 5, Dalakere 1, Kongbo, and Pavika from August to October 2016. Data was collected on individual records when interviewing patients or parents.\nResults\nA total of 26 patients were identified. The</w:instrText>
            </w:r>
            <w:r w:rsidR="002329B2">
              <w:rPr>
                <w:rFonts w:ascii="Times New Roman" w:hAnsi="Times New Roman" w:cs="Times New Roman"/>
                <w:i/>
                <w:iCs/>
                <w:color w:val="000000"/>
                <w:sz w:val="20"/>
                <w:szCs w:val="20"/>
              </w:rPr>
              <w:instrText>˂</w:instrText>
            </w:r>
            <w:r w:rsidR="002329B2">
              <w:rPr>
                <w:rFonts w:ascii="Garamond" w:hAnsi="Garamond" w:cs="Calibri"/>
                <w:i/>
                <w:iCs/>
                <w:color w:val="000000"/>
                <w:sz w:val="20"/>
                <w:szCs w:val="20"/>
              </w:rPr>
              <w:instrText>10 years and 21</w:instrText>
            </w:r>
            <w:r w:rsidR="002329B2">
              <w:rPr>
                <w:rFonts w:ascii="Garamond" w:hAnsi="Garamond" w:cs="Garamond"/>
                <w:i/>
                <w:iCs/>
                <w:color w:val="000000"/>
                <w:sz w:val="20"/>
                <w:szCs w:val="20"/>
              </w:rPr>
              <w:instrText>–</w:instrText>
            </w:r>
            <w:r w:rsidR="002329B2">
              <w:rPr>
                <w:rFonts w:ascii="Garamond" w:hAnsi="Garamond" w:cs="Calibri"/>
                <w:i/>
                <w:iCs/>
                <w:color w:val="000000"/>
                <w:sz w:val="20"/>
                <w:szCs w:val="20"/>
              </w:rPr>
              <w:instrText xml:space="preserve">30 years age groups were the most affected. The overall attack rate was 5 per 1000 inhabitants and the case fatality was 7.7%. Young age and the absence of smallpox vaccination were associated with severe presentations in 87.5% of cases.\nConclusion\nThe annual number of monkeypox outbreaks increases in the Central African Republic with severe presentations and a high case fatality especially in children. Reinforcing the surveillance and characterization of circulating strains will provide information on the need for vaccine production.\nRésumé\nContexte\nLe monkeypox est une zoonose due à un Orthopoxvirus de la famille des Poxviridae. L’infection humaine est souvent grave et constitue un problème de santé publique.\nPatients et méthodes\nUne investigation d’épidémie de monkeypox a été réalisée dans le district sanitaire d’Alindao-Mingala, République centre Africaine, autour des cas suspects de cinq villages suite à la confirmation du virus par l’institut Pasteur de Bangui sur prélèvements sanguins. L’objectif était de déterminer les caractéristiques de la maladie, décrire le contexte et les facteurs favorisants et déterminer l’incidence et la létalité. Les cas ont été recensés dans les villages de Rehou 4, 5, Dalakere 1, Kongbo et Pavika d’août à octobre 2016. Les données ont été collectées sur une fiche individuelle par interview des patients et parents.\nRésultats\nAu total, 26 patients ont été recensés. Les tranches d’âge de moins de 10 ans et de 21–30 ans étaient les plus touchées. Le taux d’attaque global était de 5 pour 1000 habitants et la létalité de 7,7 %. Le jeune âge et l’absence de vaccination contre la variole étaient associés aux formes graves de la maladie dans 87,5 % des cas.\nConclusion\nLe nombre annuel de flambée épidémique de monkeypox augmente en République centrafricaine avec des formes graves et une forte létalité en particulier chez les enfants. Le renforcement de la surveillance et la caractérisation des souches circulantes pourront donner des informations sur la nécessité d’une production de vaccin.","container-title":"Médecine et Maladies Infectieuses","DOI":"10.1016/j.medmal.2018.02.010","ISSN":"0399-077X","issue":"4","journalAbbreviation":"Médecine et Maladies Infectieuses","page":"263-268","source":"ScienceDirect","title":"Investigation of an outbreak of monkeypox in an area occupied by armed groups, Central African Republic","volume":"48","author":[{"family":"Kalthan","given":"E."},{"family":"Tenguere","given":"J."},{"family":"Ndjapou","given":"S. G."},{"family":"Koyazengbe","given":"T. A."},{"family":"Mbomba","given":"J."},{"family":"Marada","given":"R. M."},{"family":"Rombebe","given":"P."},{"family":"Yangueme","given":"P."},{"family":"Babamingui","given":"M."},{"family":"Sambella","given":"A."},{"family":"Nakoune","given":"E. R."}],"issued":{"date-parts":[["2018"]]}}}],"schema":"https://github.com/citation-style-language/schema/raw/master/csl-citation.json"}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[15]</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3EE8194E" w14:textId="6CA239D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2016</w:t>
            </w:r>
          </w:p>
        </w:tc>
        <w:tc>
          <w:tcPr>
            <w:tcW w:w="2204" w:type="dxa"/>
            <w:tcBorders>
              <w:top w:val="nil"/>
              <w:left w:val="nil"/>
              <w:bottom w:val="nil"/>
              <w:right w:val="nil"/>
            </w:tcBorders>
            <w:noWrap/>
          </w:tcPr>
          <w:p w14:paraId="691F8E2A" w14:textId="0AE4801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AF06F2">
              <w:rPr>
                <w:rFonts w:ascii="Garamond" w:hAnsi="Garamond" w:cs="Calibri"/>
                <w:color w:val="000000"/>
                <w:sz w:val="20"/>
                <w:szCs w:val="20"/>
              </w:rPr>
              <w:t>Central African Republic</w:t>
            </w:r>
          </w:p>
        </w:tc>
        <w:tc>
          <w:tcPr>
            <w:tcW w:w="1082" w:type="dxa"/>
            <w:tcBorders>
              <w:top w:val="nil"/>
              <w:left w:val="nil"/>
              <w:bottom w:val="nil"/>
              <w:right w:val="nil"/>
            </w:tcBorders>
            <w:noWrap/>
          </w:tcPr>
          <w:p w14:paraId="7A9DD060" w14:textId="5E59F7C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134FDB07" w14:textId="3C84AE3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79926199" w14:textId="491B808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7FB72469" w14:textId="3F1E255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12D720CE" w14:textId="26EBEE4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62122BF1" w14:textId="157E361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26</w:t>
            </w:r>
          </w:p>
        </w:tc>
        <w:tc>
          <w:tcPr>
            <w:tcW w:w="1130" w:type="dxa"/>
            <w:tcBorders>
              <w:top w:val="nil"/>
              <w:left w:val="nil"/>
              <w:bottom w:val="nil"/>
              <w:right w:val="nil"/>
            </w:tcBorders>
            <w:noWrap/>
          </w:tcPr>
          <w:p w14:paraId="4191F4FB" w14:textId="70E08A1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12.5</w:t>
            </w:r>
          </w:p>
        </w:tc>
      </w:tr>
      <w:tr w:rsidR="00925CF9" w:rsidRPr="00431BC4" w14:paraId="1DF8B5BE" w14:textId="77777777" w:rsidTr="008C1796">
        <w:trPr>
          <w:trHeight w:val="290"/>
        </w:trPr>
        <w:tc>
          <w:tcPr>
            <w:tcW w:w="2410" w:type="dxa"/>
            <w:tcBorders>
              <w:top w:val="nil"/>
              <w:left w:val="nil"/>
              <w:bottom w:val="nil"/>
              <w:right w:val="nil"/>
            </w:tcBorders>
            <w:noWrap/>
          </w:tcPr>
          <w:p w14:paraId="42060FA5" w14:textId="3CB334BD"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Nakoune</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{"citationID":"UXCSOqni","properties":{"formattedCitation":"[16]","plainCitation":"[16]","noteIndex":0},"citationItems":[{"id":3697,"uris":["http://zotero.org/users/1791235/items/LJMRJHPG"],"itemData":{"id":3697,"type":"article-journal","abstract":"Abstract\n            An outbreak of familial monkeypox occurred in the Central African Republic in 2015/2016 by 3 transmission modes: familial, health care–related, and transport-related. Ten people (3 children and 7 adults) were infected. Most presented with cutaneous lesions and fever, and 2 children died. The viral strain responsible was a Zaire genotype strain.","container-title":"Open Forum Infectious Diseases","DOI":"10.1093/ofid/ofx168","ISSN":"2328-8957","issue":"4","language":"en","license":"http://creativecommons.org/licenses/by-nc-nd/4.0","page":"ofx168","source":"DOI.org (Crossref)","title":"A Nosocomial Outbreak of Human Monkeypox in the Central African Republic","volume":"4","author":[{"family":"Nakoune","given":"Emmanuel"},{"family":"Lampaert","given":"Emmanuel"},{"family":"Ndjapou","given":"Séverin Gervais"},{"family":"Janssens","given":"Carole"},{"family":"Zuniga","given":"Isabel"},{"family":"Van Herp","given":"Michel"},{"family":"Fongbia","given":"Jean Paul"},{"family":"Koyazegbe","given":"Thomas Daquin"},{"family":"Selekon","given":"Benjamin"},{"family":"Komoyo","given":"Giscard Francis"},{"family":"Garba-Ouangole","given":"Sandra Miriella"},{"family":"Manengu","given":"Casimir"},{"family":"Manuguerra","given":"Jean-Claude"},{"family":"Kazanji","given":"Mirdad"},{"family":"Gessain","given":"Antoine"},{"family":"Berthet","given":"Nicolas"}],"issued":{"date-parts":[["2017"]]}}}],"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[16]</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D931204" w14:textId="7AF088C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2016</w:t>
            </w:r>
          </w:p>
        </w:tc>
        <w:tc>
          <w:tcPr>
            <w:tcW w:w="2204" w:type="dxa"/>
            <w:tcBorders>
              <w:top w:val="nil"/>
              <w:left w:val="nil"/>
              <w:bottom w:val="nil"/>
              <w:right w:val="nil"/>
            </w:tcBorders>
            <w:noWrap/>
          </w:tcPr>
          <w:p w14:paraId="0E2724EF" w14:textId="2EE808B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AF06F2">
              <w:rPr>
                <w:rFonts w:ascii="Garamond" w:hAnsi="Garamond" w:cs="Calibri"/>
                <w:color w:val="000000"/>
                <w:sz w:val="20"/>
                <w:szCs w:val="20"/>
              </w:rPr>
              <w:t>Central African Republic</w:t>
            </w:r>
          </w:p>
        </w:tc>
        <w:tc>
          <w:tcPr>
            <w:tcW w:w="1082" w:type="dxa"/>
            <w:tcBorders>
              <w:top w:val="nil"/>
              <w:left w:val="nil"/>
              <w:bottom w:val="nil"/>
              <w:right w:val="nil"/>
            </w:tcBorders>
            <w:noWrap/>
          </w:tcPr>
          <w:p w14:paraId="0EC09382" w14:textId="4D04C40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0CE79BED" w14:textId="4AE0E33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2C558154" w14:textId="307A527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 and HCWs</w:t>
            </w:r>
          </w:p>
        </w:tc>
        <w:tc>
          <w:tcPr>
            <w:tcW w:w="1232" w:type="dxa"/>
            <w:tcBorders>
              <w:top w:val="nil"/>
              <w:left w:val="nil"/>
              <w:bottom w:val="nil"/>
              <w:right w:val="nil"/>
            </w:tcBorders>
            <w:noWrap/>
          </w:tcPr>
          <w:p w14:paraId="674F5020" w14:textId="5FBA2E4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6D46C646" w14:textId="622ABAD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4F316DE1" w14:textId="29BCFE9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15</w:t>
            </w:r>
          </w:p>
        </w:tc>
        <w:tc>
          <w:tcPr>
            <w:tcW w:w="1130" w:type="dxa"/>
            <w:tcBorders>
              <w:top w:val="nil"/>
              <w:left w:val="nil"/>
              <w:bottom w:val="nil"/>
              <w:right w:val="nil"/>
            </w:tcBorders>
            <w:noWrap/>
          </w:tcPr>
          <w:p w14:paraId="6439F1A8" w14:textId="23CD084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6E301FDD" w14:textId="77777777" w:rsidTr="008C1796">
        <w:trPr>
          <w:trHeight w:val="290"/>
        </w:trPr>
        <w:tc>
          <w:tcPr>
            <w:tcW w:w="2410" w:type="dxa"/>
            <w:tcBorders>
              <w:top w:val="nil"/>
              <w:left w:val="nil"/>
              <w:bottom w:val="nil"/>
              <w:right w:val="nil"/>
            </w:tcBorders>
            <w:noWrap/>
          </w:tcPr>
          <w:p w14:paraId="6960E93A" w14:textId="15DC1D87"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Durski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{"citationID":"fieizPZT","properties":{"formattedCitation":"[3]","plainCitation":"[3]","noteIndex":0},"citationItems":[{"id":4430,"uris":["http://zotero.org/users/1791235/items/IRD42T88"],"itemData":{"id":4430,"type":"article-journal","abstract":"The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5E0408B" w14:textId="4F6934A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4718F29B" w14:textId="31C42C6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AF06F2">
              <w:rPr>
                <w:rFonts w:ascii="Garamond" w:hAnsi="Garamond" w:cs="Calibri"/>
                <w:color w:val="000000"/>
                <w:sz w:val="20"/>
                <w:szCs w:val="20"/>
              </w:rPr>
              <w:t>Central African Republic</w:t>
            </w:r>
          </w:p>
        </w:tc>
        <w:tc>
          <w:tcPr>
            <w:tcW w:w="1082" w:type="dxa"/>
            <w:tcBorders>
              <w:top w:val="nil"/>
              <w:left w:val="nil"/>
              <w:bottom w:val="nil"/>
              <w:right w:val="nil"/>
            </w:tcBorders>
            <w:noWrap/>
          </w:tcPr>
          <w:p w14:paraId="2320038B" w14:textId="50D3ED4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1E34C02B" w14:textId="6D4185D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68BCEED6" w14:textId="05B78D6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332370F1" w14:textId="6DB8603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134F773" w14:textId="1C4E1FC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0805C53B" w14:textId="3B9B1AD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2F7D1F8D" w14:textId="6E1CBF6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1789A40B" w14:textId="77777777" w:rsidTr="008C1796">
        <w:trPr>
          <w:trHeight w:val="290"/>
        </w:trPr>
        <w:tc>
          <w:tcPr>
            <w:tcW w:w="2410" w:type="dxa"/>
            <w:tcBorders>
              <w:top w:val="nil"/>
              <w:left w:val="nil"/>
              <w:bottom w:val="nil"/>
              <w:right w:val="nil"/>
            </w:tcBorders>
            <w:noWrap/>
          </w:tcPr>
          <w:p w14:paraId="4743519A" w14:textId="7E0FA242"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Durski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{"citationID":"D4PtbXmN","properties":{"formattedCitation":"[3]","plainCitation":"[3]","noteIndex":0},"citationItems":[{"id":4430,"uris":["http://zotero.org/users/1791235/items/IRD42T88"],"itemData":{"id":4430,"type":"article-journal","abstract":"The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C9E6592" w14:textId="4A2A9A9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63AB9011" w14:textId="3BBF476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AF06F2">
              <w:rPr>
                <w:rFonts w:ascii="Garamond" w:hAnsi="Garamond" w:cs="Calibri"/>
                <w:color w:val="000000"/>
                <w:sz w:val="20"/>
                <w:szCs w:val="20"/>
              </w:rPr>
              <w:t>Central African Republic</w:t>
            </w:r>
          </w:p>
        </w:tc>
        <w:tc>
          <w:tcPr>
            <w:tcW w:w="1082" w:type="dxa"/>
            <w:tcBorders>
              <w:top w:val="nil"/>
              <w:left w:val="nil"/>
              <w:bottom w:val="nil"/>
              <w:right w:val="nil"/>
            </w:tcBorders>
            <w:noWrap/>
          </w:tcPr>
          <w:p w14:paraId="47C2CA18" w14:textId="2F2ED7B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16CFE678" w14:textId="33167F1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40C944B6" w14:textId="0115851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045DE006" w14:textId="31A0B6D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500F71A2" w14:textId="7C25B0B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7B873807" w14:textId="589743F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6</w:t>
            </w:r>
          </w:p>
        </w:tc>
        <w:tc>
          <w:tcPr>
            <w:tcW w:w="1130" w:type="dxa"/>
            <w:tcBorders>
              <w:top w:val="nil"/>
              <w:left w:val="nil"/>
              <w:bottom w:val="nil"/>
              <w:right w:val="nil"/>
            </w:tcBorders>
            <w:noWrap/>
          </w:tcPr>
          <w:p w14:paraId="1DB72EC3" w14:textId="5749606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57B7F921" w14:textId="77777777" w:rsidTr="008C1796">
        <w:trPr>
          <w:trHeight w:val="290"/>
        </w:trPr>
        <w:tc>
          <w:tcPr>
            <w:tcW w:w="2410" w:type="dxa"/>
            <w:tcBorders>
              <w:top w:val="nil"/>
              <w:left w:val="nil"/>
              <w:bottom w:val="nil"/>
              <w:right w:val="nil"/>
            </w:tcBorders>
            <w:noWrap/>
          </w:tcPr>
          <w:p w14:paraId="1666EC20" w14:textId="1035AD2A"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Doshi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{"citationID":"Cqo7d2jV","properties":{"formattedCitation":"[17]","plainCitation":"[17]","noteIndex":0},"citationItems":[{"id":3848,"uris":["http://zotero.org/users/1791235/items/46QPL842"],"itemData":{"id":3848,"type":"article-journal","container-title":"Emerging Infectious Diseases","DOI":"10.3201/eid2406.180248","ISSN":"1080-6040, 1080-6059","issue":"6","journalAbbreviation":"Emerg. Infect. Dis.","language":"en","page":"1158-60","source":"DOI.org (Crossref)","title":"Strengthening of Surveillance during Monkeypox Outbreak, Republic of the Congo, 2017","volume":"24","author":[{"family":"Doshi","given":"Reena H."},{"family":"Guagliardo","given":"Sarah Anne J."},{"family":"Dzabatou-Babeaux","given":"Angelie"},{"family":"Likouayoulou","given":"Camille"},{"family":"Ndakala","given":"Nestor"},{"family":"Moses","given":"Cynthia"},{"family":"Olson","given":"Victoria"},{"family":"McCollum","given":"Andrea M."},{"family":"Petersen","given":"Brett W."}],"issued":{"date-parts":[["2018"]]}}}],"schema":"https://github.com/citation-style-language/schema/raw/master/csl-citation.json"}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[17]</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057D4EF6" w14:textId="37E4D1F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334AE3D9" w14:textId="60582C4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Congo</w:t>
            </w:r>
          </w:p>
        </w:tc>
        <w:tc>
          <w:tcPr>
            <w:tcW w:w="1082" w:type="dxa"/>
            <w:tcBorders>
              <w:top w:val="nil"/>
              <w:left w:val="nil"/>
              <w:bottom w:val="nil"/>
              <w:right w:val="nil"/>
            </w:tcBorders>
            <w:noWrap/>
          </w:tcPr>
          <w:p w14:paraId="5B13C350" w14:textId="5DBD5A9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Case series</w:t>
            </w:r>
          </w:p>
        </w:tc>
        <w:tc>
          <w:tcPr>
            <w:tcW w:w="1180" w:type="dxa"/>
            <w:tcBorders>
              <w:top w:val="nil"/>
              <w:left w:val="nil"/>
              <w:bottom w:val="nil"/>
              <w:right w:val="nil"/>
            </w:tcBorders>
            <w:noWrap/>
          </w:tcPr>
          <w:p w14:paraId="2038B8D8" w14:textId="7EE9C4E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3B17F5B5" w14:textId="6934C8D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213A0649" w14:textId="290A771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5CAD0D29" w14:textId="4CF948C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75DEC033" w14:textId="5B7FAD1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88</w:t>
            </w:r>
          </w:p>
        </w:tc>
        <w:tc>
          <w:tcPr>
            <w:tcW w:w="1130" w:type="dxa"/>
            <w:tcBorders>
              <w:top w:val="nil"/>
              <w:left w:val="nil"/>
              <w:bottom w:val="nil"/>
              <w:right w:val="nil"/>
            </w:tcBorders>
            <w:noWrap/>
          </w:tcPr>
          <w:p w14:paraId="3DB15934" w14:textId="6EE58DF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100.0</w:t>
            </w:r>
          </w:p>
        </w:tc>
      </w:tr>
      <w:tr w:rsidR="00925CF9" w:rsidRPr="00431BC4" w14:paraId="44789B12" w14:textId="77777777" w:rsidTr="008C1796">
        <w:trPr>
          <w:trHeight w:val="290"/>
        </w:trPr>
        <w:tc>
          <w:tcPr>
            <w:tcW w:w="2410" w:type="dxa"/>
            <w:tcBorders>
              <w:top w:val="nil"/>
              <w:left w:val="nil"/>
              <w:bottom w:val="nil"/>
              <w:right w:val="nil"/>
            </w:tcBorders>
            <w:noWrap/>
          </w:tcPr>
          <w:p w14:paraId="47DD4DA4" w14:textId="62A8C7BC"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Durski</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{"citationID":"IqGu3p8U","properties":{"formattedCitation":"[3]","plainCitation":"[3]","noteIndex":0},"citationItems":[{"id":4430,"uris":["http://zotero.org/users/1791235/items/IRD42T88"],"itemData":{"id":4430,"type":"article-journal","abstract":"The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0FF86093" w14:textId="082B56B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469DB2A1" w14:textId="30C4ED4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Liberia</w:t>
            </w:r>
          </w:p>
        </w:tc>
        <w:tc>
          <w:tcPr>
            <w:tcW w:w="1082" w:type="dxa"/>
            <w:tcBorders>
              <w:top w:val="nil"/>
              <w:left w:val="nil"/>
              <w:bottom w:val="nil"/>
              <w:right w:val="nil"/>
            </w:tcBorders>
            <w:noWrap/>
          </w:tcPr>
          <w:p w14:paraId="2ADAB26A" w14:textId="19188F5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22FB63E0" w14:textId="5E3FCFC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21335A46" w14:textId="5112E79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4A1AF75C" w14:textId="5D4BBE6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4AA4E92E" w14:textId="1268D9B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3392717D" w14:textId="7AC2382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0D9FBF3F" w14:textId="0C5AC31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9.1</w:t>
            </w:r>
          </w:p>
        </w:tc>
      </w:tr>
      <w:tr w:rsidR="00925CF9" w:rsidRPr="00431BC4" w14:paraId="777792C8" w14:textId="77777777" w:rsidTr="008C1796">
        <w:trPr>
          <w:trHeight w:val="290"/>
        </w:trPr>
        <w:tc>
          <w:tcPr>
            <w:tcW w:w="2410" w:type="dxa"/>
            <w:tcBorders>
              <w:top w:val="nil"/>
              <w:left w:val="nil"/>
              <w:bottom w:val="nil"/>
              <w:right w:val="nil"/>
            </w:tcBorders>
            <w:noWrap/>
          </w:tcPr>
          <w:p w14:paraId="61E1CA71" w14:textId="69C3850B"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Ogoina</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{"citationID":"jWpfw90n","properties":{"formattedCitation":"[18]","plainCitation":"[18]","noteIndex":0},"citationItems":[{"id":4748,"uris":["http://zotero.org/users/1791235/items/5G2HLEYX"],"itemData":{"id":4748,"type":"article-journal","abstract":"Background In September 2017, Nigeria experienced a large outbreak of human monkeypox (HMPX). In this study, we report the outbreak experience and response in the Niger Delta University Teaching Hospital (NDUTH), Bayelsa state, where the index case and majority of suspected cases were reported. Methods In a cross-sectional study between September 25th and 31st December 2017, we reviewed the clinical and laboratory characteristics of all suspected and confirmed cases of HMPX seen at the NDUTH and appraised the plans, activities and challenges of the hospital in response to the outbreak based on documented observations of the hospital’s infection control committee (IPC). Monkeypox cases were defined using the interim national guidelines as provided by the Nigerian Centre for Disease Control (NCDC). Results Of 38 suspected cases of HMPX, 18(47.4%) were laboratory confirmed, 3(7.9%) were probable, while 17 (18.4%) did not fit the case definition for HMPX. Majority of the confirmed/probable cases were adults (80.9%) and males (80.9%). There was concomitant chicken pox, syphilis and HIV-1 infections in two confirmed cases and a case of nosocomial infection in one healthcare worker (HCW). The hospital established a make-shift isolation ward for case management, constituted a HMPX response team and provided IPC resources. At the outset, some HCWs were reluctant to participate in the outbreak and others avoided suspected patients. Some patients and their family members experienced stigma and discrimination and there were cases of refusal of isolation. Repeated trainings and collaborative efforts by all stakeholders addressed some of these challenges and eventually led to successful containment of the outbreak. Conclusion While the 2017 outbreak of human monkeypox in Nigeria was contained, our report reveals gaps in outbreak response that could serve as lessons to other hospitals to strengthen epidemic preparedness and response activities in the hospital setting.","container-title":"PLOS ONE","DOI":"10.1371/journal.pone.0214229","ISSN":"1932-6203","issue":"4","journalAbbreviation":"PLOS ONE","language":"en","note":"publisher: Public Library of Science","page":"e0214229","source":"PLoS Journals","title":"The 2017 human monkeypox outbreak in Nigeria—Report of outbreak experience and response in the Niger Delta University Teaching Hospital, Bayelsa State, Nigeria","volume":"14","author":[{"family":"Ogoina","given":"Dimie"},{"family":"Izibewule","given":"James Hendris"},{"family":"Ogunleye","given":"Adesola"},{"family":"Ederiane","given":"Ebi"},{"family":"Anebonam","given":"Uchenna"},{"family":"Neni","given":"Aworabhi"},{"family":"Oyeyemi","given":"Abisoye"},{"family":"Etebu","given":"Ebimitula Nicholas"},{"family":"Ihekweazu","given":"Chikwe"}],"issued":{"date-parts":[["2019"]]}}}],"schema":"https://github.com/citation-style-language/schema/raw/master/csl-citation.json"}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[18]</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2E204724" w14:textId="78462D6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2755EDBF" w14:textId="3747A1D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268E7EAC" w14:textId="52190A4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439E4E7F" w14:textId="25AC16B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2B3638F4" w14:textId="55F04AE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5A33A1CF" w14:textId="7E76C41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0FE5B61F" w14:textId="4421B67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7A888798" w14:textId="1F85FBF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38</w:t>
            </w:r>
          </w:p>
        </w:tc>
        <w:tc>
          <w:tcPr>
            <w:tcW w:w="1130" w:type="dxa"/>
            <w:tcBorders>
              <w:top w:val="nil"/>
              <w:left w:val="nil"/>
              <w:bottom w:val="nil"/>
              <w:right w:val="nil"/>
            </w:tcBorders>
            <w:noWrap/>
          </w:tcPr>
          <w:p w14:paraId="7E8961BD" w14:textId="0AF2A45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1.4</w:t>
            </w:r>
          </w:p>
        </w:tc>
      </w:tr>
      <w:tr w:rsidR="00925CF9" w:rsidRPr="00431BC4" w14:paraId="5451C823" w14:textId="77777777" w:rsidTr="008C1796">
        <w:trPr>
          <w:trHeight w:val="290"/>
        </w:trPr>
        <w:tc>
          <w:tcPr>
            <w:tcW w:w="2410" w:type="dxa"/>
            <w:tcBorders>
              <w:top w:val="nil"/>
              <w:left w:val="nil"/>
              <w:bottom w:val="nil"/>
              <w:right w:val="nil"/>
            </w:tcBorders>
            <w:noWrap/>
          </w:tcPr>
          <w:p w14:paraId="4146FE10" w14:textId="49BB0253"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Ita</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{"citationID":"P3vigU2r","properties":{"formattedCitation":"[19]","plainCitation":"[19]","noteIndex":0},"citationItems":[{"id":4741,"uris":["http://zotero.org/users/1791235/items/5TBIWWE2"],"itemData":{"id":4741,"type":"article-journal","container-title":"East Afr. Scholars J. Med. Sci.","issue":"5","journalAbbreviation":"East Afr. Scholars J. Med. Sci.","page":"224-227","title":"Descriptive epidemiology of monkeypox outbreak in Akwa Ibom State, Nigeria—5th October to 7th November 2017","volume":"2","author":[{"family":"Ita","given":"O Ita"},{"family":"Amuzi","given":"CI"},{"family":"Udo","given":"UA"},{"family":"Uwa","given":"A"}],"issued":{"date-parts":[["2019"]]}}}],"schema":"https://github.com/citation-style-language/schema/raw/master/csl-citation.json"}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[19]</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5B8D8BF2" w14:textId="2E31D71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603E9E7A" w14:textId="4916097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5D5286CF" w14:textId="6D76E2B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420AA0E5" w14:textId="04E46C5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2CCB4809" w14:textId="4A1BE6D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0D9748C1" w14:textId="2B73C5A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3C6F6AA5" w14:textId="5C610F4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195B2179" w14:textId="2BCC015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15</w:t>
            </w:r>
          </w:p>
        </w:tc>
        <w:tc>
          <w:tcPr>
            <w:tcW w:w="1130" w:type="dxa"/>
            <w:tcBorders>
              <w:top w:val="nil"/>
              <w:left w:val="nil"/>
              <w:bottom w:val="nil"/>
              <w:right w:val="nil"/>
            </w:tcBorders>
            <w:noWrap/>
          </w:tcPr>
          <w:p w14:paraId="588DD5D9" w14:textId="48D28D5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25.0</w:t>
            </w:r>
          </w:p>
        </w:tc>
      </w:tr>
      <w:tr w:rsidR="00925CF9" w:rsidRPr="00431BC4" w14:paraId="7D602AD3" w14:textId="77777777" w:rsidTr="008C1796">
        <w:trPr>
          <w:trHeight w:val="290"/>
        </w:trPr>
        <w:tc>
          <w:tcPr>
            <w:tcW w:w="2410" w:type="dxa"/>
            <w:tcBorders>
              <w:top w:val="nil"/>
              <w:left w:val="nil"/>
              <w:bottom w:val="nil"/>
              <w:right w:val="nil"/>
            </w:tcBorders>
            <w:noWrap/>
          </w:tcPr>
          <w:p w14:paraId="6077CC8A" w14:textId="509FE041"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Ibegu</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{"citationID":"lmPGEH6k","properties":{"formattedCitation":"[20]","plainCitation":"[20]","noteIndex":0},"citationItems":[{"id":4742,"uris":["http://zotero.org/users/1791235/items/WRX8TAPS"],"itemData":{"id":4742,"type":"article-journal","container-title":"International Journal of Infectious Diseases","ISSN":"1201-9712","journalAbbreviation":"International Journal of Infectious Diseases","note":"publisher: Elsevier","page":"255","title":"Descriptive epidemiology of Monkeypox outbreak in Bayelsa State South-South Nigeria, November 2017","volume":"101","author":[{"family":"Ibegu","given":"M"},{"family":"Numbere","given":"T-W"},{"family":"Balogun","given":"M"},{"family":"Nguku","given":"P"}],"issued":{"date-parts":[["2020"]]}}}],"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[20]</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6EEEC490" w14:textId="2291D49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58F7C0DF" w14:textId="4F94BE9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33AF0EE4" w14:textId="18600FE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5DDB1F89" w14:textId="384FE0F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3A55BB63" w14:textId="6B767D2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06029F08" w14:textId="3BAD4DE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49A6904A" w14:textId="77128F3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15FA363C" w14:textId="0392FB1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30</w:t>
            </w:r>
          </w:p>
        </w:tc>
        <w:tc>
          <w:tcPr>
            <w:tcW w:w="1130" w:type="dxa"/>
            <w:tcBorders>
              <w:top w:val="nil"/>
              <w:left w:val="nil"/>
              <w:bottom w:val="nil"/>
              <w:right w:val="nil"/>
            </w:tcBorders>
            <w:noWrap/>
          </w:tcPr>
          <w:p w14:paraId="719F0A6F" w14:textId="269CABA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25.0</w:t>
            </w:r>
          </w:p>
        </w:tc>
      </w:tr>
      <w:tr w:rsidR="00925CF9" w:rsidRPr="00431BC4" w14:paraId="1EF62472" w14:textId="77777777" w:rsidTr="008C1796">
        <w:trPr>
          <w:trHeight w:val="290"/>
        </w:trPr>
        <w:tc>
          <w:tcPr>
            <w:tcW w:w="2410" w:type="dxa"/>
            <w:tcBorders>
              <w:top w:val="nil"/>
              <w:left w:val="nil"/>
              <w:bottom w:val="nil"/>
              <w:right w:val="nil"/>
            </w:tcBorders>
            <w:noWrap/>
          </w:tcPr>
          <w:p w14:paraId="6D57CD12" w14:textId="022A2426"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Reynolds</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{"citationID":"eDR62ULa","properties":{"formattedCitation":"[21]","plainCitation":"[21]","noteIndex":0},"citationItems":[{"id":4745,"uris":["http://zotero.org/users/1791235/items/ERNT9CF9"],"itemData":{"id":4745,"type":"article-journal","container-title":"Emerging Infectious Diseases","DOI":"10.3201/eid2505.180832","ISSN":"1080-6040, 1080-6059","issue":"5","journalAbbreviation":"Emerg. Infect. Dis.","page":"1023-1025","source":"DOI.org (Crossref)","title":"Human Monkeypox in Sierra Leone after 44-Year Absence of Reported Cases","volume":"25","author":[{"family":"Reynolds","given":"Mary G."},{"family":"Wauquier","given":"Nadia"},{"family":"Li","given":"Yu"},{"family":"Satheshkumar","given":"Panayampalli Subbian"},{"family":"Kanneh","given":"Lansana D."},{"family":"Monroe","given":"Benjamin"},{"family":"Maikere","given":"Jacob"},{"family":"Saffa","given":"Gbessay"},{"family":"Gonzalez","given":"Jean-Paul"},{"family":"Fair","given":"Joseph"},{"family":"Carroll","given":"Darin S."},{"family":"Jambai","given":"Amara"},{"family":"Dafae","given":"Foday"},{"family":"Khan","given":"Sheik Humarr"},{"family":"Moses","given":"Lina M."}],"issued":{"date-parts":[["2019"]]}}}],"schema":"https://github.com/citation-style-language/schema/raw/master/csl-citation.json"}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[21]</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5C632572" w14:textId="4877037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2017</w:t>
            </w:r>
          </w:p>
        </w:tc>
        <w:tc>
          <w:tcPr>
            <w:tcW w:w="2204" w:type="dxa"/>
            <w:tcBorders>
              <w:top w:val="nil"/>
              <w:left w:val="nil"/>
              <w:bottom w:val="nil"/>
              <w:right w:val="nil"/>
            </w:tcBorders>
            <w:noWrap/>
          </w:tcPr>
          <w:p w14:paraId="62A074A2" w14:textId="18CBB60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Sierra Leone</w:t>
            </w:r>
          </w:p>
        </w:tc>
        <w:tc>
          <w:tcPr>
            <w:tcW w:w="1082" w:type="dxa"/>
            <w:tcBorders>
              <w:top w:val="nil"/>
              <w:left w:val="nil"/>
              <w:bottom w:val="nil"/>
              <w:right w:val="nil"/>
            </w:tcBorders>
            <w:noWrap/>
          </w:tcPr>
          <w:p w14:paraId="40A74C1C" w14:textId="5A1227C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6D1F9F2B" w14:textId="058D720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712A1C05" w14:textId="1E5B99B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7781DF21" w14:textId="3B248C9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F85488D" w14:textId="1293E4C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273D2696" w14:textId="5B864F1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7F95554B" w14:textId="7F707C0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3.8</w:t>
            </w:r>
          </w:p>
        </w:tc>
      </w:tr>
      <w:tr w:rsidR="00925CF9" w:rsidRPr="00431BC4" w14:paraId="661669F9" w14:textId="77777777" w:rsidTr="008C1796">
        <w:trPr>
          <w:trHeight w:val="290"/>
        </w:trPr>
        <w:tc>
          <w:tcPr>
            <w:tcW w:w="2410" w:type="dxa"/>
            <w:tcBorders>
              <w:top w:val="nil"/>
              <w:left w:val="nil"/>
              <w:bottom w:val="nil"/>
              <w:right w:val="nil"/>
            </w:tcBorders>
            <w:noWrap/>
          </w:tcPr>
          <w:p w14:paraId="63E0E92D" w14:textId="6D289262"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Vaughan</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{"citationID":"SimVoSJC","properties":{"formattedCitation":"[22]","plainCitation":"[22]","noteIndex":0},"citationItems":[{"id":4733,"uris":["http://zotero.org/users/1791235/items/X4DC36IN"],"itemData":{"id":4733,"type":"article-journal","abstract":"In early September 2018, two cases of monkeypox were reported in the United Kingdom (UK), diagnosed on 7 September in Cornwall (South West England) and 11 September in Blackpool (North West England). The cases were epidemiologically unconnected and had recently travelled to the UK from Nigeria, where monkeypox is currently circulating. We describe the epidemiology and the public health response for the first diagnosed cases outside the African continent since 2003.","container-title":"Eurosurveillance","DOI":"10.2807/1560-7917.ES.2018.23.38.1800509","ISSN":"1560-7917","issue":"38","language":"en","note":"publisher: European Centre for Disease Prevention and Control","page":"1800509","source":"www.eurosurveillance.org","title":"Two cases of monkeypox imported to the United Kingdom, September 2018","volume":"23","author":[{"family":"Vaughan","given":"Aisling"},{"family":"Aarons","given":"Emma"},{"family":"Astbury","given":"John"},{"family":"Balasegaram","given":"Sooria"},{"family":"Beadsworth","given":"Mike"},{"family":"Beck","given":"Charles R."},{"family":"Chand","given":"Meera"},{"family":"O’Connor","given":"Catherine"},{"family":"Dunning","given":"Jake"},{"family":"Ghebrehewet","given":"Sam"},{"family":"Harper","given":"Nick"},{"family":"Howlett-Shipley","given":"Ruth"},{"family":"Ihekweazu","given":"Chikwe"},{"family":"Jacobs","given":"Michael"},{"family":"Kaindama","given":"Lukeki"},{"family":"Katwa","given":"Parisha"},{"family":"Khoo","given":"Saye"},{"family":"Lamb","given":"Lucy"},{"family":"Mawdsley","given":"Sharon"},{"family":"Morgan","given":"Dilys"},{"family":"Palmer","given":"Ruth"},{"family":"Phin","given":"Nick"},{"family":"Russell","given":"Katherine"},{"family":"Said","given":"Bengü"},{"family":"Simpson","given":"Andrew"},{"family":"Vivancos","given":"Roberto"},{"family":"Wade","given":"Michael"},{"family":"Walsh","given":"Amanda"},{"family":"Wilburn","given":"Jennifer"}],"issued":{"date-parts":[["2018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[22]</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65E534A" w14:textId="4E4E9AC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2018</w:t>
            </w:r>
          </w:p>
        </w:tc>
        <w:tc>
          <w:tcPr>
            <w:tcW w:w="2204" w:type="dxa"/>
            <w:tcBorders>
              <w:top w:val="nil"/>
              <w:left w:val="nil"/>
              <w:bottom w:val="nil"/>
              <w:right w:val="nil"/>
            </w:tcBorders>
            <w:noWrap/>
          </w:tcPr>
          <w:p w14:paraId="2BAE25F6" w14:textId="3895DB2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52F30D4E" w14:textId="68054CD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Case report</w:t>
            </w:r>
          </w:p>
        </w:tc>
        <w:tc>
          <w:tcPr>
            <w:tcW w:w="1180" w:type="dxa"/>
            <w:tcBorders>
              <w:top w:val="nil"/>
              <w:left w:val="nil"/>
              <w:bottom w:val="nil"/>
              <w:right w:val="nil"/>
            </w:tcBorders>
            <w:noWrap/>
          </w:tcPr>
          <w:p w14:paraId="5152595A" w14:textId="2E61E6F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5F3AC0BD" w14:textId="7CE66C2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6C00F3D7" w14:textId="2ED090A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7B9D46A8" w14:textId="4EBD1CF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5BAC8E0B" w14:textId="4A8D6DA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w:t>
            </w:r>
          </w:p>
        </w:tc>
        <w:tc>
          <w:tcPr>
            <w:tcW w:w="1130" w:type="dxa"/>
            <w:tcBorders>
              <w:top w:val="nil"/>
              <w:left w:val="nil"/>
              <w:bottom w:val="nil"/>
              <w:right w:val="nil"/>
            </w:tcBorders>
            <w:noWrap/>
          </w:tcPr>
          <w:p w14:paraId="6C53CE18" w14:textId="308817C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13.3</w:t>
            </w:r>
          </w:p>
        </w:tc>
      </w:tr>
      <w:tr w:rsidR="00925CF9" w:rsidRPr="00431BC4" w14:paraId="01AC95F6" w14:textId="77777777" w:rsidTr="008C1796">
        <w:trPr>
          <w:trHeight w:val="290"/>
        </w:trPr>
        <w:tc>
          <w:tcPr>
            <w:tcW w:w="2410" w:type="dxa"/>
            <w:tcBorders>
              <w:top w:val="nil"/>
              <w:left w:val="nil"/>
              <w:bottom w:val="nil"/>
              <w:right w:val="nil"/>
            </w:tcBorders>
            <w:noWrap/>
          </w:tcPr>
          <w:p w14:paraId="04EC6E05" w14:textId="073DD256" w:rsidR="00925CF9" w:rsidRPr="004F4D51" w:rsidRDefault="00925CF9" w:rsidP="002329B2">
            <w:pPr>
              <w:spacing w:after="0" w:line="240" w:lineRule="auto"/>
              <w:rPr>
                <w:rFonts w:ascii="Garamond" w:eastAsia="Times New Roman" w:hAnsi="Garamond" w:cs="Calibri"/>
                <w:color w:val="000000"/>
                <w:kern w:val="0"/>
                <w:sz w:val="20"/>
                <w:szCs w:val="20"/>
                <w:lang w:val="fr-FR" w:eastAsia="fr-FR"/>
                <w14:ligatures w14:val="none"/>
              </w:rPr>
            </w:pPr>
            <w:r w:rsidRPr="004F4D51">
              <w:rPr>
                <w:rFonts w:ascii="Garamond" w:hAnsi="Garamond" w:cs="Calibri"/>
                <w:color w:val="000000"/>
                <w:sz w:val="20"/>
                <w:szCs w:val="20"/>
                <w:lang w:val="fr-FR"/>
              </w:rPr>
              <w:t xml:space="preserve">Yinka-ogunleye </w:t>
            </w:r>
            <w:r w:rsidRPr="004F4D51">
              <w:rPr>
                <w:rFonts w:ascii="Garamond" w:hAnsi="Garamond" w:cs="Calibri"/>
                <w:i/>
                <w:iCs/>
                <w:color w:val="000000"/>
                <w:sz w:val="20"/>
                <w:szCs w:val="20"/>
                <w:lang w:val="fr-FR"/>
              </w:rPr>
              <w:t xml:space="preserve">et al. </w:t>
            </w:r>
            <w:r>
              <w:rPr>
                <w:rFonts w:ascii="Garamond" w:hAnsi="Garamond" w:cs="Calibri"/>
                <w:i/>
                <w:iCs/>
                <w:color w:val="000000"/>
                <w:sz w:val="20"/>
                <w:szCs w:val="20"/>
              </w:rPr>
              <w:fldChar w:fldCharType="begin"/>
            </w:r>
            <w:r w:rsidR="002329B2">
              <w:rPr>
                <w:rFonts w:ascii="Garamond" w:hAnsi="Garamond" w:cs="Calibri"/>
                <w:i/>
                <w:iCs/>
                <w:color w:val="000000"/>
                <w:sz w:val="20"/>
                <w:szCs w:val="20"/>
                <w:lang w:val="fr-FR"/>
              </w:rPr>
              <w:instrText xml:space="preserve"> ADDIN ZOTERO_ITEM CSL_CITATION {"citationID":"mvfEieSK","properties":{"formattedCitation":"[23]","plainCitation":"[23]","noteIndex":0},"citationItems":[{"id":4525,"uris":["http://zotero.org/users/1791235/items/X3PRM65Z"],"itemData":{"id":4525,"type":"article-journal","abstract":"None.","container-title":"The Lancet. Infectious diseases","DOI":"10.1016/S1473-3099(19)30294-4","ISSN":"1474-4457","issue":"8","language":"en","note":"publisher: Lancet Infect Dis\nPMID: 31285143","source":"pubmed.ncbi.nlm.nih.gov","title":"Outbreak of human monkeypox in Nigeria in 2017-18: a clinical and epidemiological report","title-short":"Outbreak of human monkeypox in Nigeria in 2017-18","URL":"https://pubmed.ncbi.nlm.nih.gov/31285143/","volume":"19","author":[{"family":"Yinka-Ogunleye","given":"A"},{"family":"O","given":"Aruna"},{"family":"M","given":"Dalhat"},{"family":"D","given":"Ogoina"},{"family":"A","given":"McCollum"},{"family":"Y","given":"Disu"},{"family":"I","given":"Mamadu"},{"family":"A","given":"Akinpelu"},{"family":"A","given":"Ahmad"},{"family":"J","given":"Burga"},{"family":"A","given":"Ndoreraho"},{"family":"E","given":"Nkunzimana"},{"family":"L","given":"Manneh"},{"family":"A","given":"Mohammed"},{"family":"O","given":"Adeoye"},{"family":"D","given":"Tom-Aba"},{"family":"B","given":"Silenou"},{"family":"O","given":"Ipadeola"},{"family":"M","given":"Saleh"},{"family":"A","given":"Adeyemo"},{"family":"I","given":"Nwadiutor"},{"family":"N","given":"Aworabhi"},{"family":"P","given":"Uke"},{"family":"D","given":"John"},{"family":"P","given":"Wakama"},{"family":"M","given":"Reynolds"},{"family":"Mr","given":"Mauldin"},{"family":"J","given":"Doty"},{"family":"K","given":"Wilkins"},{"family":"J","given":"Musa"},{"family":"A","given":"Khalakdina"},{"family":"A","given":"Adedeji"},{"family":"N","given":"Mba"},{"family":"O","given":"Ojo"},{"family":"G","given":"Krause"},{"family":"C","given":"Ihekweazu"}],"accessed":{"date-parts":[["2025",7,9]]},"issued":{"date-parts":[["2019",8]]}}}],"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D457341" w14:textId="4852FB9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2018</w:t>
            </w:r>
          </w:p>
        </w:tc>
        <w:tc>
          <w:tcPr>
            <w:tcW w:w="2204" w:type="dxa"/>
            <w:tcBorders>
              <w:top w:val="nil"/>
              <w:left w:val="nil"/>
              <w:bottom w:val="nil"/>
              <w:right w:val="nil"/>
            </w:tcBorders>
            <w:noWrap/>
          </w:tcPr>
          <w:p w14:paraId="6C6382B7" w14:textId="328A49F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409A9B4B" w14:textId="7E43489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06446CFB" w14:textId="7645935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0A159FC5" w14:textId="6633390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7A9F0016" w14:textId="561F2D6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02CBE69C" w14:textId="480CBB5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635AAAC3" w14:textId="7659EAD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276</w:t>
            </w:r>
          </w:p>
        </w:tc>
        <w:tc>
          <w:tcPr>
            <w:tcW w:w="1130" w:type="dxa"/>
            <w:tcBorders>
              <w:top w:val="nil"/>
              <w:left w:val="nil"/>
              <w:bottom w:val="nil"/>
              <w:right w:val="nil"/>
            </w:tcBorders>
            <w:noWrap/>
          </w:tcPr>
          <w:p w14:paraId="03AF9325" w14:textId="02E57D2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6AB13EB4" w14:textId="77777777" w:rsidTr="008C1796">
        <w:trPr>
          <w:trHeight w:val="290"/>
        </w:trPr>
        <w:tc>
          <w:tcPr>
            <w:tcW w:w="2410" w:type="dxa"/>
            <w:tcBorders>
              <w:top w:val="nil"/>
              <w:left w:val="nil"/>
              <w:bottom w:val="nil"/>
              <w:right w:val="nil"/>
            </w:tcBorders>
            <w:noWrap/>
          </w:tcPr>
          <w:p w14:paraId="5501B597" w14:textId="31162009"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Ogoina</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{"citationID":"ZF2xsHA7","properties":{"formattedCitation":"[18]","plainCitation":"[18]","noteIndex":0},"citationItems":[{"id":4748,"uris":["http://zotero.org/users/1791235/items/5G2HLEYX"],"itemData":{"id":4748,"type":"article-journal","abstract":"Background In September 2017, Nigeria experienced a large outbreak of human monkeypox (HMPX). In this study, we report the outbreak experience and response in the Niger Delta University Teaching Hospital (NDUTH), Bayelsa state, where the index case and majority of suspected cases were reported. Methods In a cross-sectional study between September 25th and 31st December 2017, we reviewed the clinical and laboratory characteristics of all suspected and confirmed cases of HMPX seen at the NDUTH and appraised the plans, activities and challenges of the hospital in response to the outbreak based on documented observations of the hospital’s infection control committee (IPC). Monkeypox cases were defined using the interim national guidelines as provided by the Nigerian Centre for Disease Control (NCDC). Results Of 38 suspected cases of HMPX, 18(47.4%) were laboratory confirmed, 3(7.9%) were probable, while 17 (18.4%) did not fit the case definition for HMPX. Majority of the confirmed/probable cases were adults (80.9%) and males (80.9%). There was concomitant chicken pox, syphilis and HIV-1 infections in two confirmed cases and a case of nosocomial infection in one healthcare worker (HCW). The hospital established a make-shift isolation ward for case management, constituted a HMPX response team and provided IPC resources. At the outset, some HCWs were reluctant to participate in the outbreak and others avoided suspected patients. Some patients and their family members experienced stigma and discrimination and there were cases of refusal of isolation. Repeated trainings and collaborative efforts by all stakeholders addressed some of these challenges and eventually led to successful containment of the outbreak. Conclusion While the 2017 outbreak of human monkeypox in Nigeria was contained, our report reveals gaps in outbreak response that could serve as lessons to other hospitals to strengthen epidemic preparedness and response activities in the hospital setting.","container-title":"PLOS ONE","DOI":"10.1371/journal.pone.0214229","ISSN":"1932-6203","issue":"4","journalAbbreviation":"PLOS ONE","language":"en","note":"publisher: Public Library of Science","page":"e0214229","source":"PLoS Journals","title":"The 2017 human monkeypox outbreak in Nigeria—Report of outbreak experience and response in the Niger Delta University Teaching Hospital, Bayelsa State, Nigeria","volume":"14","author":[{"family":"Ogoina","given":"Dimie"},{"family":"Izibewule","given":"James Hendris"},{"family":"Ogunleye","given":"Adesola"},{"family":"Ederiane","given":"Ebi"},{"family":"Anebonam","given":"Uchenna"},{"family":"Neni","given":"Aworabhi"},{"family":"Oyeyemi","given":"Abisoye"},{"family":"Etebu","given":"Ebimitula Nicholas"},{"family":"Ihekweazu","given":"Chikwe"}],"issued":{"date-parts":[["2019"]]}}}],"schema":"https://github.com/citation-style-language/schema/raw/master/csl-citation.json"}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[18]</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3DA036AD" w14:textId="4A17D20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2018</w:t>
            </w:r>
          </w:p>
        </w:tc>
        <w:tc>
          <w:tcPr>
            <w:tcW w:w="2204" w:type="dxa"/>
            <w:tcBorders>
              <w:top w:val="nil"/>
              <w:left w:val="nil"/>
              <w:bottom w:val="nil"/>
              <w:right w:val="nil"/>
            </w:tcBorders>
            <w:noWrap/>
          </w:tcPr>
          <w:p w14:paraId="465E6D01" w14:textId="0EE0D91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2F889741" w14:textId="62F527F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261F74ED" w14:textId="720A013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1FD5798C" w14:textId="04DCC14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5BA4B458" w14:textId="23F023E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2A492E94" w14:textId="2B7BFEB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548CBA4F" w14:textId="604DC43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51</w:t>
            </w:r>
          </w:p>
        </w:tc>
        <w:tc>
          <w:tcPr>
            <w:tcW w:w="1130" w:type="dxa"/>
            <w:tcBorders>
              <w:top w:val="nil"/>
              <w:left w:val="nil"/>
              <w:bottom w:val="nil"/>
              <w:right w:val="nil"/>
            </w:tcBorders>
            <w:noWrap/>
          </w:tcPr>
          <w:p w14:paraId="29DBA763" w14:textId="0DE99BE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3E7037EE" w14:textId="77777777" w:rsidTr="008C1796">
        <w:trPr>
          <w:trHeight w:val="290"/>
        </w:trPr>
        <w:tc>
          <w:tcPr>
            <w:tcW w:w="2410" w:type="dxa"/>
            <w:tcBorders>
              <w:top w:val="nil"/>
              <w:left w:val="nil"/>
              <w:bottom w:val="nil"/>
              <w:right w:val="nil"/>
            </w:tcBorders>
            <w:noWrap/>
          </w:tcPr>
          <w:p w14:paraId="2CBF7302" w14:textId="50EBF1D8"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Echekwube</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{"citationID":"yE4aoy7W","properties":{"formattedCitation":"[24]","plainCitation":"[24]","noteIndex":0},"citationItems":[{"id":4729,"uris":["http://zotero.org/users/1791235/items/G37ZUUHC"],"itemData":{"id":4729,"type":"article-journal","container-title":"Journal of BioMedical Research and Clinical Practice","issue":"2","page":"375–381","source":"Google Scholar","title":"Human monkeypox and human immunodeficiency virus co-infection: a case series in Makurdi, Benue State, Nigeria","title-short":"Human monkeypox and human immunodeficiency virus co-infection","volume":"3","author":[{"family":"Echekwube","given":"P. O."},{"family":"Mbaave","given":"P. T."},{"family":"Abidakun","given":"O. A."},{"family":"Utoo","given":"B. T."},{"family":"Swende","given":"T. Z."}],"issued":{"date-parts":[["2020"]]}}}],"schema":"https://github.com/citation-style-language/schema/raw/master/csl-citation.json"}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[24]</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7ABD19E" w14:textId="1685DD0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2018</w:t>
            </w:r>
          </w:p>
        </w:tc>
        <w:tc>
          <w:tcPr>
            <w:tcW w:w="2204" w:type="dxa"/>
            <w:tcBorders>
              <w:top w:val="nil"/>
              <w:left w:val="nil"/>
              <w:bottom w:val="nil"/>
              <w:right w:val="nil"/>
            </w:tcBorders>
            <w:noWrap/>
          </w:tcPr>
          <w:p w14:paraId="25957597" w14:textId="287D55E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71CCD780" w14:textId="3D3A8DE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Case series</w:t>
            </w:r>
          </w:p>
        </w:tc>
        <w:tc>
          <w:tcPr>
            <w:tcW w:w="1180" w:type="dxa"/>
            <w:tcBorders>
              <w:top w:val="nil"/>
              <w:left w:val="nil"/>
              <w:bottom w:val="nil"/>
              <w:right w:val="nil"/>
            </w:tcBorders>
            <w:noWrap/>
          </w:tcPr>
          <w:p w14:paraId="5A744BCD" w14:textId="3998B69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3A8CCC84" w14:textId="32A2C0D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468EC403" w14:textId="28CBB73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704FC52F" w14:textId="4EE804A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3F4C8965" w14:textId="6CEE584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4</w:t>
            </w:r>
          </w:p>
        </w:tc>
        <w:tc>
          <w:tcPr>
            <w:tcW w:w="1130" w:type="dxa"/>
            <w:tcBorders>
              <w:top w:val="nil"/>
              <w:left w:val="nil"/>
              <w:bottom w:val="nil"/>
              <w:right w:val="nil"/>
            </w:tcBorders>
            <w:noWrap/>
          </w:tcPr>
          <w:p w14:paraId="07074F0C" w14:textId="1B8AEC4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6.8</w:t>
            </w:r>
          </w:p>
        </w:tc>
      </w:tr>
      <w:tr w:rsidR="00925CF9" w:rsidRPr="00431BC4" w14:paraId="04E26039" w14:textId="77777777" w:rsidTr="008C1796">
        <w:trPr>
          <w:trHeight w:val="290"/>
        </w:trPr>
        <w:tc>
          <w:tcPr>
            <w:tcW w:w="2410" w:type="dxa"/>
            <w:tcBorders>
              <w:top w:val="nil"/>
              <w:left w:val="nil"/>
              <w:bottom w:val="nil"/>
              <w:right w:val="nil"/>
            </w:tcBorders>
            <w:noWrap/>
          </w:tcPr>
          <w:p w14:paraId="721E849E" w14:textId="1E680C18"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Ngbolua</w:t>
            </w:r>
            <w:r>
              <w:rPr>
                <w:rFonts w:ascii="Garamond" w:hAnsi="Garamond" w:cs="Calibri"/>
                <w:color w:val="000000"/>
                <w:sz w:val="20"/>
                <w:szCs w:val="20"/>
              </w:rPr>
              <w:t xml:space="preserve">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{"citationID":"Zo3djvg7","properties":{"formattedCitation":"[25]","plainCitation":"[25]","noteIndex":0},"citationItems":[{"id":3699,"uris":["http://zotero.org/users/1791235/items/U66ZGJLB"],"itemData":{"id":3699,"type":"article-journal","abstract":"Monkey pox is a rare viral zoonotic disease of which clinical manifestations are similar to smallpox, it is transmitted to humans by direct contact with the body of an infected animal, but the transmission can also be human-to-human. The Democratic Republic of Congo is the most endemic country in the world where almost all provinces are affected by this scourge. However, in the administrative configuration currently, monkey pox has not been detected in Nord Ubangi province yet. This cross-sectional study focuses on three cases of patients diagnosed with monkey pox virus at Businga General Hospital in Nord Ubangi province. The findings show that all the three patients were male with a primary education level and their average age was 9±3.46 years. They had some epidemiological characteristics specific to monkey pox, including high fevers, rashes, pruritus and abdominal pain. After two weeks of symptomatic treatment, each patient was able to get out without further complications. For the best of our knowledge, this is the first report on the cases of Monkey pox in Nord Ubangi Province.","container-title":"Britain International of Exact Sciences (BIoEx) Journal","DOI":"10.33258/bioex.v2i1.117","ISSN":"2686-1208, 2686-1216","issue":"1","journalAbbreviation":"bioex","language":"en","page":"120-5","source":"DOI.org (Crossref)","title":"First Report on Three Cases of Monkey pox in Nord Ubangi Province (Democratic Republic of the Congo)","volume":"2","author":[{"family":"Ngbolua","given":"Koto-te-Nyiwa"},{"literal":"Guy Kumbali Ngambika"},{"literal":"Blaise Mbembo-wa-Mbembo"},{"literal":"Kohowe Pagerezo Séraphin"},{"literal":"Kogana  Kapalata Fabrice"},{"literal":"Gédéon Ngiala Bongo"},{"literal":"Masengo Ashande Colette"},{"literal":"Djolu Djoza Ruphin"}],"issued":{"date-parts":[["2020"]]}}}],"schema":"https://github.com/citation-style-language/schema/raw/master/csl-citation.json"}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[25]</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17D29577" w14:textId="7C53E1D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2019</w:t>
            </w:r>
          </w:p>
        </w:tc>
        <w:tc>
          <w:tcPr>
            <w:tcW w:w="2204" w:type="dxa"/>
            <w:tcBorders>
              <w:top w:val="nil"/>
              <w:left w:val="nil"/>
              <w:bottom w:val="nil"/>
              <w:right w:val="nil"/>
            </w:tcBorders>
            <w:noWrap/>
          </w:tcPr>
          <w:p w14:paraId="04BCB7A6" w14:textId="1FFA0F4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w:t>
            </w:r>
            <w:r>
              <w:rPr>
                <w:rFonts w:ascii="Garamond" w:hAnsi="Garamond" w:cs="Calibri"/>
                <w:color w:val="000000"/>
                <w:sz w:val="20"/>
                <w:szCs w:val="20"/>
              </w:rPr>
              <w:t>emocratic Republic of Congo</w:t>
            </w:r>
          </w:p>
        </w:tc>
        <w:tc>
          <w:tcPr>
            <w:tcW w:w="1082" w:type="dxa"/>
            <w:tcBorders>
              <w:top w:val="nil"/>
              <w:left w:val="nil"/>
              <w:bottom w:val="nil"/>
              <w:right w:val="nil"/>
            </w:tcBorders>
            <w:noWrap/>
          </w:tcPr>
          <w:p w14:paraId="56DDFE5F" w14:textId="2892CAE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1D745CA7" w14:textId="227E78B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141339DA" w14:textId="68EA40A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409F291A" w14:textId="7DBE17C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403F47A7" w14:textId="7A98994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w:t>
            </w:r>
            <w:r>
              <w:rPr>
                <w:rFonts w:ascii="Garamond" w:hAnsi="Garamond" w:cs="Calibri"/>
                <w:color w:val="000000"/>
                <w:sz w:val="20"/>
                <w:szCs w:val="20"/>
              </w:rPr>
              <w:t>igh</w:t>
            </w:r>
          </w:p>
        </w:tc>
        <w:tc>
          <w:tcPr>
            <w:tcW w:w="1077" w:type="dxa"/>
            <w:tcBorders>
              <w:top w:val="nil"/>
              <w:left w:val="nil"/>
              <w:bottom w:val="nil"/>
              <w:right w:val="nil"/>
            </w:tcBorders>
            <w:noWrap/>
          </w:tcPr>
          <w:p w14:paraId="56AC97F3" w14:textId="7B4871A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w:t>
            </w:r>
          </w:p>
        </w:tc>
        <w:tc>
          <w:tcPr>
            <w:tcW w:w="1130" w:type="dxa"/>
            <w:tcBorders>
              <w:top w:val="nil"/>
              <w:left w:val="nil"/>
              <w:bottom w:val="nil"/>
              <w:right w:val="nil"/>
            </w:tcBorders>
            <w:noWrap/>
          </w:tcPr>
          <w:p w14:paraId="703A3A7A" w14:textId="4F2CEF4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41687DED" w14:textId="77777777" w:rsidTr="008C1796">
        <w:trPr>
          <w:trHeight w:val="290"/>
        </w:trPr>
        <w:tc>
          <w:tcPr>
            <w:tcW w:w="2410" w:type="dxa"/>
            <w:tcBorders>
              <w:top w:val="nil"/>
              <w:left w:val="nil"/>
              <w:bottom w:val="nil"/>
              <w:right w:val="nil"/>
            </w:tcBorders>
            <w:noWrap/>
          </w:tcPr>
          <w:p w14:paraId="7B920E98" w14:textId="7196F9A1"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Ogoina</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{"citationID":"6OBoHWUL","properties":{"formattedCitation":"[26]","plainCitation":"[26]","noteIndex":0},"citationItems":[{"id":4728,"uris":["http://zotero.org/users/1791235/items/4P5ZVXCH"],"itemData":{"id":4728,"type":"article-journal","abstract":"Abstract\n            In a retrospective review of hospital records of 40 human monkeypox cases from Nigeria, the majority developed fever and self-limiting vesiculopustular skin eruptions. Five deaths were reported. Compared to human immunodeficiency virus (HIV)–negative cases, HIV type 1–coinfected cases had more prolonged illness, larger lesions, and higher rates of both secondary bacterial skin infections and genital ulcers.","container-title":"Clinical Infectious Diseases","DOI":"10.1093/cid/ciaa143","ISSN":"1058-4838, 1537-6591","issue":"8","language":"en","license":"https://academic.oup.com/journals/pages/open_access/funder_policies/chorus/standard_publication_model","page":"e210-e214","source":"DOI.org (Crossref)","title":"Clinical Course and Outcome of Human Monkeypox in Nigeria","volume":"71","author":[{"family":"Ogoina","given":"Dimie"},{"family":"Iroezindu","given":"Michael"},{"family":"James","given":"Hendris Izibewule"},{"family":"Oladokun","given":"Regina"},{"family":"Yinka-Ogunleye","given":"Adesola"},{"family":"Wakama","given":"Paul"},{"family":"Otike-odibi","given":"Bolaji"},{"family":"Usman","given":"Liman Muhammed"},{"family":"Obazee","given":"Emmanuel"},{"family":"Aruna","given":"Olusola"},{"family":"Ihekweazu","given":"Chikwe"}],"issued":{"date-parts":[["2020"]]}}}],"schema":"https://github.com/citation-style-language/schema/raw/master/csl-citation.json"}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[26]</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2D46DDA6" w14:textId="41EE98A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2019</w:t>
            </w:r>
          </w:p>
        </w:tc>
        <w:tc>
          <w:tcPr>
            <w:tcW w:w="2204" w:type="dxa"/>
            <w:tcBorders>
              <w:top w:val="nil"/>
              <w:left w:val="nil"/>
              <w:bottom w:val="nil"/>
              <w:right w:val="nil"/>
            </w:tcBorders>
            <w:noWrap/>
          </w:tcPr>
          <w:p w14:paraId="12B1E9AC" w14:textId="7962759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4E5E2015" w14:textId="5146DE0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0C01B31A" w14:textId="26C186A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3840AE62" w14:textId="69572D5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246EB973" w14:textId="5072AAA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486D3258" w14:textId="360767C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20313097" w14:textId="0782CF3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21</w:t>
            </w:r>
          </w:p>
        </w:tc>
        <w:tc>
          <w:tcPr>
            <w:tcW w:w="1130" w:type="dxa"/>
            <w:tcBorders>
              <w:top w:val="nil"/>
              <w:left w:val="nil"/>
              <w:bottom w:val="nil"/>
              <w:right w:val="nil"/>
            </w:tcBorders>
            <w:noWrap/>
          </w:tcPr>
          <w:p w14:paraId="1C53441B" w14:textId="724CEEC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003A4287" w14:textId="77777777" w:rsidTr="008C1796">
        <w:trPr>
          <w:trHeight w:val="290"/>
        </w:trPr>
        <w:tc>
          <w:tcPr>
            <w:tcW w:w="2410" w:type="dxa"/>
            <w:tcBorders>
              <w:top w:val="nil"/>
              <w:left w:val="nil"/>
              <w:bottom w:val="nil"/>
              <w:right w:val="nil"/>
            </w:tcBorders>
            <w:noWrap/>
          </w:tcPr>
          <w:p w14:paraId="60B3B6D3" w14:textId="6578F8FE" w:rsidR="00925CF9" w:rsidRPr="00431BC4" w:rsidRDefault="00925CF9" w:rsidP="002329B2">
            <w:pPr>
              <w:spacing w:after="0" w:line="240" w:lineRule="auto"/>
              <w:rPr>
                <w:rFonts w:ascii="Garamond" w:eastAsia="Times New Roman" w:hAnsi="Garamond" w:cs="Calibri"/>
                <w:color w:val="000000"/>
                <w:kern w:val="0"/>
                <w:sz w:val="20"/>
                <w:szCs w:val="20"/>
                <w:lang w:val="fr-FR" w:eastAsia="fr-FR"/>
                <w14:ligatures w14:val="none"/>
              </w:rPr>
            </w:pPr>
            <w:r w:rsidRPr="00431BC4">
              <w:rPr>
                <w:rFonts w:ascii="Garamond" w:hAnsi="Garamond" w:cs="Calibri"/>
                <w:color w:val="000000"/>
                <w:sz w:val="20"/>
                <w:szCs w:val="20"/>
              </w:rPr>
              <w:t>Hobson</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HFLe76rA","properties":{"formattedCitation":"[27]","plainCitation":"[27]","noteIndex":0},"citationItems":[{"id":4491,"uris":["http://zotero.org/users/1791235/items/KGLAQ3PR"],"itemData":{"id":4491,"type":"article-journal","container-title":"Eurosurveillance","issue":"32","page":"2100745","source":"Google Scholar","title":"Family cluster of three cases of monkeypox imported from Nigeria to the United Kingdom, May 2021","volume":"26","author":[{"family":"Hobson","given":"Gemma"},{"family":"Adamson","given":"James"},{"family":"Adler","given":"Hugh"},{"family":"Firth","given":"Richard"},{"family":"Gould","given":"Susan"},{"family":"Houlihan","given":"Catherine"},{"family":"Johnson","given":"Christopher"},{"family":"Porter","given":"David"},{"family":"Rampling","given":"Tommy"},{"family":"Ratcliffe","given":"Libuse"}],"issued":{"date-parts":[["2021"]]}}}],"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[27]</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6979B2AA" w14:textId="4BADE2C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2021</w:t>
            </w:r>
          </w:p>
        </w:tc>
        <w:tc>
          <w:tcPr>
            <w:tcW w:w="2204" w:type="dxa"/>
            <w:tcBorders>
              <w:top w:val="nil"/>
              <w:left w:val="nil"/>
              <w:bottom w:val="nil"/>
              <w:right w:val="nil"/>
            </w:tcBorders>
            <w:noWrap/>
          </w:tcPr>
          <w:p w14:paraId="7CC800D1" w14:textId="68E2D46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1FD442B2" w14:textId="60FB258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Case report</w:t>
            </w:r>
          </w:p>
        </w:tc>
        <w:tc>
          <w:tcPr>
            <w:tcW w:w="1180" w:type="dxa"/>
            <w:tcBorders>
              <w:top w:val="nil"/>
              <w:left w:val="nil"/>
              <w:bottom w:val="nil"/>
              <w:right w:val="nil"/>
            </w:tcBorders>
            <w:noWrap/>
          </w:tcPr>
          <w:p w14:paraId="2D0F6861" w14:textId="1DDC333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4324102E" w14:textId="23A4B5A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598D7E5D" w14:textId="00D9426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39013A33" w14:textId="55248FA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7F22808E" w14:textId="3D776D5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3</w:t>
            </w:r>
          </w:p>
        </w:tc>
        <w:tc>
          <w:tcPr>
            <w:tcW w:w="1130" w:type="dxa"/>
            <w:tcBorders>
              <w:top w:val="nil"/>
              <w:left w:val="nil"/>
              <w:bottom w:val="nil"/>
              <w:right w:val="nil"/>
            </w:tcBorders>
            <w:noWrap/>
          </w:tcPr>
          <w:p w14:paraId="54A605D3" w14:textId="63DC78B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0F0AA079" w14:textId="77777777" w:rsidTr="008C1796">
        <w:trPr>
          <w:trHeight w:val="290"/>
        </w:trPr>
        <w:tc>
          <w:tcPr>
            <w:tcW w:w="2410" w:type="dxa"/>
            <w:tcBorders>
              <w:top w:val="nil"/>
              <w:left w:val="nil"/>
              <w:bottom w:val="nil"/>
              <w:right w:val="nil"/>
            </w:tcBorders>
            <w:noWrap/>
          </w:tcPr>
          <w:p w14:paraId="5616E479" w14:textId="71017300"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Amao</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{"citationID":"MIN1mdpw","properties":{"formattedCitation":"[28]","plainCitation":"[28]","noteIndex":0},"citationItems":[{"id":4731,"uris":["http://zotero.org/users/1791235/items/LQYF4XF2"],"itemData":{"id":4731,"type":"article-journal","container-title":"Journal of public health in Africa","issue":"1","page":"2184","source":"Google Scholar","title":"Trend and enhanced surveillance of Monkeypox during COVID-19 pandemic in Nigeria","volume":"13","author":[{"family":"Amao","given":"Lateefat Kikelomo"},{"family":"Olatunji","given":"David Idowu"},{"family":"Igbodo","given":"Gordon"},{"family":"Okoli","given":"Solomon Chieloka"},{"family":"Amaechi","given":"Ifeanyichukwu"},{"family":"Goni","given":"Muhammad Isa"},{"family":"Ehiakhamen","given":"Odianosen"},{"family":"Aderinola","given":"Olaolu"},{"family":"Ogunleye","given":"Adesola"},{"family":"Ogunbode","given":"Oladipo"}],"issued":{"date-parts":[["2022"]]}}}],"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[28]</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747CEF9" w14:textId="313B912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2021</w:t>
            </w:r>
          </w:p>
        </w:tc>
        <w:tc>
          <w:tcPr>
            <w:tcW w:w="2204" w:type="dxa"/>
            <w:tcBorders>
              <w:top w:val="nil"/>
              <w:left w:val="nil"/>
              <w:bottom w:val="nil"/>
              <w:right w:val="nil"/>
            </w:tcBorders>
            <w:noWrap/>
          </w:tcPr>
          <w:p w14:paraId="28DC0697" w14:textId="553B49E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Nigeria</w:t>
            </w:r>
          </w:p>
        </w:tc>
        <w:tc>
          <w:tcPr>
            <w:tcW w:w="1082" w:type="dxa"/>
            <w:tcBorders>
              <w:top w:val="nil"/>
              <w:left w:val="nil"/>
              <w:bottom w:val="nil"/>
              <w:right w:val="nil"/>
            </w:tcBorders>
            <w:noWrap/>
          </w:tcPr>
          <w:p w14:paraId="1BF5AA6C" w14:textId="5E8FBFA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3A97A35D" w14:textId="4BB7FFC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6662EE1D" w14:textId="6CDC18C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7C55CBBD" w14:textId="52B09AC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03D7DCCC" w14:textId="76A82ED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0B3E24EE" w14:textId="720C12D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25</w:t>
            </w:r>
          </w:p>
        </w:tc>
        <w:tc>
          <w:tcPr>
            <w:tcW w:w="1130" w:type="dxa"/>
            <w:tcBorders>
              <w:top w:val="nil"/>
              <w:left w:val="nil"/>
              <w:bottom w:val="nil"/>
              <w:right w:val="nil"/>
            </w:tcBorders>
            <w:noWrap/>
          </w:tcPr>
          <w:p w14:paraId="38256E70" w14:textId="40D2417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3D7E72B8" w14:textId="77777777" w:rsidTr="008C1796">
        <w:trPr>
          <w:trHeight w:val="290"/>
        </w:trPr>
        <w:tc>
          <w:tcPr>
            <w:tcW w:w="2410" w:type="dxa"/>
            <w:tcBorders>
              <w:top w:val="nil"/>
              <w:left w:val="nil"/>
              <w:bottom w:val="nil"/>
              <w:right w:val="nil"/>
            </w:tcBorders>
            <w:noWrap/>
          </w:tcPr>
          <w:p w14:paraId="2F5F1EBD" w14:textId="5008287A"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lastRenderedPageBreak/>
              <w:t>Djuic</w:t>
            </w:r>
            <w:r>
              <w:rPr>
                <w:rFonts w:ascii="Garamond" w:hAnsi="Garamond" w:cs="Calibri"/>
                <w:color w:val="000000"/>
                <w:sz w:val="20"/>
                <w:szCs w:val="20"/>
              </w:rPr>
              <w:t xml:space="preserve">y </w:t>
            </w:r>
            <w:r w:rsidRPr="00835A25">
              <w:rPr>
                <w:rFonts w:ascii="Garamond" w:hAnsi="Garamond" w:cs="Calibri"/>
                <w:i/>
                <w:iCs/>
                <w:color w:val="000000"/>
                <w:sz w:val="20"/>
                <w:szCs w:val="20"/>
              </w:rPr>
              <w:t>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{"citationID":"rRItYiIi","properties":{"formattedCitation":"[29]","plainCitation":"[29]","noteIndex":0},"citationItems":[{"id":4072,"uris":["http://zotero.org/users/1791235/items/SGC6E9JM"],"itemData":{"id":4072,"type":"article-journal","container-title":"Emerging Infectious Diseases","DOI":"10.3201/eid3003.230861","ISSN":"1080-6040, 1080-6059","issue":"3","journalAbbreviation":"Emerg. Infect. Dis.","page":"433-43","source":"DOI.org (Crossref)","title":"Concurrent Clade I and Clade II Monkeypox Virus Circulation, Cameroon, 1979–2022","volume":"30","author":[{"family":"Djuicy","given":"Delia D."},{"family":"Sadeuh-Mba","given":"Serge A."},{"family":"Bilounga","given":"Chanceline N."},{"family":"Yonga","given":"Martial G."},{"family":"Tchatchueng-Mbougua","given":"Jules B."},{"family":"Essima","given":"Gael D."},{"family":"Esso","given":"Linda"},{"family":"Nguidjol","given":"Inès M.E."},{"family":"Metomb","given":"Steve F."},{"family":"Chebo","given":"Cornelius"},{"family":"Agwe","given":"Samuel M."},{"family":"Ankone","given":"Placide A."},{"family":"Ngonla","given":"Firmin N.N."},{"family":"Mossi","given":"Hans M."},{"family":"Etoundi","given":"Alain G.M."},{"family":"Eyangoh","given":"Sara I."},{"family":"Kazanji","given":"Mirdad"},{"family":"Njouom","given":"Richard"}],"issued":{"date-parts":[["2024"]]}}}],"schema":"https://github.com/citation-style-language/schema/raw/master/csl-citation.json"}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[29]</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6F2B13C5" w14:textId="7C75729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2022</w:t>
            </w:r>
          </w:p>
        </w:tc>
        <w:tc>
          <w:tcPr>
            <w:tcW w:w="2204" w:type="dxa"/>
            <w:tcBorders>
              <w:top w:val="nil"/>
              <w:left w:val="nil"/>
              <w:bottom w:val="nil"/>
              <w:right w:val="nil"/>
            </w:tcBorders>
            <w:noWrap/>
          </w:tcPr>
          <w:p w14:paraId="62A267F9" w14:textId="40BA017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Cameroon</w:t>
            </w:r>
          </w:p>
        </w:tc>
        <w:tc>
          <w:tcPr>
            <w:tcW w:w="1082" w:type="dxa"/>
            <w:tcBorders>
              <w:top w:val="nil"/>
              <w:left w:val="nil"/>
              <w:bottom w:val="nil"/>
              <w:right w:val="nil"/>
            </w:tcBorders>
            <w:noWrap/>
          </w:tcPr>
          <w:p w14:paraId="0B7B9B98" w14:textId="3AD720C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200CCB6C" w14:textId="6A103C8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 and hospital</w:t>
            </w:r>
          </w:p>
        </w:tc>
        <w:tc>
          <w:tcPr>
            <w:tcW w:w="1424" w:type="dxa"/>
            <w:tcBorders>
              <w:top w:val="nil"/>
              <w:left w:val="nil"/>
              <w:bottom w:val="nil"/>
              <w:right w:val="nil"/>
            </w:tcBorders>
            <w:noWrap/>
          </w:tcPr>
          <w:p w14:paraId="25E4A05D" w14:textId="0BEE7AD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4EE8D71E" w14:textId="56EAFFE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479EF081" w14:textId="2D19F64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377D69A5" w14:textId="745B00A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137</w:t>
            </w:r>
          </w:p>
        </w:tc>
        <w:tc>
          <w:tcPr>
            <w:tcW w:w="1130" w:type="dxa"/>
            <w:tcBorders>
              <w:top w:val="nil"/>
              <w:left w:val="nil"/>
              <w:bottom w:val="nil"/>
              <w:right w:val="nil"/>
            </w:tcBorders>
            <w:noWrap/>
          </w:tcPr>
          <w:p w14:paraId="06A3303E" w14:textId="0EA056C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7C236F6C" w14:textId="77777777" w:rsidTr="008C1796">
        <w:trPr>
          <w:trHeight w:val="290"/>
        </w:trPr>
        <w:tc>
          <w:tcPr>
            <w:tcW w:w="2410" w:type="dxa"/>
            <w:tcBorders>
              <w:top w:val="nil"/>
              <w:left w:val="nil"/>
              <w:bottom w:val="nil"/>
              <w:right w:val="nil"/>
            </w:tcBorders>
            <w:noWrap/>
          </w:tcPr>
          <w:p w14:paraId="3703DF86" w14:textId="7E940BE7"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Besombes</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{"citationID":"GQlHB4fI","properties":{"formattedCitation":"[30]","plainCitation":"[30]","noteIndex":0},"citationItems":[{"id":4449,"uris":["http://zotero.org/users/1791235/items/YMPMF22V"],"itemData":{"id":4449,"type":"article-journal","abstract":"Human monkeypox virus is spreading globally, and more information is required about its epidemiological and clinical disease characteristics in endemic countries. We report the investigation of an outbreak in November 2021 in Central African Republic (CAR). The primary case, a hunter, fell ill after contact with a non-human primate at the frontier between forest and savannah. The ensuing investigation in a small nearby town concerned two families and four waves of inter-human transmission, with 14 confirmed cases, 11 suspected cases and 17 non-infected contacts, and a secondary attack rate of 59.5% (25/42). Complications were observed in 12 of the 19 (63.2%) confirmed and suspected cases with available clinical follow-up data: eight cases of bronchopneumonia, two of severe dehydration, one corneal ulcer, one abscess, two cutaneous superinfections, and six cutaneous sequelae (cheloid scars, or depigmentation). There was one death, giving a case fatality ratio of 1/25 (4.0%) for confirmed and suspected cases. This outbreak, with the largest number of confirmed cases ever described in CAR, confirms the potential severity of the disease associated with clade I monkeypox viruses, and highlights the need for rapid control over virus circulation to prevent the further national and international spread of infection.","container-title":"One Health","DOI":"10.1016/j.onehlt.2023.100523","ISSN":"2352-7714","journalAbbreviation":"One Health","page":"100523","source":"ScienceDirect","title":"Investigation of a mpox outbreak in Central African Republic, 2021-2022","volume":"16","author":[{"family":"Besombes","given":"C."},{"family":"Mbrenga","given":"F."},{"family":"Malaka","given":"C."},{"family":"Gonofio","given":"E."},{"family":"Schaeffer","given":"L."},{"family":"Konamna","given":"X."},{"family":"Selekon","given":"B."},{"family":"Namsenei-Dankpea","given":"J."},{"family":"Gildas Lemon","given":"C."},{"family":"Landier","given":"J."},{"family":"Platen","given":"C.","non-dropping-particle":"von"},{"family":"Gessain","given":"A."},{"family":"Manuguerra","given":"J. C."},{"family":"Fontanet","given":"A."},{"family":"Nakouné","given":"E."}],"issued":{"date-parts":[["2023"]]}}}],"schema":"https://github.com/citation-style-language/schema/raw/master/csl-citation.json"}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[30]</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2AA2F9FD" w14:textId="55885CA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2022</w:t>
            </w:r>
          </w:p>
        </w:tc>
        <w:tc>
          <w:tcPr>
            <w:tcW w:w="2204" w:type="dxa"/>
            <w:tcBorders>
              <w:top w:val="nil"/>
              <w:left w:val="nil"/>
              <w:bottom w:val="nil"/>
              <w:right w:val="nil"/>
            </w:tcBorders>
            <w:noWrap/>
          </w:tcPr>
          <w:p w14:paraId="495D1E60" w14:textId="0E259A6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Central African Republic</w:t>
            </w:r>
          </w:p>
        </w:tc>
        <w:tc>
          <w:tcPr>
            <w:tcW w:w="1082" w:type="dxa"/>
            <w:tcBorders>
              <w:top w:val="nil"/>
              <w:left w:val="nil"/>
              <w:bottom w:val="nil"/>
              <w:right w:val="nil"/>
            </w:tcBorders>
            <w:noWrap/>
          </w:tcPr>
          <w:p w14:paraId="14631CF3" w14:textId="3518738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395A421C" w14:textId="0614832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6A70FFA" w14:textId="5BF8D7E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621CC18F" w14:textId="747F4CC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53415CA0" w14:textId="5808D0B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0D8B503A" w14:textId="4CCC0C0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11</w:t>
            </w:r>
          </w:p>
        </w:tc>
        <w:tc>
          <w:tcPr>
            <w:tcW w:w="1130" w:type="dxa"/>
            <w:tcBorders>
              <w:top w:val="nil"/>
              <w:left w:val="nil"/>
              <w:bottom w:val="nil"/>
              <w:right w:val="nil"/>
            </w:tcBorders>
            <w:noWrap/>
          </w:tcPr>
          <w:p w14:paraId="4C5BE315" w14:textId="3EA5079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532B8644" w14:textId="77777777" w:rsidTr="008C1796">
        <w:trPr>
          <w:trHeight w:val="290"/>
        </w:trPr>
        <w:tc>
          <w:tcPr>
            <w:tcW w:w="2410" w:type="dxa"/>
            <w:tcBorders>
              <w:top w:val="nil"/>
              <w:left w:val="nil"/>
              <w:bottom w:val="nil"/>
              <w:right w:val="nil"/>
            </w:tcBorders>
            <w:noWrap/>
          </w:tcPr>
          <w:p w14:paraId="7676776B" w14:textId="5FCCB9C2"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Yadouleton</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{"citationID":"2vBMdefI","properties":{"formattedCitation":"[31]","plainCitation":"[31]","noteIndex":0},"citationItems":[{"id":4736,"uris":["http://zotero.org/users/1791235/items/T6VZ7434"],"itemData":{"id":4736,"type":"article-journal","container-title":"Military Medical Research","DOI":"10.1186/s40779-022-00424-w","ISSN":"2054-9369","issue":"1","journalAbbreviation":"Military Med Res","language":"en","page":"63","source":"DOI.org (Crossref)","title":"Introduction of monkeypox virus in Benin, 2022","volume":"9","author":[{"family":"Yadouleton","given":"Anges"},{"family":"Faye","given":"Martin"},{"family":"Tchibozo","given":"Carine"},{"family":"Oke","given":"Mariam"},{"family":"Faye","given":"Oumar"},{"family":"Lawale","given":"Thierry"},{"family":"Denon","given":"Eric"},{"family":"Keke","given":"René"},{"family":"Dossou","given":"Ange"},{"family":"Zohoun","given":"Alban"},{"family":"Dossou","given":"Francis"},{"family":"Diagne","given":"Moussa Moise"},{"family":"Salifou","given":"Sourakou"},{"family":"Diatta","given":"Khadija Leila"},{"family":"Ndiaye","given":"Mignane"},{"family":"Sankhe","given":"Safietou"},{"family":"Diallo","given":"Amadou"},{"family":"Bedie","given":"Sonia"},{"family":"Glele-Kakai","given":"Clément"},{"family":"Onifade","given":"Al Fattah"},{"family":"Saizonou","given":"Raoul"},{"family":"Hounkanrin","given":"Gildas"},{"family":"Quenum","given":"Olga"},{"family":"Badou","given":"Yvette"},{"family":"Hounkpatin","given":"Benjamin"},{"family":"Sall","given":"Amadou Alpha"},{"family":"Faye","given":"Ousmane"}],"issued":{"date-parts":[["2022",11,9]]}}}],"schema":"https://github.com/citation-style-language/schema/raw/master/csl-citation.json"}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[31]</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39D0475F" w14:textId="5927C0B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2022</w:t>
            </w:r>
          </w:p>
        </w:tc>
        <w:tc>
          <w:tcPr>
            <w:tcW w:w="2204" w:type="dxa"/>
            <w:tcBorders>
              <w:top w:val="nil"/>
              <w:left w:val="nil"/>
              <w:bottom w:val="nil"/>
              <w:right w:val="nil"/>
            </w:tcBorders>
            <w:noWrap/>
          </w:tcPr>
          <w:p w14:paraId="064ED8F6" w14:textId="6518CF8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Benin</w:t>
            </w:r>
          </w:p>
        </w:tc>
        <w:tc>
          <w:tcPr>
            <w:tcW w:w="1082" w:type="dxa"/>
            <w:tcBorders>
              <w:top w:val="nil"/>
              <w:left w:val="nil"/>
              <w:bottom w:val="nil"/>
              <w:right w:val="nil"/>
            </w:tcBorders>
            <w:noWrap/>
          </w:tcPr>
          <w:p w14:paraId="19E619DB" w14:textId="0E59412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Case series</w:t>
            </w:r>
          </w:p>
        </w:tc>
        <w:tc>
          <w:tcPr>
            <w:tcW w:w="1180" w:type="dxa"/>
            <w:tcBorders>
              <w:top w:val="nil"/>
              <w:left w:val="nil"/>
              <w:bottom w:val="nil"/>
              <w:right w:val="nil"/>
            </w:tcBorders>
            <w:noWrap/>
          </w:tcPr>
          <w:p w14:paraId="2B7A9AC9" w14:textId="1E42AF2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1990DBA7" w14:textId="7F4766F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654745D8" w14:textId="71467AE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534E18BC" w14:textId="653CB42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7617C879" w14:textId="5331193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12</w:t>
            </w:r>
          </w:p>
        </w:tc>
        <w:tc>
          <w:tcPr>
            <w:tcW w:w="1130" w:type="dxa"/>
            <w:tcBorders>
              <w:top w:val="nil"/>
              <w:left w:val="nil"/>
              <w:bottom w:val="nil"/>
              <w:right w:val="nil"/>
            </w:tcBorders>
            <w:noWrap/>
          </w:tcPr>
          <w:p w14:paraId="12EAC245" w14:textId="513603E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2.5</w:t>
            </w:r>
          </w:p>
        </w:tc>
      </w:tr>
      <w:tr w:rsidR="00925CF9" w:rsidRPr="00431BC4" w14:paraId="5ACB794A" w14:textId="77777777" w:rsidTr="008C1796">
        <w:trPr>
          <w:trHeight w:val="290"/>
        </w:trPr>
        <w:tc>
          <w:tcPr>
            <w:tcW w:w="2410" w:type="dxa"/>
            <w:tcBorders>
              <w:top w:val="nil"/>
              <w:left w:val="nil"/>
              <w:bottom w:val="nil"/>
              <w:right w:val="nil"/>
            </w:tcBorders>
            <w:noWrap/>
          </w:tcPr>
          <w:p w14:paraId="47CAB731" w14:textId="728D8BE7"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Kibungu</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{"citationID":"6WTCprdg","properties":{"formattedCitation":"[32]","plainCitation":"[32]","noteIndex":0},"citationItems":[{"id":3572,"uris":["http://zotero.org/users/1791235/items/ZLADRLXQ"],"itemData":{"id":3572,"type":"article-journal","container-title":"Emerging Infectious Diseases","DOI":"10.3201/eid3001.231164","ISSN":"1080-6040, 1080-6059","issue":"1","journalAbbreviation":"Emerg. Infect. Dis.","page":"172-6","source":"DOI.org (Crossref)","title":"Clade I–Associated Mpox Cases Associated with Sexual Contact, the Democratic Republic of the Congo","volume":"30","author":[{"family":"Kibungu","given":"Emile M."},{"family":"Vakaniaki","given":"Emmanuel H."},{"family":"Kinganda-Lusamaki","given":"Eddy"},{"family":"Kalonji-Mukendi","given":"Thierry"},{"family":"Pukuta","given":"Elisabeth"},{"family":"Hoff","given":"Nicole A."},{"family":"Bogoch","given":"Isaac I."},{"family":"Cevik","given":"Muge"},{"family":"Gonsalves","given":"Gregg S."},{"family":"Hensley","given":"Lisa E."},{"family":"Low","given":"Nicola"},{"family":"Shaw","given":"Souradet Y."},{"family":"Schillberg","given":"Erin"},{"family":"Hunter","given":"Mikayla"},{"family":"Lunyanga","given":"Lygie"},{"family":"Linsuke","given":"Sylvie"},{"family":"Madinga","given":"Joule"},{"family":"Peeters","given":"Martine"},{"family":"Cigolo","given":"Jean-Claude Makangara"},{"family":"Ahuka-Mundeke","given":"Steve"},{"family":"Muyembe","given":"Jean-Jacques"},{"family":"Rimoin","given":"Anne W."},{"family":"Kindrachuk","given":"Jason"},{"family":"Mbala-Kingebeni","given":"Placide"},{"family":"Lushima","given":"Robert S."},{"literal":"International Mpox Research Consortium"}],"issued":{"date-parts":[["2024"]]}}}],"schema":"https://github.com/citation-style-language/schema/raw/master/csl-citation.json"}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[32]</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6E2C07F" w14:textId="0A98685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2023</w:t>
            </w:r>
          </w:p>
        </w:tc>
        <w:tc>
          <w:tcPr>
            <w:tcW w:w="2204" w:type="dxa"/>
            <w:tcBorders>
              <w:top w:val="nil"/>
              <w:left w:val="nil"/>
              <w:bottom w:val="nil"/>
              <w:right w:val="nil"/>
            </w:tcBorders>
            <w:noWrap/>
          </w:tcPr>
          <w:p w14:paraId="03FF9EFC" w14:textId="76F3C81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w:t>
            </w:r>
            <w:r>
              <w:rPr>
                <w:rFonts w:ascii="Garamond" w:hAnsi="Garamond" w:cs="Calibri"/>
                <w:color w:val="000000"/>
                <w:sz w:val="20"/>
                <w:szCs w:val="20"/>
              </w:rPr>
              <w:t>emocratic Republic of Congo</w:t>
            </w:r>
          </w:p>
        </w:tc>
        <w:tc>
          <w:tcPr>
            <w:tcW w:w="1082" w:type="dxa"/>
            <w:tcBorders>
              <w:top w:val="nil"/>
              <w:left w:val="nil"/>
              <w:bottom w:val="nil"/>
              <w:right w:val="nil"/>
            </w:tcBorders>
            <w:noWrap/>
          </w:tcPr>
          <w:p w14:paraId="0082CAAB" w14:textId="3179619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Case series</w:t>
            </w:r>
          </w:p>
        </w:tc>
        <w:tc>
          <w:tcPr>
            <w:tcW w:w="1180" w:type="dxa"/>
            <w:tcBorders>
              <w:top w:val="nil"/>
              <w:left w:val="nil"/>
              <w:bottom w:val="nil"/>
              <w:right w:val="nil"/>
            </w:tcBorders>
            <w:noWrap/>
          </w:tcPr>
          <w:p w14:paraId="34A5C08A" w14:textId="1071B15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5D82D5F" w14:textId="74AD824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6151868A" w14:textId="3F6B49D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0642E1A3" w14:textId="64D93A8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4ED6E40F" w14:textId="2A1A3C7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5</w:t>
            </w:r>
          </w:p>
        </w:tc>
        <w:tc>
          <w:tcPr>
            <w:tcW w:w="1130" w:type="dxa"/>
            <w:tcBorders>
              <w:top w:val="nil"/>
              <w:left w:val="nil"/>
              <w:bottom w:val="nil"/>
              <w:right w:val="nil"/>
            </w:tcBorders>
            <w:noWrap/>
          </w:tcPr>
          <w:p w14:paraId="57A4728D" w14:textId="4BF8597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9.8</w:t>
            </w:r>
          </w:p>
        </w:tc>
      </w:tr>
      <w:tr w:rsidR="00925CF9" w:rsidRPr="00431BC4" w14:paraId="1F2E40A2" w14:textId="77777777" w:rsidTr="008C1796">
        <w:trPr>
          <w:trHeight w:val="290"/>
        </w:trPr>
        <w:tc>
          <w:tcPr>
            <w:tcW w:w="2410" w:type="dxa"/>
            <w:tcBorders>
              <w:top w:val="nil"/>
              <w:left w:val="nil"/>
              <w:bottom w:val="nil"/>
              <w:right w:val="nil"/>
            </w:tcBorders>
            <w:noWrap/>
          </w:tcPr>
          <w:p w14:paraId="4AF90591" w14:textId="5A58C79F"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Nizigiyimana</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{"citationID":"sBcR0yrc","properties":{"formattedCitation":"[33]","plainCitation":"[33]","noteIndex":0},"citationItems":[{"id":4738,"uris":["http://zotero.org/users/1791235/items/FSZCC3W5"],"itemData":{"id":4738,"type":"article-journal","abstract":"We analysed mpox cases in Burundi from July to September 2024, following the introduction of Clade Ib virus. Of 607 samples from the whole population of suspected cases, 154 were PCR-positive, of whom 85 were children under 15 years, with a higher proportion of female children testing positive. Geographical analysis demonstrates case concentration in Bujumbura Mairie (91/154). Age- and sex-specific interventions, as well as community engagement, are important for outbreak containment, as are targeted public health strategies in Burundi.","container-title":"Eurosurveillance","DOI":"10.2807/1560-7917.ES.2024.29.42.2400647","ISSN":"1560-7917","issue":"42","language":"en","note":"publisher: European Centre for Disease Prevention and Control","page":"2400647","source":"www.eurosurveillance.org","title":"Epidemiological analysis of confirmed mpox cases, Burundi, 3 July to 9 September 2024","volume":"29","author":[{"family":"Nizigiyimana","given":"Alexis"},{"family":"Ndikumwenayo","given":"Francois"},{"family":"Houben","given":"Sarah"},{"family":"Manirakiza","given":"Martin"},{"family":"Lettow","given":"Monique","dropping-particle":"van"},{"family":"Liesenborghs","given":"Laurens"},{"family":"Mbala-Kingebeni","given":"Placide"},{"family":"Rimoin","given":"Anne W."},{"family":"Bogoch","given":"Isaac I."},{"family":"Kindrachuk","given":"Jason"}],"issued":{"date-parts":[["2024"]]}}}],"schema":"https://github.com/citation-style-language/schema/raw/master/csl-citation.json"}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[33]</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E5764EA" w14:textId="18C27A9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2024</w:t>
            </w:r>
          </w:p>
        </w:tc>
        <w:tc>
          <w:tcPr>
            <w:tcW w:w="2204" w:type="dxa"/>
            <w:tcBorders>
              <w:top w:val="nil"/>
              <w:left w:val="nil"/>
              <w:bottom w:val="nil"/>
              <w:right w:val="nil"/>
            </w:tcBorders>
            <w:noWrap/>
          </w:tcPr>
          <w:p w14:paraId="09C74BAA" w14:textId="77E627A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Burundi</w:t>
            </w:r>
          </w:p>
        </w:tc>
        <w:tc>
          <w:tcPr>
            <w:tcW w:w="1082" w:type="dxa"/>
            <w:tcBorders>
              <w:top w:val="nil"/>
              <w:left w:val="nil"/>
              <w:bottom w:val="nil"/>
              <w:right w:val="nil"/>
            </w:tcBorders>
            <w:noWrap/>
          </w:tcPr>
          <w:p w14:paraId="3DAE6664" w14:textId="538C3D5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669AD58E" w14:textId="4619D5E6"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CFF9083" w14:textId="682FA13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5357C8F5" w14:textId="06495BF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4CF1D5D9" w14:textId="7CA7238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74A5CE0E" w14:textId="694AEEA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607</w:t>
            </w:r>
          </w:p>
        </w:tc>
        <w:tc>
          <w:tcPr>
            <w:tcW w:w="1130" w:type="dxa"/>
            <w:tcBorders>
              <w:top w:val="nil"/>
              <w:left w:val="nil"/>
              <w:bottom w:val="nil"/>
              <w:right w:val="nil"/>
            </w:tcBorders>
            <w:noWrap/>
          </w:tcPr>
          <w:p w14:paraId="5C9D7214" w14:textId="59DC10C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64A0AB01" w14:textId="77777777" w:rsidTr="008C1796">
        <w:trPr>
          <w:trHeight w:val="290"/>
        </w:trPr>
        <w:tc>
          <w:tcPr>
            <w:tcW w:w="2410" w:type="dxa"/>
            <w:tcBorders>
              <w:top w:val="nil"/>
              <w:left w:val="nil"/>
              <w:bottom w:val="nil"/>
              <w:right w:val="nil"/>
            </w:tcBorders>
            <w:noWrap/>
          </w:tcPr>
          <w:p w14:paraId="466ED52A" w14:textId="34EC8FCB"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Brosius</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{"citationID":"eufpEWjO","properties":{"formattedCitation":"[34]","plainCitation":"[34]","noteIndex":0},"citationItems":[{"id":3575,"uris":["http://zotero.org/users/1791235/items/JJVH2HZE"],"itemData":{"id":3575,"type":"article-journal","container-title":"The Lancet","DOI":"10.1016/S0140-6736(25)00047-9","ISSN":"0140-6736, 1474-547X","issue":"10478","journalAbbreviation":"The Lancet","language":"English","note":"publisher: Elsevier\nPMID: 39892407","page":"547-59","source":"www.thelancet.com","title":"Epidemiological and clinical features of mpox during the clade Ib outbreak in South Kivu, Democratic Republic of the Congo: a prospective cohort study","title-short":"Epidemiological and clinical features of mpox during the clade Ib outbreak in South Kivu, Democratic Republic of the Congo","volume":"405","author":[{"family":"Brosius","given":"Isabel"},{"family":"Vakaniaki","given":"Emmanuel Hasivirwe"},{"family":"Mukari","given":"Guy"},{"family":"Munganga","given":"Papy"},{"family":"Tshomba","given":"Jean Claude"},{"family":"Vos","given":"Elise De"},{"family":"Bangwen","given":"Eugene"},{"family":"Mujula","given":"Yves"},{"family":"Tsoumanis","given":"Achilleas"},{"family":"Dijck","given":"Christophe Van"},{"family":"Alengo","given":"Aimé"},{"family":"Mutimbwa-Mambo","given":"Léandre"},{"family":"Kumbana","given":"Franklin Mweshi"},{"family":"Munga","given":"Jenestin Babingwa"},{"family":"Mambo","given":"Divin Mazambi"},{"family":"Zangilwa","given":"James Wakilongo"},{"family":"Kitwanda","given":"Steeven Bilembo"},{"family":"Houben","given":"Sarah"},{"family":"Hoff","given":"Nicole A."},{"family":"Makangara-Cigolo","given":"Jean-Claude"},{"family":"Kinganda-Lusamaki","given":"Eddy"},{"family":"Peeters","given":"Martine"},{"family":"Rimoin","given":"Anne W."},{"family":"Kindrachuk","given":"Jason"},{"family":"Low","given":"Nicola"},{"family":"Katoto","given":"Patrick D. M. C."},{"family":"Malembaka","given":"Espoir Bwenge"},{"family":"Amuasi","given":"John H."},{"family":"Tshiani-Mbaya","given":"Olivier"},{"family":"Kambaji","given":"Dally Muamba"},{"family":"Kojan","given":"Richard"},{"family":"Kacita","given":"Cris"},{"family":"Mukadi-Bamuleka","given":"Daniel"},{"family":"Ahuka-Mundeke","given":"Steve"},{"family":"Vercauteren","given":"Koen"},{"family":"Wawina-Bokalanga","given":"Tony"},{"family":"Muyembe-Tamfum","given":"Jean-Jacques"},{"family":"Nundu","given":"Sabin Sabiti"},{"family":"Liesenborghs","given":"Laurens"},{"family":"Mbala-Kingebeni","given":"Placide"}],"issued":{"date-parts":[["2025"]]}}}],"schema":"https://github.com/citation-style-language/schema/raw/master/csl-citation.json"}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[34]</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24F48ECA" w14:textId="34EE1F3C"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2024</w:t>
            </w:r>
          </w:p>
        </w:tc>
        <w:tc>
          <w:tcPr>
            <w:tcW w:w="2204" w:type="dxa"/>
            <w:tcBorders>
              <w:top w:val="nil"/>
              <w:left w:val="nil"/>
              <w:bottom w:val="nil"/>
              <w:right w:val="nil"/>
            </w:tcBorders>
            <w:noWrap/>
          </w:tcPr>
          <w:p w14:paraId="5516AFC0" w14:textId="60C2A9D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D</w:t>
            </w:r>
            <w:r>
              <w:rPr>
                <w:rFonts w:ascii="Garamond" w:hAnsi="Garamond" w:cs="Calibri"/>
                <w:color w:val="000000"/>
                <w:sz w:val="20"/>
                <w:szCs w:val="20"/>
              </w:rPr>
              <w:t>emocratic Republic of Congo</w:t>
            </w:r>
          </w:p>
        </w:tc>
        <w:tc>
          <w:tcPr>
            <w:tcW w:w="1082" w:type="dxa"/>
            <w:tcBorders>
              <w:top w:val="nil"/>
              <w:left w:val="nil"/>
              <w:bottom w:val="nil"/>
              <w:right w:val="nil"/>
            </w:tcBorders>
            <w:noWrap/>
          </w:tcPr>
          <w:p w14:paraId="626146D1" w14:textId="7536D48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Cohort study</w:t>
            </w:r>
          </w:p>
        </w:tc>
        <w:tc>
          <w:tcPr>
            <w:tcW w:w="1180" w:type="dxa"/>
            <w:tcBorders>
              <w:top w:val="nil"/>
              <w:left w:val="nil"/>
              <w:bottom w:val="nil"/>
              <w:right w:val="nil"/>
            </w:tcBorders>
            <w:noWrap/>
          </w:tcPr>
          <w:p w14:paraId="48E6B99C" w14:textId="03F7DD1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Hospital</w:t>
            </w:r>
          </w:p>
        </w:tc>
        <w:tc>
          <w:tcPr>
            <w:tcW w:w="1424" w:type="dxa"/>
            <w:tcBorders>
              <w:top w:val="nil"/>
              <w:left w:val="nil"/>
              <w:bottom w:val="nil"/>
              <w:right w:val="nil"/>
            </w:tcBorders>
            <w:noWrap/>
          </w:tcPr>
          <w:p w14:paraId="566B6EE9" w14:textId="56E8FC5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728AC74B" w14:textId="432578A9"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67FB3F9C" w14:textId="5B755E3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Moderate</w:t>
            </w:r>
          </w:p>
        </w:tc>
        <w:tc>
          <w:tcPr>
            <w:tcW w:w="1077" w:type="dxa"/>
            <w:tcBorders>
              <w:top w:val="nil"/>
              <w:left w:val="nil"/>
              <w:bottom w:val="nil"/>
              <w:right w:val="nil"/>
            </w:tcBorders>
            <w:noWrap/>
          </w:tcPr>
          <w:p w14:paraId="2CC43291" w14:textId="2D9A01C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511</w:t>
            </w:r>
          </w:p>
        </w:tc>
        <w:tc>
          <w:tcPr>
            <w:tcW w:w="1130" w:type="dxa"/>
            <w:tcBorders>
              <w:top w:val="nil"/>
              <w:left w:val="nil"/>
              <w:bottom w:val="nil"/>
              <w:right w:val="nil"/>
            </w:tcBorders>
            <w:noWrap/>
          </w:tcPr>
          <w:p w14:paraId="7DD4B7EB" w14:textId="298F4E9B"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1A9765C9" w14:textId="77777777" w:rsidTr="008C1796">
        <w:trPr>
          <w:trHeight w:val="290"/>
        </w:trPr>
        <w:tc>
          <w:tcPr>
            <w:tcW w:w="2410" w:type="dxa"/>
            <w:tcBorders>
              <w:top w:val="nil"/>
              <w:left w:val="nil"/>
              <w:bottom w:val="nil"/>
              <w:right w:val="nil"/>
            </w:tcBorders>
            <w:noWrap/>
          </w:tcPr>
          <w:p w14:paraId="7FF05330" w14:textId="47CC5151"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Mukadi-Bamuleka</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{"citationID":"DtGv18HX","properties":{"formattedCitation":"[35]","plainCitation":"[35]","noteIndex":0},"citationItems":[{"id":3580,"uris":["http://zotero.org/users/1791235/items/ATT8FU22"],"itemData":{"id":3580,"type":"article","abstract":"ABSTRACT\n          The ongoing national mpox outbreak in the Democratic Republic of the Congo has resulted in more &gt;30,000 suspected cases in the country from January 2023 to August 2024. While these historic case totals have been driven by primarily by zoonosis, the emergence of Clade Ib monkeypox virus (MPXV), which is connected to more sustained human-to-human transmission, has been associated with increasing public health impacts in eastern DRC. First identified in South Kivu province, Clade Ib MPXV has been identified in multiple non-endemic East African countries for the first time. In DRC, there have been concerns over broader Clade Ib expansion in the country that could further complicate containment and mitigation responses. Here, we report the first introductions of Clade Ib into North Kivu province, including within internal displacement camps, with suspected close contact transmission that includes non-intimate contacts and children. These findings demonstrate that mpox case investigations and community messaging campaigns should include considerations for non-sexual contact-mediated transmission of Clade Ib that includes children &lt;15 years.","DOI":"10.1101/2024.09.12.24313188","language":"en","license":"http://creativecommons.org/licenses/by-nc-nd/4.0/","publisher":"medRxiv","source":"Infectious Diseases (except HIV/AIDS)","title":"First imported Cases of MPXV Clade Ib in Goma, Democratic Republic of the Congo: Implications for Global Surveillance and Transmission Dynamics","title-short":"First imported Cases of MPXV Clade Ib in Goma, Democratic Republic of the Congo","URL":"http://medrxiv.org/lookup/doi/10.1101/2024.09.12.24313188","author":[{"family":"Mukadi-Bamuleka","given":"Daniel"},{"family":"Kinganda-Lusamaki","given":"Eddy"},{"family":"Mulopo-Mukanya","given":"Noella"},{"family":"Amuri-Aziza","given":"Adrienne"},{"family":"O’Toole","given":"Áine"},{"family":"Modadra-Madakpa","given":"Brigitte"},{"family":"Ndongala","given":"Guy Mutombo"},{"family":"Vakaniaki","given":"Emmanuel Hasivirwe"},{"family":"Merritt","given":"Sydney"},{"family":"Kacita","given":"Cris"},{"family":"Maboko","given":"Gaston Lubambo"},{"family":"Makangara-Cigolo","given":"Jean-Claude"},{"family":"Ngimba","given":"Michel"},{"family":"Lokilo","given":"Emmanuel"},{"family":"Pukuta-Simbu","given":"Elisabeth"},{"family":"Luakanda","given":"Gradi"},{"family":"Bodisa-Matamu","given":"Tavia"},{"family":"Kalimuli","given":"Zephanie Paluku"},{"family":"Akil-Bandali","given":"Prince"},{"family":"Kavira","given":"Sifa"},{"family":"Jansen","given":"Daan"},{"family":"Kamaliro","given":"Adèle Kavira"},{"family":"Muhindo-Milonde","given":"Emile"},{"family":"Mufungizi","given":"Jeriel"},{"family":"Hamisi","given":"Yves Birindwa"},{"family":"Kavunga","given":"Hugo"},{"family":"Tshiani","given":"Olivier"},{"family":"Nundu","given":"Sabin S."},{"family":"Liesenborghs","given":"Laurens"},{"family":"Hoff","given":"Nicole A."},{"family":"Nachega","given":"Jean"},{"family":"Shongo","given":"Robert"},{"family":"Ayouba","given":"Ahidjo"},{"family":"Pilarowski","given":"Genay"},{"family":"Mangolopa","given":"Alain Kakule"},{"family":"Ebondo","given":"Amos Kiuka"},{"family":"Low","given":"Nicola"},{"family":"Shaw","given":"Souradet Y."},{"family":"Wilkinson","given":"Sam"},{"family":"Tessema","given":"Sofonias Kifle"},{"family":"Subissi","given":"Lorenzo"},{"family":"Delaporte","given":"Eric"},{"family":"Vercauteren","given":"Koen"},{"family":"Wawina-Bokalanga","given":"Tony"},{"family":"Rimoin","given":"Anne W"},{"family":"Peeters","given":"Martine"},{"family":"Loman","given":"Nicholas"},{"family":"Rambaut","given":"Andrew"},{"family":"Muyembe-Tamfum","given":"Jean-Jacques"},{"family":"Hensley","given":"Lisa E."},{"family":"Kindrachuk","given":"Jason"},{"family":"Mbala-Kingebeni","given":"Placide"},{"family":"Ahuka-Mundeke","given":"Steve"}],"accessed":{"date-parts":[["2025",2,24]]},"issued":{"date-parts":[["2024"]]}}}],"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[35]</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41B447A2" w14:textId="0639DD6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2024</w:t>
            </w:r>
          </w:p>
        </w:tc>
        <w:tc>
          <w:tcPr>
            <w:tcW w:w="2204" w:type="dxa"/>
            <w:tcBorders>
              <w:top w:val="nil"/>
              <w:left w:val="nil"/>
              <w:bottom w:val="nil"/>
              <w:right w:val="nil"/>
            </w:tcBorders>
            <w:noWrap/>
          </w:tcPr>
          <w:p w14:paraId="3C2CDA9C" w14:textId="4F0354A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B4E3B">
              <w:rPr>
                <w:rFonts w:ascii="Garamond" w:hAnsi="Garamond" w:cs="Calibri"/>
                <w:color w:val="000000"/>
                <w:sz w:val="20"/>
                <w:szCs w:val="20"/>
              </w:rPr>
              <w:t>Democratic Republic of Congo</w:t>
            </w:r>
          </w:p>
        </w:tc>
        <w:tc>
          <w:tcPr>
            <w:tcW w:w="1082" w:type="dxa"/>
            <w:tcBorders>
              <w:top w:val="nil"/>
              <w:left w:val="nil"/>
              <w:bottom w:val="nil"/>
              <w:right w:val="nil"/>
            </w:tcBorders>
            <w:noWrap/>
          </w:tcPr>
          <w:p w14:paraId="1FCB5476" w14:textId="7FE27440"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5673F8C6" w14:textId="2D92ADF7"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3A1BAFD4" w14:textId="6F28BA2A"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53352112" w14:textId="087ACA82"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6C2FB950" w14:textId="330A239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7DE51F74" w14:textId="27FB4F63"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9</w:t>
            </w:r>
          </w:p>
        </w:tc>
        <w:tc>
          <w:tcPr>
            <w:tcW w:w="1130" w:type="dxa"/>
            <w:tcBorders>
              <w:top w:val="nil"/>
              <w:left w:val="nil"/>
              <w:bottom w:val="nil"/>
              <w:right w:val="nil"/>
            </w:tcBorders>
            <w:noWrap/>
          </w:tcPr>
          <w:p w14:paraId="59F4ACD6" w14:textId="701AFE2D"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427330E0" w14:textId="77777777" w:rsidTr="008C1796">
        <w:trPr>
          <w:trHeight w:val="290"/>
        </w:trPr>
        <w:tc>
          <w:tcPr>
            <w:tcW w:w="2410" w:type="dxa"/>
            <w:tcBorders>
              <w:top w:val="nil"/>
              <w:left w:val="nil"/>
              <w:bottom w:val="nil"/>
              <w:right w:val="nil"/>
            </w:tcBorders>
            <w:noWrap/>
          </w:tcPr>
          <w:p w14:paraId="338787BE" w14:textId="7759BB34" w:rsidR="00925CF9" w:rsidRPr="00431BC4" w:rsidRDefault="00925CF9" w:rsidP="002329B2">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Vakaniaki</w:t>
            </w:r>
            <w:r w:rsidRPr="00835A25">
              <w:rPr>
                <w:rFonts w:ascii="Garamond" w:hAnsi="Garamond" w:cs="Calibri"/>
                <w:i/>
                <w:iCs/>
                <w:color w:val="000000"/>
                <w:sz w:val="20"/>
                <w:szCs w:val="20"/>
              </w:rPr>
              <w:t xml:space="preserve"> et al.</w:t>
            </w:r>
            <w:r>
              <w:rPr>
                <w:rFonts w:ascii="Garamond" w:hAnsi="Garamond" w:cs="Calibri"/>
                <w:i/>
                <w:iCs/>
                <w:color w:val="000000"/>
                <w:sz w:val="20"/>
                <w:szCs w:val="20"/>
              </w:rPr>
              <w:t xml:space="preserve"> </w:t>
            </w:r>
            <w:r>
              <w:rPr>
                <w:rFonts w:ascii="Garamond" w:hAnsi="Garamond" w:cs="Calibri"/>
                <w:i/>
                <w:iCs/>
                <w:color w:val="000000"/>
                <w:sz w:val="20"/>
                <w:szCs w:val="20"/>
              </w:rPr>
              <w:fldChar w:fldCharType="begin"/>
            </w:r>
            <w:r w:rsidR="002329B2">
              <w:rPr>
                <w:rFonts w:ascii="Garamond" w:hAnsi="Garamond" w:cs="Calibri"/>
                <w:i/>
                <w:iCs/>
                <w:color w:val="000000"/>
                <w:sz w:val="20"/>
                <w:szCs w:val="20"/>
              </w:rPr>
              <w:instrText xml:space="preserve"> ADDIN ZOTERO_ITEM CSL_CITATION {"citationID":"YJgPX17q","properties":{"formattedCitation":"[36]","plainCitation":"[36]","noteIndex":0},"citationItems":[{"id":3614,"uris":["http://zotero.org/users/1791235/items/7JLY89V2"],"itemData":{"id":3614,"type":"article-journal","abstract":"Abstract\n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w:instrText>
            </w:r>
            <w:r w:rsidR="002329B2">
              <w:rPr>
                <w:rFonts w:ascii="Times New Roman" w:hAnsi="Times New Roman" w:cs="Times New Roman"/>
                <w:i/>
                <w:iCs/>
                <w:color w:val="000000"/>
                <w:sz w:val="20"/>
                <w:szCs w:val="20"/>
              </w:rPr>
              <w:instrText> </w:instrText>
            </w:r>
            <w:r w:rsidR="002329B2">
              <w:rPr>
                <w:rFonts w:ascii="Garamond" w:hAnsi="Garamond" w:cs="Calibri"/>
                <w:i/>
                <w:iCs/>
                <w:color w:val="000000"/>
                <w:sz w:val="20"/>
                <w:szCs w:val="20"/>
              </w:rPr>
              <w:instrText xml:space="preserve">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1546-170X","issue":"10","journalAbbreviation":"Nat Med","language":"en","page":"2791-5","source":"DOI.org (Crossref)","title":"Sustained human outbreak of a new MPXV clade I lineage in eastern Democratic Republic of the Congo","volume":"30","author":[{"family":"Vakaniaki","given":"Emmanuel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B."},{"family":"Rambaut","given":"Andrew"},{"family":"Liesenborghs","given":"Laurens"},{"family":"Mbala-Kingebeni","given":"Placide"}],"issued":{"date-parts":[["2024"]]}}}],"schema":"https://github.com/citation-style-language/schema/raw/master/csl-citation.json"} </w:instrText>
            </w:r>
            <w:r>
              <w:rPr>
                <w:rFonts w:ascii="Garamond" w:hAnsi="Garamond" w:cs="Calibri"/>
                <w:i/>
                <w:iCs/>
                <w:color w:val="000000"/>
                <w:sz w:val="20"/>
                <w:szCs w:val="20"/>
              </w:rPr>
              <w:fldChar w:fldCharType="separate"/>
            </w:r>
            <w:r w:rsidR="002329B2" w:rsidRPr="002329B2">
              <w:rPr>
                <w:rFonts w:ascii="Garamond" w:hAnsi="Garamond"/>
                <w:sz w:val="20"/>
              </w:rPr>
              <w:t>[36]</w:t>
            </w:r>
            <w:r>
              <w:rPr>
                <w:rFonts w:ascii="Garamond" w:hAnsi="Garamond" w:cs="Calibri"/>
                <w:i/>
                <w:iCs/>
                <w:color w:val="000000"/>
                <w:sz w:val="20"/>
                <w:szCs w:val="20"/>
              </w:rPr>
              <w:fldChar w:fldCharType="end"/>
            </w:r>
          </w:p>
        </w:tc>
        <w:tc>
          <w:tcPr>
            <w:tcW w:w="773" w:type="dxa"/>
            <w:tcBorders>
              <w:top w:val="nil"/>
              <w:left w:val="nil"/>
              <w:bottom w:val="nil"/>
              <w:right w:val="nil"/>
            </w:tcBorders>
            <w:noWrap/>
          </w:tcPr>
          <w:p w14:paraId="716F6521" w14:textId="575B279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2024</w:t>
            </w:r>
          </w:p>
        </w:tc>
        <w:tc>
          <w:tcPr>
            <w:tcW w:w="2204" w:type="dxa"/>
            <w:tcBorders>
              <w:top w:val="nil"/>
              <w:left w:val="nil"/>
              <w:bottom w:val="nil"/>
              <w:right w:val="nil"/>
            </w:tcBorders>
            <w:noWrap/>
          </w:tcPr>
          <w:p w14:paraId="59878C69" w14:textId="56B1AFD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B4E3B">
              <w:rPr>
                <w:rFonts w:ascii="Garamond" w:hAnsi="Garamond" w:cs="Calibri"/>
                <w:color w:val="000000"/>
                <w:sz w:val="20"/>
                <w:szCs w:val="20"/>
              </w:rPr>
              <w:t>Democratic Republic of Congo</w:t>
            </w:r>
          </w:p>
        </w:tc>
        <w:tc>
          <w:tcPr>
            <w:tcW w:w="1082" w:type="dxa"/>
            <w:tcBorders>
              <w:top w:val="nil"/>
              <w:left w:val="nil"/>
              <w:bottom w:val="nil"/>
              <w:right w:val="nil"/>
            </w:tcBorders>
            <w:noWrap/>
          </w:tcPr>
          <w:p w14:paraId="402287DD" w14:textId="26CB2465"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Cross-sectional</w:t>
            </w:r>
          </w:p>
        </w:tc>
        <w:tc>
          <w:tcPr>
            <w:tcW w:w="1180" w:type="dxa"/>
            <w:tcBorders>
              <w:top w:val="nil"/>
              <w:left w:val="nil"/>
              <w:bottom w:val="nil"/>
              <w:right w:val="nil"/>
            </w:tcBorders>
            <w:noWrap/>
          </w:tcPr>
          <w:p w14:paraId="07C2FC76" w14:textId="5A3FF8B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Community</w:t>
            </w:r>
          </w:p>
        </w:tc>
        <w:tc>
          <w:tcPr>
            <w:tcW w:w="1424" w:type="dxa"/>
            <w:tcBorders>
              <w:top w:val="nil"/>
              <w:left w:val="nil"/>
              <w:bottom w:val="nil"/>
              <w:right w:val="nil"/>
            </w:tcBorders>
            <w:noWrap/>
          </w:tcPr>
          <w:p w14:paraId="5E5BDFCE" w14:textId="6334EC34"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General population</w:t>
            </w:r>
          </w:p>
        </w:tc>
        <w:tc>
          <w:tcPr>
            <w:tcW w:w="1232" w:type="dxa"/>
            <w:tcBorders>
              <w:top w:val="nil"/>
              <w:left w:val="nil"/>
              <w:bottom w:val="nil"/>
              <w:right w:val="nil"/>
            </w:tcBorders>
            <w:noWrap/>
          </w:tcPr>
          <w:p w14:paraId="05A5D0BC" w14:textId="0056666E"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Non-probabilistic</w:t>
            </w:r>
          </w:p>
        </w:tc>
        <w:tc>
          <w:tcPr>
            <w:tcW w:w="882" w:type="dxa"/>
            <w:tcBorders>
              <w:top w:val="nil"/>
              <w:left w:val="nil"/>
              <w:bottom w:val="nil"/>
              <w:right w:val="nil"/>
            </w:tcBorders>
            <w:noWrap/>
          </w:tcPr>
          <w:p w14:paraId="12E0DBFC" w14:textId="27045151"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Pr>
                <w:rFonts w:ascii="Garamond" w:hAnsi="Garamond" w:cs="Calibri"/>
                <w:color w:val="000000"/>
                <w:sz w:val="20"/>
                <w:szCs w:val="20"/>
              </w:rPr>
              <w:t>Low</w:t>
            </w:r>
          </w:p>
        </w:tc>
        <w:tc>
          <w:tcPr>
            <w:tcW w:w="1077" w:type="dxa"/>
            <w:tcBorders>
              <w:top w:val="nil"/>
              <w:left w:val="nil"/>
              <w:bottom w:val="nil"/>
              <w:right w:val="nil"/>
            </w:tcBorders>
            <w:noWrap/>
          </w:tcPr>
          <w:p w14:paraId="576416F5" w14:textId="4C381508"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241</w:t>
            </w:r>
          </w:p>
        </w:tc>
        <w:tc>
          <w:tcPr>
            <w:tcW w:w="1130" w:type="dxa"/>
            <w:tcBorders>
              <w:top w:val="nil"/>
              <w:left w:val="nil"/>
              <w:bottom w:val="nil"/>
              <w:right w:val="nil"/>
            </w:tcBorders>
            <w:noWrap/>
          </w:tcPr>
          <w:p w14:paraId="35D188A0" w14:textId="5165078F" w:rsidR="00925CF9" w:rsidRPr="00431BC4" w:rsidRDefault="00925CF9" w:rsidP="00925CF9">
            <w:pPr>
              <w:spacing w:after="0" w:line="240" w:lineRule="auto"/>
              <w:rPr>
                <w:rFonts w:ascii="Garamond" w:eastAsia="Times New Roman" w:hAnsi="Garamond" w:cs="Calibri"/>
                <w:color w:val="000000"/>
                <w:kern w:val="0"/>
                <w:sz w:val="20"/>
                <w:szCs w:val="20"/>
                <w:lang w:eastAsia="fr-FR"/>
                <w14:ligatures w14:val="none"/>
              </w:rPr>
            </w:pPr>
            <w:r w:rsidRPr="00431BC4">
              <w:rPr>
                <w:rFonts w:ascii="Garamond" w:hAnsi="Garamond" w:cs="Calibri"/>
                <w:color w:val="000000"/>
                <w:sz w:val="20"/>
                <w:szCs w:val="20"/>
              </w:rPr>
              <w:t>0.0</w:t>
            </w:r>
          </w:p>
        </w:tc>
      </w:tr>
      <w:tr w:rsidR="00925CF9" w:rsidRPr="00431BC4" w14:paraId="524D2EC0" w14:textId="77777777" w:rsidTr="00925CF9">
        <w:trPr>
          <w:trHeight w:val="290"/>
        </w:trPr>
        <w:tc>
          <w:tcPr>
            <w:tcW w:w="13394" w:type="dxa"/>
            <w:gridSpan w:val="10"/>
            <w:tcBorders>
              <w:top w:val="nil"/>
              <w:left w:val="nil"/>
              <w:bottom w:val="nil"/>
              <w:right w:val="nil"/>
            </w:tcBorders>
            <w:noWrap/>
          </w:tcPr>
          <w:p w14:paraId="73A9C08F" w14:textId="07141BA4" w:rsidR="00925CF9" w:rsidRPr="00431BC4" w:rsidRDefault="00925CF9" w:rsidP="00925CF9">
            <w:pPr>
              <w:spacing w:after="0" w:line="240" w:lineRule="auto"/>
              <w:rPr>
                <w:rFonts w:ascii="Garamond" w:hAnsi="Garamond" w:cs="Calibri"/>
                <w:color w:val="000000"/>
                <w:sz w:val="20"/>
                <w:szCs w:val="20"/>
              </w:rPr>
            </w:pPr>
            <w:r w:rsidRPr="00431BC4">
              <w:rPr>
                <w:rFonts w:ascii="Garamond" w:eastAsia="Times New Roman" w:hAnsi="Garamond" w:cs="Calibri"/>
                <w:i/>
                <w:iCs/>
                <w:color w:val="000000"/>
                <w:kern w:val="0"/>
                <w:sz w:val="20"/>
                <w:szCs w:val="20"/>
                <w:lang w:eastAsia="fr-FR"/>
                <w14:ligatures w14:val="none"/>
              </w:rPr>
              <w:t>1</w:t>
            </w:r>
            <w:r w:rsidRPr="00431BC4">
              <w:rPr>
                <w:rFonts w:ascii="Garamond" w:eastAsia="Times New Roman" w:hAnsi="Garamond" w:cs="Calibri"/>
                <w:color w:val="000000"/>
                <w:kern w:val="0"/>
                <w:sz w:val="20"/>
                <w:szCs w:val="20"/>
                <w:lang w:eastAsia="fr-FR"/>
                <w14:ligatures w14:val="none"/>
              </w:rPr>
              <w:t xml:space="preserve">: Last year that the study was conducted; </w:t>
            </w:r>
          </w:p>
        </w:tc>
      </w:tr>
    </w:tbl>
    <w:p w14:paraId="335CE46C" w14:textId="77777777" w:rsidR="000338E3" w:rsidRDefault="000338E3"/>
    <w:p w14:paraId="66337A7B" w14:textId="77777777" w:rsidR="000338E3" w:rsidRDefault="000338E3">
      <w:pPr>
        <w:sectPr w:rsidR="000338E3" w:rsidSect="00732E62">
          <w:footerReference w:type="default" r:id="rId7"/>
          <w:pgSz w:w="15840" w:h="12240" w:orient="landscape"/>
          <w:pgMar w:top="851" w:right="1417" w:bottom="1417" w:left="1417" w:header="708" w:footer="708" w:gutter="0"/>
          <w:cols w:space="708"/>
          <w:docGrid w:linePitch="360"/>
        </w:sectPr>
      </w:pPr>
    </w:p>
    <w:p w14:paraId="465A472B" w14:textId="5141B651" w:rsidR="003A0E8C" w:rsidRPr="005E217E" w:rsidRDefault="006D3DAF" w:rsidP="00267581">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61312" behindDoc="0" locked="0" layoutInCell="1" allowOverlap="1" wp14:anchorId="3B3C319E" wp14:editId="45FCC0DD">
                <wp:simplePos x="0" y="0"/>
                <wp:positionH relativeFrom="column">
                  <wp:posOffset>4260215</wp:posOffset>
                </wp:positionH>
                <wp:positionV relativeFrom="paragraph">
                  <wp:posOffset>275458</wp:posOffset>
                </wp:positionV>
                <wp:extent cx="968720" cy="280035"/>
                <wp:effectExtent l="0" t="0" r="3175" b="5715"/>
                <wp:wrapNone/>
                <wp:docPr id="972291936" name="Zone de texte 27"/>
                <wp:cNvGraphicFramePr/>
                <a:graphic xmlns:a="http://schemas.openxmlformats.org/drawingml/2006/main">
                  <a:graphicData uri="http://schemas.microsoft.com/office/word/2010/wordprocessingShape">
                    <wps:wsp>
                      <wps:cNvSpPr txBox="1"/>
                      <wps:spPr>
                        <a:xfrm>
                          <a:off x="0" y="0"/>
                          <a:ext cx="968720" cy="280035"/>
                        </a:xfrm>
                        <a:prstGeom prst="rect">
                          <a:avLst/>
                        </a:prstGeom>
                        <a:solidFill>
                          <a:sysClr val="window" lastClr="FFFFFF"/>
                        </a:solidFill>
                        <a:ln w="6350">
                          <a:noFill/>
                        </a:ln>
                      </wps:spPr>
                      <wps:txbx>
                        <w:txbxContent>
                          <w:p w14:paraId="4D78662D" w14:textId="77777777" w:rsidR="006D3DAF" w:rsidRPr="00003FF2" w:rsidRDefault="006D3DAF" w:rsidP="006D3DAF">
                            <w:pPr>
                              <w:rPr>
                                <w:rFonts w:asciiTheme="minorBidi" w:hAnsiTheme="minorBidi"/>
                                <w:b/>
                                <w:bCs/>
                                <w:sz w:val="18"/>
                                <w:szCs w:val="18"/>
                              </w:rPr>
                            </w:pPr>
                            <w:r w:rsidRPr="00003FF2">
                              <w:rPr>
                                <w:rFonts w:asciiTheme="minorBidi" w:hAnsiTheme="minorBidi"/>
                                <w:b/>
                                <w:bCs/>
                                <w:sz w:val="18"/>
                                <w:szCs w:val="18"/>
                              </w:rPr>
                              <w:t>Event rate (%)</w:t>
                            </w:r>
                          </w:p>
                          <w:p w14:paraId="1EF4A2E4" w14:textId="77777777" w:rsidR="006D3DAF" w:rsidRPr="00003FF2" w:rsidRDefault="006D3DAF" w:rsidP="006D3DAF">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3C319E" id="_x0000_t202" coordsize="21600,21600" o:spt="202" path="m,l,21600r21600,l21600,xe">
                <v:stroke joinstyle="miter"/>
                <v:path gradientshapeok="t" o:connecttype="rect"/>
              </v:shapetype>
              <v:shape id="Zone de texte 27" o:spid="_x0000_s1026" type="#_x0000_t202" style="position:absolute;left:0;text-align:left;margin-left:335.45pt;margin-top:21.7pt;width:76.3pt;height:2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" fillcolor="window" stroked="f" strokeweight=".5pt">
                <v:textbox>
                  <w:txbxContent>
                    <w:p w14:paraId="4D78662D" w14:textId="77777777" w:rsidR="006D3DAF" w:rsidRPr="00003FF2" w:rsidRDefault="006D3DAF" w:rsidP="006D3DAF">
                      <w:pPr>
                        <w:rPr>
                          <w:rFonts w:asciiTheme="minorBidi" w:hAnsiTheme="minorBidi"/>
                          <w:b/>
                          <w:bCs/>
                          <w:sz w:val="18"/>
                          <w:szCs w:val="18"/>
                        </w:rPr>
                      </w:pPr>
                      <w:r w:rsidRPr="00003FF2">
                        <w:rPr>
                          <w:rFonts w:asciiTheme="minorBidi" w:hAnsiTheme="minorBidi"/>
                          <w:b/>
                          <w:bCs/>
                          <w:sz w:val="18"/>
                          <w:szCs w:val="18"/>
                        </w:rPr>
                        <w:t>Event rate (%)</w:t>
                      </w:r>
                    </w:p>
                    <w:p w14:paraId="1EF4A2E4" w14:textId="77777777" w:rsidR="006D3DAF" w:rsidRPr="00003FF2" w:rsidRDefault="006D3DAF" w:rsidP="006D3DAF">
                      <w:pPr>
                        <w:rPr>
                          <w:rFonts w:asciiTheme="minorBidi" w:hAnsiTheme="minorBidi"/>
                          <w:b/>
                          <w:bCs/>
                          <w:sz w:val="18"/>
                          <w:szCs w:val="18"/>
                        </w:rPr>
                      </w:pPr>
                    </w:p>
                  </w:txbxContent>
                </v:textbox>
              </v:shape>
            </w:pict>
          </mc:Fallback>
        </mc:AlternateContent>
      </w:r>
      <w:r w:rsidRPr="00EC56E4">
        <w:rPr>
          <w:noProof/>
        </w:rPr>
        <mc:AlternateContent>
          <mc:Choice Requires="wps">
            <w:drawing>
              <wp:anchor distT="0" distB="0" distL="114300" distR="114300" simplePos="0" relativeHeight="251659264" behindDoc="0" locked="0" layoutInCell="1" allowOverlap="1" wp14:anchorId="076E601E" wp14:editId="4C9BCA23">
                <wp:simplePos x="0" y="0"/>
                <wp:positionH relativeFrom="column">
                  <wp:posOffset>2875550</wp:posOffset>
                </wp:positionH>
                <wp:positionV relativeFrom="paragraph">
                  <wp:posOffset>267473</wp:posOffset>
                </wp:positionV>
                <wp:extent cx="1447248" cy="280035"/>
                <wp:effectExtent l="0" t="0" r="635" b="5715"/>
                <wp:wrapNone/>
                <wp:docPr id="483663171"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60F3EC59" w14:textId="77777777" w:rsidR="006D3DAF" w:rsidRPr="00003FF2" w:rsidRDefault="006D3DAF" w:rsidP="006D3DAF">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E601E" id="Zone de texte 26" o:spid="_x0000_s1027" type="#_x0000_t202" style="position:absolute;left:0;text-align:left;margin-left:226.4pt;margin-top:21.05pt;width:113.95pt;height:2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jkRNgIAAGw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" fillcolor="window" stroked="f" strokeweight=".5pt">
                <v:textbox>
                  <w:txbxContent>
                    <w:p w14:paraId="60F3EC59" w14:textId="77777777" w:rsidR="006D3DAF" w:rsidRPr="00003FF2" w:rsidRDefault="006D3DAF" w:rsidP="006D3DAF">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005E217E" w:rsidRPr="005E217E">
        <w:rPr>
          <w:rFonts w:ascii="Gill Sans MT" w:hAnsi="Gill Sans MT"/>
          <w:b/>
          <w:bCs/>
          <w:sz w:val="24"/>
          <w:szCs w:val="24"/>
          <w:u w:val="single"/>
        </w:rPr>
        <w:t>Study period</w:t>
      </w:r>
    </w:p>
    <w:p w14:paraId="2D66BDD2" w14:textId="5F04ABDA" w:rsidR="003A0E8C" w:rsidRDefault="00A65011" w:rsidP="006D3DAF">
      <w:pPr>
        <w:pStyle w:val="Bibliographie"/>
      </w:pPr>
      <w:r>
        <w:rPr>
          <w:noProof/>
        </w:rPr>
        <w:drawing>
          <wp:inline distT="0" distB="0" distL="0" distR="0" wp14:anchorId="485E7333" wp14:editId="6420838B">
            <wp:extent cx="5692140" cy="7532483"/>
            <wp:effectExtent l="0" t="0" r="3810" b="0"/>
            <wp:docPr id="19487016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53"/>
                    <a:stretch>
                      <a:fillRect/>
                    </a:stretch>
                  </pic:blipFill>
                  <pic:spPr bwMode="auto">
                    <a:xfrm>
                      <a:off x="0" y="0"/>
                      <a:ext cx="5701735" cy="7545180"/>
                    </a:xfrm>
                    <a:prstGeom prst="rect">
                      <a:avLst/>
                    </a:prstGeom>
                    <a:noFill/>
                    <a:ln>
                      <a:noFill/>
                    </a:ln>
                    <a:extLst>
                      <a:ext uri="{53640926-AAD7-44D8-BBD7-CCE9431645EC}">
                        <a14:shadowObscured xmlns:a14="http://schemas.microsoft.com/office/drawing/2010/main"/>
                      </a:ext>
                    </a:extLst>
                  </pic:spPr>
                </pic:pic>
              </a:graphicData>
            </a:graphic>
          </wp:inline>
        </w:drawing>
      </w:r>
    </w:p>
    <w:p w14:paraId="6B5930C4" w14:textId="02C16612" w:rsidR="00CE4101" w:rsidRPr="00CE4101" w:rsidRDefault="00417152" w:rsidP="00417152">
      <w:pPr>
        <w:pStyle w:val="Lgende"/>
      </w:pPr>
      <w:r w:rsidRPr="00417152">
        <w:rPr>
          <w:b/>
          <w:bCs/>
        </w:rPr>
        <w:t xml:space="preserve">Supplementary Fig. </w:t>
      </w:r>
      <w:r w:rsidRPr="00417152">
        <w:rPr>
          <w:b/>
          <w:bCs/>
        </w:rPr>
        <w:fldChar w:fldCharType="begin"/>
      </w:r>
      <w:r w:rsidRPr="00417152">
        <w:rPr>
          <w:b/>
          <w:bCs/>
        </w:rPr>
        <w:instrText xml:space="preserve"> SEQ Supplementary_Fig. \* ARABIC </w:instrText>
      </w:r>
      <w:r w:rsidRPr="00417152">
        <w:rPr>
          <w:b/>
          <w:bCs/>
        </w:rPr>
        <w:fldChar w:fldCharType="separate"/>
      </w:r>
      <w:r w:rsidRPr="00417152">
        <w:rPr>
          <w:b/>
          <w:bCs/>
          <w:noProof/>
        </w:rPr>
        <w:t>1</w:t>
      </w:r>
      <w:r w:rsidRPr="00417152">
        <w:rPr>
          <w:b/>
          <w:bCs/>
        </w:rPr>
        <w:fldChar w:fldCharType="end"/>
      </w:r>
      <w:r>
        <w:t xml:space="preserve"> </w:t>
      </w:r>
      <w:r w:rsidR="00CE4101" w:rsidRPr="00CE4101">
        <w:t xml:space="preserve">Case fatality rate among </w:t>
      </w:r>
      <w:r w:rsidR="00B84A60">
        <w:t>suspected</w:t>
      </w:r>
      <w:r w:rsidR="00CE4101" w:rsidRPr="00CE4101">
        <w:t xml:space="preserve"> mpox case in Africa by study periods</w:t>
      </w:r>
    </w:p>
    <w:p w14:paraId="3160AE65" w14:textId="77777777" w:rsidR="00E234A3" w:rsidRDefault="00E234A3" w:rsidP="00997FA8">
      <w:pPr>
        <w:pStyle w:val="Bibliographie"/>
        <w:tabs>
          <w:tab w:val="clear" w:pos="504"/>
        </w:tabs>
        <w:ind w:left="0" w:firstLine="0"/>
        <w:rPr>
          <w:rFonts w:ascii="Gill Sans MT" w:hAnsi="Gill Sans MT"/>
          <w:b/>
          <w:bCs/>
          <w:sz w:val="24"/>
          <w:szCs w:val="24"/>
          <w:u w:val="single"/>
        </w:rPr>
      </w:pPr>
    </w:p>
    <w:p w14:paraId="76CE0045" w14:textId="2FAA3FDC" w:rsidR="005E217E" w:rsidRDefault="008A5294" w:rsidP="00997FA8">
      <w:pPr>
        <w:pStyle w:val="Bibliographie"/>
        <w:tabs>
          <w:tab w:val="clear" w:pos="504"/>
        </w:tabs>
        <w:ind w:left="0" w:firstLine="0"/>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65408" behindDoc="0" locked="0" layoutInCell="1" allowOverlap="1" wp14:anchorId="0DC9D1D4" wp14:editId="183FEFB7">
                <wp:simplePos x="0" y="0"/>
                <wp:positionH relativeFrom="column">
                  <wp:posOffset>4269734</wp:posOffset>
                </wp:positionH>
                <wp:positionV relativeFrom="paragraph">
                  <wp:posOffset>259049</wp:posOffset>
                </wp:positionV>
                <wp:extent cx="896293" cy="280035"/>
                <wp:effectExtent l="0" t="0" r="0" b="5715"/>
                <wp:wrapNone/>
                <wp:docPr id="813499992" name="Zone de texte 27"/>
                <wp:cNvGraphicFramePr/>
                <a:graphic xmlns:a="http://schemas.openxmlformats.org/drawingml/2006/main">
                  <a:graphicData uri="http://schemas.microsoft.com/office/word/2010/wordprocessingShape">
                    <wps:wsp>
                      <wps:cNvSpPr txBox="1"/>
                      <wps:spPr>
                        <a:xfrm>
                          <a:off x="0" y="0"/>
                          <a:ext cx="896293" cy="280035"/>
                        </a:xfrm>
                        <a:prstGeom prst="rect">
                          <a:avLst/>
                        </a:prstGeom>
                        <a:solidFill>
                          <a:sysClr val="window" lastClr="FFFFFF"/>
                        </a:solidFill>
                        <a:ln w="6350">
                          <a:noFill/>
                        </a:ln>
                      </wps:spPr>
                      <wps:txbx>
                        <w:txbxContent>
                          <w:p w14:paraId="45B37D56" w14:textId="77777777" w:rsidR="008A5294" w:rsidRPr="008A5294" w:rsidRDefault="008A5294" w:rsidP="008A5294">
                            <w:pPr>
                              <w:rPr>
                                <w:rFonts w:asciiTheme="minorBidi" w:hAnsiTheme="minorBidi"/>
                                <w:b/>
                                <w:bCs/>
                                <w:sz w:val="16"/>
                                <w:szCs w:val="16"/>
                              </w:rPr>
                            </w:pPr>
                            <w:r w:rsidRPr="008A5294">
                              <w:rPr>
                                <w:rFonts w:asciiTheme="minorBidi" w:hAnsiTheme="minorBidi"/>
                                <w:b/>
                                <w:bCs/>
                                <w:sz w:val="16"/>
                                <w:szCs w:val="16"/>
                              </w:rPr>
                              <w:t>Event rate (%)</w:t>
                            </w:r>
                          </w:p>
                          <w:p w14:paraId="11DC2BEE" w14:textId="77777777" w:rsidR="008A5294" w:rsidRPr="008A5294" w:rsidRDefault="008A5294" w:rsidP="008A5294">
                            <w:pPr>
                              <w:rPr>
                                <w:rFonts w:asciiTheme="minorBidi" w:hAnsiTheme="minorBidi"/>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9D1D4" id="_x0000_s1028" type="#_x0000_t202" style="position:absolute;margin-left:336.2pt;margin-top:20.4pt;width:70.55pt;height:2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" fillcolor="window" stroked="f" strokeweight=".5pt">
                <v:textbox>
                  <w:txbxContent>
                    <w:p w14:paraId="45B37D56" w14:textId="77777777" w:rsidR="008A5294" w:rsidRPr="008A5294" w:rsidRDefault="008A5294" w:rsidP="008A5294">
                      <w:pPr>
                        <w:rPr>
                          <w:rFonts w:asciiTheme="minorBidi" w:hAnsiTheme="minorBidi"/>
                          <w:b/>
                          <w:bCs/>
                          <w:sz w:val="16"/>
                          <w:szCs w:val="16"/>
                        </w:rPr>
                      </w:pPr>
                      <w:r w:rsidRPr="008A5294">
                        <w:rPr>
                          <w:rFonts w:asciiTheme="minorBidi" w:hAnsiTheme="minorBidi"/>
                          <w:b/>
                          <w:bCs/>
                          <w:sz w:val="16"/>
                          <w:szCs w:val="16"/>
                        </w:rPr>
                        <w:t>Event rate (%)</w:t>
                      </w:r>
                    </w:p>
                    <w:p w14:paraId="11DC2BEE" w14:textId="77777777" w:rsidR="008A5294" w:rsidRPr="008A5294" w:rsidRDefault="008A5294" w:rsidP="008A5294">
                      <w:pPr>
                        <w:rPr>
                          <w:rFonts w:asciiTheme="minorBidi" w:hAnsiTheme="minorBidi"/>
                          <w:b/>
                          <w:bCs/>
                          <w:sz w:val="16"/>
                          <w:szCs w:val="16"/>
                        </w:rPr>
                      </w:pPr>
                    </w:p>
                  </w:txbxContent>
                </v:textbox>
              </v:shape>
            </w:pict>
          </mc:Fallback>
        </mc:AlternateContent>
      </w:r>
      <w:r w:rsidRPr="00EC56E4">
        <w:rPr>
          <w:noProof/>
        </w:rPr>
        <mc:AlternateContent>
          <mc:Choice Requires="wps">
            <w:drawing>
              <wp:anchor distT="0" distB="0" distL="114300" distR="114300" simplePos="0" relativeHeight="251663360" behindDoc="0" locked="0" layoutInCell="1" allowOverlap="1" wp14:anchorId="555D03A3" wp14:editId="72D846EE">
                <wp:simplePos x="0" y="0"/>
                <wp:positionH relativeFrom="column">
                  <wp:posOffset>2821506</wp:posOffset>
                </wp:positionH>
                <wp:positionV relativeFrom="paragraph">
                  <wp:posOffset>259043</wp:posOffset>
                </wp:positionV>
                <wp:extent cx="1447248" cy="280035"/>
                <wp:effectExtent l="0" t="0" r="635" b="5715"/>
                <wp:wrapNone/>
                <wp:docPr id="399406468"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26259CEB" w14:textId="77777777" w:rsidR="008A5294" w:rsidRPr="008A5294" w:rsidRDefault="008A5294" w:rsidP="008A5294">
                            <w:pPr>
                              <w:jc w:val="center"/>
                              <w:rPr>
                                <w:rFonts w:asciiTheme="minorBidi" w:hAnsiTheme="minorBidi"/>
                                <w:b/>
                                <w:bCs/>
                                <w:sz w:val="16"/>
                                <w:szCs w:val="16"/>
                              </w:rPr>
                            </w:pPr>
                            <w:r w:rsidRPr="008A5294">
                              <w:rPr>
                                <w:rFonts w:asciiTheme="minorBidi" w:hAnsiTheme="minorBidi"/>
                                <w:b/>
                                <w:bCs/>
                                <w:sz w:val="16"/>
                                <w:szCs w:val="16"/>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D03A3" id="_x0000_s1029" type="#_x0000_t202" style="position:absolute;margin-left:222.15pt;margin-top:20.4pt;width:113.95pt;height:2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" fillcolor="window" stroked="f" strokeweight=".5pt">
                <v:textbox>
                  <w:txbxContent>
                    <w:p w14:paraId="26259CEB" w14:textId="77777777" w:rsidR="008A5294" w:rsidRPr="008A5294" w:rsidRDefault="008A5294" w:rsidP="008A5294">
                      <w:pPr>
                        <w:jc w:val="center"/>
                        <w:rPr>
                          <w:rFonts w:asciiTheme="minorBidi" w:hAnsiTheme="minorBidi"/>
                          <w:b/>
                          <w:bCs/>
                          <w:sz w:val="16"/>
                          <w:szCs w:val="16"/>
                        </w:rPr>
                      </w:pPr>
                      <w:r w:rsidRPr="008A5294">
                        <w:rPr>
                          <w:rFonts w:asciiTheme="minorBidi" w:hAnsiTheme="minorBidi"/>
                          <w:b/>
                          <w:bCs/>
                          <w:sz w:val="16"/>
                          <w:szCs w:val="16"/>
                        </w:rPr>
                        <w:t>Case fatality rate (%)</w:t>
                      </w:r>
                    </w:p>
                  </w:txbxContent>
                </v:textbox>
              </v:shape>
            </w:pict>
          </mc:Fallback>
        </mc:AlternateContent>
      </w:r>
      <w:r w:rsidR="009B4A6F" w:rsidRPr="00997FA8">
        <w:rPr>
          <w:rFonts w:ascii="Gill Sans MT" w:hAnsi="Gill Sans MT"/>
          <w:b/>
          <w:bCs/>
          <w:sz w:val="24"/>
          <w:szCs w:val="24"/>
          <w:u w:val="single"/>
        </w:rPr>
        <w:t>Country</w:t>
      </w:r>
    </w:p>
    <w:p w14:paraId="3D52AD0C" w14:textId="7278F0CD" w:rsidR="00E768A0" w:rsidRPr="00E768A0" w:rsidRDefault="00E768A0" w:rsidP="00F820EC">
      <w:pPr>
        <w:ind w:right="49"/>
      </w:pPr>
      <w:r>
        <w:rPr>
          <w:noProof/>
        </w:rPr>
        <w:drawing>
          <wp:inline distT="0" distB="0" distL="0" distR="0" wp14:anchorId="2BEAD7BA" wp14:editId="31AD8D95">
            <wp:extent cx="5656815" cy="7369521"/>
            <wp:effectExtent l="0" t="0" r="1270" b="3175"/>
            <wp:docPr id="177212369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363"/>
                    <a:stretch>
                      <a:fillRect/>
                    </a:stretch>
                  </pic:blipFill>
                  <pic:spPr bwMode="auto">
                    <a:xfrm>
                      <a:off x="0" y="0"/>
                      <a:ext cx="5673172" cy="7390830"/>
                    </a:xfrm>
                    <a:prstGeom prst="rect">
                      <a:avLst/>
                    </a:prstGeom>
                    <a:noFill/>
                    <a:ln>
                      <a:noFill/>
                    </a:ln>
                    <a:extLst>
                      <a:ext uri="{53640926-AAD7-44D8-BBD7-CCE9431645EC}">
                        <a14:shadowObscured xmlns:a14="http://schemas.microsoft.com/office/drawing/2010/main"/>
                      </a:ext>
                    </a:extLst>
                  </pic:spPr>
                </pic:pic>
              </a:graphicData>
            </a:graphic>
          </wp:inline>
        </w:drawing>
      </w:r>
    </w:p>
    <w:p w14:paraId="49266F42" w14:textId="44752AEF" w:rsidR="000A176A" w:rsidRPr="00CE4101" w:rsidRDefault="000A176A" w:rsidP="00E2318D">
      <w:pPr>
        <w:pStyle w:val="Lgende"/>
      </w:pPr>
      <w:bookmarkStart w:id="0" w:name="_Hlk210138673"/>
      <w:r w:rsidRPr="00CE4101">
        <w:rPr>
          <w:b/>
          <w:bCs/>
        </w:rPr>
        <w:t xml:space="preserve">Supplementary Fig. </w:t>
      </w:r>
      <w:r w:rsidRPr="00CE4101">
        <w:rPr>
          <w:b/>
          <w:bCs/>
        </w:rPr>
        <w:fldChar w:fldCharType="begin"/>
      </w:r>
      <w:r w:rsidRPr="00CE4101">
        <w:rPr>
          <w:b/>
          <w:bCs/>
        </w:rPr>
        <w:instrText xml:space="preserve"> SEQ Supplementary_Fig. \* ARABIC </w:instrText>
      </w:r>
      <w:r w:rsidRPr="00CE4101">
        <w:rPr>
          <w:b/>
          <w:bCs/>
        </w:rPr>
        <w:fldChar w:fldCharType="separate"/>
      </w:r>
      <w:r w:rsidR="00417152">
        <w:rPr>
          <w:b/>
          <w:bCs/>
          <w:noProof/>
        </w:rPr>
        <w:t>2</w:t>
      </w:r>
      <w:r w:rsidRPr="00CE4101">
        <w:rPr>
          <w:b/>
          <w:bCs/>
        </w:rPr>
        <w:fldChar w:fldCharType="end"/>
      </w:r>
      <w:r>
        <w:t xml:space="preserve"> </w:t>
      </w:r>
      <w:r w:rsidRPr="00CE4101">
        <w:t xml:space="preserve">Case fatality rate among </w:t>
      </w:r>
      <w:r w:rsidR="008A5294">
        <w:t>suspected</w:t>
      </w:r>
      <w:r w:rsidRPr="00CE4101">
        <w:t xml:space="preserve"> mpox case </w:t>
      </w:r>
      <w:r w:rsidR="008A5294">
        <w:t>across African countries</w:t>
      </w:r>
    </w:p>
    <w:bookmarkEnd w:id="0"/>
    <w:p w14:paraId="0F524847" w14:textId="77777777" w:rsidR="00E234A3" w:rsidRDefault="00E234A3" w:rsidP="00ED1A94">
      <w:pPr>
        <w:pStyle w:val="Bibliographie"/>
        <w:tabs>
          <w:tab w:val="clear" w:pos="504"/>
        </w:tabs>
        <w:ind w:left="0" w:firstLine="0"/>
        <w:rPr>
          <w:rFonts w:ascii="Gill Sans MT" w:hAnsi="Gill Sans MT"/>
          <w:b/>
          <w:bCs/>
          <w:sz w:val="24"/>
          <w:szCs w:val="24"/>
          <w:u w:val="single"/>
        </w:rPr>
      </w:pPr>
    </w:p>
    <w:p w14:paraId="5BEFCA28" w14:textId="77777777" w:rsidR="00E234A3" w:rsidRPr="00E234A3" w:rsidRDefault="00E234A3" w:rsidP="00E234A3"/>
    <w:p w14:paraId="26871CE3" w14:textId="62AB7A2C" w:rsidR="00582A46" w:rsidRPr="00ED1A94" w:rsidRDefault="00096754" w:rsidP="00582A46">
      <w:pPr>
        <w:pStyle w:val="Bibliographie"/>
        <w:tabs>
          <w:tab w:val="clear" w:pos="504"/>
        </w:tabs>
        <w:ind w:left="0" w:firstLine="0"/>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69504" behindDoc="0" locked="0" layoutInCell="1" allowOverlap="1" wp14:anchorId="38C5B9F7" wp14:editId="1B38E9DD">
                <wp:simplePos x="0" y="0"/>
                <wp:positionH relativeFrom="column">
                  <wp:posOffset>4134258</wp:posOffset>
                </wp:positionH>
                <wp:positionV relativeFrom="paragraph">
                  <wp:posOffset>268096</wp:posOffset>
                </wp:positionV>
                <wp:extent cx="968720" cy="280035"/>
                <wp:effectExtent l="0" t="0" r="3175" b="5715"/>
                <wp:wrapNone/>
                <wp:docPr id="987316094" name="Zone de texte 27"/>
                <wp:cNvGraphicFramePr/>
                <a:graphic xmlns:a="http://schemas.openxmlformats.org/drawingml/2006/main">
                  <a:graphicData uri="http://schemas.microsoft.com/office/word/2010/wordprocessingShape">
                    <wps:wsp>
                      <wps:cNvSpPr txBox="1"/>
                      <wps:spPr>
                        <a:xfrm>
                          <a:off x="0" y="0"/>
                          <a:ext cx="968720" cy="280035"/>
                        </a:xfrm>
                        <a:prstGeom prst="rect">
                          <a:avLst/>
                        </a:prstGeom>
                        <a:solidFill>
                          <a:sysClr val="window" lastClr="FFFFFF"/>
                        </a:solidFill>
                        <a:ln w="6350">
                          <a:noFill/>
                        </a:ln>
                      </wps:spPr>
                      <wps:txbx>
                        <w:txbxContent>
                          <w:p w14:paraId="0C57B5C6" w14:textId="77777777" w:rsidR="00096754" w:rsidRPr="00003FF2" w:rsidRDefault="00096754" w:rsidP="00096754">
                            <w:pPr>
                              <w:rPr>
                                <w:rFonts w:asciiTheme="minorBidi" w:hAnsiTheme="minorBidi"/>
                                <w:b/>
                                <w:bCs/>
                                <w:sz w:val="18"/>
                                <w:szCs w:val="18"/>
                              </w:rPr>
                            </w:pPr>
                            <w:r w:rsidRPr="00003FF2">
                              <w:rPr>
                                <w:rFonts w:asciiTheme="minorBidi" w:hAnsiTheme="minorBidi"/>
                                <w:b/>
                                <w:bCs/>
                                <w:sz w:val="18"/>
                                <w:szCs w:val="18"/>
                              </w:rPr>
                              <w:t>Event rate (%)</w:t>
                            </w:r>
                          </w:p>
                          <w:p w14:paraId="1BE51924" w14:textId="77777777" w:rsidR="00096754" w:rsidRPr="00003FF2" w:rsidRDefault="00096754" w:rsidP="00096754">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5B9F7" id="_x0000_s1030" type="#_x0000_t202" style="position:absolute;margin-left:325.55pt;margin-top:21.1pt;width:76.3pt;height:2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" fillcolor="window" stroked="f" strokeweight=".5pt">
                <v:textbox>
                  <w:txbxContent>
                    <w:p w14:paraId="0C57B5C6" w14:textId="77777777" w:rsidR="00096754" w:rsidRPr="00003FF2" w:rsidRDefault="00096754" w:rsidP="00096754">
                      <w:pPr>
                        <w:rPr>
                          <w:rFonts w:asciiTheme="minorBidi" w:hAnsiTheme="minorBidi"/>
                          <w:b/>
                          <w:bCs/>
                          <w:sz w:val="18"/>
                          <w:szCs w:val="18"/>
                        </w:rPr>
                      </w:pPr>
                      <w:r w:rsidRPr="00003FF2">
                        <w:rPr>
                          <w:rFonts w:asciiTheme="minorBidi" w:hAnsiTheme="minorBidi"/>
                          <w:b/>
                          <w:bCs/>
                          <w:sz w:val="18"/>
                          <w:szCs w:val="18"/>
                        </w:rPr>
                        <w:t>Event rate (%)</w:t>
                      </w:r>
                    </w:p>
                    <w:p w14:paraId="1BE51924" w14:textId="77777777" w:rsidR="00096754" w:rsidRPr="00003FF2" w:rsidRDefault="00096754" w:rsidP="00096754">
                      <w:pPr>
                        <w:rPr>
                          <w:rFonts w:asciiTheme="minorBidi" w:hAnsiTheme="minorBidi"/>
                          <w:b/>
                          <w:bCs/>
                          <w:sz w:val="18"/>
                          <w:szCs w:val="18"/>
                        </w:rPr>
                      </w:pPr>
                    </w:p>
                  </w:txbxContent>
                </v:textbox>
              </v:shape>
            </w:pict>
          </mc:Fallback>
        </mc:AlternateContent>
      </w:r>
      <w:r w:rsidRPr="00EC56E4">
        <w:rPr>
          <w:noProof/>
        </w:rPr>
        <mc:AlternateContent>
          <mc:Choice Requires="wps">
            <w:drawing>
              <wp:anchor distT="0" distB="0" distL="114300" distR="114300" simplePos="0" relativeHeight="251667456" behindDoc="0" locked="0" layoutInCell="1" allowOverlap="1" wp14:anchorId="3470FDDD" wp14:editId="21752652">
                <wp:simplePos x="0" y="0"/>
                <wp:positionH relativeFrom="column">
                  <wp:posOffset>2812453</wp:posOffset>
                </wp:positionH>
                <wp:positionV relativeFrom="paragraph">
                  <wp:posOffset>268096</wp:posOffset>
                </wp:positionV>
                <wp:extent cx="1447248" cy="280035"/>
                <wp:effectExtent l="0" t="0" r="635" b="5715"/>
                <wp:wrapNone/>
                <wp:docPr id="1346155231"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674F8B5F" w14:textId="77777777" w:rsidR="00096754" w:rsidRPr="00003FF2" w:rsidRDefault="00096754" w:rsidP="00096754">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0FDDD" id="_x0000_s1031" type="#_x0000_t202" style="position:absolute;margin-left:221.45pt;margin-top:21.1pt;width:113.95pt;height:2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NwIAAGw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" fillcolor="window" stroked="f" strokeweight=".5pt">
                <v:textbox>
                  <w:txbxContent>
                    <w:p w14:paraId="674F8B5F" w14:textId="77777777" w:rsidR="00096754" w:rsidRPr="00003FF2" w:rsidRDefault="00096754" w:rsidP="00096754">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00582A46" w:rsidRPr="00ED1A94">
        <w:rPr>
          <w:rFonts w:ascii="Gill Sans MT" w:hAnsi="Gill Sans MT"/>
          <w:b/>
          <w:bCs/>
          <w:sz w:val="24"/>
          <w:szCs w:val="24"/>
          <w:u w:val="single"/>
        </w:rPr>
        <w:t xml:space="preserve">Study </w:t>
      </w:r>
      <w:r w:rsidR="003B4BE3">
        <w:rPr>
          <w:rFonts w:ascii="Gill Sans MT" w:hAnsi="Gill Sans MT"/>
          <w:b/>
          <w:bCs/>
          <w:sz w:val="24"/>
          <w:szCs w:val="24"/>
          <w:u w:val="single"/>
        </w:rPr>
        <w:t>setting</w:t>
      </w:r>
    </w:p>
    <w:p w14:paraId="76076821" w14:textId="26583C0F" w:rsidR="005A412C" w:rsidRDefault="004B5AF3" w:rsidP="005A412C">
      <w:r w:rsidRPr="004B5AF3">
        <w:rPr>
          <w:noProof/>
        </w:rPr>
        <w:drawing>
          <wp:inline distT="0" distB="0" distL="0" distR="0" wp14:anchorId="66D35B44" wp14:editId="302809B6">
            <wp:extent cx="5546077" cy="7550590"/>
            <wp:effectExtent l="0" t="0" r="0" b="0"/>
            <wp:docPr id="213785432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754"/>
                    <a:stretch>
                      <a:fillRect/>
                    </a:stretch>
                  </pic:blipFill>
                  <pic:spPr bwMode="auto">
                    <a:xfrm>
                      <a:off x="0" y="0"/>
                      <a:ext cx="5552850" cy="7559811"/>
                    </a:xfrm>
                    <a:prstGeom prst="rect">
                      <a:avLst/>
                    </a:prstGeom>
                    <a:noFill/>
                    <a:ln>
                      <a:noFill/>
                    </a:ln>
                    <a:extLst>
                      <a:ext uri="{53640926-AAD7-44D8-BBD7-CCE9431645EC}">
                        <a14:shadowObscured xmlns:a14="http://schemas.microsoft.com/office/drawing/2010/main"/>
                      </a:ext>
                    </a:extLst>
                  </pic:spPr>
                </pic:pic>
              </a:graphicData>
            </a:graphic>
          </wp:inline>
        </w:drawing>
      </w:r>
    </w:p>
    <w:p w14:paraId="0B0958D2" w14:textId="230C08DC" w:rsidR="004B5AF3" w:rsidRPr="00E2318D" w:rsidRDefault="004B5AF3" w:rsidP="004B5AF3">
      <w:pPr>
        <w:pStyle w:val="Lgende"/>
        <w:rPr>
          <w:b/>
          <w:bCs/>
        </w:rPr>
      </w:pPr>
      <w:r w:rsidRPr="00E2318D">
        <w:rPr>
          <w:b/>
          <w:bCs/>
        </w:rPr>
        <w:t xml:space="preserve">Supplementary Fig. </w:t>
      </w:r>
      <w:r w:rsidRPr="00E2318D">
        <w:rPr>
          <w:b/>
          <w:bCs/>
        </w:rPr>
        <w:fldChar w:fldCharType="begin"/>
      </w:r>
      <w:r w:rsidRPr="00E2318D">
        <w:rPr>
          <w:b/>
          <w:bCs/>
        </w:rPr>
        <w:instrText xml:space="preserve"> SEQ Supplementary_Fig. \* ARABIC </w:instrText>
      </w:r>
      <w:r w:rsidRPr="00E2318D">
        <w:rPr>
          <w:b/>
          <w:bCs/>
        </w:rPr>
        <w:fldChar w:fldCharType="separate"/>
      </w:r>
      <w:r w:rsidR="00417152">
        <w:rPr>
          <w:b/>
          <w:bCs/>
          <w:noProof/>
        </w:rPr>
        <w:t>3</w:t>
      </w:r>
      <w:r w:rsidRPr="00E2318D">
        <w:rPr>
          <w:b/>
          <w:bCs/>
        </w:rPr>
        <w:fldChar w:fldCharType="end"/>
      </w:r>
      <w:r>
        <w:rPr>
          <w:b/>
          <w:bCs/>
        </w:rPr>
        <w:t xml:space="preserve"> </w:t>
      </w:r>
      <w:r w:rsidRPr="00CE4101">
        <w:t xml:space="preserve">Case fatality rate among </w:t>
      </w:r>
      <w:r>
        <w:t>suspected</w:t>
      </w:r>
      <w:r w:rsidRPr="00CE4101">
        <w:t xml:space="preserve"> mpox case in Africa by </w:t>
      </w:r>
      <w:r w:rsidR="00096754">
        <w:t>study setting</w:t>
      </w:r>
    </w:p>
    <w:p w14:paraId="337555DC" w14:textId="77777777" w:rsidR="005A412C" w:rsidRDefault="005A412C" w:rsidP="005A412C"/>
    <w:p w14:paraId="484237EA" w14:textId="099561EC" w:rsidR="005E217E" w:rsidRPr="00ED1A94" w:rsidRDefault="00ED1A94" w:rsidP="00ED1A94">
      <w:pPr>
        <w:pStyle w:val="Bibliographie"/>
        <w:tabs>
          <w:tab w:val="clear" w:pos="504"/>
        </w:tabs>
        <w:ind w:left="0" w:firstLine="0"/>
        <w:rPr>
          <w:rFonts w:ascii="Gill Sans MT" w:hAnsi="Gill Sans MT"/>
          <w:b/>
          <w:bCs/>
          <w:sz w:val="24"/>
          <w:szCs w:val="24"/>
          <w:u w:val="single"/>
        </w:rPr>
      </w:pPr>
      <w:r w:rsidRPr="00ED1A94">
        <w:rPr>
          <w:rFonts w:ascii="Gill Sans MT" w:hAnsi="Gill Sans MT"/>
          <w:b/>
          <w:bCs/>
          <w:sz w:val="24"/>
          <w:szCs w:val="24"/>
          <w:u w:val="single"/>
        </w:rPr>
        <w:lastRenderedPageBreak/>
        <w:t>Study design</w:t>
      </w:r>
    </w:p>
    <w:p w14:paraId="4770E76D" w14:textId="4D0C2EB7" w:rsidR="00ED1A94" w:rsidRDefault="00096754" w:rsidP="005E217E">
      <w:r w:rsidRPr="00EC56E4">
        <w:rPr>
          <w:noProof/>
        </w:rPr>
        <mc:AlternateContent>
          <mc:Choice Requires="wps">
            <w:drawing>
              <wp:anchor distT="0" distB="0" distL="114300" distR="114300" simplePos="0" relativeHeight="251673600" behindDoc="0" locked="0" layoutInCell="1" allowOverlap="1" wp14:anchorId="47EC7C03" wp14:editId="1D537C05">
                <wp:simplePos x="0" y="0"/>
                <wp:positionH relativeFrom="column">
                  <wp:posOffset>2576623</wp:posOffset>
                </wp:positionH>
                <wp:positionV relativeFrom="paragraph">
                  <wp:posOffset>-57917</wp:posOffset>
                </wp:positionV>
                <wp:extent cx="1303699" cy="261928"/>
                <wp:effectExtent l="0" t="0" r="0" b="5080"/>
                <wp:wrapNone/>
                <wp:docPr id="402284953" name="Zone de texte 26"/>
                <wp:cNvGraphicFramePr/>
                <a:graphic xmlns:a="http://schemas.openxmlformats.org/drawingml/2006/main">
                  <a:graphicData uri="http://schemas.microsoft.com/office/word/2010/wordprocessingShape">
                    <wps:wsp>
                      <wps:cNvSpPr txBox="1"/>
                      <wps:spPr>
                        <a:xfrm>
                          <a:off x="0" y="0"/>
                          <a:ext cx="1303699" cy="261928"/>
                        </a:xfrm>
                        <a:prstGeom prst="rect">
                          <a:avLst/>
                        </a:prstGeom>
                        <a:solidFill>
                          <a:sysClr val="window" lastClr="FFFFFF"/>
                        </a:solidFill>
                        <a:ln w="6350">
                          <a:noFill/>
                        </a:ln>
                      </wps:spPr>
                      <wps:txbx>
                        <w:txbxContent>
                          <w:p w14:paraId="45974582" w14:textId="77777777" w:rsidR="00096754" w:rsidRPr="00096754" w:rsidRDefault="00096754" w:rsidP="00096754">
                            <w:pPr>
                              <w:jc w:val="center"/>
                              <w:rPr>
                                <w:rFonts w:asciiTheme="minorBidi" w:hAnsiTheme="minorBidi"/>
                                <w:b/>
                                <w:bCs/>
                                <w:sz w:val="16"/>
                                <w:szCs w:val="16"/>
                              </w:rPr>
                            </w:pPr>
                            <w:r w:rsidRPr="00096754">
                              <w:rPr>
                                <w:rFonts w:asciiTheme="minorBidi" w:hAnsiTheme="minorBidi"/>
                                <w:b/>
                                <w:bCs/>
                                <w:sz w:val="16"/>
                                <w:szCs w:val="16"/>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C7C03" id="_x0000_s1032" type="#_x0000_t202" style="position:absolute;margin-left:202.9pt;margin-top:-4.55pt;width:102.65pt;height:2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" fillcolor="window" stroked="f" strokeweight=".5pt">
                <v:textbox>
                  <w:txbxContent>
                    <w:p w14:paraId="45974582" w14:textId="77777777" w:rsidR="00096754" w:rsidRPr="00096754" w:rsidRDefault="00096754" w:rsidP="00096754">
                      <w:pPr>
                        <w:jc w:val="center"/>
                        <w:rPr>
                          <w:rFonts w:asciiTheme="minorBidi" w:hAnsiTheme="minorBidi"/>
                          <w:b/>
                          <w:bCs/>
                          <w:sz w:val="16"/>
                          <w:szCs w:val="16"/>
                        </w:rPr>
                      </w:pPr>
                      <w:r w:rsidRPr="00096754">
                        <w:rPr>
                          <w:rFonts w:asciiTheme="minorBidi" w:hAnsiTheme="minorBidi"/>
                          <w:b/>
                          <w:bCs/>
                          <w:sz w:val="16"/>
                          <w:szCs w:val="16"/>
                        </w:rPr>
                        <w:t>Case fatality rate (%)</w:t>
                      </w:r>
                    </w:p>
                  </w:txbxContent>
                </v:textbox>
              </v:shape>
            </w:pict>
          </mc:Fallback>
        </mc:AlternateContent>
      </w:r>
      <w:r w:rsidRPr="00EC56E4">
        <w:rPr>
          <w:noProof/>
        </w:rPr>
        <mc:AlternateContent>
          <mc:Choice Requires="wps">
            <w:drawing>
              <wp:anchor distT="0" distB="0" distL="114300" distR="114300" simplePos="0" relativeHeight="251671552" behindDoc="0" locked="0" layoutInCell="1" allowOverlap="1" wp14:anchorId="106DFCF6" wp14:editId="6C0C85E9">
                <wp:simplePos x="0" y="0"/>
                <wp:positionH relativeFrom="column">
                  <wp:posOffset>3880234</wp:posOffset>
                </wp:positionH>
                <wp:positionV relativeFrom="paragraph">
                  <wp:posOffset>-48260</wp:posOffset>
                </wp:positionV>
                <wp:extent cx="869133" cy="226336"/>
                <wp:effectExtent l="0" t="0" r="7620" b="2540"/>
                <wp:wrapNone/>
                <wp:docPr id="1664569826" name="Zone de texte 27"/>
                <wp:cNvGraphicFramePr/>
                <a:graphic xmlns:a="http://schemas.openxmlformats.org/drawingml/2006/main">
                  <a:graphicData uri="http://schemas.microsoft.com/office/word/2010/wordprocessingShape">
                    <wps:wsp>
                      <wps:cNvSpPr txBox="1"/>
                      <wps:spPr>
                        <a:xfrm>
                          <a:off x="0" y="0"/>
                          <a:ext cx="869133" cy="226336"/>
                        </a:xfrm>
                        <a:prstGeom prst="rect">
                          <a:avLst/>
                        </a:prstGeom>
                        <a:solidFill>
                          <a:sysClr val="window" lastClr="FFFFFF"/>
                        </a:solidFill>
                        <a:ln w="6350">
                          <a:noFill/>
                        </a:ln>
                      </wps:spPr>
                      <wps:txbx>
                        <w:txbxContent>
                          <w:p w14:paraId="63711E7C" w14:textId="77777777" w:rsidR="00096754" w:rsidRPr="00096754" w:rsidRDefault="00096754" w:rsidP="00096754">
                            <w:pPr>
                              <w:rPr>
                                <w:rFonts w:asciiTheme="minorBidi" w:hAnsiTheme="minorBidi"/>
                                <w:b/>
                                <w:bCs/>
                                <w:sz w:val="16"/>
                                <w:szCs w:val="16"/>
                              </w:rPr>
                            </w:pPr>
                            <w:r w:rsidRPr="00096754">
                              <w:rPr>
                                <w:rFonts w:asciiTheme="minorBidi" w:hAnsiTheme="minorBidi"/>
                                <w:b/>
                                <w:bCs/>
                                <w:sz w:val="16"/>
                                <w:szCs w:val="16"/>
                              </w:rPr>
                              <w:t>Event rate (%)</w:t>
                            </w:r>
                          </w:p>
                          <w:p w14:paraId="05AB78B5" w14:textId="77777777" w:rsidR="00096754" w:rsidRPr="00096754" w:rsidRDefault="00096754" w:rsidP="00096754">
                            <w:pPr>
                              <w:rPr>
                                <w:rFonts w:asciiTheme="minorBidi" w:hAnsiTheme="minorBidi"/>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DFCF6" id="_x0000_s1033" type="#_x0000_t202" style="position:absolute;margin-left:305.55pt;margin-top:-3.8pt;width:68.45pt;height:1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" fillcolor="window" stroked="f" strokeweight=".5pt">
                <v:textbox>
                  <w:txbxContent>
                    <w:p w14:paraId="63711E7C" w14:textId="77777777" w:rsidR="00096754" w:rsidRPr="00096754" w:rsidRDefault="00096754" w:rsidP="00096754">
                      <w:pPr>
                        <w:rPr>
                          <w:rFonts w:asciiTheme="minorBidi" w:hAnsiTheme="minorBidi"/>
                          <w:b/>
                          <w:bCs/>
                          <w:sz w:val="16"/>
                          <w:szCs w:val="16"/>
                        </w:rPr>
                      </w:pPr>
                      <w:r w:rsidRPr="00096754">
                        <w:rPr>
                          <w:rFonts w:asciiTheme="minorBidi" w:hAnsiTheme="minorBidi"/>
                          <w:b/>
                          <w:bCs/>
                          <w:sz w:val="16"/>
                          <w:szCs w:val="16"/>
                        </w:rPr>
                        <w:t>Event rate (%)</w:t>
                      </w:r>
                    </w:p>
                    <w:p w14:paraId="05AB78B5" w14:textId="77777777" w:rsidR="00096754" w:rsidRPr="00096754" w:rsidRDefault="00096754" w:rsidP="00096754">
                      <w:pPr>
                        <w:rPr>
                          <w:rFonts w:asciiTheme="minorBidi" w:hAnsiTheme="minorBidi"/>
                          <w:b/>
                          <w:bCs/>
                          <w:sz w:val="16"/>
                          <w:szCs w:val="16"/>
                        </w:rPr>
                      </w:pPr>
                    </w:p>
                  </w:txbxContent>
                </v:textbox>
              </v:shape>
            </w:pict>
          </mc:Fallback>
        </mc:AlternateContent>
      </w:r>
      <w:r w:rsidR="005A412C" w:rsidRPr="005A412C">
        <w:rPr>
          <w:noProof/>
        </w:rPr>
        <w:drawing>
          <wp:inline distT="0" distB="0" distL="0" distR="0" wp14:anchorId="6986E2AF" wp14:editId="09F543F9">
            <wp:extent cx="5139690" cy="7396022"/>
            <wp:effectExtent l="0" t="0" r="3810" b="0"/>
            <wp:docPr id="104532180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506"/>
                    <a:stretch>
                      <a:fillRect/>
                    </a:stretch>
                  </pic:blipFill>
                  <pic:spPr bwMode="auto">
                    <a:xfrm>
                      <a:off x="0" y="0"/>
                      <a:ext cx="5148141" cy="7408183"/>
                    </a:xfrm>
                    <a:prstGeom prst="rect">
                      <a:avLst/>
                    </a:prstGeom>
                    <a:noFill/>
                    <a:ln>
                      <a:noFill/>
                    </a:ln>
                    <a:extLst>
                      <a:ext uri="{53640926-AAD7-44D8-BBD7-CCE9431645EC}">
                        <a14:shadowObscured xmlns:a14="http://schemas.microsoft.com/office/drawing/2010/main"/>
                      </a:ext>
                    </a:extLst>
                  </pic:spPr>
                </pic:pic>
              </a:graphicData>
            </a:graphic>
          </wp:inline>
        </w:drawing>
      </w:r>
    </w:p>
    <w:p w14:paraId="59287F3F" w14:textId="696E9245" w:rsidR="00ED1A94" w:rsidRPr="00ED1A94" w:rsidRDefault="00ED1A94" w:rsidP="00E2318D">
      <w:pPr>
        <w:pStyle w:val="Lgende"/>
      </w:pPr>
      <w:r w:rsidRPr="00E2318D">
        <w:rPr>
          <w:b/>
          <w:bCs/>
        </w:rPr>
        <w:t xml:space="preserve">Supplementary Fig. </w:t>
      </w:r>
      <w:r w:rsidRPr="00E2318D">
        <w:rPr>
          <w:b/>
          <w:bCs/>
        </w:rPr>
        <w:fldChar w:fldCharType="begin"/>
      </w:r>
      <w:r w:rsidRPr="00E2318D">
        <w:rPr>
          <w:b/>
          <w:bCs/>
        </w:rPr>
        <w:instrText xml:space="preserve"> SEQ Supplementary_Fig. \* ARABIC </w:instrText>
      </w:r>
      <w:r w:rsidRPr="00E2318D">
        <w:rPr>
          <w:b/>
          <w:bCs/>
        </w:rPr>
        <w:fldChar w:fldCharType="separate"/>
      </w:r>
      <w:r w:rsidR="00417152">
        <w:rPr>
          <w:b/>
          <w:bCs/>
          <w:noProof/>
        </w:rPr>
        <w:t>4</w:t>
      </w:r>
      <w:r w:rsidRPr="00E2318D">
        <w:rPr>
          <w:b/>
          <w:bCs/>
        </w:rPr>
        <w:fldChar w:fldCharType="end"/>
      </w:r>
      <w:r w:rsidRPr="00ED1A94">
        <w:t xml:space="preserve"> Case fatality rate among suspected mpox case across African countries</w:t>
      </w:r>
    </w:p>
    <w:p w14:paraId="4190147E" w14:textId="1CB5E816" w:rsidR="005E217E" w:rsidRDefault="005A412C" w:rsidP="005E217E">
      <w:r>
        <w:t>Setting</w:t>
      </w:r>
    </w:p>
    <w:p w14:paraId="71734EA4" w14:textId="77777777" w:rsidR="005E217E" w:rsidRDefault="005E217E" w:rsidP="005E217E"/>
    <w:p w14:paraId="728D864B" w14:textId="2F93CA6E" w:rsidR="005E217E" w:rsidRPr="0018506D" w:rsidRDefault="00275914" w:rsidP="0018506D">
      <w:pPr>
        <w:pStyle w:val="Bibliographie"/>
        <w:tabs>
          <w:tab w:val="clear" w:pos="504"/>
        </w:tabs>
        <w:ind w:left="0" w:firstLine="0"/>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77696" behindDoc="0" locked="0" layoutInCell="1" allowOverlap="1" wp14:anchorId="11D8EB9D" wp14:editId="6299B580">
                <wp:simplePos x="0" y="0"/>
                <wp:positionH relativeFrom="column">
                  <wp:posOffset>2785336</wp:posOffset>
                </wp:positionH>
                <wp:positionV relativeFrom="paragraph">
                  <wp:posOffset>274610</wp:posOffset>
                </wp:positionV>
                <wp:extent cx="1303699" cy="261928"/>
                <wp:effectExtent l="0" t="0" r="0" b="5080"/>
                <wp:wrapNone/>
                <wp:docPr id="1303252265" name="Zone de texte 26"/>
                <wp:cNvGraphicFramePr/>
                <a:graphic xmlns:a="http://schemas.openxmlformats.org/drawingml/2006/main">
                  <a:graphicData uri="http://schemas.microsoft.com/office/word/2010/wordprocessingShape">
                    <wps:wsp>
                      <wps:cNvSpPr txBox="1"/>
                      <wps:spPr>
                        <a:xfrm>
                          <a:off x="0" y="0"/>
                          <a:ext cx="1303699" cy="261928"/>
                        </a:xfrm>
                        <a:prstGeom prst="rect">
                          <a:avLst/>
                        </a:prstGeom>
                        <a:solidFill>
                          <a:sysClr val="window" lastClr="FFFFFF"/>
                        </a:solidFill>
                        <a:ln w="6350">
                          <a:noFill/>
                        </a:ln>
                      </wps:spPr>
                      <wps:txbx>
                        <w:txbxContent>
                          <w:p w14:paraId="3B99D37C" w14:textId="77777777" w:rsidR="00275914" w:rsidRPr="00096754" w:rsidRDefault="00275914" w:rsidP="00275914">
                            <w:pPr>
                              <w:jc w:val="center"/>
                              <w:rPr>
                                <w:rFonts w:asciiTheme="minorBidi" w:hAnsiTheme="minorBidi"/>
                                <w:b/>
                                <w:bCs/>
                                <w:sz w:val="16"/>
                                <w:szCs w:val="16"/>
                              </w:rPr>
                            </w:pPr>
                            <w:r w:rsidRPr="00096754">
                              <w:rPr>
                                <w:rFonts w:asciiTheme="minorBidi" w:hAnsiTheme="minorBidi"/>
                                <w:b/>
                                <w:bCs/>
                                <w:sz w:val="16"/>
                                <w:szCs w:val="16"/>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8EB9D" id="_x0000_s1034" type="#_x0000_t202" style="position:absolute;margin-left:219.3pt;margin-top:21.6pt;width:102.65pt;height:20.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" fillcolor="window" stroked="f" strokeweight=".5pt">
                <v:textbox>
                  <w:txbxContent>
                    <w:p w14:paraId="3B99D37C" w14:textId="77777777" w:rsidR="00275914" w:rsidRPr="00096754" w:rsidRDefault="00275914" w:rsidP="00275914">
                      <w:pPr>
                        <w:jc w:val="center"/>
                        <w:rPr>
                          <w:rFonts w:asciiTheme="minorBidi" w:hAnsiTheme="minorBidi"/>
                          <w:b/>
                          <w:bCs/>
                          <w:sz w:val="16"/>
                          <w:szCs w:val="16"/>
                        </w:rPr>
                      </w:pPr>
                      <w:r w:rsidRPr="00096754">
                        <w:rPr>
                          <w:rFonts w:asciiTheme="minorBidi" w:hAnsiTheme="minorBidi"/>
                          <w:b/>
                          <w:bCs/>
                          <w:sz w:val="16"/>
                          <w:szCs w:val="16"/>
                        </w:rPr>
                        <w:t>Case fatality rate (%)</w:t>
                      </w:r>
                    </w:p>
                  </w:txbxContent>
                </v:textbox>
              </v:shape>
            </w:pict>
          </mc:Fallback>
        </mc:AlternateContent>
      </w:r>
      <w:r w:rsidRPr="00EC56E4">
        <w:rPr>
          <w:noProof/>
        </w:rPr>
        <mc:AlternateContent>
          <mc:Choice Requires="wps">
            <w:drawing>
              <wp:anchor distT="0" distB="0" distL="114300" distR="114300" simplePos="0" relativeHeight="251679744" behindDoc="0" locked="0" layoutInCell="1" allowOverlap="1" wp14:anchorId="31922F56" wp14:editId="2F443D3F">
                <wp:simplePos x="0" y="0"/>
                <wp:positionH relativeFrom="column">
                  <wp:posOffset>4088991</wp:posOffset>
                </wp:positionH>
                <wp:positionV relativeFrom="paragraph">
                  <wp:posOffset>274609</wp:posOffset>
                </wp:positionV>
                <wp:extent cx="869133" cy="226336"/>
                <wp:effectExtent l="0" t="0" r="7620" b="2540"/>
                <wp:wrapNone/>
                <wp:docPr id="197905181" name="Zone de texte 27"/>
                <wp:cNvGraphicFramePr/>
                <a:graphic xmlns:a="http://schemas.openxmlformats.org/drawingml/2006/main">
                  <a:graphicData uri="http://schemas.microsoft.com/office/word/2010/wordprocessingShape">
                    <wps:wsp>
                      <wps:cNvSpPr txBox="1"/>
                      <wps:spPr>
                        <a:xfrm>
                          <a:off x="0" y="0"/>
                          <a:ext cx="869133" cy="226336"/>
                        </a:xfrm>
                        <a:prstGeom prst="rect">
                          <a:avLst/>
                        </a:prstGeom>
                        <a:solidFill>
                          <a:sysClr val="window" lastClr="FFFFFF"/>
                        </a:solidFill>
                        <a:ln w="6350">
                          <a:noFill/>
                        </a:ln>
                      </wps:spPr>
                      <wps:txbx>
                        <w:txbxContent>
                          <w:p w14:paraId="2F39BA4C" w14:textId="77777777" w:rsidR="00275914" w:rsidRPr="00096754" w:rsidRDefault="00275914" w:rsidP="00275914">
                            <w:pPr>
                              <w:rPr>
                                <w:rFonts w:asciiTheme="minorBidi" w:hAnsiTheme="minorBidi"/>
                                <w:b/>
                                <w:bCs/>
                                <w:sz w:val="16"/>
                                <w:szCs w:val="16"/>
                              </w:rPr>
                            </w:pPr>
                            <w:r w:rsidRPr="00096754">
                              <w:rPr>
                                <w:rFonts w:asciiTheme="minorBidi" w:hAnsiTheme="minorBidi"/>
                                <w:b/>
                                <w:bCs/>
                                <w:sz w:val="16"/>
                                <w:szCs w:val="16"/>
                              </w:rPr>
                              <w:t>Event rate (%)</w:t>
                            </w:r>
                          </w:p>
                          <w:p w14:paraId="54ACB154" w14:textId="77777777" w:rsidR="00275914" w:rsidRPr="00096754" w:rsidRDefault="00275914" w:rsidP="00275914">
                            <w:pPr>
                              <w:rPr>
                                <w:rFonts w:asciiTheme="minorBidi" w:hAnsiTheme="minorBidi"/>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22F56" id="_x0000_s1035" type="#_x0000_t202" style="position:absolute;margin-left:321.95pt;margin-top:21.6pt;width:68.45pt;height:1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" fillcolor="window" stroked="f" strokeweight=".5pt">
                <v:textbox>
                  <w:txbxContent>
                    <w:p w14:paraId="2F39BA4C" w14:textId="77777777" w:rsidR="00275914" w:rsidRPr="00096754" w:rsidRDefault="00275914" w:rsidP="00275914">
                      <w:pPr>
                        <w:rPr>
                          <w:rFonts w:asciiTheme="minorBidi" w:hAnsiTheme="minorBidi"/>
                          <w:b/>
                          <w:bCs/>
                          <w:sz w:val="16"/>
                          <w:szCs w:val="16"/>
                        </w:rPr>
                      </w:pPr>
                      <w:r w:rsidRPr="00096754">
                        <w:rPr>
                          <w:rFonts w:asciiTheme="minorBidi" w:hAnsiTheme="minorBidi"/>
                          <w:b/>
                          <w:bCs/>
                          <w:sz w:val="16"/>
                          <w:szCs w:val="16"/>
                        </w:rPr>
                        <w:t>Event rate (%)</w:t>
                      </w:r>
                    </w:p>
                    <w:p w14:paraId="54ACB154" w14:textId="77777777" w:rsidR="00275914" w:rsidRPr="00096754" w:rsidRDefault="00275914" w:rsidP="00275914">
                      <w:pPr>
                        <w:rPr>
                          <w:rFonts w:asciiTheme="minorBidi" w:hAnsiTheme="minorBidi"/>
                          <w:b/>
                          <w:bCs/>
                          <w:sz w:val="16"/>
                          <w:szCs w:val="16"/>
                        </w:rPr>
                      </w:pPr>
                    </w:p>
                  </w:txbxContent>
                </v:textbox>
              </v:shape>
            </w:pict>
          </mc:Fallback>
        </mc:AlternateContent>
      </w:r>
      <w:r w:rsidR="0018506D" w:rsidRPr="0018506D">
        <w:rPr>
          <w:rFonts w:ascii="Gill Sans MT" w:hAnsi="Gill Sans MT"/>
          <w:b/>
          <w:bCs/>
          <w:sz w:val="24"/>
          <w:szCs w:val="24"/>
          <w:u w:val="single"/>
        </w:rPr>
        <w:t>WHO Afro region</w:t>
      </w:r>
    </w:p>
    <w:p w14:paraId="2E703A80" w14:textId="2D018D3B" w:rsidR="005E217E" w:rsidRDefault="0018506D" w:rsidP="005E217E">
      <w:r w:rsidRPr="0018506D">
        <w:rPr>
          <w:noProof/>
        </w:rPr>
        <w:drawing>
          <wp:inline distT="0" distB="0" distL="0" distR="0" wp14:anchorId="5F06CC10" wp14:editId="55F47657">
            <wp:extent cx="5419090" cy="7957996"/>
            <wp:effectExtent l="0" t="0" r="0" b="5080"/>
            <wp:docPr id="72285299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496"/>
                    <a:stretch>
                      <a:fillRect/>
                    </a:stretch>
                  </pic:blipFill>
                  <pic:spPr bwMode="auto">
                    <a:xfrm>
                      <a:off x="0" y="0"/>
                      <a:ext cx="5421945" cy="7962189"/>
                    </a:xfrm>
                    <a:prstGeom prst="rect">
                      <a:avLst/>
                    </a:prstGeom>
                    <a:noFill/>
                    <a:ln>
                      <a:noFill/>
                    </a:ln>
                    <a:extLst>
                      <a:ext uri="{53640926-AAD7-44D8-BBD7-CCE9431645EC}">
                        <a14:shadowObscured xmlns:a14="http://schemas.microsoft.com/office/drawing/2010/main"/>
                      </a:ext>
                    </a:extLst>
                  </pic:spPr>
                </pic:pic>
              </a:graphicData>
            </a:graphic>
          </wp:inline>
        </w:drawing>
      </w:r>
    </w:p>
    <w:p w14:paraId="19E29576" w14:textId="4CB0F1E4" w:rsidR="0018506D" w:rsidRPr="0018506D" w:rsidRDefault="0018506D" w:rsidP="0018506D">
      <w:r w:rsidRPr="0018506D">
        <w:rPr>
          <w:b/>
          <w:bCs/>
        </w:rPr>
        <w:t xml:space="preserve">Supplementary Fig. </w:t>
      </w:r>
      <w:r w:rsidRPr="0018506D">
        <w:rPr>
          <w:b/>
          <w:bCs/>
        </w:rPr>
        <w:fldChar w:fldCharType="begin"/>
      </w:r>
      <w:r w:rsidRPr="0018506D">
        <w:rPr>
          <w:b/>
          <w:bCs/>
        </w:rPr>
        <w:instrText xml:space="preserve"> SEQ Supplementary_Fig. \* ARABIC </w:instrText>
      </w:r>
      <w:r w:rsidRPr="0018506D">
        <w:rPr>
          <w:b/>
          <w:bCs/>
        </w:rPr>
        <w:fldChar w:fldCharType="separate"/>
      </w:r>
      <w:r w:rsidR="00417152">
        <w:rPr>
          <w:b/>
          <w:bCs/>
          <w:noProof/>
        </w:rPr>
        <w:t>5</w:t>
      </w:r>
      <w:r w:rsidRPr="0018506D">
        <w:fldChar w:fldCharType="end"/>
      </w:r>
      <w:r w:rsidRPr="0018506D">
        <w:t xml:space="preserve"> Case fatality rate among suspected mpox case </w:t>
      </w:r>
      <w:r w:rsidR="00837B73">
        <w:t>WHO Afro regions</w:t>
      </w:r>
    </w:p>
    <w:p w14:paraId="10FFD356" w14:textId="68EE1A13" w:rsidR="0051420E" w:rsidRPr="00FC4EFC" w:rsidRDefault="00FC4EFC" w:rsidP="005E217E">
      <w:pPr>
        <w:rPr>
          <w:rFonts w:ascii="Gill Sans MT" w:hAnsi="Gill Sans MT"/>
          <w:b/>
          <w:bCs/>
          <w:sz w:val="24"/>
          <w:szCs w:val="24"/>
          <w:u w:val="single"/>
        </w:rPr>
      </w:pPr>
      <w:r w:rsidRPr="00FC4EFC">
        <w:rPr>
          <w:rFonts w:ascii="Gill Sans MT" w:hAnsi="Gill Sans MT"/>
          <w:b/>
          <w:bCs/>
          <w:sz w:val="24"/>
          <w:szCs w:val="24"/>
          <w:u w:val="single"/>
        </w:rPr>
        <w:lastRenderedPageBreak/>
        <w:t>Publication bias analysis</w:t>
      </w:r>
    </w:p>
    <w:p w14:paraId="67C84612" w14:textId="48051932" w:rsidR="0051420E" w:rsidRDefault="006C5C03" w:rsidP="005E217E">
      <w:r>
        <w:rPr>
          <w:noProof/>
        </w:rPr>
        <mc:AlternateContent>
          <mc:Choice Requires="wps">
            <w:drawing>
              <wp:anchor distT="0" distB="0" distL="114300" distR="114300" simplePos="0" relativeHeight="251675648" behindDoc="0" locked="0" layoutInCell="1" allowOverlap="1" wp14:anchorId="06A465AA" wp14:editId="4A4DC544">
                <wp:simplePos x="0" y="0"/>
                <wp:positionH relativeFrom="column">
                  <wp:posOffset>4478020</wp:posOffset>
                </wp:positionH>
                <wp:positionV relativeFrom="paragraph">
                  <wp:posOffset>73063</wp:posOffset>
                </wp:positionV>
                <wp:extent cx="1550505" cy="405516"/>
                <wp:effectExtent l="0" t="0" r="0" b="0"/>
                <wp:wrapNone/>
                <wp:docPr id="2100459307" name="Zone de texte 16"/>
                <wp:cNvGraphicFramePr/>
                <a:graphic xmlns:a="http://schemas.openxmlformats.org/drawingml/2006/main">
                  <a:graphicData uri="http://schemas.microsoft.com/office/word/2010/wordprocessingShape">
                    <wps:wsp>
                      <wps:cNvSpPr txBox="1"/>
                      <wps:spPr>
                        <a:xfrm>
                          <a:off x="0" y="0"/>
                          <a:ext cx="1550505" cy="405516"/>
                        </a:xfrm>
                        <a:prstGeom prst="rect">
                          <a:avLst/>
                        </a:prstGeom>
                        <a:noFill/>
                        <a:ln w="6350">
                          <a:noFill/>
                        </a:ln>
                      </wps:spPr>
                      <wps:txbx>
                        <w:txbxContent>
                          <w:p w14:paraId="2EAE7425" w14:textId="4C7D5398" w:rsidR="006C5C03" w:rsidRPr="005806CF" w:rsidRDefault="006C5C03" w:rsidP="006C5C03">
                            <w:pPr>
                              <w:spacing w:after="0" w:line="240" w:lineRule="auto"/>
                              <w:rPr>
                                <w:sz w:val="16"/>
                                <w:szCs w:val="16"/>
                              </w:rPr>
                            </w:pPr>
                            <w:r w:rsidRPr="00EC7872">
                              <w:rPr>
                                <w:sz w:val="16"/>
                                <w:szCs w:val="16"/>
                              </w:rPr>
                              <w:t xml:space="preserve">Egger’s test </w:t>
                            </w:r>
                            <w:r w:rsidRPr="002452EF">
                              <w:rPr>
                                <w:i/>
                                <w:iCs/>
                                <w:sz w:val="16"/>
                                <w:szCs w:val="16"/>
                              </w:rPr>
                              <w:t>p</w:t>
                            </w:r>
                            <w:r w:rsidRPr="00EC7872">
                              <w:rPr>
                                <w:sz w:val="16"/>
                                <w:szCs w:val="16"/>
                              </w:rPr>
                              <w:t xml:space="preserve">-value = </w:t>
                            </w:r>
                            <w:r w:rsidRPr="005806CF">
                              <w:rPr>
                                <w:sz w:val="16"/>
                                <w:szCs w:val="16"/>
                              </w:rPr>
                              <w:t>0.</w:t>
                            </w:r>
                            <w:r w:rsidR="001E45A3">
                              <w:rPr>
                                <w:sz w:val="16"/>
                                <w:szCs w:val="16"/>
                              </w:rPr>
                              <w:t>472</w:t>
                            </w:r>
                          </w:p>
                          <w:p w14:paraId="75AA7160" w14:textId="76A8BB2B" w:rsidR="006C5C03" w:rsidRPr="00EC7872" w:rsidRDefault="006C5C03" w:rsidP="006C5C03">
                            <w:pPr>
                              <w:spacing w:after="0" w:line="240" w:lineRule="auto"/>
                              <w:rPr>
                                <w:sz w:val="16"/>
                                <w:szCs w:val="16"/>
                              </w:rPr>
                            </w:pPr>
                            <w:r w:rsidRPr="00EC7872">
                              <w:rPr>
                                <w:sz w:val="16"/>
                                <w:szCs w:val="16"/>
                              </w:rPr>
                              <w:t xml:space="preserve">Begg’s test </w:t>
                            </w:r>
                            <w:r w:rsidRPr="002452EF">
                              <w:rPr>
                                <w:i/>
                                <w:iCs/>
                                <w:sz w:val="16"/>
                                <w:szCs w:val="16"/>
                              </w:rPr>
                              <w:t>p</w:t>
                            </w:r>
                            <w:r w:rsidRPr="00EC7872">
                              <w:rPr>
                                <w:sz w:val="16"/>
                                <w:szCs w:val="16"/>
                              </w:rPr>
                              <w:t>-value = 0.</w:t>
                            </w:r>
                            <w:r w:rsidR="001E45A3">
                              <w:rPr>
                                <w:sz w:val="16"/>
                                <w:szCs w:val="16"/>
                              </w:rPr>
                              <w:t>019</w:t>
                            </w:r>
                          </w:p>
                          <w:p w14:paraId="26CC6A16" w14:textId="77777777" w:rsidR="006C5C03" w:rsidRPr="00EC7872" w:rsidRDefault="006C5C03" w:rsidP="006C5C03">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465AA" id="Zone de texte 16" o:spid="_x0000_s1036" type="#_x0000_t202" style="position:absolute;margin-left:352.6pt;margin-top:5.75pt;width:122.1pt;height:3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" filled="f" stroked="f" strokeweight=".5pt">
                <v:textbox>
                  <w:txbxContent>
                    <w:p w14:paraId="2EAE7425" w14:textId="4C7D5398" w:rsidR="006C5C03" w:rsidRPr="005806CF" w:rsidRDefault="006C5C03" w:rsidP="006C5C03">
                      <w:pPr>
                        <w:spacing w:after="0" w:line="240" w:lineRule="auto"/>
                        <w:rPr>
                          <w:sz w:val="16"/>
                          <w:szCs w:val="16"/>
                        </w:rPr>
                      </w:pPr>
                      <w:r w:rsidRPr="00EC7872">
                        <w:rPr>
                          <w:sz w:val="16"/>
                          <w:szCs w:val="16"/>
                        </w:rPr>
                        <w:t xml:space="preserve">Egger’s test </w:t>
                      </w:r>
                      <w:r w:rsidRPr="002452EF">
                        <w:rPr>
                          <w:i/>
                          <w:iCs/>
                          <w:sz w:val="16"/>
                          <w:szCs w:val="16"/>
                        </w:rPr>
                        <w:t>p</w:t>
                      </w:r>
                      <w:r w:rsidRPr="00EC7872">
                        <w:rPr>
                          <w:sz w:val="16"/>
                          <w:szCs w:val="16"/>
                        </w:rPr>
                        <w:t xml:space="preserve">-value = </w:t>
                      </w:r>
                      <w:r w:rsidRPr="005806CF">
                        <w:rPr>
                          <w:sz w:val="16"/>
                          <w:szCs w:val="16"/>
                        </w:rPr>
                        <w:t>0.</w:t>
                      </w:r>
                      <w:r w:rsidR="001E45A3">
                        <w:rPr>
                          <w:sz w:val="16"/>
                          <w:szCs w:val="16"/>
                        </w:rPr>
                        <w:t>472</w:t>
                      </w:r>
                    </w:p>
                    <w:p w14:paraId="75AA7160" w14:textId="76A8BB2B" w:rsidR="006C5C03" w:rsidRPr="00EC7872" w:rsidRDefault="006C5C03" w:rsidP="006C5C03">
                      <w:pPr>
                        <w:spacing w:after="0" w:line="240" w:lineRule="auto"/>
                        <w:rPr>
                          <w:sz w:val="16"/>
                          <w:szCs w:val="16"/>
                        </w:rPr>
                      </w:pPr>
                      <w:r w:rsidRPr="00EC7872">
                        <w:rPr>
                          <w:sz w:val="16"/>
                          <w:szCs w:val="16"/>
                        </w:rPr>
                        <w:t xml:space="preserve">Begg’s test </w:t>
                      </w:r>
                      <w:r w:rsidRPr="002452EF">
                        <w:rPr>
                          <w:i/>
                          <w:iCs/>
                          <w:sz w:val="16"/>
                          <w:szCs w:val="16"/>
                        </w:rPr>
                        <w:t>p</w:t>
                      </w:r>
                      <w:r w:rsidRPr="00EC7872">
                        <w:rPr>
                          <w:sz w:val="16"/>
                          <w:szCs w:val="16"/>
                        </w:rPr>
                        <w:t>-value = 0.</w:t>
                      </w:r>
                      <w:r w:rsidR="001E45A3">
                        <w:rPr>
                          <w:sz w:val="16"/>
                          <w:szCs w:val="16"/>
                        </w:rPr>
                        <w:t>019</w:t>
                      </w:r>
                    </w:p>
                    <w:p w14:paraId="26CC6A16" w14:textId="77777777" w:rsidR="006C5C03" w:rsidRPr="00EC7872" w:rsidRDefault="006C5C03" w:rsidP="006C5C03">
                      <w:pPr>
                        <w:spacing w:after="0" w:line="240" w:lineRule="auto"/>
                        <w:rPr>
                          <w:sz w:val="16"/>
                          <w:szCs w:val="16"/>
                        </w:rPr>
                      </w:pPr>
                    </w:p>
                  </w:txbxContent>
                </v:textbox>
              </v:shape>
            </w:pict>
          </mc:Fallback>
        </mc:AlternateContent>
      </w:r>
      <w:r w:rsidR="006807D6">
        <w:rPr>
          <w:noProof/>
        </w:rPr>
        <w:drawing>
          <wp:inline distT="0" distB="0" distL="0" distR="0" wp14:anchorId="5CDE13ED" wp14:editId="75597CD7">
            <wp:extent cx="6031230" cy="2585720"/>
            <wp:effectExtent l="0" t="0" r="7620" b="5080"/>
            <wp:docPr id="16381329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32949" name=""/>
                    <pic:cNvPicPr/>
                  </pic:nvPicPr>
                  <pic:blipFill>
                    <a:blip r:embed="rId13"/>
                    <a:stretch>
                      <a:fillRect/>
                    </a:stretch>
                  </pic:blipFill>
                  <pic:spPr>
                    <a:xfrm>
                      <a:off x="0" y="0"/>
                      <a:ext cx="6031230" cy="2585720"/>
                    </a:xfrm>
                    <a:prstGeom prst="rect">
                      <a:avLst/>
                    </a:prstGeom>
                  </pic:spPr>
                </pic:pic>
              </a:graphicData>
            </a:graphic>
          </wp:inline>
        </w:drawing>
      </w:r>
    </w:p>
    <w:p w14:paraId="1E1B19DE" w14:textId="24050F9C" w:rsidR="006807D6" w:rsidRPr="00BD4703" w:rsidRDefault="00BD4703" w:rsidP="00BD4703">
      <w:pPr>
        <w:pStyle w:val="Lgende"/>
        <w:rPr>
          <w:b/>
          <w:bCs/>
        </w:rPr>
      </w:pPr>
      <w:r w:rsidRPr="00BD4703">
        <w:rPr>
          <w:b/>
          <w:bCs/>
        </w:rPr>
        <w:t xml:space="preserve">Supplementary Fig. </w:t>
      </w:r>
      <w:r w:rsidRPr="00BD4703">
        <w:rPr>
          <w:b/>
          <w:bCs/>
        </w:rPr>
        <w:fldChar w:fldCharType="begin"/>
      </w:r>
      <w:r w:rsidRPr="00BD4703">
        <w:rPr>
          <w:b/>
          <w:bCs/>
        </w:rPr>
        <w:instrText xml:space="preserve"> SEQ Supplementary_Fig. \* ARABIC </w:instrText>
      </w:r>
      <w:r w:rsidRPr="00BD4703">
        <w:rPr>
          <w:b/>
          <w:bCs/>
        </w:rPr>
        <w:fldChar w:fldCharType="separate"/>
      </w:r>
      <w:r w:rsidR="00417152">
        <w:rPr>
          <w:b/>
          <w:bCs/>
          <w:noProof/>
        </w:rPr>
        <w:t>6</w:t>
      </w:r>
      <w:r w:rsidRPr="00BD4703">
        <w:rPr>
          <w:b/>
          <w:bCs/>
        </w:rPr>
        <w:fldChar w:fldCharType="end"/>
      </w:r>
      <w:r w:rsidRPr="00BD4703">
        <w:rPr>
          <w:iCs/>
        </w:rPr>
        <w:t xml:space="preserve"> Funnel plot displaying the pseudo 95% confidence limits and tests assessing the publication bias of studies included</w:t>
      </w:r>
    </w:p>
    <w:p w14:paraId="1D07CB7E" w14:textId="77777777" w:rsidR="006807D6" w:rsidRDefault="006807D6" w:rsidP="005E217E"/>
    <w:p w14:paraId="7AF3ADDB" w14:textId="77777777" w:rsidR="00BD4703" w:rsidRDefault="00BD4703" w:rsidP="005E217E">
      <w:pPr>
        <w:rPr>
          <w:noProof/>
        </w:rPr>
      </w:pPr>
    </w:p>
    <w:p w14:paraId="7A8CEB16" w14:textId="77777777" w:rsidR="00275914" w:rsidRDefault="00275914" w:rsidP="005E217E">
      <w:pPr>
        <w:rPr>
          <w:noProof/>
        </w:rPr>
      </w:pPr>
    </w:p>
    <w:p w14:paraId="29263058" w14:textId="067D6C27" w:rsidR="006807D6" w:rsidRDefault="00275914" w:rsidP="005E217E">
      <w:r w:rsidRPr="00EC56E4">
        <w:rPr>
          <w:noProof/>
        </w:rPr>
        <w:lastRenderedPageBreak/>
        <mc:AlternateContent>
          <mc:Choice Requires="wps">
            <w:drawing>
              <wp:anchor distT="0" distB="0" distL="114300" distR="114300" simplePos="0" relativeHeight="251683840" behindDoc="0" locked="0" layoutInCell="1" allowOverlap="1" wp14:anchorId="14AABEE1" wp14:editId="3435262D">
                <wp:simplePos x="0" y="0"/>
                <wp:positionH relativeFrom="column">
                  <wp:posOffset>4134258</wp:posOffset>
                </wp:positionH>
                <wp:positionV relativeFrom="paragraph">
                  <wp:posOffset>-60200</wp:posOffset>
                </wp:positionV>
                <wp:extent cx="869133" cy="226336"/>
                <wp:effectExtent l="0" t="0" r="7620" b="2540"/>
                <wp:wrapNone/>
                <wp:docPr id="338215048" name="Zone de texte 27"/>
                <wp:cNvGraphicFramePr/>
                <a:graphic xmlns:a="http://schemas.openxmlformats.org/drawingml/2006/main">
                  <a:graphicData uri="http://schemas.microsoft.com/office/word/2010/wordprocessingShape">
                    <wps:wsp>
                      <wps:cNvSpPr txBox="1"/>
                      <wps:spPr>
                        <a:xfrm>
                          <a:off x="0" y="0"/>
                          <a:ext cx="869133" cy="226336"/>
                        </a:xfrm>
                        <a:prstGeom prst="rect">
                          <a:avLst/>
                        </a:prstGeom>
                        <a:solidFill>
                          <a:sysClr val="window" lastClr="FFFFFF"/>
                        </a:solidFill>
                        <a:ln w="6350">
                          <a:noFill/>
                        </a:ln>
                      </wps:spPr>
                      <wps:txbx>
                        <w:txbxContent>
                          <w:p w14:paraId="25F92EE7" w14:textId="77777777" w:rsidR="00275914" w:rsidRPr="00096754" w:rsidRDefault="00275914" w:rsidP="00275914">
                            <w:pPr>
                              <w:rPr>
                                <w:rFonts w:asciiTheme="minorBidi" w:hAnsiTheme="minorBidi"/>
                                <w:b/>
                                <w:bCs/>
                                <w:sz w:val="16"/>
                                <w:szCs w:val="16"/>
                              </w:rPr>
                            </w:pPr>
                            <w:r w:rsidRPr="00096754">
                              <w:rPr>
                                <w:rFonts w:asciiTheme="minorBidi" w:hAnsiTheme="minorBidi"/>
                                <w:b/>
                                <w:bCs/>
                                <w:sz w:val="16"/>
                                <w:szCs w:val="16"/>
                              </w:rPr>
                              <w:t>Event rate (%)</w:t>
                            </w:r>
                          </w:p>
                          <w:p w14:paraId="63890FA2" w14:textId="77777777" w:rsidR="00275914" w:rsidRPr="00096754" w:rsidRDefault="00275914" w:rsidP="00275914">
                            <w:pPr>
                              <w:rPr>
                                <w:rFonts w:asciiTheme="minorBidi" w:hAnsiTheme="minorBidi"/>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ABEE1" id="_x0000_s1037" type="#_x0000_t202" style="position:absolute;margin-left:325.55pt;margin-top:-4.75pt;width:68.45pt;height:1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" fillcolor="window" stroked="f" strokeweight=".5pt">
                <v:textbox>
                  <w:txbxContent>
                    <w:p w14:paraId="25F92EE7" w14:textId="77777777" w:rsidR="00275914" w:rsidRPr="00096754" w:rsidRDefault="00275914" w:rsidP="00275914">
                      <w:pPr>
                        <w:rPr>
                          <w:rFonts w:asciiTheme="minorBidi" w:hAnsiTheme="minorBidi"/>
                          <w:b/>
                          <w:bCs/>
                          <w:sz w:val="16"/>
                          <w:szCs w:val="16"/>
                        </w:rPr>
                      </w:pPr>
                      <w:r w:rsidRPr="00096754">
                        <w:rPr>
                          <w:rFonts w:asciiTheme="minorBidi" w:hAnsiTheme="minorBidi"/>
                          <w:b/>
                          <w:bCs/>
                          <w:sz w:val="16"/>
                          <w:szCs w:val="16"/>
                        </w:rPr>
                        <w:t>Event rate (%)</w:t>
                      </w:r>
                    </w:p>
                    <w:p w14:paraId="63890FA2" w14:textId="77777777" w:rsidR="00275914" w:rsidRPr="00096754" w:rsidRDefault="00275914" w:rsidP="00275914">
                      <w:pPr>
                        <w:rPr>
                          <w:rFonts w:asciiTheme="minorBidi" w:hAnsiTheme="minorBidi"/>
                          <w:b/>
                          <w:bCs/>
                          <w:sz w:val="16"/>
                          <w:szCs w:val="16"/>
                        </w:rPr>
                      </w:pPr>
                    </w:p>
                  </w:txbxContent>
                </v:textbox>
              </v:shape>
            </w:pict>
          </mc:Fallback>
        </mc:AlternateContent>
      </w:r>
      <w:r w:rsidRPr="00EC56E4">
        <w:rPr>
          <w:noProof/>
        </w:rPr>
        <mc:AlternateContent>
          <mc:Choice Requires="wps">
            <w:drawing>
              <wp:anchor distT="0" distB="0" distL="114300" distR="114300" simplePos="0" relativeHeight="251681792" behindDoc="0" locked="0" layoutInCell="1" allowOverlap="1" wp14:anchorId="144C745E" wp14:editId="45422A17">
                <wp:simplePos x="0" y="0"/>
                <wp:positionH relativeFrom="column">
                  <wp:posOffset>2730972</wp:posOffset>
                </wp:positionH>
                <wp:positionV relativeFrom="paragraph">
                  <wp:posOffset>-60199</wp:posOffset>
                </wp:positionV>
                <wp:extent cx="1303699" cy="261928"/>
                <wp:effectExtent l="0" t="0" r="0" b="5080"/>
                <wp:wrapNone/>
                <wp:docPr id="371019383" name="Zone de texte 26"/>
                <wp:cNvGraphicFramePr/>
                <a:graphic xmlns:a="http://schemas.openxmlformats.org/drawingml/2006/main">
                  <a:graphicData uri="http://schemas.microsoft.com/office/word/2010/wordprocessingShape">
                    <wps:wsp>
                      <wps:cNvSpPr txBox="1"/>
                      <wps:spPr>
                        <a:xfrm>
                          <a:off x="0" y="0"/>
                          <a:ext cx="1303699" cy="261928"/>
                        </a:xfrm>
                        <a:prstGeom prst="rect">
                          <a:avLst/>
                        </a:prstGeom>
                        <a:solidFill>
                          <a:sysClr val="window" lastClr="FFFFFF"/>
                        </a:solidFill>
                        <a:ln w="6350">
                          <a:noFill/>
                        </a:ln>
                      </wps:spPr>
                      <wps:txbx>
                        <w:txbxContent>
                          <w:p w14:paraId="05065586" w14:textId="77777777" w:rsidR="00275914" w:rsidRPr="00096754" w:rsidRDefault="00275914" w:rsidP="00275914">
                            <w:pPr>
                              <w:jc w:val="center"/>
                              <w:rPr>
                                <w:rFonts w:asciiTheme="minorBidi" w:hAnsiTheme="minorBidi"/>
                                <w:b/>
                                <w:bCs/>
                                <w:sz w:val="16"/>
                                <w:szCs w:val="16"/>
                              </w:rPr>
                            </w:pPr>
                            <w:r w:rsidRPr="00096754">
                              <w:rPr>
                                <w:rFonts w:asciiTheme="minorBidi" w:hAnsiTheme="minorBidi"/>
                                <w:b/>
                                <w:bCs/>
                                <w:sz w:val="16"/>
                                <w:szCs w:val="16"/>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C745E" id="_x0000_s1038" type="#_x0000_t202" style="position:absolute;margin-left:215.05pt;margin-top:-4.75pt;width:102.65pt;height:20.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" fillcolor="window" stroked="f" strokeweight=".5pt">
                <v:textbox>
                  <w:txbxContent>
                    <w:p w14:paraId="05065586" w14:textId="77777777" w:rsidR="00275914" w:rsidRPr="00096754" w:rsidRDefault="00275914" w:rsidP="00275914">
                      <w:pPr>
                        <w:jc w:val="center"/>
                        <w:rPr>
                          <w:rFonts w:asciiTheme="minorBidi" w:hAnsiTheme="minorBidi"/>
                          <w:b/>
                          <w:bCs/>
                          <w:sz w:val="16"/>
                          <w:szCs w:val="16"/>
                        </w:rPr>
                      </w:pPr>
                      <w:r w:rsidRPr="00096754">
                        <w:rPr>
                          <w:rFonts w:asciiTheme="minorBidi" w:hAnsiTheme="minorBidi"/>
                          <w:b/>
                          <w:bCs/>
                          <w:sz w:val="16"/>
                          <w:szCs w:val="16"/>
                        </w:rPr>
                        <w:t>Case fatality rate (%)</w:t>
                      </w:r>
                    </w:p>
                  </w:txbxContent>
                </v:textbox>
              </v:shape>
            </w:pict>
          </mc:Fallback>
        </mc:AlternateContent>
      </w:r>
      <w:r w:rsidR="00BD4703">
        <w:rPr>
          <w:noProof/>
        </w:rPr>
        <w:drawing>
          <wp:inline distT="0" distB="0" distL="0" distR="0" wp14:anchorId="728BE2F4" wp14:editId="489572BE">
            <wp:extent cx="6030515" cy="7504720"/>
            <wp:effectExtent l="0" t="0" r="8890" b="1270"/>
            <wp:docPr id="6597117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795" b="2769"/>
                    <a:stretch>
                      <a:fillRect/>
                    </a:stretch>
                  </pic:blipFill>
                  <pic:spPr bwMode="auto">
                    <a:xfrm>
                      <a:off x="0" y="0"/>
                      <a:ext cx="6031230" cy="7505610"/>
                    </a:xfrm>
                    <a:prstGeom prst="rect">
                      <a:avLst/>
                    </a:prstGeom>
                    <a:noFill/>
                    <a:ln>
                      <a:noFill/>
                    </a:ln>
                    <a:extLst>
                      <a:ext uri="{53640926-AAD7-44D8-BBD7-CCE9431645EC}">
                        <a14:shadowObscured xmlns:a14="http://schemas.microsoft.com/office/drawing/2010/main"/>
                      </a:ext>
                    </a:extLst>
                  </pic:spPr>
                </pic:pic>
              </a:graphicData>
            </a:graphic>
          </wp:inline>
        </w:drawing>
      </w:r>
    </w:p>
    <w:p w14:paraId="1D101DAA" w14:textId="104F4AD9" w:rsidR="006807D6" w:rsidRDefault="00275914" w:rsidP="00275914">
      <w:pPr>
        <w:pStyle w:val="Lgende"/>
      </w:pPr>
      <w:r w:rsidRPr="00275914">
        <w:rPr>
          <w:b/>
          <w:bCs/>
        </w:rPr>
        <w:t xml:space="preserve">Supplementary Fig. </w:t>
      </w:r>
      <w:r w:rsidRPr="00275914">
        <w:rPr>
          <w:b/>
          <w:bCs/>
        </w:rPr>
        <w:fldChar w:fldCharType="begin"/>
      </w:r>
      <w:r w:rsidRPr="00275914">
        <w:rPr>
          <w:b/>
          <w:bCs/>
        </w:rPr>
        <w:instrText xml:space="preserve"> SEQ Supplementary_Fig. \* ARABIC </w:instrText>
      </w:r>
      <w:r w:rsidRPr="00275914">
        <w:rPr>
          <w:b/>
          <w:bCs/>
        </w:rPr>
        <w:fldChar w:fldCharType="separate"/>
      </w:r>
      <w:r w:rsidR="00417152">
        <w:rPr>
          <w:b/>
          <w:bCs/>
          <w:noProof/>
        </w:rPr>
        <w:t>7</w:t>
      </w:r>
      <w:r w:rsidRPr="00275914">
        <w:rPr>
          <w:b/>
          <w:bCs/>
        </w:rPr>
        <w:fldChar w:fldCharType="end"/>
      </w:r>
      <w:r>
        <w:t xml:space="preserve"> Trim and fill analysis of included studies</w:t>
      </w:r>
    </w:p>
    <w:p w14:paraId="7EAEB693" w14:textId="77777777" w:rsidR="006807D6" w:rsidRDefault="006807D6" w:rsidP="005E217E"/>
    <w:p w14:paraId="674D1ECF" w14:textId="77777777" w:rsidR="006807D6" w:rsidRDefault="006807D6" w:rsidP="005E217E"/>
    <w:p w14:paraId="6E17D0C5" w14:textId="77777777" w:rsidR="006807D6" w:rsidRDefault="006807D6" w:rsidP="005E217E"/>
    <w:p w14:paraId="4D0CEED0" w14:textId="1AFCC264" w:rsidR="0051420E" w:rsidRPr="00ED0F77" w:rsidRDefault="00ED0F77" w:rsidP="005E217E">
      <w:pPr>
        <w:rPr>
          <w:rFonts w:ascii="Gill Sans MT" w:hAnsi="Gill Sans MT"/>
          <w:b/>
          <w:bCs/>
          <w:sz w:val="24"/>
          <w:szCs w:val="24"/>
          <w:u w:val="single"/>
        </w:rPr>
      </w:pPr>
      <w:r w:rsidRPr="00ED0F77">
        <w:rPr>
          <w:rFonts w:ascii="Gill Sans MT" w:hAnsi="Gill Sans MT"/>
          <w:b/>
          <w:bCs/>
          <w:sz w:val="24"/>
          <w:szCs w:val="24"/>
          <w:u w:val="single"/>
        </w:rPr>
        <w:t>Sensitivity analysis</w:t>
      </w:r>
    </w:p>
    <w:p w14:paraId="66175485" w14:textId="16CD4731" w:rsidR="0051420E" w:rsidRDefault="00ED0F77" w:rsidP="005E217E">
      <w:r w:rsidRPr="00ED0F77">
        <w:rPr>
          <w:noProof/>
        </w:rPr>
        <w:drawing>
          <wp:inline distT="0" distB="0" distL="0" distR="0" wp14:anchorId="75DF7319" wp14:editId="11842D5F">
            <wp:extent cx="5558828" cy="6933565"/>
            <wp:effectExtent l="0" t="0" r="3810" b="635"/>
            <wp:docPr id="43429837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053" t="2420" r="3778"/>
                    <a:stretch>
                      <a:fillRect/>
                    </a:stretch>
                  </pic:blipFill>
                  <pic:spPr bwMode="auto">
                    <a:xfrm>
                      <a:off x="0" y="0"/>
                      <a:ext cx="5558883" cy="6933633"/>
                    </a:xfrm>
                    <a:prstGeom prst="rect">
                      <a:avLst/>
                    </a:prstGeom>
                    <a:noFill/>
                    <a:ln>
                      <a:noFill/>
                    </a:ln>
                    <a:extLst>
                      <a:ext uri="{53640926-AAD7-44D8-BBD7-CCE9431645EC}">
                        <a14:shadowObscured xmlns:a14="http://schemas.microsoft.com/office/drawing/2010/main"/>
                      </a:ext>
                    </a:extLst>
                  </pic:spPr>
                </pic:pic>
              </a:graphicData>
            </a:graphic>
          </wp:inline>
        </w:drawing>
      </w:r>
    </w:p>
    <w:p w14:paraId="6CB53945" w14:textId="283134C0" w:rsidR="00FC4EFC" w:rsidRPr="00FC4EFC" w:rsidRDefault="00ED0F77" w:rsidP="00FC4EFC">
      <w:pPr>
        <w:pStyle w:val="Lgende"/>
        <w:rPr>
          <w:iCs/>
        </w:rPr>
      </w:pPr>
      <w:r w:rsidRPr="00ED0F77">
        <w:rPr>
          <w:b/>
          <w:bCs/>
        </w:rPr>
        <w:t xml:space="preserve">Supplementary Fig. </w:t>
      </w:r>
      <w:r w:rsidRPr="00ED0F77">
        <w:rPr>
          <w:b/>
          <w:bCs/>
        </w:rPr>
        <w:fldChar w:fldCharType="begin"/>
      </w:r>
      <w:r w:rsidRPr="00ED0F77">
        <w:rPr>
          <w:b/>
          <w:bCs/>
        </w:rPr>
        <w:instrText xml:space="preserve"> SEQ Supplementary_Fig. \* ARABIC </w:instrText>
      </w:r>
      <w:r w:rsidRPr="00ED0F77">
        <w:rPr>
          <w:b/>
          <w:bCs/>
        </w:rPr>
        <w:fldChar w:fldCharType="separate"/>
      </w:r>
      <w:r w:rsidR="00417152">
        <w:rPr>
          <w:b/>
          <w:bCs/>
          <w:noProof/>
        </w:rPr>
        <w:t>8</w:t>
      </w:r>
      <w:r w:rsidRPr="00ED0F77">
        <w:rPr>
          <w:b/>
          <w:bCs/>
        </w:rPr>
        <w:fldChar w:fldCharType="end"/>
      </w:r>
      <w:r w:rsidR="00FC4EFC" w:rsidRPr="00FC4EFC">
        <w:rPr>
          <w:b/>
          <w:bCs/>
          <w:sz w:val="24"/>
          <w:szCs w:val="24"/>
        </w:rPr>
        <w:t xml:space="preserve"> </w:t>
      </w:r>
      <w:r w:rsidR="00FC4EFC" w:rsidRPr="00FC4EFC">
        <w:rPr>
          <w:iCs/>
        </w:rPr>
        <w:t xml:space="preserve">Sensitivity analysis of the case fatality rate among </w:t>
      </w:r>
      <w:r w:rsidR="00FC4EFC">
        <w:rPr>
          <w:iCs/>
        </w:rPr>
        <w:t>suspected</w:t>
      </w:r>
      <w:r w:rsidR="00FC4EFC" w:rsidRPr="00FC4EFC">
        <w:rPr>
          <w:iCs/>
        </w:rPr>
        <w:t xml:space="preserve"> mpox cases in Africa</w:t>
      </w:r>
    </w:p>
    <w:p w14:paraId="614E08B6" w14:textId="7F62FEB4" w:rsidR="0051420E" w:rsidRPr="00ED0F77" w:rsidRDefault="0051420E" w:rsidP="00ED0F77">
      <w:pPr>
        <w:pStyle w:val="Lgende"/>
        <w:rPr>
          <w:b/>
          <w:bCs/>
        </w:rPr>
      </w:pPr>
    </w:p>
    <w:p w14:paraId="680C6DDB" w14:textId="77777777" w:rsidR="0051420E" w:rsidRDefault="0051420E" w:rsidP="005E217E"/>
    <w:p w14:paraId="7432E482" w14:textId="77777777" w:rsidR="0051420E" w:rsidRDefault="0051420E" w:rsidP="005E217E"/>
    <w:p w14:paraId="31743AF8" w14:textId="4537437D" w:rsidR="005E217E" w:rsidRPr="0051420E" w:rsidRDefault="0051420E" w:rsidP="005E217E">
      <w:pPr>
        <w:rPr>
          <w:rFonts w:ascii="Gill Sans MT" w:hAnsi="Gill Sans MT"/>
          <w:b/>
          <w:bCs/>
          <w:sz w:val="24"/>
          <w:szCs w:val="24"/>
        </w:rPr>
      </w:pPr>
      <w:r w:rsidRPr="0051420E">
        <w:rPr>
          <w:rFonts w:ascii="Gill Sans MT" w:hAnsi="Gill Sans MT"/>
          <w:b/>
          <w:bCs/>
          <w:sz w:val="24"/>
          <w:szCs w:val="24"/>
        </w:rPr>
        <w:t>References</w:t>
      </w:r>
    </w:p>
    <w:p w14:paraId="27115C99" w14:textId="77777777" w:rsidR="002329B2" w:rsidRPr="002329B2" w:rsidRDefault="00267581" w:rsidP="002329B2">
      <w:pPr>
        <w:pStyle w:val="Bibliographie"/>
      </w:pPr>
      <w:r>
        <w:fldChar w:fldCharType="begin"/>
      </w:r>
      <w:r w:rsidR="002329B2">
        <w:instrText xml:space="preserve"> ADDIN ZOTERO_BIBL {"uncited":[],"omitted":[],"custom":[]} CSL_BIBLIOGRAPHY </w:instrText>
      </w:r>
      <w:r>
        <w:fldChar w:fldCharType="separate"/>
      </w:r>
      <w:r w:rsidR="002329B2" w:rsidRPr="002329B2">
        <w:t xml:space="preserve">1. </w:t>
      </w:r>
      <w:r w:rsidR="002329B2" w:rsidRPr="002329B2">
        <w:tab/>
        <w:t xml:space="preserve">Breman JG, Kalisa-Ruti, Steniowski MV, Zanotto E, Gromyko AI, Arita I. Human monkeypox, 1970-79. Bull World Health Organ. 1980;58(2):165–82. </w:t>
      </w:r>
    </w:p>
    <w:p w14:paraId="601A0FC1" w14:textId="77777777" w:rsidR="002329B2" w:rsidRPr="002329B2" w:rsidRDefault="002329B2" w:rsidP="002329B2">
      <w:pPr>
        <w:pStyle w:val="Bibliographie"/>
      </w:pPr>
      <w:r w:rsidRPr="002329B2">
        <w:t xml:space="preserve">2. </w:t>
      </w:r>
      <w:r w:rsidRPr="002329B2">
        <w:tab/>
        <w:t xml:space="preserve">Arita I, Jezek Z, Khodakevich L, Ruti K. Human monkeypox: a newly emerged orthopoxvirus zoonosis in the tropical rain forests of Africa. Am J Trop Med Hyg. 1985;34(4):781–9. </w:t>
      </w:r>
    </w:p>
    <w:p w14:paraId="62DB4577" w14:textId="77777777" w:rsidR="002329B2" w:rsidRPr="002329B2" w:rsidRDefault="002329B2" w:rsidP="002329B2">
      <w:pPr>
        <w:pStyle w:val="Bibliographie"/>
      </w:pPr>
      <w:r w:rsidRPr="002329B2">
        <w:t xml:space="preserve">3. </w:t>
      </w:r>
      <w:r w:rsidRPr="002329B2">
        <w:tab/>
        <w:t>Durski KN. Emergence of Monkeypox — West and Central Africa, 1970–2017. MMWR Morb Mortal Wkly Rep [Internet]. 2018 [cited 2025 Jun 29];67. Available from: https://www.cdc.gov/mmwr/volumes/67/wr/mm6710a5.htm</w:t>
      </w:r>
    </w:p>
    <w:p w14:paraId="1104C4B8" w14:textId="77777777" w:rsidR="002329B2" w:rsidRPr="002329B2" w:rsidRDefault="002329B2" w:rsidP="002329B2">
      <w:pPr>
        <w:pStyle w:val="Bibliographie"/>
      </w:pPr>
      <w:r w:rsidRPr="002329B2">
        <w:t xml:space="preserve">4. </w:t>
      </w:r>
      <w:r w:rsidRPr="002329B2">
        <w:tab/>
        <w:t xml:space="preserve">Jezek Z, Marennikova SS, Mutumbo M, Nakano JH, Paluku KM, Szczeniowski M. Human Monkeypox: A Study of 2,510 Contacts of 214 Patients. J Infect Dis. 1986;154(4):551–5. </w:t>
      </w:r>
    </w:p>
    <w:p w14:paraId="7EFB7C30" w14:textId="77777777" w:rsidR="002329B2" w:rsidRPr="002329B2" w:rsidRDefault="002329B2" w:rsidP="002329B2">
      <w:pPr>
        <w:pStyle w:val="Bibliographie"/>
      </w:pPr>
      <w:r w:rsidRPr="002329B2">
        <w:t xml:space="preserve">5. </w:t>
      </w:r>
      <w:r w:rsidRPr="002329B2">
        <w:tab/>
        <w:t xml:space="preserve">Mwanba PT, Tshioko KF, Moudi A, Mukinda V, Mwema GN, Messinger D, et al. Human monkeypox in Kasaï Oriental, Zaire (1996-1997). Eurosurveillance. 1997;2(5):33–5. </w:t>
      </w:r>
    </w:p>
    <w:p w14:paraId="10D84A3B" w14:textId="77777777" w:rsidR="002329B2" w:rsidRPr="002329B2" w:rsidRDefault="002329B2" w:rsidP="002329B2">
      <w:pPr>
        <w:pStyle w:val="Bibliographie"/>
      </w:pPr>
      <w:r w:rsidRPr="002329B2">
        <w:t xml:space="preserve">6. </w:t>
      </w:r>
      <w:r w:rsidRPr="002329B2">
        <w:tab/>
        <w:t xml:space="preserve">Hutin YJF, Williams RJ, Malfait P, Pebody R, Loparev VN, Ropp SL, et al. Outbreak of Human Monkeypox, Democratic Republic of Congo, 1996 to 1997. Emerg Infect Dis. 2001;7(3):434–8. </w:t>
      </w:r>
    </w:p>
    <w:p w14:paraId="54A47899" w14:textId="77777777" w:rsidR="002329B2" w:rsidRPr="002329B2" w:rsidRDefault="002329B2" w:rsidP="002329B2">
      <w:pPr>
        <w:pStyle w:val="Bibliographie"/>
      </w:pPr>
      <w:r w:rsidRPr="002329B2">
        <w:t xml:space="preserve">7. </w:t>
      </w:r>
      <w:r w:rsidRPr="002329B2">
        <w:tab/>
        <w:t xml:space="preserve">Aplogan A, Mangindula V, Muamba P, Mwema G, Okito L, Pebody R, et al. Human monkeypox -- Kasai Oriental, Democratic Republic of Congo, February 1996-October 1997. MMWR Morb Mortal Wkly Rep. 1997;46(49):1168–71. </w:t>
      </w:r>
    </w:p>
    <w:p w14:paraId="44B36424" w14:textId="77777777" w:rsidR="002329B2" w:rsidRPr="002329B2" w:rsidRDefault="002329B2" w:rsidP="002329B2">
      <w:pPr>
        <w:pStyle w:val="Bibliographie"/>
      </w:pPr>
      <w:r w:rsidRPr="002329B2">
        <w:t xml:space="preserve">8. </w:t>
      </w:r>
      <w:r w:rsidRPr="002329B2">
        <w:tab/>
        <w:t xml:space="preserve">Boumandouki P, Bileckot R, Ibara JR, Satounkazi C, Wassa Wassa D, Libama E, et al. [Simian smallpox (or monkey smallpox): study of 8 cases observed at Impfondo Hospital in Republic of Congo]. Bull Soc Pathol Exot 1990. 2007;100(1):17–21. </w:t>
      </w:r>
    </w:p>
    <w:p w14:paraId="31159BC3" w14:textId="77777777" w:rsidR="002329B2" w:rsidRPr="002329B2" w:rsidRDefault="002329B2" w:rsidP="002329B2">
      <w:pPr>
        <w:pStyle w:val="Bibliographie"/>
      </w:pPr>
      <w:r w:rsidRPr="002329B2">
        <w:t xml:space="preserve">9. </w:t>
      </w:r>
      <w:r w:rsidRPr="002329B2">
        <w:tab/>
        <w:t xml:space="preserve">Formenty P, Muntasir MO, Damon I, Chowdhary V, Opoka ML, Monimart C, et al. Human Monkeypox Outbreak Caused by Novel Virus Belonging to Congo Basin Clade, Sudan, 2005. Emerg Infect Dis. 2010;16(10):1539–45. </w:t>
      </w:r>
    </w:p>
    <w:p w14:paraId="250543C9" w14:textId="77777777" w:rsidR="002329B2" w:rsidRPr="006B75EC" w:rsidRDefault="002329B2" w:rsidP="002329B2">
      <w:pPr>
        <w:pStyle w:val="Bibliographie"/>
        <w:rPr>
          <w:lang w:val="de-DE"/>
        </w:rPr>
      </w:pPr>
      <w:r w:rsidRPr="002329B2">
        <w:t xml:space="preserve">10. </w:t>
      </w:r>
      <w:r w:rsidRPr="002329B2">
        <w:tab/>
        <w:t xml:space="preserve">Damon IK, Roth CE, Chowdhary V. Discovery of Monkeypox in Sudan. </w:t>
      </w:r>
      <w:r w:rsidRPr="006B75EC">
        <w:rPr>
          <w:lang w:val="de-DE"/>
        </w:rPr>
        <w:t xml:space="preserve">N Engl J Med. 2006;355(9):962–3. </w:t>
      </w:r>
    </w:p>
    <w:p w14:paraId="5606357C" w14:textId="77777777" w:rsidR="002329B2" w:rsidRPr="002329B2" w:rsidRDefault="002329B2" w:rsidP="002329B2">
      <w:pPr>
        <w:pStyle w:val="Bibliographie"/>
      </w:pPr>
      <w:r w:rsidRPr="006B75EC">
        <w:rPr>
          <w:lang w:val="de-DE"/>
        </w:rPr>
        <w:t xml:space="preserve">11. </w:t>
      </w:r>
      <w:r w:rsidRPr="006B75EC">
        <w:rPr>
          <w:lang w:val="de-DE"/>
        </w:rPr>
        <w:tab/>
        <w:t xml:space="preserve">Berthet N, Nakouné E, Whist E, Selekon B, Burguière AM, Manuguerra JC, et al. </w:t>
      </w:r>
      <w:r w:rsidRPr="002329B2">
        <w:t xml:space="preserve">Maculopapular lesions in the Central African Republic. The Lancet. 2011;378(9799):1354. </w:t>
      </w:r>
    </w:p>
    <w:p w14:paraId="473EAA1E" w14:textId="77777777" w:rsidR="002329B2" w:rsidRPr="002329B2" w:rsidRDefault="002329B2" w:rsidP="002329B2">
      <w:pPr>
        <w:pStyle w:val="Bibliographie"/>
      </w:pPr>
      <w:r w:rsidRPr="002329B2">
        <w:t xml:space="preserve">12. </w:t>
      </w:r>
      <w:r w:rsidRPr="002329B2">
        <w:tab/>
        <w:t xml:space="preserve">Reynolds MG, Emerson GL, Pukuta E, Karhemere S, Muyembe JJ, Bikindou A, et al. Detection of human monkeypox in the Republic of the Congo following intensive community education. Am J Trop Med Hyg. 2013;88(5):982. </w:t>
      </w:r>
    </w:p>
    <w:p w14:paraId="4A111318" w14:textId="77777777" w:rsidR="002329B2" w:rsidRPr="002329B2" w:rsidRDefault="002329B2" w:rsidP="002329B2">
      <w:pPr>
        <w:pStyle w:val="Bibliographie"/>
      </w:pPr>
      <w:r w:rsidRPr="002329B2">
        <w:t xml:space="preserve">13. </w:t>
      </w:r>
      <w:r w:rsidRPr="002329B2">
        <w:tab/>
        <w:t xml:space="preserve">Pittman PR, Martin JW, Kingebeni PM, Tamfum JJM, Mwema G, Wan Q, et al. Clinical characterization and placental pathology of mpox infection in hospitalized patients in the Democratic Republic of the Congo. Bowman N, editor. PLoS Negl Trop Dis. 2023;17(4):e0010384. </w:t>
      </w:r>
    </w:p>
    <w:p w14:paraId="0C166387" w14:textId="77777777" w:rsidR="002329B2" w:rsidRPr="006B75EC" w:rsidRDefault="002329B2" w:rsidP="002329B2">
      <w:pPr>
        <w:pStyle w:val="Bibliographie"/>
        <w:rPr>
          <w:lang w:val="fr-FR"/>
        </w:rPr>
      </w:pPr>
      <w:r w:rsidRPr="002329B2">
        <w:lastRenderedPageBreak/>
        <w:t xml:space="preserve">14. </w:t>
      </w:r>
      <w:r w:rsidRPr="002329B2">
        <w:tab/>
        <w:t xml:space="preserve">Kalthan E, Dondo-Fongbia JP, Yambele S, Dieu-Creer LR, Zepio R, Pamatika CM. </w:t>
      </w:r>
      <w:r w:rsidRPr="006B75EC">
        <w:rPr>
          <w:lang w:val="fr-FR"/>
        </w:rPr>
        <w:t xml:space="preserve">Epidémie de 12 cas de maladie à virus monkeypox dans le district de Bangassou en République Centrafricaine en décembre 2015. Bull Société Pathol Exot. 2016;109(5):358–63. </w:t>
      </w:r>
    </w:p>
    <w:p w14:paraId="51F4E36C" w14:textId="77777777" w:rsidR="002329B2" w:rsidRPr="002329B2" w:rsidRDefault="002329B2" w:rsidP="002329B2">
      <w:pPr>
        <w:pStyle w:val="Bibliographie"/>
      </w:pPr>
      <w:r w:rsidRPr="006B75EC">
        <w:rPr>
          <w:lang w:val="fr-FR"/>
        </w:rPr>
        <w:t xml:space="preserve">15. </w:t>
      </w:r>
      <w:r w:rsidRPr="006B75EC">
        <w:rPr>
          <w:lang w:val="fr-FR"/>
        </w:rPr>
        <w:tab/>
        <w:t xml:space="preserve">Kalthan E, Tenguere J, Ndjapou SG, Koyazengbe TA, Mbomba J, Marada RM, et al. </w:t>
      </w:r>
      <w:r w:rsidRPr="002329B2">
        <w:t xml:space="preserve">Investigation of an outbreak of monkeypox in an area occupied by armed groups, Central African Republic. Médecine Mal Infect. 2018;48(4):263–8. </w:t>
      </w:r>
    </w:p>
    <w:p w14:paraId="3AC5749C" w14:textId="77777777" w:rsidR="002329B2" w:rsidRPr="002329B2" w:rsidRDefault="002329B2" w:rsidP="002329B2">
      <w:pPr>
        <w:pStyle w:val="Bibliographie"/>
      </w:pPr>
      <w:r w:rsidRPr="002329B2">
        <w:t xml:space="preserve">16. </w:t>
      </w:r>
      <w:r w:rsidRPr="002329B2">
        <w:tab/>
        <w:t xml:space="preserve">Nakoune E, Lampaert E, Ndjapou SG, Janssens C, Zuniga I, Van Herp M, et al. A Nosocomial Outbreak of Human Monkeypox in the Central African Republic. Open Forum Infect Dis. 2017;4(4):ofx168. </w:t>
      </w:r>
    </w:p>
    <w:p w14:paraId="44175E5C" w14:textId="77777777" w:rsidR="002329B2" w:rsidRPr="002329B2" w:rsidRDefault="002329B2" w:rsidP="002329B2">
      <w:pPr>
        <w:pStyle w:val="Bibliographie"/>
      </w:pPr>
      <w:r w:rsidRPr="002329B2">
        <w:t xml:space="preserve">17. </w:t>
      </w:r>
      <w:r w:rsidRPr="002329B2">
        <w:tab/>
        <w:t xml:space="preserve">Doshi RH, Guagliardo SAJ, Dzabatou-Babeaux A, Likouayoulou C, Ndakala N, Moses C, et al. Strengthening of Surveillance during Monkeypox Outbreak, Republic of the Congo, 2017. Emerg Infect Dis. 2018;24(6):1158–60. </w:t>
      </w:r>
    </w:p>
    <w:p w14:paraId="4F8BD985" w14:textId="77777777" w:rsidR="002329B2" w:rsidRPr="002329B2" w:rsidRDefault="002329B2" w:rsidP="002329B2">
      <w:pPr>
        <w:pStyle w:val="Bibliographie"/>
      </w:pPr>
      <w:r w:rsidRPr="002329B2">
        <w:t xml:space="preserve">18. </w:t>
      </w:r>
      <w:r w:rsidRPr="002329B2">
        <w:tab/>
        <w:t xml:space="preserve">Ogoina D, Izibewule JH, Ogunleye A, Ederiane E, Anebonam U, Neni A, et al. The 2017 human monkeypox outbreak in Nigeria—Report of outbreak experience and response in the Niger Delta University Teaching Hospital, Bayelsa State, Nigeria. PLOS ONE. 2019;14(4):e0214229. </w:t>
      </w:r>
    </w:p>
    <w:p w14:paraId="4324A4F3" w14:textId="77777777" w:rsidR="002329B2" w:rsidRPr="002329B2" w:rsidRDefault="002329B2" w:rsidP="002329B2">
      <w:pPr>
        <w:pStyle w:val="Bibliographie"/>
      </w:pPr>
      <w:r w:rsidRPr="002329B2">
        <w:t xml:space="preserve">19. </w:t>
      </w:r>
      <w:r w:rsidRPr="002329B2">
        <w:tab/>
        <w:t xml:space="preserve">Ita OI, Amuzi C, Udo U, Uwa A. Descriptive epidemiology of monkeypox outbreak in Akwa Ibom State, Nigeria—5th October to 7th November 2017. East Afr Sch J Med Sci. 2019;2(5):224–7. </w:t>
      </w:r>
    </w:p>
    <w:p w14:paraId="6FD8CBC0" w14:textId="77777777" w:rsidR="002329B2" w:rsidRPr="002329B2" w:rsidRDefault="002329B2" w:rsidP="002329B2">
      <w:pPr>
        <w:pStyle w:val="Bibliographie"/>
      </w:pPr>
      <w:r w:rsidRPr="002329B2">
        <w:t xml:space="preserve">20. </w:t>
      </w:r>
      <w:r w:rsidRPr="002329B2">
        <w:tab/>
        <w:t xml:space="preserve">Ibegu M, Numbere TW, Balogun M, Nguku P. Descriptive epidemiology of Monkeypox outbreak in Bayelsa State South-South Nigeria, November 2017. Int J Infect Dis. 2020;101:255. </w:t>
      </w:r>
    </w:p>
    <w:p w14:paraId="6B0D7DE8" w14:textId="77777777" w:rsidR="002329B2" w:rsidRPr="002329B2" w:rsidRDefault="002329B2" w:rsidP="002329B2">
      <w:pPr>
        <w:pStyle w:val="Bibliographie"/>
      </w:pPr>
      <w:r w:rsidRPr="002329B2">
        <w:t xml:space="preserve">21. </w:t>
      </w:r>
      <w:r w:rsidRPr="002329B2">
        <w:tab/>
        <w:t xml:space="preserve">Reynolds MG, Wauquier N, Li Y, Satheshkumar PS, Kanneh LD, Monroe B, et al. Human Monkeypox in Sierra Leone after 44-Year Absence of Reported Cases. Emerg Infect Dis. 2019;25(5):1023–5. </w:t>
      </w:r>
    </w:p>
    <w:p w14:paraId="7FA4228A" w14:textId="77777777" w:rsidR="002329B2" w:rsidRPr="006B75EC" w:rsidRDefault="002329B2" w:rsidP="002329B2">
      <w:pPr>
        <w:pStyle w:val="Bibliographie"/>
        <w:rPr>
          <w:lang w:val="fr-FR"/>
        </w:rPr>
      </w:pPr>
      <w:r w:rsidRPr="002329B2">
        <w:t xml:space="preserve">22. </w:t>
      </w:r>
      <w:r w:rsidRPr="002329B2">
        <w:tab/>
        <w:t xml:space="preserve">Vaughan A, Aarons E, Astbury J, Balasegaram S, Beadsworth M, Beck CR, et al. Two cases of monkeypox imported to the United Kingdom, September 2018. </w:t>
      </w:r>
      <w:r w:rsidRPr="006B75EC">
        <w:rPr>
          <w:lang w:val="fr-FR"/>
        </w:rPr>
        <w:t xml:space="preserve">Eurosurveillance. 2018;23(38):1800509. </w:t>
      </w:r>
    </w:p>
    <w:p w14:paraId="56CE12AD" w14:textId="77777777" w:rsidR="002329B2" w:rsidRPr="002329B2" w:rsidRDefault="002329B2" w:rsidP="002329B2">
      <w:pPr>
        <w:pStyle w:val="Bibliographie"/>
      </w:pPr>
      <w:r w:rsidRPr="006B75EC">
        <w:rPr>
          <w:lang w:val="fr-FR"/>
        </w:rPr>
        <w:t xml:space="preserve">23. </w:t>
      </w:r>
      <w:r w:rsidRPr="006B75EC">
        <w:rPr>
          <w:lang w:val="fr-FR"/>
        </w:rPr>
        <w:tab/>
        <w:t xml:space="preserve">Yinka-Ogunleye A, O A, M D, D O, A M, Y D, et al. </w:t>
      </w:r>
      <w:r w:rsidRPr="002329B2">
        <w:t>Outbreak of human monkeypox in Nigeria in 2017-18: a clinical and epidemiological report. Lancet Infect Dis [Internet]. 2019 Aug [cited 2025 Jul 9];19(8). Available from: https://pubmed.ncbi.nlm.nih.gov/31285143/</w:t>
      </w:r>
    </w:p>
    <w:p w14:paraId="3AAF4B25" w14:textId="77777777" w:rsidR="002329B2" w:rsidRPr="002329B2" w:rsidRDefault="002329B2" w:rsidP="002329B2">
      <w:pPr>
        <w:pStyle w:val="Bibliographie"/>
      </w:pPr>
      <w:r w:rsidRPr="002329B2">
        <w:t xml:space="preserve">24. </w:t>
      </w:r>
      <w:r w:rsidRPr="002329B2">
        <w:tab/>
        <w:t xml:space="preserve">Echekwube PO, Mbaave PT, Abidakun OA, Utoo BT, Swende TZ. Human monkeypox and human immunodeficiency virus co-infection: a case series in Makurdi, Benue State, Nigeria. J Biomed Res Clin Pract. 2020;3(2):375–81. </w:t>
      </w:r>
    </w:p>
    <w:p w14:paraId="71E28B2D" w14:textId="77777777" w:rsidR="002329B2" w:rsidRPr="002329B2" w:rsidRDefault="002329B2" w:rsidP="002329B2">
      <w:pPr>
        <w:pStyle w:val="Bibliographie"/>
      </w:pPr>
      <w:r w:rsidRPr="002329B2">
        <w:t xml:space="preserve">25. </w:t>
      </w:r>
      <w:r w:rsidRPr="002329B2">
        <w:tab/>
        <w:t xml:space="preserve">Ngbolua K te N, Guy Kumbali Ngambika, Blaise Mbembo-wa-Mbembo, Kohowe Pagerezo Séraphin, Kogana  Kapalata Fabrice, Gédéon Ngiala Bongo, et al. First Report on Three Cases </w:t>
      </w:r>
      <w:r w:rsidRPr="002329B2">
        <w:lastRenderedPageBreak/>
        <w:t xml:space="preserve">of Monkey pox in Nord Ubangi Province (Democratic Republic of the Congo). Br Int Exact Sci BIoEx J. 2020;2(1):120–5. </w:t>
      </w:r>
    </w:p>
    <w:p w14:paraId="1B023B28" w14:textId="77777777" w:rsidR="002329B2" w:rsidRPr="002329B2" w:rsidRDefault="002329B2" w:rsidP="002329B2">
      <w:pPr>
        <w:pStyle w:val="Bibliographie"/>
      </w:pPr>
      <w:r w:rsidRPr="002329B2">
        <w:t xml:space="preserve">26. </w:t>
      </w:r>
      <w:r w:rsidRPr="002329B2">
        <w:tab/>
        <w:t xml:space="preserve">Ogoina D, Iroezindu M, James HI, Oladokun R, Yinka-Ogunleye A, Wakama P, et al. Clinical Course and Outcome of Human Monkeypox in Nigeria. Clin Infect Dis. 2020;71(8):e210–4. </w:t>
      </w:r>
    </w:p>
    <w:p w14:paraId="3FA4201C" w14:textId="77777777" w:rsidR="002329B2" w:rsidRPr="002329B2" w:rsidRDefault="002329B2" w:rsidP="002329B2">
      <w:pPr>
        <w:pStyle w:val="Bibliographie"/>
      </w:pPr>
      <w:r w:rsidRPr="002329B2">
        <w:t xml:space="preserve">27. </w:t>
      </w:r>
      <w:r w:rsidRPr="002329B2">
        <w:tab/>
        <w:t xml:space="preserve">Hobson G, Adamson J, Adler H, Firth R, Gould S, Houlihan C, et al. Family cluster of three cases of monkeypox imported from Nigeria to the United Kingdom, May 2021. Eurosurveillance. 2021;26(32):2100745. </w:t>
      </w:r>
    </w:p>
    <w:p w14:paraId="16709CF4" w14:textId="77777777" w:rsidR="002329B2" w:rsidRPr="002329B2" w:rsidRDefault="002329B2" w:rsidP="002329B2">
      <w:pPr>
        <w:pStyle w:val="Bibliographie"/>
      </w:pPr>
      <w:r w:rsidRPr="002329B2">
        <w:t xml:space="preserve">28. </w:t>
      </w:r>
      <w:r w:rsidRPr="002329B2">
        <w:tab/>
        <w:t xml:space="preserve">Amao LK, Olatunji DI, Igbodo G, Okoli SC, Amaechi I, Goni MI, et al. Trend and enhanced surveillance of Monkeypox during COVID-19 pandemic in Nigeria. J Public Health Afr. 2022;13(1):2184. </w:t>
      </w:r>
    </w:p>
    <w:p w14:paraId="7941FAC1" w14:textId="77777777" w:rsidR="002329B2" w:rsidRPr="002329B2" w:rsidRDefault="002329B2" w:rsidP="002329B2">
      <w:pPr>
        <w:pStyle w:val="Bibliographie"/>
      </w:pPr>
      <w:r w:rsidRPr="002329B2">
        <w:t xml:space="preserve">29. </w:t>
      </w:r>
      <w:r w:rsidRPr="002329B2">
        <w:tab/>
        <w:t xml:space="preserve">Djuicy DD, Sadeuh-Mba SA, Bilounga CN, Yonga MG, Tchatchueng-Mbougua JB, Essima GD, et al. Concurrent Clade I and Clade II Monkeypox Virus Circulation, Cameroon, 1979–2022. Emerg Infect Dis. 2024;30(3):433–43. </w:t>
      </w:r>
    </w:p>
    <w:p w14:paraId="733DAE34" w14:textId="77777777" w:rsidR="002329B2" w:rsidRPr="002329B2" w:rsidRDefault="002329B2" w:rsidP="002329B2">
      <w:pPr>
        <w:pStyle w:val="Bibliographie"/>
      </w:pPr>
      <w:r w:rsidRPr="002329B2">
        <w:t xml:space="preserve">30. </w:t>
      </w:r>
      <w:r w:rsidRPr="002329B2">
        <w:tab/>
      </w:r>
      <w:r w:rsidRPr="006B75EC">
        <w:rPr>
          <w:lang w:val="de-DE"/>
        </w:rPr>
        <w:t xml:space="preserve">Besombes C, Mbrenga F, Malaka C, Gonofio E, Schaeffer L, Konamna X, et al. </w:t>
      </w:r>
      <w:r w:rsidRPr="002329B2">
        <w:t xml:space="preserve">Investigation of a mpox outbreak in Central African Republic, 2021-2022. One Health. 2023;16:100523. </w:t>
      </w:r>
    </w:p>
    <w:p w14:paraId="2050F6E8" w14:textId="77777777" w:rsidR="002329B2" w:rsidRPr="002329B2" w:rsidRDefault="002329B2" w:rsidP="002329B2">
      <w:pPr>
        <w:pStyle w:val="Bibliographie"/>
      </w:pPr>
      <w:r w:rsidRPr="002329B2">
        <w:t xml:space="preserve">31. </w:t>
      </w:r>
      <w:r w:rsidRPr="002329B2">
        <w:tab/>
        <w:t xml:space="preserve">Yadouleton A, Faye M, Tchibozo C, Oke M, Faye O, Lawale T, et al. Introduction of monkeypox virus in Benin, 2022. Mil Med Res. 2022 Nov 9;9(1):63. </w:t>
      </w:r>
    </w:p>
    <w:p w14:paraId="5D1CD90D" w14:textId="77777777" w:rsidR="002329B2" w:rsidRPr="002329B2" w:rsidRDefault="002329B2" w:rsidP="002329B2">
      <w:pPr>
        <w:pStyle w:val="Bibliographie"/>
      </w:pPr>
      <w:r w:rsidRPr="002329B2">
        <w:t xml:space="preserve">32. </w:t>
      </w:r>
      <w:r w:rsidRPr="002329B2">
        <w:tab/>
        <w:t xml:space="preserve">Kibungu EM, Vakaniaki EH, Kinganda-Lusamaki E, Kalonji-Mukendi T, Pukuta E, Hoff NA, et al. Clade I–Associated Mpox Cases Associated with Sexual Contact, the Democratic Republic of the Congo. Emerg Infect Dis. 2024;30(1):172–6. </w:t>
      </w:r>
    </w:p>
    <w:p w14:paraId="36BFBF75" w14:textId="77777777" w:rsidR="002329B2" w:rsidRPr="002329B2" w:rsidRDefault="002329B2" w:rsidP="002329B2">
      <w:pPr>
        <w:pStyle w:val="Bibliographie"/>
      </w:pPr>
      <w:r w:rsidRPr="002329B2">
        <w:t xml:space="preserve">33. </w:t>
      </w:r>
      <w:r w:rsidRPr="002329B2">
        <w:tab/>
        <w:t xml:space="preserve">Nizigiyimana A, Ndikumwenayo F, Houben S, Manirakiza M, Lettow M van, Liesenborghs L, et al. Epidemiological analysis of confirmed mpox cases, Burundi, 3 July to 9 September 2024. Eurosurveillance. 2024;29(42):2400647. </w:t>
      </w:r>
    </w:p>
    <w:p w14:paraId="7520CF61" w14:textId="77777777" w:rsidR="002329B2" w:rsidRPr="002329B2" w:rsidRDefault="002329B2" w:rsidP="002329B2">
      <w:pPr>
        <w:pStyle w:val="Bibliographie"/>
      </w:pPr>
      <w:r w:rsidRPr="002329B2">
        <w:t xml:space="preserve">34. </w:t>
      </w:r>
      <w:r w:rsidRPr="002329B2">
        <w:tab/>
        <w:t xml:space="preserve">Brosius I, Vakaniaki EH, Mukari G, Munganga P, Tshomba JC, Vos ED, et al. Epidemiological and clinical features of mpox during the clade Ib outbreak in South Kivu, Democratic Republic of the Congo: a prospective cohort study. The Lancet. 2025;405(10478):547–59. </w:t>
      </w:r>
    </w:p>
    <w:p w14:paraId="06C0C151" w14:textId="77777777" w:rsidR="002329B2" w:rsidRPr="002329B2" w:rsidRDefault="002329B2" w:rsidP="002329B2">
      <w:pPr>
        <w:pStyle w:val="Bibliographie"/>
      </w:pPr>
      <w:r w:rsidRPr="002329B2">
        <w:t xml:space="preserve">35. </w:t>
      </w:r>
      <w:r w:rsidRPr="002329B2">
        <w:tab/>
        <w:t>Mukadi-Bamuleka D, Kinganda-Lusamaki E, Mulopo-Mukanya N, Amuri-Aziza A, O’Toole Á, Modadra-Madakpa B, et al. First imported Cases of MPXV Clade Ib in Goma, Democratic Republic of the Congo: Implications for Global Surveillance and Transmission Dynamics [Internet]. medRxiv; 2024 [cited 2025 Feb 24]. Available from: http://medrxiv.org/lookup/doi/10.1101/2024.09.12.24313188</w:t>
      </w:r>
    </w:p>
    <w:p w14:paraId="2BC4E451" w14:textId="77777777" w:rsidR="002329B2" w:rsidRPr="002329B2" w:rsidRDefault="002329B2" w:rsidP="002329B2">
      <w:pPr>
        <w:pStyle w:val="Bibliographie"/>
      </w:pPr>
      <w:r w:rsidRPr="002329B2">
        <w:t xml:space="preserve">36. </w:t>
      </w:r>
      <w:r w:rsidRPr="002329B2">
        <w:tab/>
        <w:t xml:space="preserve">Vakaniaki EH, Kacita C, Kinganda-Lusamaki E, O’Toole Á, Wawina-Bokalanga T, Mukadi-Bamuleka D, et al. Sustained human outbreak of a new MPXV clade I lineage in eastern Democratic Republic of the Congo. Nat Med. 2024;30(10):2791–5. </w:t>
      </w:r>
    </w:p>
    <w:p w14:paraId="44D97A3E" w14:textId="7EAC8EFC" w:rsidR="000338E3" w:rsidRPr="00425445" w:rsidRDefault="00267581">
      <w:r>
        <w:fldChar w:fldCharType="end"/>
      </w:r>
    </w:p>
    <w:sectPr w:rsidR="000338E3" w:rsidRPr="00425445" w:rsidSect="00E234A3">
      <w:pgSz w:w="12240" w:h="15840"/>
      <w:pgMar w:top="993" w:right="1325" w:bottom="1135" w:left="1417" w:header="708" w:footer="3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71372" w14:textId="77777777" w:rsidR="00CA7E6D" w:rsidRDefault="00CA7E6D" w:rsidP="008D4590">
      <w:pPr>
        <w:spacing w:after="0" w:line="240" w:lineRule="auto"/>
      </w:pPr>
      <w:r>
        <w:separator/>
      </w:r>
    </w:p>
  </w:endnote>
  <w:endnote w:type="continuationSeparator" w:id="0">
    <w:p w14:paraId="4A1AA75A" w14:textId="77777777" w:rsidR="00CA7E6D" w:rsidRDefault="00CA7E6D" w:rsidP="008D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144483"/>
      <w:docPartObj>
        <w:docPartGallery w:val="Page Numbers (Bottom of Page)"/>
        <w:docPartUnique/>
      </w:docPartObj>
    </w:sdtPr>
    <w:sdtContent>
      <w:p w14:paraId="3C894677" w14:textId="1E03E8F2" w:rsidR="008D4590" w:rsidRDefault="008D4590">
        <w:pPr>
          <w:pStyle w:val="Pieddepage"/>
          <w:jc w:val="right"/>
        </w:pPr>
        <w:r>
          <w:fldChar w:fldCharType="begin"/>
        </w:r>
        <w:r>
          <w:instrText>PAGE   \* MERGEFORMAT</w:instrText>
        </w:r>
        <w:r>
          <w:fldChar w:fldCharType="separate"/>
        </w:r>
        <w:r>
          <w:rPr>
            <w:lang w:val="fr-FR"/>
          </w:rPr>
          <w:t>2</w:t>
        </w:r>
        <w:r>
          <w:fldChar w:fldCharType="end"/>
        </w:r>
      </w:p>
    </w:sdtContent>
  </w:sdt>
  <w:p w14:paraId="1B109887" w14:textId="61C9CC35" w:rsidR="008D4590" w:rsidRDefault="00E234A3" w:rsidP="00E234A3">
    <w:pPr>
      <w:pStyle w:val="Pieddepage"/>
      <w:tabs>
        <w:tab w:val="clear" w:pos="4703"/>
        <w:tab w:val="clear" w:pos="9406"/>
        <w:tab w:val="left" w:pos="52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92EFD" w14:textId="77777777" w:rsidR="00CA7E6D" w:rsidRDefault="00CA7E6D" w:rsidP="008D4590">
      <w:pPr>
        <w:spacing w:after="0" w:line="240" w:lineRule="auto"/>
      </w:pPr>
      <w:r>
        <w:separator/>
      </w:r>
    </w:p>
  </w:footnote>
  <w:footnote w:type="continuationSeparator" w:id="0">
    <w:p w14:paraId="793BDB5A" w14:textId="77777777" w:rsidR="00CA7E6D" w:rsidRDefault="00CA7E6D" w:rsidP="008D45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10"/>
    <w:rsid w:val="0000489D"/>
    <w:rsid w:val="00026D25"/>
    <w:rsid w:val="00027135"/>
    <w:rsid w:val="000315AB"/>
    <w:rsid w:val="000338E3"/>
    <w:rsid w:val="000750ED"/>
    <w:rsid w:val="00076845"/>
    <w:rsid w:val="000865F6"/>
    <w:rsid w:val="00096465"/>
    <w:rsid w:val="00096754"/>
    <w:rsid w:val="000A176A"/>
    <w:rsid w:val="000B1E4B"/>
    <w:rsid w:val="000D6B50"/>
    <w:rsid w:val="000F5921"/>
    <w:rsid w:val="0010640F"/>
    <w:rsid w:val="00106CE8"/>
    <w:rsid w:val="00142D79"/>
    <w:rsid w:val="00153A9D"/>
    <w:rsid w:val="0015773E"/>
    <w:rsid w:val="0017217A"/>
    <w:rsid w:val="00174FC3"/>
    <w:rsid w:val="0018506D"/>
    <w:rsid w:val="00186AEE"/>
    <w:rsid w:val="00193733"/>
    <w:rsid w:val="001D7027"/>
    <w:rsid w:val="001E45A3"/>
    <w:rsid w:val="001F02AB"/>
    <w:rsid w:val="001F0A5A"/>
    <w:rsid w:val="001F3C01"/>
    <w:rsid w:val="001F4E96"/>
    <w:rsid w:val="00206AD3"/>
    <w:rsid w:val="002329B2"/>
    <w:rsid w:val="00232F88"/>
    <w:rsid w:val="0024189F"/>
    <w:rsid w:val="00260ACF"/>
    <w:rsid w:val="0026306C"/>
    <w:rsid w:val="00267581"/>
    <w:rsid w:val="00275914"/>
    <w:rsid w:val="00276F0F"/>
    <w:rsid w:val="002973F1"/>
    <w:rsid w:val="002A0D84"/>
    <w:rsid w:val="002C634B"/>
    <w:rsid w:val="002D0CB3"/>
    <w:rsid w:val="002D2955"/>
    <w:rsid w:val="002D7B88"/>
    <w:rsid w:val="002E3111"/>
    <w:rsid w:val="002E3A1C"/>
    <w:rsid w:val="003015DB"/>
    <w:rsid w:val="00311A6E"/>
    <w:rsid w:val="0032131F"/>
    <w:rsid w:val="00322DEF"/>
    <w:rsid w:val="003232DB"/>
    <w:rsid w:val="0034015B"/>
    <w:rsid w:val="003465DD"/>
    <w:rsid w:val="00353669"/>
    <w:rsid w:val="00355608"/>
    <w:rsid w:val="00360F92"/>
    <w:rsid w:val="00363024"/>
    <w:rsid w:val="00370F3E"/>
    <w:rsid w:val="003A0E8C"/>
    <w:rsid w:val="003B4BE3"/>
    <w:rsid w:val="003C3FA8"/>
    <w:rsid w:val="003C5C0E"/>
    <w:rsid w:val="003E322F"/>
    <w:rsid w:val="003E41B4"/>
    <w:rsid w:val="00404244"/>
    <w:rsid w:val="00414845"/>
    <w:rsid w:val="00417152"/>
    <w:rsid w:val="00425445"/>
    <w:rsid w:val="00431BC4"/>
    <w:rsid w:val="004361EB"/>
    <w:rsid w:val="00455868"/>
    <w:rsid w:val="00462509"/>
    <w:rsid w:val="004709D2"/>
    <w:rsid w:val="004B5AF3"/>
    <w:rsid w:val="004B7C63"/>
    <w:rsid w:val="004F49F6"/>
    <w:rsid w:val="004F4D51"/>
    <w:rsid w:val="0051420E"/>
    <w:rsid w:val="00520D70"/>
    <w:rsid w:val="00543F5C"/>
    <w:rsid w:val="00545E40"/>
    <w:rsid w:val="005531C4"/>
    <w:rsid w:val="005556DB"/>
    <w:rsid w:val="005618B1"/>
    <w:rsid w:val="00561B9F"/>
    <w:rsid w:val="00582A46"/>
    <w:rsid w:val="005A036D"/>
    <w:rsid w:val="005A412C"/>
    <w:rsid w:val="005B5BC9"/>
    <w:rsid w:val="005C0718"/>
    <w:rsid w:val="005E04EF"/>
    <w:rsid w:val="005E217E"/>
    <w:rsid w:val="005F1E00"/>
    <w:rsid w:val="00604C7D"/>
    <w:rsid w:val="00627D24"/>
    <w:rsid w:val="00632EDC"/>
    <w:rsid w:val="00633E09"/>
    <w:rsid w:val="00634538"/>
    <w:rsid w:val="00656E26"/>
    <w:rsid w:val="006807D6"/>
    <w:rsid w:val="00690692"/>
    <w:rsid w:val="0069647B"/>
    <w:rsid w:val="006B6CB4"/>
    <w:rsid w:val="006B75EC"/>
    <w:rsid w:val="006C57B5"/>
    <w:rsid w:val="006C5C03"/>
    <w:rsid w:val="006D3DAF"/>
    <w:rsid w:val="006D4847"/>
    <w:rsid w:val="006D4B77"/>
    <w:rsid w:val="006E211B"/>
    <w:rsid w:val="006F67AF"/>
    <w:rsid w:val="00732E62"/>
    <w:rsid w:val="00763B14"/>
    <w:rsid w:val="0077430B"/>
    <w:rsid w:val="00793FF8"/>
    <w:rsid w:val="007F4468"/>
    <w:rsid w:val="008002E0"/>
    <w:rsid w:val="0080510F"/>
    <w:rsid w:val="0082796F"/>
    <w:rsid w:val="00835A25"/>
    <w:rsid w:val="00837B73"/>
    <w:rsid w:val="008640B2"/>
    <w:rsid w:val="00871C67"/>
    <w:rsid w:val="00885959"/>
    <w:rsid w:val="00892CF0"/>
    <w:rsid w:val="008A2801"/>
    <w:rsid w:val="008A35BD"/>
    <w:rsid w:val="008A5294"/>
    <w:rsid w:val="008C1796"/>
    <w:rsid w:val="008D4590"/>
    <w:rsid w:val="008E592F"/>
    <w:rsid w:val="008F441B"/>
    <w:rsid w:val="00915A26"/>
    <w:rsid w:val="0092114C"/>
    <w:rsid w:val="00925CF9"/>
    <w:rsid w:val="0092618B"/>
    <w:rsid w:val="009366A9"/>
    <w:rsid w:val="00962B7C"/>
    <w:rsid w:val="00962DE5"/>
    <w:rsid w:val="009633F3"/>
    <w:rsid w:val="00992439"/>
    <w:rsid w:val="00994D8C"/>
    <w:rsid w:val="00997FA8"/>
    <w:rsid w:val="009A69B5"/>
    <w:rsid w:val="009B4A6F"/>
    <w:rsid w:val="009B5DDD"/>
    <w:rsid w:val="009C0B26"/>
    <w:rsid w:val="009C16D3"/>
    <w:rsid w:val="009C3071"/>
    <w:rsid w:val="009C4E97"/>
    <w:rsid w:val="009C5B13"/>
    <w:rsid w:val="009D12DB"/>
    <w:rsid w:val="009D4986"/>
    <w:rsid w:val="009E651B"/>
    <w:rsid w:val="00A024FF"/>
    <w:rsid w:val="00A14E77"/>
    <w:rsid w:val="00A155A5"/>
    <w:rsid w:val="00A241D8"/>
    <w:rsid w:val="00A32BFC"/>
    <w:rsid w:val="00A40703"/>
    <w:rsid w:val="00A557C6"/>
    <w:rsid w:val="00A65011"/>
    <w:rsid w:val="00A70880"/>
    <w:rsid w:val="00A820FA"/>
    <w:rsid w:val="00A937B1"/>
    <w:rsid w:val="00AA3308"/>
    <w:rsid w:val="00AC4C9C"/>
    <w:rsid w:val="00AD5E9F"/>
    <w:rsid w:val="00B0498F"/>
    <w:rsid w:val="00B05F3A"/>
    <w:rsid w:val="00B120BB"/>
    <w:rsid w:val="00B26035"/>
    <w:rsid w:val="00B320A3"/>
    <w:rsid w:val="00B34093"/>
    <w:rsid w:val="00B6502D"/>
    <w:rsid w:val="00B82733"/>
    <w:rsid w:val="00B84A60"/>
    <w:rsid w:val="00B90207"/>
    <w:rsid w:val="00B91D75"/>
    <w:rsid w:val="00B93807"/>
    <w:rsid w:val="00B93F39"/>
    <w:rsid w:val="00BA1E98"/>
    <w:rsid w:val="00BD4703"/>
    <w:rsid w:val="00BE79EA"/>
    <w:rsid w:val="00BF4D10"/>
    <w:rsid w:val="00C46E3A"/>
    <w:rsid w:val="00C64231"/>
    <w:rsid w:val="00C82479"/>
    <w:rsid w:val="00C82AF4"/>
    <w:rsid w:val="00C929D6"/>
    <w:rsid w:val="00CA160F"/>
    <w:rsid w:val="00CA7E6D"/>
    <w:rsid w:val="00CB0B4A"/>
    <w:rsid w:val="00CB7428"/>
    <w:rsid w:val="00CD4AB7"/>
    <w:rsid w:val="00CE4101"/>
    <w:rsid w:val="00CF0702"/>
    <w:rsid w:val="00D26588"/>
    <w:rsid w:val="00D26625"/>
    <w:rsid w:val="00D26A62"/>
    <w:rsid w:val="00D27D68"/>
    <w:rsid w:val="00D42BCA"/>
    <w:rsid w:val="00D46672"/>
    <w:rsid w:val="00D52BE1"/>
    <w:rsid w:val="00D5378B"/>
    <w:rsid w:val="00D57180"/>
    <w:rsid w:val="00D73289"/>
    <w:rsid w:val="00D903DD"/>
    <w:rsid w:val="00D95381"/>
    <w:rsid w:val="00DA449B"/>
    <w:rsid w:val="00DC6C8B"/>
    <w:rsid w:val="00DE38BD"/>
    <w:rsid w:val="00E2318D"/>
    <w:rsid w:val="00E234A3"/>
    <w:rsid w:val="00E30F04"/>
    <w:rsid w:val="00E52D8B"/>
    <w:rsid w:val="00E5593B"/>
    <w:rsid w:val="00E56046"/>
    <w:rsid w:val="00E65B2E"/>
    <w:rsid w:val="00E67F37"/>
    <w:rsid w:val="00E7120A"/>
    <w:rsid w:val="00E7490C"/>
    <w:rsid w:val="00E768A0"/>
    <w:rsid w:val="00E8593B"/>
    <w:rsid w:val="00EA0130"/>
    <w:rsid w:val="00EA670C"/>
    <w:rsid w:val="00EC5AE2"/>
    <w:rsid w:val="00ED0F77"/>
    <w:rsid w:val="00ED1A94"/>
    <w:rsid w:val="00EE2801"/>
    <w:rsid w:val="00EF6034"/>
    <w:rsid w:val="00F07B66"/>
    <w:rsid w:val="00F13F2D"/>
    <w:rsid w:val="00F34AFC"/>
    <w:rsid w:val="00F52C7C"/>
    <w:rsid w:val="00F61855"/>
    <w:rsid w:val="00F74D66"/>
    <w:rsid w:val="00F820EC"/>
    <w:rsid w:val="00F923AE"/>
    <w:rsid w:val="00FC3DC1"/>
    <w:rsid w:val="00FC4EFC"/>
    <w:rsid w:val="00FD5CA2"/>
    <w:rsid w:val="00FE3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0E669"/>
  <w15:chartTrackingRefBased/>
  <w15:docId w15:val="{93E98A86-2666-4285-BF60-BDC04594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F4D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F4D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F4D1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F4D1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BF4D10"/>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BF4D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F4D10"/>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F4D10"/>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F4D10"/>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4D1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F4D1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F4D10"/>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BF4D10"/>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BF4D10"/>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BF4D1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BF4D1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BF4D1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BF4D1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BF4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F4D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F4D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F4D1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BF4D10"/>
    <w:pPr>
      <w:spacing w:before="160"/>
      <w:jc w:val="center"/>
    </w:pPr>
    <w:rPr>
      <w:i/>
      <w:iCs/>
      <w:color w:val="404040" w:themeColor="text1" w:themeTint="BF"/>
    </w:rPr>
  </w:style>
  <w:style w:type="character" w:customStyle="1" w:styleId="CitationCar">
    <w:name w:val="Citation Car"/>
    <w:basedOn w:val="Policepardfaut"/>
    <w:link w:val="Citation"/>
    <w:uiPriority w:val="29"/>
    <w:rsid w:val="00BF4D10"/>
    <w:rPr>
      <w:i/>
      <w:iCs/>
      <w:color w:val="404040" w:themeColor="text1" w:themeTint="BF"/>
    </w:rPr>
  </w:style>
  <w:style w:type="paragraph" w:styleId="Paragraphedeliste">
    <w:name w:val="List Paragraph"/>
    <w:basedOn w:val="Normal"/>
    <w:uiPriority w:val="34"/>
    <w:qFormat/>
    <w:rsid w:val="00BF4D10"/>
    <w:pPr>
      <w:ind w:left="720"/>
      <w:contextualSpacing/>
    </w:pPr>
  </w:style>
  <w:style w:type="character" w:styleId="Accentuationintense">
    <w:name w:val="Intense Emphasis"/>
    <w:basedOn w:val="Policepardfaut"/>
    <w:uiPriority w:val="21"/>
    <w:qFormat/>
    <w:rsid w:val="00BF4D10"/>
    <w:rPr>
      <w:i/>
      <w:iCs/>
      <w:color w:val="2F5496" w:themeColor="accent1" w:themeShade="BF"/>
    </w:rPr>
  </w:style>
  <w:style w:type="paragraph" w:styleId="Citationintense">
    <w:name w:val="Intense Quote"/>
    <w:basedOn w:val="Normal"/>
    <w:next w:val="Normal"/>
    <w:link w:val="CitationintenseCar"/>
    <w:uiPriority w:val="30"/>
    <w:qFormat/>
    <w:rsid w:val="00BF4D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F4D10"/>
    <w:rPr>
      <w:i/>
      <w:iCs/>
      <w:color w:val="2F5496" w:themeColor="accent1" w:themeShade="BF"/>
    </w:rPr>
  </w:style>
  <w:style w:type="character" w:styleId="Rfrenceintense">
    <w:name w:val="Intense Reference"/>
    <w:basedOn w:val="Policepardfaut"/>
    <w:uiPriority w:val="32"/>
    <w:qFormat/>
    <w:rsid w:val="00BF4D10"/>
    <w:rPr>
      <w:b/>
      <w:bCs/>
      <w:smallCaps/>
      <w:color w:val="2F5496" w:themeColor="accent1" w:themeShade="BF"/>
      <w:spacing w:val="5"/>
    </w:rPr>
  </w:style>
  <w:style w:type="paragraph" w:styleId="En-tte">
    <w:name w:val="header"/>
    <w:basedOn w:val="Normal"/>
    <w:link w:val="En-tteCar"/>
    <w:uiPriority w:val="99"/>
    <w:unhideWhenUsed/>
    <w:rsid w:val="008D4590"/>
    <w:pPr>
      <w:tabs>
        <w:tab w:val="center" w:pos="4703"/>
        <w:tab w:val="right" w:pos="9406"/>
      </w:tabs>
      <w:spacing w:after="0" w:line="240" w:lineRule="auto"/>
    </w:pPr>
  </w:style>
  <w:style w:type="character" w:customStyle="1" w:styleId="En-tteCar">
    <w:name w:val="En-tête Car"/>
    <w:basedOn w:val="Policepardfaut"/>
    <w:link w:val="En-tte"/>
    <w:uiPriority w:val="99"/>
    <w:rsid w:val="008D4590"/>
  </w:style>
  <w:style w:type="paragraph" w:styleId="Pieddepage">
    <w:name w:val="footer"/>
    <w:basedOn w:val="Normal"/>
    <w:link w:val="PieddepageCar"/>
    <w:uiPriority w:val="99"/>
    <w:unhideWhenUsed/>
    <w:rsid w:val="008D4590"/>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8D4590"/>
  </w:style>
  <w:style w:type="paragraph" w:styleId="Lgende">
    <w:name w:val="caption"/>
    <w:basedOn w:val="Normal"/>
    <w:next w:val="Normal"/>
    <w:uiPriority w:val="35"/>
    <w:unhideWhenUsed/>
    <w:qFormat/>
    <w:rsid w:val="00E2318D"/>
  </w:style>
  <w:style w:type="paragraph" w:styleId="Bibliographie">
    <w:name w:val="Bibliography"/>
    <w:basedOn w:val="Normal"/>
    <w:next w:val="Normal"/>
    <w:uiPriority w:val="37"/>
    <w:unhideWhenUsed/>
    <w:rsid w:val="00267581"/>
    <w:pPr>
      <w:tabs>
        <w:tab w:val="left" w:pos="504"/>
      </w:tabs>
      <w:spacing w:after="240" w:line="240" w:lineRule="auto"/>
      <w:ind w:left="504" w:hanging="504"/>
    </w:pPr>
  </w:style>
  <w:style w:type="table" w:styleId="Grilledutableau">
    <w:name w:val="Table Grid"/>
    <w:basedOn w:val="TableauNormal"/>
    <w:uiPriority w:val="39"/>
    <w:rsid w:val="00634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F846-B574-4887-AAD7-ACFAB41E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Pages>
  <Words>15550</Words>
  <Characters>85528</Characters>
  <Application>Microsoft Office Word</Application>
  <DocSecurity>0</DocSecurity>
  <Lines>712</Lines>
  <Paragraphs>201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Cheuyem Zobel</dc:creator>
  <cp:keywords/>
  <dc:description/>
  <cp:lastModifiedBy>Dr. Cheuyem Zobel</cp:lastModifiedBy>
  <cp:revision>11</cp:revision>
  <dcterms:created xsi:type="dcterms:W3CDTF">2025-09-13T18:01:00Z</dcterms:created>
  <dcterms:modified xsi:type="dcterms:W3CDTF">2025-10-25T20:38:00Z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id="rtIf2vx0"/&gt;&lt;style id="http://www.zotero.org/styles/vancouver-brackets" locale="en-US" hasBibliography="1" bibliographyStyleHasBeenSet="1"/&gt;&lt;prefs&gt;&lt;pref name="fieldType" value="Field"/&gt;&lt;pref name=</vt:lpwstr>
  </property>
  <property fmtid="{D5CDD505-2E9C-101B-9397-08002B2CF9AE}" pid="3" name="ZOTERO_PREF_2">
    <vt:lpwstr>"automaticJournalAbbreviations" value="true"/&gt;&lt;pref name="dontAskDelayCitationUpdates" value="true"/&gt;&lt;/prefs&gt;&lt;/data&gt;</vt:lpwstr>
  </property>
</Properties>
</file>