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075CE" w14:textId="5ED88346" w:rsidR="00583285" w:rsidRPr="00EE5FB5" w:rsidRDefault="00583285" w:rsidP="00583285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22"/>
          <w:lang w:val="en-GB"/>
        </w:rPr>
      </w:pPr>
      <w:r>
        <w:rPr>
          <w:rFonts w:ascii="Arial" w:hAnsi="Arial" w:cs="Arial"/>
          <w:b/>
          <w:bCs/>
          <w:sz w:val="22"/>
          <w:lang w:val="en-GB"/>
        </w:rPr>
        <w:t>Supplementary Table 1.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Unadjusted and adjusted odds ratio</w:t>
      </w:r>
      <w:r>
        <w:rPr>
          <w:rFonts w:ascii="Arial" w:hAnsi="Arial" w:cs="Arial"/>
          <w:b/>
          <w:bCs/>
          <w:sz w:val="22"/>
          <w:lang w:val="en-GB"/>
        </w:rPr>
        <w:t xml:space="preserve">s between underlying depression and 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PRO-STEP </w:t>
      </w:r>
      <w:r>
        <w:rPr>
          <w:rFonts w:ascii="Arial" w:hAnsi="Arial" w:cs="Arial"/>
          <w:b/>
          <w:bCs/>
          <w:sz w:val="22"/>
          <w:lang w:val="en-GB"/>
        </w:rPr>
        <w:t>scores of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&gt;3 and &gt;6</w:t>
      </w:r>
      <w:r>
        <w:rPr>
          <w:rFonts w:ascii="Arial" w:hAnsi="Arial" w:cs="Arial"/>
          <w:b/>
          <w:bCs/>
          <w:sz w:val="22"/>
          <w:lang w:val="en-GB"/>
        </w:rPr>
        <w:t>.</w:t>
      </w:r>
    </w:p>
    <w:tbl>
      <w:tblPr>
        <w:tblStyle w:val="Tablaconcuadrcula1"/>
        <w:tblW w:w="4932" w:type="pct"/>
        <w:tblLayout w:type="fixed"/>
        <w:tblLook w:val="04A0" w:firstRow="1" w:lastRow="0" w:firstColumn="1" w:lastColumn="0" w:noHBand="0" w:noVBand="1"/>
      </w:tblPr>
      <w:tblGrid>
        <w:gridCol w:w="1436"/>
        <w:gridCol w:w="1492"/>
        <w:gridCol w:w="1422"/>
        <w:gridCol w:w="865"/>
        <w:gridCol w:w="1573"/>
        <w:gridCol w:w="1422"/>
        <w:gridCol w:w="1013"/>
      </w:tblGrid>
      <w:tr w:rsidR="00583285" w:rsidRPr="00EE5FB5" w14:paraId="5F823AA4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03B3792D" w14:textId="77777777" w:rsidR="00583285" w:rsidRPr="00EE5FB5" w:rsidRDefault="00583285" w:rsidP="000764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val="en-GB" w:eastAsia="es-MX"/>
              </w:rPr>
            </w:pPr>
          </w:p>
        </w:tc>
        <w:tc>
          <w:tcPr>
            <w:tcW w:w="2049" w:type="pct"/>
            <w:gridSpan w:val="3"/>
            <w:vAlign w:val="center"/>
            <w:hideMark/>
          </w:tcPr>
          <w:p w14:paraId="173C585D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PRO-STEP &gt;3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c</w:t>
            </w:r>
          </w:p>
        </w:tc>
        <w:tc>
          <w:tcPr>
            <w:tcW w:w="2173" w:type="pct"/>
            <w:gridSpan w:val="3"/>
            <w:vAlign w:val="center"/>
            <w:hideMark/>
          </w:tcPr>
          <w:p w14:paraId="0116B74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PRO-STEP &gt;6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c</w:t>
            </w:r>
          </w:p>
        </w:tc>
      </w:tr>
      <w:tr w:rsidR="00583285" w:rsidRPr="00EE5FB5" w14:paraId="75E417A4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22109E9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Variables</w:t>
            </w:r>
          </w:p>
        </w:tc>
        <w:tc>
          <w:tcPr>
            <w:tcW w:w="809" w:type="pct"/>
            <w:vAlign w:val="center"/>
            <w:hideMark/>
          </w:tcPr>
          <w:p w14:paraId="72A0D33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Unadjusted OR</w:t>
            </w:r>
          </w:p>
          <w:p w14:paraId="1ED3759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771" w:type="pct"/>
            <w:vAlign w:val="center"/>
            <w:hideMark/>
          </w:tcPr>
          <w:p w14:paraId="3153EE50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Adjusted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OR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a</w:t>
            </w:r>
            <w:proofErr w:type="spellEnd"/>
          </w:p>
          <w:p w14:paraId="7BEA4A9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469" w:type="pct"/>
            <w:vAlign w:val="center"/>
            <w:hideMark/>
          </w:tcPr>
          <w:p w14:paraId="663BEF99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p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value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b</w:t>
            </w:r>
            <w:proofErr w:type="spellEnd"/>
          </w:p>
        </w:tc>
        <w:tc>
          <w:tcPr>
            <w:tcW w:w="853" w:type="pct"/>
            <w:vAlign w:val="center"/>
            <w:hideMark/>
          </w:tcPr>
          <w:p w14:paraId="2463A6B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Unadjusted OR</w:t>
            </w:r>
          </w:p>
          <w:p w14:paraId="1DFF5DB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771" w:type="pct"/>
            <w:vAlign w:val="center"/>
            <w:hideMark/>
          </w:tcPr>
          <w:p w14:paraId="68BA5DBD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Adjusted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OR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a</w:t>
            </w:r>
            <w:proofErr w:type="spellEnd"/>
          </w:p>
          <w:p w14:paraId="50AB00F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549" w:type="pct"/>
            <w:vAlign w:val="center"/>
            <w:hideMark/>
          </w:tcPr>
          <w:p w14:paraId="4B50CD62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p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value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b</w:t>
            </w:r>
            <w:proofErr w:type="spellEnd"/>
          </w:p>
        </w:tc>
      </w:tr>
      <w:tr w:rsidR="00583285" w:rsidRPr="00EE5FB5" w14:paraId="2ACDF3BB" w14:textId="77777777" w:rsidTr="0007644F">
        <w:trPr>
          <w:trHeight w:val="302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  <w:hideMark/>
          </w:tcPr>
          <w:p w14:paraId="4A6BF620" w14:textId="77777777" w:rsidR="00583285" w:rsidRPr="00EE5FB5" w:rsidRDefault="00583285" w:rsidP="0007644F">
            <w:pPr>
              <w:spacing w:after="0" w:line="240" w:lineRule="auto"/>
              <w:ind w:left="576" w:firstLine="0"/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Intra-procedural domains</w:t>
            </w:r>
          </w:p>
        </w:tc>
      </w:tr>
      <w:tr w:rsidR="00583285" w:rsidRPr="00EE5FB5" w14:paraId="4DB4B897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3A0C191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Awareness</w:t>
            </w:r>
          </w:p>
        </w:tc>
        <w:tc>
          <w:tcPr>
            <w:tcW w:w="809" w:type="pct"/>
            <w:vAlign w:val="center"/>
            <w:hideMark/>
          </w:tcPr>
          <w:p w14:paraId="7D2A434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1.40 (1.08, 1.82)</w:t>
            </w:r>
          </w:p>
        </w:tc>
        <w:tc>
          <w:tcPr>
            <w:tcW w:w="771" w:type="pct"/>
            <w:vAlign w:val="center"/>
            <w:hideMark/>
          </w:tcPr>
          <w:p w14:paraId="59637A58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1.22 (0.91, 1.64)</w:t>
            </w:r>
          </w:p>
        </w:tc>
        <w:tc>
          <w:tcPr>
            <w:tcW w:w="469" w:type="pct"/>
            <w:vAlign w:val="center"/>
            <w:hideMark/>
          </w:tcPr>
          <w:p w14:paraId="5859585C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0.191</w:t>
            </w:r>
          </w:p>
        </w:tc>
        <w:tc>
          <w:tcPr>
            <w:tcW w:w="853" w:type="pct"/>
            <w:vAlign w:val="center"/>
            <w:hideMark/>
          </w:tcPr>
          <w:p w14:paraId="769FABD1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1.68 (1.23, 2.29)</w:t>
            </w:r>
          </w:p>
        </w:tc>
        <w:tc>
          <w:tcPr>
            <w:tcW w:w="771" w:type="pct"/>
            <w:vAlign w:val="center"/>
            <w:hideMark/>
          </w:tcPr>
          <w:p w14:paraId="668F6E6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1.62 (1.18, 2.22)</w:t>
            </w:r>
          </w:p>
        </w:tc>
        <w:tc>
          <w:tcPr>
            <w:tcW w:w="549" w:type="pct"/>
            <w:vAlign w:val="center"/>
            <w:hideMark/>
          </w:tcPr>
          <w:p w14:paraId="278C5565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0.003</w:t>
            </w:r>
          </w:p>
        </w:tc>
      </w:tr>
      <w:tr w:rsidR="00583285" w:rsidRPr="00EE5FB5" w14:paraId="7FB723FE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291A5BD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Discomfort Level</w:t>
            </w:r>
          </w:p>
        </w:tc>
        <w:tc>
          <w:tcPr>
            <w:tcW w:w="809" w:type="pct"/>
            <w:vAlign w:val="center"/>
            <w:hideMark/>
          </w:tcPr>
          <w:p w14:paraId="7341F88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1.36 (1.01, 1.83)</w:t>
            </w:r>
          </w:p>
        </w:tc>
        <w:tc>
          <w:tcPr>
            <w:tcW w:w="771" w:type="pct"/>
            <w:vAlign w:val="center"/>
            <w:hideMark/>
          </w:tcPr>
          <w:p w14:paraId="44E95B4B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1.21 (0.89, 1.66)</w:t>
            </w:r>
          </w:p>
        </w:tc>
        <w:tc>
          <w:tcPr>
            <w:tcW w:w="469" w:type="pct"/>
            <w:vAlign w:val="center"/>
            <w:hideMark/>
          </w:tcPr>
          <w:p w14:paraId="476021E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0.226</w:t>
            </w:r>
          </w:p>
        </w:tc>
        <w:tc>
          <w:tcPr>
            <w:tcW w:w="853" w:type="pct"/>
            <w:vAlign w:val="center"/>
            <w:hideMark/>
          </w:tcPr>
          <w:p w14:paraId="4E00F2E8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1.81 (1.22, 2.66)</w:t>
            </w:r>
          </w:p>
        </w:tc>
        <w:tc>
          <w:tcPr>
            <w:tcW w:w="771" w:type="pct"/>
            <w:vAlign w:val="center"/>
            <w:hideMark/>
          </w:tcPr>
          <w:p w14:paraId="1573884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1.60 (1.06, 2.39)</w:t>
            </w:r>
          </w:p>
        </w:tc>
        <w:tc>
          <w:tcPr>
            <w:tcW w:w="549" w:type="pct"/>
            <w:vAlign w:val="center"/>
            <w:hideMark/>
          </w:tcPr>
          <w:p w14:paraId="0C3F9EA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sz w:val="18"/>
                <w:szCs w:val="18"/>
                <w:lang w:val="en-GB"/>
              </w:rPr>
              <w:t>0.</w:t>
            </w:r>
            <w:r w:rsidRPr="00EE5FB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024</w:t>
            </w:r>
          </w:p>
        </w:tc>
      </w:tr>
      <w:tr w:rsidR="00583285" w:rsidRPr="00EE5FB5" w14:paraId="280C97BF" w14:textId="77777777" w:rsidTr="0007644F">
        <w:trPr>
          <w:trHeight w:val="302"/>
        </w:trPr>
        <w:tc>
          <w:tcPr>
            <w:tcW w:w="5000" w:type="pct"/>
            <w:gridSpan w:val="7"/>
            <w:shd w:val="clear" w:color="auto" w:fill="F2F2F2" w:themeFill="background1" w:themeFillShade="F2"/>
            <w:vAlign w:val="center"/>
            <w:hideMark/>
          </w:tcPr>
          <w:p w14:paraId="2FECBC9D" w14:textId="77777777" w:rsidR="00583285" w:rsidRPr="00EE5FB5" w:rsidRDefault="00583285" w:rsidP="0007644F">
            <w:pPr>
              <w:spacing w:after="0" w:line="240" w:lineRule="auto"/>
              <w:ind w:left="576" w:firstLine="0"/>
              <w:jc w:val="center"/>
              <w:rPr>
                <w:rFonts w:ascii="Arial" w:eastAsia="Times New Roman" w:hAnsi="Arial" w:cs="Arial"/>
                <w:color w:val="auto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Post-procedural domains</w:t>
            </w:r>
          </w:p>
        </w:tc>
      </w:tr>
      <w:tr w:rsidR="00583285" w:rsidRPr="00EE5FB5" w14:paraId="336B5A50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06264385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Abdominal Pain</w:t>
            </w:r>
          </w:p>
        </w:tc>
        <w:tc>
          <w:tcPr>
            <w:tcW w:w="809" w:type="pct"/>
            <w:vAlign w:val="center"/>
            <w:hideMark/>
          </w:tcPr>
          <w:p w14:paraId="04F9039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1.62 (1.18, 2.22)</w:t>
            </w:r>
          </w:p>
        </w:tc>
        <w:tc>
          <w:tcPr>
            <w:tcW w:w="771" w:type="pct"/>
            <w:vAlign w:val="center"/>
            <w:hideMark/>
          </w:tcPr>
          <w:p w14:paraId="600B42CB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1.44 (1.01, 2.05)</w:t>
            </w:r>
          </w:p>
        </w:tc>
        <w:tc>
          <w:tcPr>
            <w:tcW w:w="469" w:type="pct"/>
            <w:vAlign w:val="center"/>
            <w:hideMark/>
          </w:tcPr>
          <w:p w14:paraId="2B0E5385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0.045</w:t>
            </w:r>
          </w:p>
        </w:tc>
        <w:tc>
          <w:tcPr>
            <w:tcW w:w="853" w:type="pct"/>
            <w:vAlign w:val="center"/>
            <w:hideMark/>
          </w:tcPr>
          <w:p w14:paraId="5FA6CCC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1.54 (0.97, 2.45)</w:t>
            </w:r>
          </w:p>
        </w:tc>
        <w:tc>
          <w:tcPr>
            <w:tcW w:w="771" w:type="pct"/>
            <w:vAlign w:val="center"/>
            <w:hideMark/>
          </w:tcPr>
          <w:p w14:paraId="1D0A3E91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1.34 (0.82, 2.20)</w:t>
            </w:r>
          </w:p>
        </w:tc>
        <w:tc>
          <w:tcPr>
            <w:tcW w:w="549" w:type="pct"/>
            <w:vAlign w:val="center"/>
            <w:hideMark/>
          </w:tcPr>
          <w:p w14:paraId="2D0EFF78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0.241</w:t>
            </w:r>
          </w:p>
        </w:tc>
      </w:tr>
      <w:tr w:rsidR="00583285" w:rsidRPr="00EE5FB5" w14:paraId="7FF54F81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38747FF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Throat Pain</w:t>
            </w:r>
          </w:p>
        </w:tc>
        <w:tc>
          <w:tcPr>
            <w:tcW w:w="809" w:type="pct"/>
            <w:vAlign w:val="center"/>
            <w:hideMark/>
          </w:tcPr>
          <w:p w14:paraId="685EC6F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0.95 (0.55, 1.64)</w:t>
            </w:r>
          </w:p>
        </w:tc>
        <w:tc>
          <w:tcPr>
            <w:tcW w:w="771" w:type="pct"/>
            <w:vAlign w:val="center"/>
            <w:hideMark/>
          </w:tcPr>
          <w:p w14:paraId="17045C42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0.80 (0.46, 1.39)</w:t>
            </w:r>
          </w:p>
        </w:tc>
        <w:tc>
          <w:tcPr>
            <w:tcW w:w="469" w:type="pct"/>
            <w:vAlign w:val="center"/>
            <w:hideMark/>
          </w:tcPr>
          <w:p w14:paraId="1D5417FC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0.433</w:t>
            </w:r>
          </w:p>
        </w:tc>
        <w:tc>
          <w:tcPr>
            <w:tcW w:w="853" w:type="pct"/>
            <w:vAlign w:val="center"/>
            <w:hideMark/>
          </w:tcPr>
          <w:p w14:paraId="3E28E761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0.99 (0.35, 2.78)</w:t>
            </w:r>
          </w:p>
        </w:tc>
        <w:tc>
          <w:tcPr>
            <w:tcW w:w="771" w:type="pct"/>
            <w:vAlign w:val="center"/>
            <w:hideMark/>
          </w:tcPr>
          <w:p w14:paraId="42413CF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0.77 (0.27, 2.16)</w:t>
            </w:r>
          </w:p>
        </w:tc>
        <w:tc>
          <w:tcPr>
            <w:tcW w:w="549" w:type="pct"/>
            <w:vAlign w:val="center"/>
            <w:hideMark/>
          </w:tcPr>
          <w:p w14:paraId="5BCDC46C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0.614</w:t>
            </w:r>
          </w:p>
        </w:tc>
      </w:tr>
      <w:tr w:rsidR="00583285" w:rsidRPr="00EE5FB5" w14:paraId="3ACEBF2C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00F7F3C4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Nausea</w:t>
            </w:r>
          </w:p>
        </w:tc>
        <w:tc>
          <w:tcPr>
            <w:tcW w:w="809" w:type="pct"/>
            <w:vAlign w:val="center"/>
            <w:hideMark/>
          </w:tcPr>
          <w:p w14:paraId="434F48E5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2.40 (1.62, 3.54)</w:t>
            </w:r>
          </w:p>
        </w:tc>
        <w:tc>
          <w:tcPr>
            <w:tcW w:w="771" w:type="pct"/>
            <w:vAlign w:val="center"/>
            <w:hideMark/>
          </w:tcPr>
          <w:p w14:paraId="53AC56D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1.97 (1.32, 2.95)</w:t>
            </w:r>
          </w:p>
        </w:tc>
        <w:tc>
          <w:tcPr>
            <w:tcW w:w="469" w:type="pct"/>
            <w:vAlign w:val="center"/>
            <w:hideMark/>
          </w:tcPr>
          <w:p w14:paraId="158CD07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853" w:type="pct"/>
            <w:vAlign w:val="center"/>
            <w:hideMark/>
          </w:tcPr>
          <w:p w14:paraId="56258AC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1.60 (0.86, 2.98)</w:t>
            </w:r>
          </w:p>
        </w:tc>
        <w:tc>
          <w:tcPr>
            <w:tcW w:w="771" w:type="pct"/>
            <w:vAlign w:val="center"/>
            <w:hideMark/>
          </w:tcPr>
          <w:p w14:paraId="794A5E5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1.26 (0.67, 2.36)</w:t>
            </w:r>
          </w:p>
        </w:tc>
        <w:tc>
          <w:tcPr>
            <w:tcW w:w="549" w:type="pct"/>
            <w:vAlign w:val="center"/>
            <w:hideMark/>
          </w:tcPr>
          <w:p w14:paraId="35132712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0.469</w:t>
            </w:r>
          </w:p>
        </w:tc>
      </w:tr>
      <w:tr w:rsidR="00583285" w:rsidRPr="00EE5FB5" w14:paraId="3A3C4B67" w14:textId="77777777" w:rsidTr="0007644F">
        <w:trPr>
          <w:trHeight w:val="302"/>
        </w:trPr>
        <w:tc>
          <w:tcPr>
            <w:tcW w:w="778" w:type="pct"/>
            <w:vAlign w:val="center"/>
            <w:hideMark/>
          </w:tcPr>
          <w:p w14:paraId="2888C87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Distention Level</w:t>
            </w:r>
          </w:p>
        </w:tc>
        <w:tc>
          <w:tcPr>
            <w:tcW w:w="809" w:type="pct"/>
            <w:vAlign w:val="center"/>
            <w:hideMark/>
          </w:tcPr>
          <w:p w14:paraId="227F29A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1.52 (0.90, 2.56)</w:t>
            </w:r>
          </w:p>
        </w:tc>
        <w:tc>
          <w:tcPr>
            <w:tcW w:w="771" w:type="pct"/>
            <w:vAlign w:val="center"/>
            <w:hideMark/>
          </w:tcPr>
          <w:p w14:paraId="036E2D9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1.90 (1.06, 3.38)</w:t>
            </w:r>
          </w:p>
        </w:tc>
        <w:tc>
          <w:tcPr>
            <w:tcW w:w="469" w:type="pct"/>
            <w:vAlign w:val="center"/>
            <w:hideMark/>
          </w:tcPr>
          <w:p w14:paraId="34D78A4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color w:val="000000"/>
                <w:sz w:val="18"/>
                <w:szCs w:val="18"/>
                <w:lang w:val="en-GB"/>
              </w:rPr>
              <w:t>0.</w:t>
            </w: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031</w:t>
            </w:r>
          </w:p>
        </w:tc>
        <w:tc>
          <w:tcPr>
            <w:tcW w:w="853" w:type="pct"/>
            <w:vAlign w:val="center"/>
            <w:hideMark/>
          </w:tcPr>
          <w:p w14:paraId="4BE0241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1.83 (0.70, 4.77)</w:t>
            </w:r>
          </w:p>
        </w:tc>
        <w:tc>
          <w:tcPr>
            <w:tcW w:w="771" w:type="pct"/>
            <w:vAlign w:val="center"/>
            <w:hideMark/>
          </w:tcPr>
          <w:p w14:paraId="70D4D0C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2.75 (0.99, 7.66)</w:t>
            </w:r>
          </w:p>
        </w:tc>
        <w:tc>
          <w:tcPr>
            <w:tcW w:w="549" w:type="pct"/>
            <w:vAlign w:val="center"/>
            <w:hideMark/>
          </w:tcPr>
          <w:p w14:paraId="2F5A675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0.052</w:t>
            </w:r>
          </w:p>
        </w:tc>
      </w:tr>
    </w:tbl>
    <w:p w14:paraId="3625887C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lang w:val="en-GB"/>
        </w:rPr>
        <w:t xml:space="preserve">Abbreviations: ERCP, endoscopic retrograde cholangiopancreatography; PRO-STEP, Patient-Reported Scale for Tolerability of Endoscopic Procedures; </w:t>
      </w:r>
      <w:proofErr w:type="gramStart"/>
      <w:r w:rsidRPr="00EE5FB5">
        <w:rPr>
          <w:rFonts w:ascii="Arial" w:hAnsi="Arial" w:cs="Arial"/>
          <w:sz w:val="14"/>
          <w:szCs w:val="14"/>
          <w:lang w:val="en-GB"/>
        </w:rPr>
        <w:t>OR,</w:t>
      </w:r>
      <w:proofErr w:type="gramEnd"/>
      <w:r w:rsidRPr="00EE5FB5">
        <w:rPr>
          <w:rFonts w:ascii="Arial" w:hAnsi="Arial" w:cs="Arial"/>
          <w:sz w:val="14"/>
          <w:szCs w:val="14"/>
          <w:lang w:val="en-GB"/>
        </w:rPr>
        <w:t xml:space="preserve"> odds ratio; CI, confidence intervals.</w:t>
      </w:r>
    </w:p>
    <w:p w14:paraId="58F1BD42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proofErr w:type="spellStart"/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a</w:t>
      </w:r>
      <w:r w:rsidRPr="00EE5FB5">
        <w:rPr>
          <w:rFonts w:ascii="Arial" w:hAnsi="Arial" w:cs="Arial"/>
          <w:sz w:val="14"/>
          <w:szCs w:val="14"/>
          <w:lang w:val="en-GB"/>
        </w:rPr>
        <w:t>Adjusted</w:t>
      </w:r>
      <w:proofErr w:type="spellEnd"/>
      <w:r w:rsidRPr="00EE5FB5">
        <w:rPr>
          <w:rFonts w:ascii="Arial" w:hAnsi="Arial" w:cs="Arial"/>
          <w:sz w:val="14"/>
          <w:szCs w:val="14"/>
          <w:lang w:val="en-GB"/>
        </w:rPr>
        <w:t xml:space="preserve"> for age and sex, and potentially one or more of these covariates: disposition, Charlson comorbidity index, indication, opioids, cannabis, alcohol consumption, previous ERCP, sphincterotomy, targeted duct, size of the CBD, pancreatic cannulation, pancreatogram, stricture present on ERCP, metal stent deployed, difficult cannulation.</w:t>
      </w:r>
    </w:p>
    <w:p w14:paraId="4CF6805E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b</w:t>
      </w:r>
      <w:r w:rsidRPr="00EE5FB5">
        <w:rPr>
          <w:rFonts w:ascii="Arial" w:hAnsi="Arial" w:cs="Arial"/>
          <w:sz w:val="14"/>
          <w:szCs w:val="14"/>
          <w:lang w:val="en-GB"/>
        </w:rPr>
        <w:t>p-value associated with adjusted OR in logistic regression model</w:t>
      </w:r>
    </w:p>
    <w:p w14:paraId="27A76580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20"/>
          <w:szCs w:val="20"/>
          <w:lang w:val="en-GB"/>
        </w:rPr>
      </w:pPr>
      <w:proofErr w:type="spellStart"/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c</w:t>
      </w:r>
      <w:r w:rsidRPr="00EE5FB5">
        <w:rPr>
          <w:rFonts w:ascii="Arial" w:hAnsi="Arial" w:cs="Arial"/>
          <w:sz w:val="14"/>
          <w:szCs w:val="14"/>
          <w:lang w:val="en-GB"/>
        </w:rPr>
        <w:t>Binary</w:t>
      </w:r>
      <w:proofErr w:type="spellEnd"/>
      <w:r w:rsidRPr="00EE5FB5">
        <w:rPr>
          <w:rFonts w:ascii="Arial" w:hAnsi="Arial" w:cs="Arial"/>
          <w:sz w:val="14"/>
          <w:szCs w:val="14"/>
          <w:lang w:val="en-GB"/>
        </w:rPr>
        <w:t xml:space="preserve"> variable (e.g., yes or no) in which the reference group corresponds to the absence of that characteristic</w:t>
      </w:r>
      <w:r w:rsidRPr="00EE5FB5">
        <w:rPr>
          <w:rFonts w:ascii="Arial" w:hAnsi="Arial" w:cs="Arial"/>
          <w:sz w:val="20"/>
          <w:szCs w:val="20"/>
          <w:lang w:val="en-GB"/>
        </w:rPr>
        <w:br w:type="page"/>
      </w:r>
    </w:p>
    <w:p w14:paraId="380A89BE" w14:textId="3F20C774" w:rsidR="00583285" w:rsidRPr="00EE5FB5" w:rsidRDefault="00583285" w:rsidP="00583285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22"/>
          <w:lang w:val="en-GB"/>
        </w:rPr>
      </w:pPr>
      <w:r>
        <w:rPr>
          <w:rFonts w:ascii="Arial" w:hAnsi="Arial" w:cs="Arial"/>
          <w:b/>
          <w:bCs/>
          <w:sz w:val="22"/>
          <w:lang w:val="en-GB"/>
        </w:rPr>
        <w:lastRenderedPageBreak/>
        <w:t>Supplementary Table 2.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Unadjusted and adjusted odds ratio</w:t>
      </w:r>
      <w:r>
        <w:rPr>
          <w:rFonts w:ascii="Arial" w:hAnsi="Arial" w:cs="Arial"/>
          <w:b/>
          <w:bCs/>
          <w:sz w:val="22"/>
          <w:lang w:val="en-GB"/>
        </w:rPr>
        <w:t xml:space="preserve">s between underlying anxiety and 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PRO-STEP </w:t>
      </w:r>
      <w:r>
        <w:rPr>
          <w:rFonts w:ascii="Arial" w:hAnsi="Arial" w:cs="Arial"/>
          <w:b/>
          <w:bCs/>
          <w:sz w:val="22"/>
          <w:lang w:val="en-GB"/>
        </w:rPr>
        <w:t>scores of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&gt;3 and &gt;6</w:t>
      </w:r>
      <w:r>
        <w:rPr>
          <w:rFonts w:ascii="Arial" w:hAnsi="Arial" w:cs="Arial"/>
          <w:b/>
          <w:bCs/>
          <w:sz w:val="22"/>
          <w:lang w:val="en-GB"/>
        </w:rPr>
        <w:t>.</w:t>
      </w:r>
    </w:p>
    <w:tbl>
      <w:tblPr>
        <w:tblStyle w:val="Tablaconcuadrcula1"/>
        <w:tblW w:w="5000" w:type="pct"/>
        <w:tblLook w:val="04A0" w:firstRow="1" w:lastRow="0" w:firstColumn="1" w:lastColumn="0" w:noHBand="0" w:noVBand="1"/>
      </w:tblPr>
      <w:tblGrid>
        <w:gridCol w:w="1684"/>
        <w:gridCol w:w="1541"/>
        <w:gridCol w:w="1541"/>
        <w:gridCol w:w="750"/>
        <w:gridCol w:w="1541"/>
        <w:gridCol w:w="1541"/>
        <w:gridCol w:w="752"/>
      </w:tblGrid>
      <w:tr w:rsidR="00583285" w:rsidRPr="00EE5FB5" w14:paraId="4CA5D753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463A5AD3" w14:textId="77777777" w:rsidR="00583285" w:rsidRPr="00EE5FB5" w:rsidRDefault="00583285" w:rsidP="000764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val="en-GB" w:eastAsia="es-MX"/>
              </w:rPr>
            </w:pPr>
          </w:p>
        </w:tc>
        <w:tc>
          <w:tcPr>
            <w:tcW w:w="2049" w:type="pct"/>
            <w:gridSpan w:val="3"/>
            <w:vAlign w:val="center"/>
            <w:hideMark/>
          </w:tcPr>
          <w:p w14:paraId="47BB372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PRO-STEP &gt;3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val="en-GB" w:eastAsia="es-MX"/>
              </w:rPr>
              <w:t>c</w:t>
            </w:r>
          </w:p>
        </w:tc>
        <w:tc>
          <w:tcPr>
            <w:tcW w:w="2050" w:type="pct"/>
            <w:gridSpan w:val="3"/>
            <w:vAlign w:val="center"/>
            <w:hideMark/>
          </w:tcPr>
          <w:p w14:paraId="743FBF9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PRO-STEP &gt;6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  <w:lang w:val="en-GB" w:eastAsia="es-MX"/>
              </w:rPr>
              <w:t>c</w:t>
            </w:r>
          </w:p>
        </w:tc>
      </w:tr>
      <w:tr w:rsidR="00583285" w:rsidRPr="00EE5FB5" w14:paraId="0768739A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11427255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Variables</w:t>
            </w:r>
          </w:p>
        </w:tc>
        <w:tc>
          <w:tcPr>
            <w:tcW w:w="824" w:type="pct"/>
            <w:vAlign w:val="center"/>
            <w:hideMark/>
          </w:tcPr>
          <w:p w14:paraId="3D28DEED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Unadjusted OR</w:t>
            </w:r>
          </w:p>
          <w:p w14:paraId="63FCFED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824" w:type="pct"/>
            <w:vAlign w:val="center"/>
            <w:hideMark/>
          </w:tcPr>
          <w:p w14:paraId="7BC968A6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Adjusted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OR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a</w:t>
            </w:r>
            <w:proofErr w:type="spellEnd"/>
          </w:p>
          <w:p w14:paraId="78C0B3BE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401" w:type="pct"/>
            <w:vAlign w:val="center"/>
            <w:hideMark/>
          </w:tcPr>
          <w:p w14:paraId="13BC819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P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value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b</w:t>
            </w:r>
            <w:proofErr w:type="spellEnd"/>
          </w:p>
        </w:tc>
        <w:tc>
          <w:tcPr>
            <w:tcW w:w="824" w:type="pct"/>
            <w:vAlign w:val="center"/>
            <w:hideMark/>
          </w:tcPr>
          <w:p w14:paraId="41C3C07D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Unadjusted OR</w:t>
            </w:r>
          </w:p>
          <w:p w14:paraId="0DBC5E52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824" w:type="pct"/>
            <w:vAlign w:val="center"/>
            <w:hideMark/>
          </w:tcPr>
          <w:p w14:paraId="0E7B1A4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Adjusted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OR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a</w:t>
            </w:r>
            <w:proofErr w:type="spellEnd"/>
          </w:p>
          <w:p w14:paraId="23ABC8E5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(95% CI)</w:t>
            </w:r>
          </w:p>
        </w:tc>
        <w:tc>
          <w:tcPr>
            <w:tcW w:w="402" w:type="pct"/>
            <w:vAlign w:val="center"/>
            <w:hideMark/>
          </w:tcPr>
          <w:p w14:paraId="1046CE6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 xml:space="preserve">p </w:t>
            </w:r>
            <w:proofErr w:type="spellStart"/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value</w:t>
            </w: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vertAlign w:val="superscript"/>
                <w:lang w:val="en-GB" w:eastAsia="es-MX"/>
              </w:rPr>
              <w:t>b</w:t>
            </w:r>
            <w:proofErr w:type="spellEnd"/>
          </w:p>
        </w:tc>
      </w:tr>
      <w:tr w:rsidR="00583285" w:rsidRPr="00EE5FB5" w14:paraId="7F8A2E2E" w14:textId="77777777" w:rsidTr="0007644F">
        <w:trPr>
          <w:trHeight w:val="340"/>
        </w:trPr>
        <w:tc>
          <w:tcPr>
            <w:tcW w:w="5000" w:type="pct"/>
            <w:gridSpan w:val="7"/>
            <w:vAlign w:val="center"/>
            <w:hideMark/>
          </w:tcPr>
          <w:p w14:paraId="4D2780EF" w14:textId="77777777" w:rsidR="00583285" w:rsidRPr="00EE5FB5" w:rsidRDefault="00583285" w:rsidP="0007644F">
            <w:pPr>
              <w:spacing w:after="0" w:line="240" w:lineRule="auto"/>
              <w:ind w:left="576" w:firstLine="0"/>
              <w:jc w:val="left"/>
              <w:rPr>
                <w:rFonts w:ascii="Arial" w:eastAsia="Times New Roman" w:hAnsi="Arial" w:cs="Arial"/>
                <w:color w:val="auto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Intra-procedural domains</w:t>
            </w:r>
          </w:p>
        </w:tc>
      </w:tr>
      <w:tr w:rsidR="00583285" w:rsidRPr="00EE5FB5" w14:paraId="1E033955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731AA75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Awareness</w:t>
            </w:r>
          </w:p>
        </w:tc>
        <w:tc>
          <w:tcPr>
            <w:tcW w:w="824" w:type="pct"/>
            <w:vAlign w:val="center"/>
            <w:hideMark/>
          </w:tcPr>
          <w:p w14:paraId="6092FF4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1.78 (1.36, 2.34)</w:t>
            </w:r>
          </w:p>
        </w:tc>
        <w:tc>
          <w:tcPr>
            <w:tcW w:w="824" w:type="pct"/>
            <w:vAlign w:val="center"/>
            <w:hideMark/>
          </w:tcPr>
          <w:p w14:paraId="02587A6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2.00 (1.50, 2.68)</w:t>
            </w:r>
          </w:p>
        </w:tc>
        <w:tc>
          <w:tcPr>
            <w:tcW w:w="401" w:type="pct"/>
            <w:vAlign w:val="center"/>
            <w:hideMark/>
          </w:tcPr>
          <w:p w14:paraId="175C5D98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0.001</w:t>
            </w:r>
          </w:p>
        </w:tc>
        <w:tc>
          <w:tcPr>
            <w:tcW w:w="824" w:type="pct"/>
            <w:vAlign w:val="center"/>
            <w:hideMark/>
          </w:tcPr>
          <w:p w14:paraId="4D7F4F1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1.72 (1.23, 2.39)</w:t>
            </w:r>
          </w:p>
        </w:tc>
        <w:tc>
          <w:tcPr>
            <w:tcW w:w="824" w:type="pct"/>
            <w:vAlign w:val="center"/>
            <w:hideMark/>
          </w:tcPr>
          <w:p w14:paraId="2809D8A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1.76 (1.23, 2.51)</w:t>
            </w:r>
          </w:p>
        </w:tc>
        <w:tc>
          <w:tcPr>
            <w:tcW w:w="402" w:type="pct"/>
            <w:vAlign w:val="center"/>
            <w:hideMark/>
          </w:tcPr>
          <w:p w14:paraId="1CCA755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0.002</w:t>
            </w:r>
          </w:p>
        </w:tc>
      </w:tr>
      <w:tr w:rsidR="00583285" w:rsidRPr="00EE5FB5" w14:paraId="1EB03635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7CBB3F5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Discomfort Level</w:t>
            </w:r>
          </w:p>
        </w:tc>
        <w:tc>
          <w:tcPr>
            <w:tcW w:w="824" w:type="pct"/>
            <w:vAlign w:val="center"/>
            <w:hideMark/>
          </w:tcPr>
          <w:p w14:paraId="367A58DB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1.47 (1.07, 2.01)</w:t>
            </w:r>
          </w:p>
        </w:tc>
        <w:tc>
          <w:tcPr>
            <w:tcW w:w="824" w:type="pct"/>
            <w:vAlign w:val="center"/>
            <w:hideMark/>
          </w:tcPr>
          <w:p w14:paraId="0EAF987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1.31 (0.94, 1.83)</w:t>
            </w:r>
          </w:p>
        </w:tc>
        <w:tc>
          <w:tcPr>
            <w:tcW w:w="401" w:type="pct"/>
            <w:vAlign w:val="center"/>
            <w:hideMark/>
          </w:tcPr>
          <w:p w14:paraId="0178A49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0.106</w:t>
            </w:r>
          </w:p>
        </w:tc>
        <w:tc>
          <w:tcPr>
            <w:tcW w:w="824" w:type="pct"/>
            <w:vAlign w:val="center"/>
            <w:hideMark/>
          </w:tcPr>
          <w:p w14:paraId="0C4FC1E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2.13 (1.43, 3.16)</w:t>
            </w:r>
          </w:p>
        </w:tc>
        <w:tc>
          <w:tcPr>
            <w:tcW w:w="824" w:type="pct"/>
            <w:vAlign w:val="center"/>
            <w:hideMark/>
          </w:tcPr>
          <w:p w14:paraId="6ACF5EF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1.96 (1.31, 2.94)</w:t>
            </w:r>
          </w:p>
        </w:tc>
        <w:tc>
          <w:tcPr>
            <w:tcW w:w="402" w:type="pct"/>
            <w:vAlign w:val="center"/>
            <w:hideMark/>
          </w:tcPr>
          <w:p w14:paraId="307BF69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sz w:val="18"/>
                <w:szCs w:val="18"/>
                <w:lang w:val="en-GB"/>
              </w:rPr>
              <w:t>0.</w:t>
            </w:r>
            <w:r w:rsidRPr="00EE5FB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001</w:t>
            </w:r>
          </w:p>
        </w:tc>
      </w:tr>
      <w:tr w:rsidR="00583285" w:rsidRPr="00EE5FB5" w14:paraId="7EF3522D" w14:textId="77777777" w:rsidTr="0007644F">
        <w:trPr>
          <w:trHeight w:val="340"/>
        </w:trPr>
        <w:tc>
          <w:tcPr>
            <w:tcW w:w="5000" w:type="pct"/>
            <w:gridSpan w:val="7"/>
            <w:vAlign w:val="center"/>
            <w:hideMark/>
          </w:tcPr>
          <w:p w14:paraId="691C54EF" w14:textId="77777777" w:rsidR="00583285" w:rsidRPr="00EE5FB5" w:rsidRDefault="00583285" w:rsidP="0007644F">
            <w:pPr>
              <w:spacing w:after="0" w:line="240" w:lineRule="auto"/>
              <w:ind w:left="576" w:firstLine="0"/>
              <w:jc w:val="left"/>
              <w:rPr>
                <w:rFonts w:ascii="Arial" w:eastAsia="Times New Roman" w:hAnsi="Arial" w:cs="Arial"/>
                <w:color w:val="auto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-GB" w:eastAsia="es-MX"/>
              </w:rPr>
              <w:t>Post-procedural domains</w:t>
            </w:r>
          </w:p>
        </w:tc>
      </w:tr>
      <w:tr w:rsidR="00583285" w:rsidRPr="00EE5FB5" w14:paraId="5F760982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57A48421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Abdominal Pain</w:t>
            </w:r>
          </w:p>
        </w:tc>
        <w:tc>
          <w:tcPr>
            <w:tcW w:w="824" w:type="pct"/>
            <w:vAlign w:val="center"/>
            <w:hideMark/>
          </w:tcPr>
          <w:p w14:paraId="5D6DC28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1.79 (1.28, 2.48)</w:t>
            </w:r>
          </w:p>
        </w:tc>
        <w:tc>
          <w:tcPr>
            <w:tcW w:w="824" w:type="pct"/>
            <w:vAlign w:val="center"/>
            <w:hideMark/>
          </w:tcPr>
          <w:p w14:paraId="56CC7508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1.59 (1.06, 2.39)</w:t>
            </w:r>
          </w:p>
        </w:tc>
        <w:tc>
          <w:tcPr>
            <w:tcW w:w="401" w:type="pct"/>
            <w:vAlign w:val="center"/>
            <w:hideMark/>
          </w:tcPr>
          <w:p w14:paraId="7CB29263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sz w:val="18"/>
                <w:szCs w:val="18"/>
                <w:lang w:val="en-GB"/>
              </w:rPr>
              <w:t>0.026</w:t>
            </w:r>
          </w:p>
        </w:tc>
        <w:tc>
          <w:tcPr>
            <w:tcW w:w="824" w:type="pct"/>
            <w:vAlign w:val="center"/>
            <w:hideMark/>
          </w:tcPr>
          <w:p w14:paraId="69A6E20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1.55 (0.95, 2.54)</w:t>
            </w:r>
          </w:p>
        </w:tc>
        <w:tc>
          <w:tcPr>
            <w:tcW w:w="824" w:type="pct"/>
            <w:vAlign w:val="center"/>
            <w:hideMark/>
          </w:tcPr>
          <w:p w14:paraId="423A800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1.08 (0.63, 1.84)</w:t>
            </w:r>
          </w:p>
        </w:tc>
        <w:tc>
          <w:tcPr>
            <w:tcW w:w="402" w:type="pct"/>
            <w:vAlign w:val="center"/>
            <w:hideMark/>
          </w:tcPr>
          <w:p w14:paraId="594FA4E7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0.787</w:t>
            </w:r>
          </w:p>
        </w:tc>
      </w:tr>
      <w:tr w:rsidR="00583285" w:rsidRPr="00EE5FB5" w14:paraId="4AC2EB7F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4E57A707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Throat Pain</w:t>
            </w:r>
          </w:p>
        </w:tc>
        <w:tc>
          <w:tcPr>
            <w:tcW w:w="824" w:type="pct"/>
            <w:vAlign w:val="center"/>
            <w:hideMark/>
          </w:tcPr>
          <w:p w14:paraId="13AF997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1.44 (0.87, 2.38)</w:t>
            </w:r>
          </w:p>
        </w:tc>
        <w:tc>
          <w:tcPr>
            <w:tcW w:w="824" w:type="pct"/>
            <w:vAlign w:val="center"/>
            <w:hideMark/>
          </w:tcPr>
          <w:p w14:paraId="529FA04E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1.27 (0.74, 2.21)</w:t>
            </w:r>
          </w:p>
        </w:tc>
        <w:tc>
          <w:tcPr>
            <w:tcW w:w="401" w:type="pct"/>
            <w:vAlign w:val="center"/>
            <w:hideMark/>
          </w:tcPr>
          <w:p w14:paraId="50D5B903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0.387</w:t>
            </w:r>
          </w:p>
        </w:tc>
        <w:tc>
          <w:tcPr>
            <w:tcW w:w="824" w:type="pct"/>
            <w:vAlign w:val="center"/>
            <w:hideMark/>
          </w:tcPr>
          <w:p w14:paraId="3227786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1.90 (0.80, 4.52)</w:t>
            </w:r>
          </w:p>
        </w:tc>
        <w:tc>
          <w:tcPr>
            <w:tcW w:w="824" w:type="pct"/>
            <w:vAlign w:val="center"/>
            <w:hideMark/>
          </w:tcPr>
          <w:p w14:paraId="2F43498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2.07 (0.83, 5.20)</w:t>
            </w:r>
          </w:p>
        </w:tc>
        <w:tc>
          <w:tcPr>
            <w:tcW w:w="402" w:type="pct"/>
            <w:vAlign w:val="center"/>
            <w:hideMark/>
          </w:tcPr>
          <w:p w14:paraId="4369BEA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0.121</w:t>
            </w:r>
          </w:p>
        </w:tc>
      </w:tr>
      <w:tr w:rsidR="00583285" w:rsidRPr="00EE5FB5" w14:paraId="50FF19AB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32D14C24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Nausea</w:t>
            </w:r>
          </w:p>
        </w:tc>
        <w:tc>
          <w:tcPr>
            <w:tcW w:w="824" w:type="pct"/>
            <w:vAlign w:val="center"/>
            <w:hideMark/>
          </w:tcPr>
          <w:p w14:paraId="2262D53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2.47 (1.64, 3.73)</w:t>
            </w:r>
          </w:p>
        </w:tc>
        <w:tc>
          <w:tcPr>
            <w:tcW w:w="824" w:type="pct"/>
            <w:vAlign w:val="center"/>
            <w:hideMark/>
          </w:tcPr>
          <w:p w14:paraId="449AC4D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2.19 (1.38, 3.47)</w:t>
            </w:r>
          </w:p>
        </w:tc>
        <w:tc>
          <w:tcPr>
            <w:tcW w:w="401" w:type="pct"/>
            <w:vAlign w:val="center"/>
            <w:hideMark/>
          </w:tcPr>
          <w:p w14:paraId="007F7EB3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sz w:val="18"/>
                <w:szCs w:val="18"/>
                <w:lang w:val="en-GB"/>
              </w:rPr>
              <w:t>0.</w:t>
            </w:r>
            <w:r w:rsidRPr="00EE5FB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001</w:t>
            </w:r>
          </w:p>
        </w:tc>
        <w:tc>
          <w:tcPr>
            <w:tcW w:w="824" w:type="pct"/>
            <w:vAlign w:val="center"/>
            <w:hideMark/>
          </w:tcPr>
          <w:p w14:paraId="362C4AC8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2.76 (1.58, 4.80)</w:t>
            </w:r>
          </w:p>
        </w:tc>
        <w:tc>
          <w:tcPr>
            <w:tcW w:w="824" w:type="pct"/>
            <w:vAlign w:val="center"/>
            <w:hideMark/>
          </w:tcPr>
          <w:p w14:paraId="5C3DA582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3.37 (1.73, 6.56)</w:t>
            </w:r>
          </w:p>
        </w:tc>
        <w:tc>
          <w:tcPr>
            <w:tcW w:w="402" w:type="pct"/>
            <w:vAlign w:val="center"/>
            <w:hideMark/>
          </w:tcPr>
          <w:p w14:paraId="44036323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b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sz w:val="18"/>
                <w:szCs w:val="18"/>
                <w:lang w:val="en-GB"/>
              </w:rPr>
              <w:t>0.</w:t>
            </w:r>
            <w:r w:rsidRPr="00EE5FB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001</w:t>
            </w:r>
          </w:p>
        </w:tc>
      </w:tr>
      <w:tr w:rsidR="00583285" w:rsidRPr="00EE5FB5" w14:paraId="06EE8B84" w14:textId="77777777" w:rsidTr="0007644F">
        <w:trPr>
          <w:trHeight w:val="340"/>
        </w:trPr>
        <w:tc>
          <w:tcPr>
            <w:tcW w:w="901" w:type="pct"/>
            <w:vAlign w:val="center"/>
            <w:hideMark/>
          </w:tcPr>
          <w:p w14:paraId="65889AC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  <w:t>Distention Level</w:t>
            </w:r>
          </w:p>
        </w:tc>
        <w:tc>
          <w:tcPr>
            <w:tcW w:w="824" w:type="pct"/>
            <w:vAlign w:val="center"/>
            <w:hideMark/>
          </w:tcPr>
          <w:p w14:paraId="44A7709B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1.84 (0.37, 4.04)</w:t>
            </w:r>
          </w:p>
        </w:tc>
        <w:tc>
          <w:tcPr>
            <w:tcW w:w="824" w:type="pct"/>
            <w:vAlign w:val="center"/>
            <w:hideMark/>
          </w:tcPr>
          <w:p w14:paraId="6697C4B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2.10 (0.16, 28.30)</w:t>
            </w:r>
          </w:p>
        </w:tc>
        <w:tc>
          <w:tcPr>
            <w:tcW w:w="401" w:type="pct"/>
            <w:vAlign w:val="center"/>
            <w:hideMark/>
          </w:tcPr>
          <w:p w14:paraId="6763B671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0.576</w:t>
            </w:r>
          </w:p>
        </w:tc>
        <w:tc>
          <w:tcPr>
            <w:tcW w:w="824" w:type="pct"/>
            <w:vAlign w:val="center"/>
            <w:hideMark/>
          </w:tcPr>
          <w:p w14:paraId="775AEBD5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1.22 (0.37, 4.04)</w:t>
            </w:r>
          </w:p>
        </w:tc>
        <w:tc>
          <w:tcPr>
            <w:tcW w:w="824" w:type="pct"/>
            <w:vAlign w:val="center"/>
            <w:hideMark/>
          </w:tcPr>
          <w:p w14:paraId="761641F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2.07 (0.58, 7.36)</w:t>
            </w:r>
          </w:p>
        </w:tc>
        <w:tc>
          <w:tcPr>
            <w:tcW w:w="402" w:type="pct"/>
            <w:vAlign w:val="center"/>
            <w:hideMark/>
          </w:tcPr>
          <w:p w14:paraId="4EED76A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18"/>
                <w:szCs w:val="18"/>
                <w:lang w:val="en-GB" w:eastAsia="es-MX"/>
              </w:rPr>
            </w:pPr>
            <w:r w:rsidRPr="00EE5FB5">
              <w:rPr>
                <w:rFonts w:ascii="Arial" w:hAnsi="Arial" w:cs="Arial"/>
                <w:sz w:val="18"/>
                <w:szCs w:val="18"/>
                <w:lang w:val="en-GB"/>
              </w:rPr>
              <w:t>0.261</w:t>
            </w:r>
          </w:p>
        </w:tc>
      </w:tr>
    </w:tbl>
    <w:p w14:paraId="086AF111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lang w:val="en-GB"/>
        </w:rPr>
        <w:t xml:space="preserve">Abbreviations: ERCP, endoscopic retrograde cholangiopancreatography; PRO-STEP, Patient-Reported Scale for Tolerability of Endoscopic Procedures; </w:t>
      </w:r>
      <w:proofErr w:type="gramStart"/>
      <w:r w:rsidRPr="00EE5FB5">
        <w:rPr>
          <w:rFonts w:ascii="Arial" w:hAnsi="Arial" w:cs="Arial"/>
          <w:sz w:val="14"/>
          <w:szCs w:val="14"/>
          <w:lang w:val="en-GB"/>
        </w:rPr>
        <w:t>OR,</w:t>
      </w:r>
      <w:proofErr w:type="gramEnd"/>
      <w:r w:rsidRPr="00EE5FB5">
        <w:rPr>
          <w:rFonts w:ascii="Arial" w:hAnsi="Arial" w:cs="Arial"/>
          <w:sz w:val="14"/>
          <w:szCs w:val="14"/>
          <w:lang w:val="en-GB"/>
        </w:rPr>
        <w:t xml:space="preserve"> odds ratio; CI, confidence intervals.</w:t>
      </w:r>
    </w:p>
    <w:p w14:paraId="09AECFCD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proofErr w:type="spellStart"/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a</w:t>
      </w:r>
      <w:r w:rsidRPr="00EE5FB5">
        <w:rPr>
          <w:rFonts w:ascii="Arial" w:hAnsi="Arial" w:cs="Arial"/>
          <w:sz w:val="14"/>
          <w:szCs w:val="14"/>
          <w:lang w:val="en-GB"/>
        </w:rPr>
        <w:t>Adjusted</w:t>
      </w:r>
      <w:proofErr w:type="spellEnd"/>
      <w:r w:rsidRPr="00EE5FB5">
        <w:rPr>
          <w:rFonts w:ascii="Arial" w:hAnsi="Arial" w:cs="Arial"/>
          <w:sz w:val="14"/>
          <w:szCs w:val="14"/>
          <w:lang w:val="en-GB"/>
        </w:rPr>
        <w:t xml:space="preserve"> for age and sex, and potentially one or more of these covariates: disposition, Charlson comorbidity index, indication, opioids, cannabis, alcohol consumption, previous ERCP, sphincterotomy, targeted duct, size of the CBD, pancreatic cannulation, pancreatogram, stricture present on ERCP, metal stent deployed, difficult cannulation.</w:t>
      </w:r>
    </w:p>
    <w:p w14:paraId="1266AEE9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b</w:t>
      </w:r>
      <w:r w:rsidRPr="00EE5FB5">
        <w:rPr>
          <w:rFonts w:ascii="Arial" w:hAnsi="Arial" w:cs="Arial"/>
          <w:sz w:val="14"/>
          <w:szCs w:val="14"/>
          <w:lang w:val="en-GB"/>
        </w:rPr>
        <w:t>p-value associated with adjusted OR in logistic regression model</w:t>
      </w:r>
    </w:p>
    <w:p w14:paraId="0850E668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20"/>
          <w:szCs w:val="20"/>
          <w:lang w:val="en-GB"/>
        </w:rPr>
      </w:pPr>
      <w:proofErr w:type="spellStart"/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c</w:t>
      </w:r>
      <w:r w:rsidRPr="00EE5FB5">
        <w:rPr>
          <w:rFonts w:ascii="Arial" w:hAnsi="Arial" w:cs="Arial"/>
          <w:sz w:val="14"/>
          <w:szCs w:val="14"/>
          <w:lang w:val="en-GB"/>
        </w:rPr>
        <w:t>Binary</w:t>
      </w:r>
      <w:proofErr w:type="spellEnd"/>
      <w:r w:rsidRPr="00EE5FB5">
        <w:rPr>
          <w:rFonts w:ascii="Arial" w:hAnsi="Arial" w:cs="Arial"/>
          <w:sz w:val="14"/>
          <w:szCs w:val="14"/>
          <w:lang w:val="en-GB"/>
        </w:rPr>
        <w:t xml:space="preserve"> variable (e.g., yes or no) in which the reference group corresponds to the absence of that characteristic</w:t>
      </w:r>
      <w:r w:rsidRPr="00EE5FB5">
        <w:rPr>
          <w:rFonts w:ascii="Arial" w:hAnsi="Arial" w:cs="Arial"/>
          <w:sz w:val="20"/>
          <w:szCs w:val="20"/>
          <w:lang w:val="en-GB"/>
        </w:rPr>
        <w:br w:type="page"/>
      </w:r>
    </w:p>
    <w:p w14:paraId="686AF7E1" w14:textId="071176D2" w:rsidR="00583285" w:rsidRPr="00EE5FB5" w:rsidRDefault="00583285" w:rsidP="00583285">
      <w:pPr>
        <w:spacing w:after="0" w:line="240" w:lineRule="auto"/>
        <w:ind w:firstLine="0"/>
        <w:jc w:val="center"/>
        <w:rPr>
          <w:rFonts w:ascii="Arial" w:hAnsi="Arial" w:cs="Arial"/>
          <w:b/>
          <w:bCs/>
          <w:sz w:val="22"/>
          <w:lang w:val="en-GB"/>
        </w:rPr>
      </w:pPr>
      <w:r>
        <w:rPr>
          <w:rFonts w:ascii="Arial" w:hAnsi="Arial" w:cs="Arial"/>
          <w:b/>
          <w:bCs/>
          <w:sz w:val="22"/>
          <w:lang w:val="en-GB"/>
        </w:rPr>
        <w:lastRenderedPageBreak/>
        <w:t>Supplementary Table 3.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Unadjusted and adjusted odds ratio</w:t>
      </w:r>
      <w:r>
        <w:rPr>
          <w:rFonts w:ascii="Arial" w:hAnsi="Arial" w:cs="Arial"/>
          <w:b/>
          <w:bCs/>
          <w:sz w:val="22"/>
          <w:lang w:val="en-GB"/>
        </w:rPr>
        <w:t xml:space="preserve">s between </w:t>
      </w:r>
      <w:r w:rsidR="00862946">
        <w:rPr>
          <w:rFonts w:ascii="Arial" w:hAnsi="Arial" w:cs="Arial"/>
          <w:b/>
          <w:bCs/>
          <w:sz w:val="22"/>
          <w:lang w:val="en-GB"/>
        </w:rPr>
        <w:t>depression and/or anxiety</w:t>
      </w:r>
      <w:r>
        <w:rPr>
          <w:rFonts w:ascii="Arial" w:hAnsi="Arial" w:cs="Arial"/>
          <w:b/>
          <w:bCs/>
          <w:sz w:val="22"/>
          <w:lang w:val="en-GB"/>
        </w:rPr>
        <w:t xml:space="preserve"> and 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PRO-STEP </w:t>
      </w:r>
      <w:r>
        <w:rPr>
          <w:rFonts w:ascii="Arial" w:hAnsi="Arial" w:cs="Arial"/>
          <w:b/>
          <w:bCs/>
          <w:sz w:val="22"/>
          <w:lang w:val="en-GB"/>
        </w:rPr>
        <w:t>scores of</w:t>
      </w:r>
      <w:r w:rsidRPr="00EE5FB5">
        <w:rPr>
          <w:rFonts w:ascii="Arial" w:hAnsi="Arial" w:cs="Arial"/>
          <w:b/>
          <w:bCs/>
          <w:sz w:val="22"/>
          <w:lang w:val="en-GB"/>
        </w:rPr>
        <w:t xml:space="preserve"> &gt;3 and &gt;6</w:t>
      </w:r>
      <w:r>
        <w:rPr>
          <w:rFonts w:ascii="Arial" w:hAnsi="Arial" w:cs="Arial"/>
          <w:b/>
          <w:bCs/>
          <w:sz w:val="22"/>
          <w:lang w:val="en-GB"/>
        </w:rPr>
        <w:t xml:space="preserve"> among outpatients</w:t>
      </w:r>
      <w:r w:rsidR="00862946">
        <w:rPr>
          <w:rFonts w:ascii="Arial" w:hAnsi="Arial" w:cs="Arial"/>
          <w:b/>
          <w:bCs/>
          <w:sz w:val="22"/>
          <w:lang w:val="en-GB"/>
        </w:rPr>
        <w:t xml:space="preserve"> only.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408"/>
        <w:gridCol w:w="1391"/>
        <w:gridCol w:w="1391"/>
        <w:gridCol w:w="768"/>
        <w:gridCol w:w="1391"/>
        <w:gridCol w:w="1391"/>
        <w:gridCol w:w="768"/>
      </w:tblGrid>
      <w:tr w:rsidR="00583285" w:rsidRPr="00EE5FB5" w14:paraId="7980F5E0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0323E98A" w14:textId="77777777" w:rsidR="00583285" w:rsidRPr="00EE5FB5" w:rsidRDefault="00583285" w:rsidP="000764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auto"/>
                <w:sz w:val="16"/>
                <w:szCs w:val="16"/>
                <w:lang w:val="en-GB" w:eastAsia="es-MX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13C309AF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PRO-STEP &gt;3</w:t>
            </w: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3C573B0B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PRO-STEP &gt;6</w:t>
            </w:r>
          </w:p>
        </w:tc>
      </w:tr>
      <w:tr w:rsidR="00583285" w:rsidRPr="00EE5FB5" w14:paraId="2F557137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63658D41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Variables</w:t>
            </w:r>
          </w:p>
        </w:tc>
        <w:tc>
          <w:tcPr>
            <w:tcW w:w="0" w:type="auto"/>
            <w:noWrap/>
            <w:vAlign w:val="center"/>
            <w:hideMark/>
          </w:tcPr>
          <w:p w14:paraId="49E8F29F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Unadjusted OR</w:t>
            </w:r>
          </w:p>
          <w:p w14:paraId="08B088D8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(95% CI)</w:t>
            </w:r>
          </w:p>
        </w:tc>
        <w:tc>
          <w:tcPr>
            <w:tcW w:w="0" w:type="auto"/>
            <w:noWrap/>
            <w:vAlign w:val="center"/>
            <w:hideMark/>
          </w:tcPr>
          <w:p w14:paraId="777E7A17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Adjusted OR</w:t>
            </w:r>
          </w:p>
          <w:p w14:paraId="4A1ECA54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(95% CI)</w:t>
            </w:r>
          </w:p>
        </w:tc>
        <w:tc>
          <w:tcPr>
            <w:tcW w:w="0" w:type="auto"/>
            <w:noWrap/>
            <w:vAlign w:val="center"/>
            <w:hideMark/>
          </w:tcPr>
          <w:p w14:paraId="1A44C9AA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 value</w:t>
            </w:r>
          </w:p>
        </w:tc>
        <w:tc>
          <w:tcPr>
            <w:tcW w:w="0" w:type="auto"/>
            <w:noWrap/>
            <w:vAlign w:val="center"/>
            <w:hideMark/>
          </w:tcPr>
          <w:p w14:paraId="5BF94DBB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Unadjusted OR</w:t>
            </w:r>
          </w:p>
          <w:p w14:paraId="0627EA03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(95% CI)</w:t>
            </w:r>
          </w:p>
        </w:tc>
        <w:tc>
          <w:tcPr>
            <w:tcW w:w="0" w:type="auto"/>
            <w:noWrap/>
            <w:vAlign w:val="center"/>
            <w:hideMark/>
          </w:tcPr>
          <w:p w14:paraId="444917DB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Adjusted OR</w:t>
            </w:r>
          </w:p>
          <w:p w14:paraId="43251130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(95% CI)</w:t>
            </w:r>
          </w:p>
        </w:tc>
        <w:tc>
          <w:tcPr>
            <w:tcW w:w="0" w:type="auto"/>
            <w:noWrap/>
            <w:vAlign w:val="center"/>
            <w:hideMark/>
          </w:tcPr>
          <w:p w14:paraId="0011361C" w14:textId="77777777" w:rsidR="00583285" w:rsidRPr="00EE5FB5" w:rsidRDefault="00583285" w:rsidP="0007644F">
            <w:pPr>
              <w:spacing w:after="0" w:line="240" w:lineRule="auto"/>
              <w:ind w:firstLin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 value</w:t>
            </w:r>
          </w:p>
        </w:tc>
      </w:tr>
      <w:tr w:rsidR="00583285" w:rsidRPr="00EE5FB5" w14:paraId="215AC4BF" w14:textId="77777777" w:rsidTr="0007644F">
        <w:trPr>
          <w:trHeight w:val="363"/>
        </w:trPr>
        <w:tc>
          <w:tcPr>
            <w:tcW w:w="0" w:type="auto"/>
            <w:gridSpan w:val="7"/>
            <w:noWrap/>
            <w:vAlign w:val="center"/>
            <w:hideMark/>
          </w:tcPr>
          <w:p w14:paraId="7BE528CA" w14:textId="77777777" w:rsidR="00583285" w:rsidRPr="00EE5FB5" w:rsidRDefault="00583285" w:rsidP="0007644F">
            <w:pPr>
              <w:spacing w:after="0" w:line="240" w:lineRule="auto"/>
              <w:ind w:left="576" w:firstLine="0"/>
              <w:jc w:val="left"/>
              <w:rPr>
                <w:rFonts w:ascii="Arial" w:eastAsia="Times New Roman" w:hAnsi="Arial" w:cs="Arial"/>
                <w:color w:val="auto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Intra-procedural domains</w:t>
            </w:r>
          </w:p>
        </w:tc>
      </w:tr>
      <w:tr w:rsidR="00583285" w:rsidRPr="00EE5FB5" w14:paraId="3900608A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323A948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Awareness</w:t>
            </w:r>
          </w:p>
        </w:tc>
        <w:tc>
          <w:tcPr>
            <w:tcW w:w="0" w:type="auto"/>
            <w:noWrap/>
            <w:vAlign w:val="center"/>
            <w:hideMark/>
          </w:tcPr>
          <w:p w14:paraId="0C5FC66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1.27 (0.93, 1.73)</w:t>
            </w:r>
          </w:p>
        </w:tc>
        <w:tc>
          <w:tcPr>
            <w:tcW w:w="0" w:type="auto"/>
            <w:noWrap/>
            <w:vAlign w:val="center"/>
            <w:hideMark/>
          </w:tcPr>
          <w:p w14:paraId="514BE17E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1.30 (0.95, 1.79)</w:t>
            </w:r>
          </w:p>
        </w:tc>
        <w:tc>
          <w:tcPr>
            <w:tcW w:w="0" w:type="auto"/>
            <w:noWrap/>
            <w:vAlign w:val="center"/>
            <w:hideMark/>
          </w:tcPr>
          <w:p w14:paraId="67168AD1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0.104</w:t>
            </w:r>
          </w:p>
        </w:tc>
        <w:tc>
          <w:tcPr>
            <w:tcW w:w="0" w:type="auto"/>
            <w:noWrap/>
            <w:vAlign w:val="center"/>
            <w:hideMark/>
          </w:tcPr>
          <w:p w14:paraId="66D87147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1.26 (0.85, 1.86)</w:t>
            </w:r>
          </w:p>
        </w:tc>
        <w:tc>
          <w:tcPr>
            <w:tcW w:w="0" w:type="auto"/>
            <w:noWrap/>
            <w:vAlign w:val="center"/>
            <w:hideMark/>
          </w:tcPr>
          <w:p w14:paraId="187EAC94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1.12 (0.71,1.77)</w:t>
            </w:r>
          </w:p>
        </w:tc>
        <w:tc>
          <w:tcPr>
            <w:tcW w:w="0" w:type="auto"/>
            <w:noWrap/>
            <w:vAlign w:val="center"/>
            <w:hideMark/>
          </w:tcPr>
          <w:p w14:paraId="4EAF5FF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0.631</w:t>
            </w:r>
          </w:p>
        </w:tc>
      </w:tr>
      <w:tr w:rsidR="00583285" w:rsidRPr="00EE5FB5" w14:paraId="022E6D11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5E846C9E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Discomfort Level</w:t>
            </w:r>
          </w:p>
        </w:tc>
        <w:tc>
          <w:tcPr>
            <w:tcW w:w="0" w:type="auto"/>
            <w:noWrap/>
            <w:vAlign w:val="center"/>
            <w:hideMark/>
          </w:tcPr>
          <w:p w14:paraId="1947C51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1.01 (0.70, 1.48)</w:t>
            </w:r>
          </w:p>
        </w:tc>
        <w:tc>
          <w:tcPr>
            <w:tcW w:w="0" w:type="auto"/>
            <w:noWrap/>
            <w:vAlign w:val="center"/>
            <w:hideMark/>
          </w:tcPr>
          <w:p w14:paraId="7161A99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0.77 (0.27, 2.18)</w:t>
            </w:r>
          </w:p>
        </w:tc>
        <w:tc>
          <w:tcPr>
            <w:tcW w:w="0" w:type="auto"/>
            <w:noWrap/>
            <w:vAlign w:val="center"/>
            <w:hideMark/>
          </w:tcPr>
          <w:p w14:paraId="4AB4380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0.623</w:t>
            </w:r>
          </w:p>
        </w:tc>
        <w:tc>
          <w:tcPr>
            <w:tcW w:w="0" w:type="auto"/>
            <w:noWrap/>
            <w:vAlign w:val="center"/>
            <w:hideMark/>
          </w:tcPr>
          <w:p w14:paraId="7ED688DB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1.34 (0.81, 2.23)</w:t>
            </w:r>
          </w:p>
        </w:tc>
        <w:tc>
          <w:tcPr>
            <w:tcW w:w="0" w:type="auto"/>
            <w:noWrap/>
            <w:vAlign w:val="center"/>
            <w:hideMark/>
          </w:tcPr>
          <w:p w14:paraId="074D46B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1.21 (0.72, 2.03)</w:t>
            </w:r>
          </w:p>
        </w:tc>
        <w:tc>
          <w:tcPr>
            <w:tcW w:w="0" w:type="auto"/>
            <w:noWrap/>
            <w:vAlign w:val="center"/>
            <w:hideMark/>
          </w:tcPr>
          <w:p w14:paraId="3A9F0924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0.460</w:t>
            </w:r>
          </w:p>
        </w:tc>
      </w:tr>
      <w:tr w:rsidR="00583285" w:rsidRPr="00EE5FB5" w14:paraId="052F76BD" w14:textId="77777777" w:rsidTr="0007644F">
        <w:trPr>
          <w:trHeight w:val="363"/>
        </w:trPr>
        <w:tc>
          <w:tcPr>
            <w:tcW w:w="0" w:type="auto"/>
            <w:gridSpan w:val="7"/>
            <w:noWrap/>
            <w:vAlign w:val="center"/>
            <w:hideMark/>
          </w:tcPr>
          <w:p w14:paraId="4A1AE77D" w14:textId="77777777" w:rsidR="00583285" w:rsidRPr="00EE5FB5" w:rsidRDefault="00583285" w:rsidP="0007644F">
            <w:pPr>
              <w:spacing w:after="0" w:line="240" w:lineRule="auto"/>
              <w:ind w:left="576" w:firstLine="0"/>
              <w:jc w:val="left"/>
              <w:rPr>
                <w:rFonts w:ascii="Arial" w:eastAsia="Times New Roman" w:hAnsi="Arial" w:cs="Arial"/>
                <w:color w:val="auto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  <w:t>Post-procedural domains</w:t>
            </w:r>
          </w:p>
        </w:tc>
      </w:tr>
      <w:tr w:rsidR="00583285" w:rsidRPr="00EE5FB5" w14:paraId="0916DA22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08EAF05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Abdominal Pain</w:t>
            </w:r>
          </w:p>
        </w:tc>
        <w:tc>
          <w:tcPr>
            <w:tcW w:w="0" w:type="auto"/>
            <w:noWrap/>
            <w:vAlign w:val="center"/>
            <w:hideMark/>
          </w:tcPr>
          <w:p w14:paraId="38136F4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1.61 (1.14, 2.28)</w:t>
            </w:r>
          </w:p>
        </w:tc>
        <w:tc>
          <w:tcPr>
            <w:tcW w:w="0" w:type="auto"/>
            <w:noWrap/>
            <w:vAlign w:val="center"/>
            <w:hideMark/>
          </w:tcPr>
          <w:p w14:paraId="5CA1EF88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1.36 (0.94, 1.98)</w:t>
            </w:r>
          </w:p>
        </w:tc>
        <w:tc>
          <w:tcPr>
            <w:tcW w:w="0" w:type="auto"/>
            <w:noWrap/>
            <w:vAlign w:val="center"/>
            <w:hideMark/>
          </w:tcPr>
          <w:p w14:paraId="4B6F195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0.104</w:t>
            </w:r>
          </w:p>
        </w:tc>
        <w:tc>
          <w:tcPr>
            <w:tcW w:w="0" w:type="auto"/>
            <w:noWrap/>
            <w:vAlign w:val="center"/>
            <w:hideMark/>
          </w:tcPr>
          <w:p w14:paraId="002BC56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1.22 (0.71, 2.10)</w:t>
            </w:r>
          </w:p>
        </w:tc>
        <w:tc>
          <w:tcPr>
            <w:tcW w:w="0" w:type="auto"/>
            <w:noWrap/>
            <w:vAlign w:val="center"/>
            <w:hideMark/>
          </w:tcPr>
          <w:p w14:paraId="2A41772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0.96 (0.55, 1.68)</w:t>
            </w:r>
          </w:p>
        </w:tc>
        <w:tc>
          <w:tcPr>
            <w:tcW w:w="0" w:type="auto"/>
            <w:noWrap/>
            <w:vAlign w:val="center"/>
            <w:hideMark/>
          </w:tcPr>
          <w:p w14:paraId="2C8518D8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0.895</w:t>
            </w:r>
          </w:p>
        </w:tc>
      </w:tr>
      <w:tr w:rsidR="00583285" w:rsidRPr="00EE5FB5" w14:paraId="7147D9F3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4CBAFEA7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Throat Pain</w:t>
            </w:r>
          </w:p>
        </w:tc>
        <w:tc>
          <w:tcPr>
            <w:tcW w:w="0" w:type="auto"/>
            <w:noWrap/>
            <w:vAlign w:val="center"/>
            <w:hideMark/>
          </w:tcPr>
          <w:p w14:paraId="3CC81E44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1.01 (0.57, 1.80)</w:t>
            </w:r>
          </w:p>
        </w:tc>
        <w:tc>
          <w:tcPr>
            <w:tcW w:w="0" w:type="auto"/>
            <w:noWrap/>
            <w:vAlign w:val="center"/>
            <w:hideMark/>
          </w:tcPr>
          <w:p w14:paraId="643DE91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0.85 (0.47, 1.52)</w:t>
            </w:r>
          </w:p>
        </w:tc>
        <w:tc>
          <w:tcPr>
            <w:tcW w:w="0" w:type="auto"/>
            <w:noWrap/>
            <w:vAlign w:val="center"/>
            <w:hideMark/>
          </w:tcPr>
          <w:p w14:paraId="362542F9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0.581</w:t>
            </w:r>
          </w:p>
        </w:tc>
        <w:tc>
          <w:tcPr>
            <w:tcW w:w="0" w:type="auto"/>
            <w:noWrap/>
            <w:vAlign w:val="center"/>
            <w:hideMark/>
          </w:tcPr>
          <w:p w14:paraId="4E8715D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1.01 (0.35, 2.91)</w:t>
            </w:r>
          </w:p>
        </w:tc>
        <w:tc>
          <w:tcPr>
            <w:tcW w:w="0" w:type="auto"/>
            <w:noWrap/>
            <w:vAlign w:val="center"/>
            <w:hideMark/>
          </w:tcPr>
          <w:p w14:paraId="2F5D823E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1.25 (0.41, 3.80)</w:t>
            </w:r>
          </w:p>
        </w:tc>
        <w:tc>
          <w:tcPr>
            <w:tcW w:w="0" w:type="auto"/>
            <w:noWrap/>
            <w:vAlign w:val="center"/>
            <w:hideMark/>
          </w:tcPr>
          <w:p w14:paraId="315A53A6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0.696</w:t>
            </w:r>
          </w:p>
        </w:tc>
      </w:tr>
      <w:tr w:rsidR="00583285" w:rsidRPr="00EE5FB5" w14:paraId="38A3AB16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6C812687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Nausea</w:t>
            </w:r>
          </w:p>
        </w:tc>
        <w:tc>
          <w:tcPr>
            <w:tcW w:w="0" w:type="auto"/>
            <w:noWrap/>
            <w:vAlign w:val="center"/>
            <w:hideMark/>
          </w:tcPr>
          <w:p w14:paraId="31AFEE6C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2.65 (1.73, 4.05)</w:t>
            </w:r>
          </w:p>
        </w:tc>
        <w:tc>
          <w:tcPr>
            <w:tcW w:w="0" w:type="auto"/>
            <w:noWrap/>
            <w:vAlign w:val="center"/>
            <w:hideMark/>
          </w:tcPr>
          <w:p w14:paraId="455A75E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2.20 (1.43, 3.40)</w:t>
            </w:r>
          </w:p>
        </w:tc>
        <w:tc>
          <w:tcPr>
            <w:tcW w:w="0" w:type="auto"/>
            <w:noWrap/>
            <w:vAlign w:val="center"/>
            <w:hideMark/>
          </w:tcPr>
          <w:p w14:paraId="3A6B1D5A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3A51E322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2.37 (1.31, 4.31)</w:t>
            </w:r>
          </w:p>
        </w:tc>
        <w:tc>
          <w:tcPr>
            <w:tcW w:w="0" w:type="auto"/>
            <w:noWrap/>
            <w:vAlign w:val="center"/>
            <w:hideMark/>
          </w:tcPr>
          <w:p w14:paraId="7283563B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1.82 (0.99, 3.34)</w:t>
            </w:r>
          </w:p>
        </w:tc>
        <w:tc>
          <w:tcPr>
            <w:tcW w:w="0" w:type="auto"/>
            <w:noWrap/>
            <w:vAlign w:val="center"/>
            <w:hideMark/>
          </w:tcPr>
          <w:p w14:paraId="33900F31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0.053</w:t>
            </w:r>
          </w:p>
        </w:tc>
      </w:tr>
      <w:tr w:rsidR="00583285" w:rsidRPr="00EE5FB5" w14:paraId="307F2516" w14:textId="77777777" w:rsidTr="0007644F">
        <w:trPr>
          <w:trHeight w:val="363"/>
        </w:trPr>
        <w:tc>
          <w:tcPr>
            <w:tcW w:w="0" w:type="auto"/>
            <w:noWrap/>
            <w:vAlign w:val="center"/>
            <w:hideMark/>
          </w:tcPr>
          <w:p w14:paraId="79E72E20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  <w:t>Distention Level</w:t>
            </w:r>
          </w:p>
        </w:tc>
        <w:tc>
          <w:tcPr>
            <w:tcW w:w="0" w:type="auto"/>
            <w:noWrap/>
            <w:vAlign w:val="center"/>
            <w:hideMark/>
          </w:tcPr>
          <w:p w14:paraId="34E1783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1.74 (0.94, 3.24)</w:t>
            </w:r>
          </w:p>
        </w:tc>
        <w:tc>
          <w:tcPr>
            <w:tcW w:w="0" w:type="auto"/>
            <w:noWrap/>
            <w:vAlign w:val="center"/>
            <w:hideMark/>
          </w:tcPr>
          <w:p w14:paraId="48CE8451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1.94 (0.95, 3.92)</w:t>
            </w:r>
          </w:p>
        </w:tc>
        <w:tc>
          <w:tcPr>
            <w:tcW w:w="0" w:type="auto"/>
            <w:noWrap/>
            <w:vAlign w:val="center"/>
            <w:hideMark/>
          </w:tcPr>
          <w:p w14:paraId="35B6EE32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0.067</w:t>
            </w:r>
          </w:p>
        </w:tc>
        <w:tc>
          <w:tcPr>
            <w:tcW w:w="0" w:type="auto"/>
            <w:noWrap/>
            <w:vAlign w:val="center"/>
            <w:hideMark/>
          </w:tcPr>
          <w:p w14:paraId="45DCB4A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1.01 (0.23, 4.48)</w:t>
            </w:r>
          </w:p>
        </w:tc>
        <w:tc>
          <w:tcPr>
            <w:tcW w:w="0" w:type="auto"/>
            <w:noWrap/>
            <w:vAlign w:val="center"/>
            <w:hideMark/>
          </w:tcPr>
          <w:p w14:paraId="3F0C39BF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1.19 (0.25, 5.56)</w:t>
            </w:r>
          </w:p>
        </w:tc>
        <w:tc>
          <w:tcPr>
            <w:tcW w:w="0" w:type="auto"/>
            <w:noWrap/>
            <w:vAlign w:val="center"/>
            <w:hideMark/>
          </w:tcPr>
          <w:p w14:paraId="5310399D" w14:textId="77777777" w:rsidR="00583285" w:rsidRPr="00EE5FB5" w:rsidRDefault="00583285" w:rsidP="0007644F">
            <w:pPr>
              <w:spacing w:after="0"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es-MX"/>
              </w:rPr>
            </w:pPr>
            <w:r w:rsidRPr="00EE5FB5">
              <w:rPr>
                <w:rFonts w:ascii="Arial" w:hAnsi="Arial" w:cs="Arial"/>
                <w:sz w:val="16"/>
                <w:szCs w:val="16"/>
                <w:lang w:val="en-GB"/>
              </w:rPr>
              <w:t>0.825</w:t>
            </w:r>
          </w:p>
        </w:tc>
      </w:tr>
    </w:tbl>
    <w:p w14:paraId="18BE89CC" w14:textId="77777777" w:rsidR="00583285" w:rsidRPr="00EE5FB5" w:rsidRDefault="00583285" w:rsidP="00583285">
      <w:pPr>
        <w:spacing w:after="0" w:line="360" w:lineRule="auto"/>
        <w:ind w:firstLine="0"/>
        <w:jc w:val="left"/>
        <w:rPr>
          <w:rFonts w:ascii="Arial" w:hAnsi="Arial" w:cs="Arial"/>
          <w:sz w:val="14"/>
          <w:szCs w:val="14"/>
          <w:lang w:val="en-GB"/>
        </w:rPr>
      </w:pPr>
    </w:p>
    <w:p w14:paraId="60B9118D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lang w:val="en-GB"/>
        </w:rPr>
        <w:t xml:space="preserve">Abbreviations: ERCP, endoscopic retrograde cholangiopancreatography; PRO-STEP, Patient-Reported Scale for Tolerability of Endoscopic Procedures; </w:t>
      </w:r>
      <w:proofErr w:type="gramStart"/>
      <w:r w:rsidRPr="00EE5FB5">
        <w:rPr>
          <w:rFonts w:ascii="Arial" w:hAnsi="Arial" w:cs="Arial"/>
          <w:sz w:val="14"/>
          <w:szCs w:val="14"/>
          <w:lang w:val="en-GB"/>
        </w:rPr>
        <w:t>OR,</w:t>
      </w:r>
      <w:proofErr w:type="gramEnd"/>
      <w:r w:rsidRPr="00EE5FB5">
        <w:rPr>
          <w:rFonts w:ascii="Arial" w:hAnsi="Arial" w:cs="Arial"/>
          <w:sz w:val="14"/>
          <w:szCs w:val="14"/>
          <w:lang w:val="en-GB"/>
        </w:rPr>
        <w:t xml:space="preserve"> odds ratio; CI, confidence intervals.</w:t>
      </w:r>
    </w:p>
    <w:p w14:paraId="36E34223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proofErr w:type="spellStart"/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a</w:t>
      </w:r>
      <w:r w:rsidRPr="00EE5FB5">
        <w:rPr>
          <w:rFonts w:ascii="Arial" w:hAnsi="Arial" w:cs="Arial"/>
          <w:sz w:val="14"/>
          <w:szCs w:val="14"/>
          <w:lang w:val="en-GB"/>
        </w:rPr>
        <w:t>Adjusted</w:t>
      </w:r>
      <w:proofErr w:type="spellEnd"/>
      <w:r w:rsidRPr="00EE5FB5">
        <w:rPr>
          <w:rFonts w:ascii="Arial" w:hAnsi="Arial" w:cs="Arial"/>
          <w:sz w:val="14"/>
          <w:szCs w:val="14"/>
          <w:lang w:val="en-GB"/>
        </w:rPr>
        <w:t xml:space="preserve"> for age and sex, and potentially one or more of these covariates: Charlson comorbidity index, indication, opioids, cannabis, alcohol consumption, previous ERCP, sphincterotomy, targeted duct, size of the CBD, pancreatic cannulation, pancreatogram, stricture present on ERCP, metal stent deployed, difficult cannulation.</w:t>
      </w:r>
    </w:p>
    <w:p w14:paraId="476D127B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sz w:val="14"/>
          <w:szCs w:val="14"/>
          <w:lang w:val="en-GB"/>
        </w:rPr>
      </w:pPr>
      <w:r w:rsidRPr="00EE5FB5">
        <w:rPr>
          <w:rFonts w:ascii="Arial" w:hAnsi="Arial" w:cs="Arial"/>
          <w:sz w:val="14"/>
          <w:szCs w:val="14"/>
          <w:vertAlign w:val="superscript"/>
          <w:lang w:val="en-GB"/>
        </w:rPr>
        <w:t>b</w:t>
      </w:r>
      <w:r w:rsidRPr="00EE5FB5">
        <w:rPr>
          <w:rFonts w:ascii="Arial" w:hAnsi="Arial" w:cs="Arial"/>
          <w:sz w:val="14"/>
          <w:szCs w:val="14"/>
          <w:lang w:val="en-GB"/>
        </w:rPr>
        <w:t>p-value associated with adjusted OR in logistic regression model</w:t>
      </w:r>
    </w:p>
    <w:p w14:paraId="3E6AC363" w14:textId="77777777" w:rsidR="00583285" w:rsidRPr="00EE5FB5" w:rsidRDefault="00583285" w:rsidP="00583285">
      <w:pPr>
        <w:spacing w:after="0" w:line="360" w:lineRule="auto"/>
        <w:ind w:left="288" w:firstLine="0"/>
        <w:jc w:val="left"/>
        <w:rPr>
          <w:rFonts w:ascii="Arial" w:hAnsi="Arial" w:cs="Arial"/>
          <w:lang w:val="en-GB"/>
        </w:rPr>
      </w:pPr>
      <w:proofErr w:type="spellStart"/>
      <w:r w:rsidRPr="00EE5FB5">
        <w:rPr>
          <w:rFonts w:ascii="Arial" w:hAnsi="Arial" w:cs="Arial"/>
          <w:sz w:val="14"/>
          <w:vertAlign w:val="superscript"/>
          <w:lang w:val="en-GB"/>
        </w:rPr>
        <w:t>c</w:t>
      </w:r>
      <w:r w:rsidRPr="00EE5FB5">
        <w:rPr>
          <w:rFonts w:ascii="Arial" w:hAnsi="Arial" w:cs="Arial"/>
          <w:sz w:val="14"/>
          <w:lang w:val="en-GB"/>
        </w:rPr>
        <w:t>Binary</w:t>
      </w:r>
      <w:proofErr w:type="spellEnd"/>
      <w:r w:rsidRPr="00EE5FB5">
        <w:rPr>
          <w:rFonts w:ascii="Arial" w:hAnsi="Arial" w:cs="Arial"/>
          <w:sz w:val="14"/>
          <w:lang w:val="en-GB"/>
        </w:rPr>
        <w:t xml:space="preserve"> variable </w:t>
      </w:r>
      <w:r w:rsidRPr="00EE5FB5">
        <w:rPr>
          <w:rFonts w:ascii="Arial" w:hAnsi="Arial" w:cs="Arial"/>
          <w:sz w:val="14"/>
          <w:szCs w:val="14"/>
          <w:lang w:val="en-GB"/>
        </w:rPr>
        <w:t>(e.g., yes or no) in which the reference group corresponds to the absence of that characteristic</w:t>
      </w:r>
    </w:p>
    <w:p w14:paraId="20D68A7A" w14:textId="77777777" w:rsidR="00583285" w:rsidRPr="00EE5FB5" w:rsidRDefault="00583285" w:rsidP="00583285">
      <w:pPr>
        <w:spacing w:after="0" w:line="360" w:lineRule="auto"/>
        <w:ind w:firstLine="0"/>
        <w:jc w:val="left"/>
        <w:rPr>
          <w:rFonts w:ascii="Times New Roman" w:hAnsi="Times New Roman" w:cs="Times New Roman"/>
          <w:lang w:val="en-GB"/>
        </w:rPr>
      </w:pPr>
    </w:p>
    <w:p w14:paraId="3C1335D4" w14:textId="77777777" w:rsidR="00CF393A" w:rsidRDefault="00CF393A"/>
    <w:sectPr w:rsidR="00CF393A" w:rsidSect="00583285">
      <w:pgSz w:w="12240" w:h="15840"/>
      <w:pgMar w:top="1440" w:right="1440" w:bottom="1440" w:left="1440" w:header="706" w:footer="706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F3FFC" w14:textId="77777777" w:rsidR="004E4B8A" w:rsidRDefault="004E4B8A" w:rsidP="00583285">
      <w:pPr>
        <w:spacing w:after="0" w:line="240" w:lineRule="auto"/>
      </w:pPr>
      <w:r>
        <w:separator/>
      </w:r>
    </w:p>
  </w:endnote>
  <w:endnote w:type="continuationSeparator" w:id="0">
    <w:p w14:paraId="4A8EB060" w14:textId="77777777" w:rsidR="004E4B8A" w:rsidRDefault="004E4B8A" w:rsidP="00583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9705C" w14:textId="77777777" w:rsidR="004E4B8A" w:rsidRDefault="004E4B8A" w:rsidP="00583285">
      <w:pPr>
        <w:spacing w:after="0" w:line="240" w:lineRule="auto"/>
      </w:pPr>
      <w:r>
        <w:separator/>
      </w:r>
    </w:p>
  </w:footnote>
  <w:footnote w:type="continuationSeparator" w:id="0">
    <w:p w14:paraId="104C0E57" w14:textId="77777777" w:rsidR="004E4B8A" w:rsidRDefault="004E4B8A" w:rsidP="00583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285"/>
    <w:rsid w:val="00000853"/>
    <w:rsid w:val="000021AC"/>
    <w:rsid w:val="0000435B"/>
    <w:rsid w:val="000164EE"/>
    <w:rsid w:val="00020272"/>
    <w:rsid w:val="000273AA"/>
    <w:rsid w:val="00031909"/>
    <w:rsid w:val="00032082"/>
    <w:rsid w:val="000326E3"/>
    <w:rsid w:val="000410BA"/>
    <w:rsid w:val="0004724C"/>
    <w:rsid w:val="00057C5F"/>
    <w:rsid w:val="000652AD"/>
    <w:rsid w:val="00067D62"/>
    <w:rsid w:val="0008033E"/>
    <w:rsid w:val="00085195"/>
    <w:rsid w:val="0008712E"/>
    <w:rsid w:val="000922C8"/>
    <w:rsid w:val="000B403C"/>
    <w:rsid w:val="000C0EB7"/>
    <w:rsid w:val="000C57C9"/>
    <w:rsid w:val="000C5AE8"/>
    <w:rsid w:val="000D4CD8"/>
    <w:rsid w:val="000D6375"/>
    <w:rsid w:val="000D77D3"/>
    <w:rsid w:val="000E32F8"/>
    <w:rsid w:val="000E3F97"/>
    <w:rsid w:val="000E54A1"/>
    <w:rsid w:val="000F0814"/>
    <w:rsid w:val="001016E7"/>
    <w:rsid w:val="0010324C"/>
    <w:rsid w:val="0010473F"/>
    <w:rsid w:val="00115903"/>
    <w:rsid w:val="00120EB1"/>
    <w:rsid w:val="001277C4"/>
    <w:rsid w:val="00132772"/>
    <w:rsid w:val="00133E9B"/>
    <w:rsid w:val="00134CA3"/>
    <w:rsid w:val="0014087B"/>
    <w:rsid w:val="00142124"/>
    <w:rsid w:val="00144AE9"/>
    <w:rsid w:val="001468D0"/>
    <w:rsid w:val="00150DE7"/>
    <w:rsid w:val="00156CE1"/>
    <w:rsid w:val="00173DEF"/>
    <w:rsid w:val="00174931"/>
    <w:rsid w:val="001909F8"/>
    <w:rsid w:val="001A5F0D"/>
    <w:rsid w:val="001B43A5"/>
    <w:rsid w:val="001C6F64"/>
    <w:rsid w:val="001D7592"/>
    <w:rsid w:val="001E14B7"/>
    <w:rsid w:val="001E4B28"/>
    <w:rsid w:val="001F5172"/>
    <w:rsid w:val="00206515"/>
    <w:rsid w:val="002075B7"/>
    <w:rsid w:val="00210859"/>
    <w:rsid w:val="00224540"/>
    <w:rsid w:val="00224C19"/>
    <w:rsid w:val="00231FD9"/>
    <w:rsid w:val="00242221"/>
    <w:rsid w:val="002440BD"/>
    <w:rsid w:val="00247A84"/>
    <w:rsid w:val="002548B7"/>
    <w:rsid w:val="00262AD4"/>
    <w:rsid w:val="00265B6B"/>
    <w:rsid w:val="002661FA"/>
    <w:rsid w:val="00266742"/>
    <w:rsid w:val="002734FA"/>
    <w:rsid w:val="00280092"/>
    <w:rsid w:val="00284D9F"/>
    <w:rsid w:val="0028759C"/>
    <w:rsid w:val="00294B8B"/>
    <w:rsid w:val="002A366F"/>
    <w:rsid w:val="002B53F6"/>
    <w:rsid w:val="002B55D8"/>
    <w:rsid w:val="002D3E4B"/>
    <w:rsid w:val="002E2293"/>
    <w:rsid w:val="002E2D3F"/>
    <w:rsid w:val="00303B8D"/>
    <w:rsid w:val="00306EBF"/>
    <w:rsid w:val="003129F4"/>
    <w:rsid w:val="003163D1"/>
    <w:rsid w:val="003230C4"/>
    <w:rsid w:val="003317DC"/>
    <w:rsid w:val="0034289F"/>
    <w:rsid w:val="00347DD7"/>
    <w:rsid w:val="003537F9"/>
    <w:rsid w:val="0036081B"/>
    <w:rsid w:val="00367344"/>
    <w:rsid w:val="00376AFC"/>
    <w:rsid w:val="003806CF"/>
    <w:rsid w:val="003827BC"/>
    <w:rsid w:val="0038586B"/>
    <w:rsid w:val="00395099"/>
    <w:rsid w:val="003A3F30"/>
    <w:rsid w:val="003A63B2"/>
    <w:rsid w:val="003B2B93"/>
    <w:rsid w:val="003D0265"/>
    <w:rsid w:val="003D49A1"/>
    <w:rsid w:val="003D560B"/>
    <w:rsid w:val="003E142F"/>
    <w:rsid w:val="003E53D5"/>
    <w:rsid w:val="003E6286"/>
    <w:rsid w:val="003F4C80"/>
    <w:rsid w:val="003F5A14"/>
    <w:rsid w:val="00402F9D"/>
    <w:rsid w:val="00405778"/>
    <w:rsid w:val="0041589E"/>
    <w:rsid w:val="00423DF1"/>
    <w:rsid w:val="0043756F"/>
    <w:rsid w:val="00441CD9"/>
    <w:rsid w:val="00442E42"/>
    <w:rsid w:val="004503A7"/>
    <w:rsid w:val="004515EA"/>
    <w:rsid w:val="00455EFB"/>
    <w:rsid w:val="00456254"/>
    <w:rsid w:val="00456540"/>
    <w:rsid w:val="00474B00"/>
    <w:rsid w:val="004817A9"/>
    <w:rsid w:val="00482684"/>
    <w:rsid w:val="00491A89"/>
    <w:rsid w:val="004968EE"/>
    <w:rsid w:val="004A580A"/>
    <w:rsid w:val="004A772E"/>
    <w:rsid w:val="004B6A62"/>
    <w:rsid w:val="004B78E1"/>
    <w:rsid w:val="004C0130"/>
    <w:rsid w:val="004C0198"/>
    <w:rsid w:val="004C0646"/>
    <w:rsid w:val="004E1DA9"/>
    <w:rsid w:val="004E2487"/>
    <w:rsid w:val="004E4B8A"/>
    <w:rsid w:val="004E5CD2"/>
    <w:rsid w:val="004F3295"/>
    <w:rsid w:val="004F64DB"/>
    <w:rsid w:val="00505809"/>
    <w:rsid w:val="005143B1"/>
    <w:rsid w:val="00516899"/>
    <w:rsid w:val="00531CC3"/>
    <w:rsid w:val="005361A8"/>
    <w:rsid w:val="0053701B"/>
    <w:rsid w:val="00540AD6"/>
    <w:rsid w:val="00551B9D"/>
    <w:rsid w:val="00552594"/>
    <w:rsid w:val="005639BF"/>
    <w:rsid w:val="005707DA"/>
    <w:rsid w:val="005732F7"/>
    <w:rsid w:val="00574169"/>
    <w:rsid w:val="00583285"/>
    <w:rsid w:val="00584380"/>
    <w:rsid w:val="00593D10"/>
    <w:rsid w:val="005C3618"/>
    <w:rsid w:val="005C3628"/>
    <w:rsid w:val="005D1F96"/>
    <w:rsid w:val="005D30CD"/>
    <w:rsid w:val="005D4D94"/>
    <w:rsid w:val="005E7D1D"/>
    <w:rsid w:val="005F00B2"/>
    <w:rsid w:val="00602A6D"/>
    <w:rsid w:val="00612154"/>
    <w:rsid w:val="00613D6F"/>
    <w:rsid w:val="0062233A"/>
    <w:rsid w:val="006233C4"/>
    <w:rsid w:val="00625D84"/>
    <w:rsid w:val="006313AD"/>
    <w:rsid w:val="006474AA"/>
    <w:rsid w:val="00653B35"/>
    <w:rsid w:val="006543D9"/>
    <w:rsid w:val="00663127"/>
    <w:rsid w:val="006648B3"/>
    <w:rsid w:val="00665BE8"/>
    <w:rsid w:val="0067204C"/>
    <w:rsid w:val="00684DD9"/>
    <w:rsid w:val="00685171"/>
    <w:rsid w:val="006867FF"/>
    <w:rsid w:val="006967B0"/>
    <w:rsid w:val="006A20F6"/>
    <w:rsid w:val="006A3EAF"/>
    <w:rsid w:val="006B61BC"/>
    <w:rsid w:val="006C12B8"/>
    <w:rsid w:val="006C4AA8"/>
    <w:rsid w:val="006D5F20"/>
    <w:rsid w:val="006D66C0"/>
    <w:rsid w:val="006E26F8"/>
    <w:rsid w:val="006E5266"/>
    <w:rsid w:val="006E7201"/>
    <w:rsid w:val="006E7333"/>
    <w:rsid w:val="006F4689"/>
    <w:rsid w:val="006F4FEE"/>
    <w:rsid w:val="006F6E9B"/>
    <w:rsid w:val="00701722"/>
    <w:rsid w:val="00702BB5"/>
    <w:rsid w:val="0070611E"/>
    <w:rsid w:val="00706CF4"/>
    <w:rsid w:val="007124C0"/>
    <w:rsid w:val="007300AA"/>
    <w:rsid w:val="007338AC"/>
    <w:rsid w:val="00741211"/>
    <w:rsid w:val="007422FF"/>
    <w:rsid w:val="0074717E"/>
    <w:rsid w:val="0075012F"/>
    <w:rsid w:val="007502F1"/>
    <w:rsid w:val="00750F7B"/>
    <w:rsid w:val="00751AB8"/>
    <w:rsid w:val="00762094"/>
    <w:rsid w:val="0076526B"/>
    <w:rsid w:val="007742BB"/>
    <w:rsid w:val="0078399D"/>
    <w:rsid w:val="0078405D"/>
    <w:rsid w:val="007974A1"/>
    <w:rsid w:val="007A073D"/>
    <w:rsid w:val="007A3B21"/>
    <w:rsid w:val="007B1E7F"/>
    <w:rsid w:val="007B404B"/>
    <w:rsid w:val="007C7F20"/>
    <w:rsid w:val="007D5BBA"/>
    <w:rsid w:val="007E51AA"/>
    <w:rsid w:val="007E7D95"/>
    <w:rsid w:val="007F5C50"/>
    <w:rsid w:val="00800B4E"/>
    <w:rsid w:val="00801C04"/>
    <w:rsid w:val="008071D8"/>
    <w:rsid w:val="008100CE"/>
    <w:rsid w:val="008108AF"/>
    <w:rsid w:val="00810C03"/>
    <w:rsid w:val="0081163D"/>
    <w:rsid w:val="00821E36"/>
    <w:rsid w:val="00826F52"/>
    <w:rsid w:val="00827AB5"/>
    <w:rsid w:val="008321C4"/>
    <w:rsid w:val="00834018"/>
    <w:rsid w:val="0083488D"/>
    <w:rsid w:val="008419F3"/>
    <w:rsid w:val="00847575"/>
    <w:rsid w:val="00852933"/>
    <w:rsid w:val="0085519A"/>
    <w:rsid w:val="00862946"/>
    <w:rsid w:val="0086404F"/>
    <w:rsid w:val="0087386B"/>
    <w:rsid w:val="00874269"/>
    <w:rsid w:val="008804DE"/>
    <w:rsid w:val="00881A6B"/>
    <w:rsid w:val="008826BC"/>
    <w:rsid w:val="008851EC"/>
    <w:rsid w:val="0089687B"/>
    <w:rsid w:val="0089749B"/>
    <w:rsid w:val="008A01E7"/>
    <w:rsid w:val="008B4C5A"/>
    <w:rsid w:val="008C55C3"/>
    <w:rsid w:val="008C7046"/>
    <w:rsid w:val="008E39DE"/>
    <w:rsid w:val="008E4644"/>
    <w:rsid w:val="008F2C2A"/>
    <w:rsid w:val="008F5583"/>
    <w:rsid w:val="00903F3F"/>
    <w:rsid w:val="009044DB"/>
    <w:rsid w:val="0090523A"/>
    <w:rsid w:val="0090769C"/>
    <w:rsid w:val="00924E6E"/>
    <w:rsid w:val="00926626"/>
    <w:rsid w:val="00930314"/>
    <w:rsid w:val="00930812"/>
    <w:rsid w:val="009319AB"/>
    <w:rsid w:val="00946BF3"/>
    <w:rsid w:val="0095402A"/>
    <w:rsid w:val="00964CFC"/>
    <w:rsid w:val="00965122"/>
    <w:rsid w:val="00965FA5"/>
    <w:rsid w:val="00972719"/>
    <w:rsid w:val="00977ADB"/>
    <w:rsid w:val="009814E9"/>
    <w:rsid w:val="0098524F"/>
    <w:rsid w:val="009A0CF3"/>
    <w:rsid w:val="009A29CA"/>
    <w:rsid w:val="009B2A49"/>
    <w:rsid w:val="009C1E2C"/>
    <w:rsid w:val="009C3653"/>
    <w:rsid w:val="009C5272"/>
    <w:rsid w:val="009D6B88"/>
    <w:rsid w:val="009E1562"/>
    <w:rsid w:val="009E17AD"/>
    <w:rsid w:val="009E777C"/>
    <w:rsid w:val="009F1F96"/>
    <w:rsid w:val="009F5045"/>
    <w:rsid w:val="009F505E"/>
    <w:rsid w:val="00A02317"/>
    <w:rsid w:val="00A03A8A"/>
    <w:rsid w:val="00A149FC"/>
    <w:rsid w:val="00A225CE"/>
    <w:rsid w:val="00A2506E"/>
    <w:rsid w:val="00A27F4B"/>
    <w:rsid w:val="00A30FB9"/>
    <w:rsid w:val="00A30FC8"/>
    <w:rsid w:val="00A31AA6"/>
    <w:rsid w:val="00A32125"/>
    <w:rsid w:val="00A54A63"/>
    <w:rsid w:val="00A7618C"/>
    <w:rsid w:val="00A80345"/>
    <w:rsid w:val="00A81219"/>
    <w:rsid w:val="00A814B3"/>
    <w:rsid w:val="00A8398F"/>
    <w:rsid w:val="00A847AB"/>
    <w:rsid w:val="00A85AB7"/>
    <w:rsid w:val="00A873CE"/>
    <w:rsid w:val="00A910FB"/>
    <w:rsid w:val="00A92E2D"/>
    <w:rsid w:val="00AA09B8"/>
    <w:rsid w:val="00AA2387"/>
    <w:rsid w:val="00AA736D"/>
    <w:rsid w:val="00AB0A57"/>
    <w:rsid w:val="00AB518B"/>
    <w:rsid w:val="00AB71F3"/>
    <w:rsid w:val="00AC1FD2"/>
    <w:rsid w:val="00AC565B"/>
    <w:rsid w:val="00AD3440"/>
    <w:rsid w:val="00AE108C"/>
    <w:rsid w:val="00AE1566"/>
    <w:rsid w:val="00AE4907"/>
    <w:rsid w:val="00AE7B73"/>
    <w:rsid w:val="00AF6150"/>
    <w:rsid w:val="00B10D84"/>
    <w:rsid w:val="00B13A70"/>
    <w:rsid w:val="00B14F40"/>
    <w:rsid w:val="00B15ABF"/>
    <w:rsid w:val="00B244BB"/>
    <w:rsid w:val="00B306B0"/>
    <w:rsid w:val="00B308D9"/>
    <w:rsid w:val="00B31D93"/>
    <w:rsid w:val="00B36DFE"/>
    <w:rsid w:val="00B50A65"/>
    <w:rsid w:val="00B57ADF"/>
    <w:rsid w:val="00B65620"/>
    <w:rsid w:val="00B66A18"/>
    <w:rsid w:val="00B701C1"/>
    <w:rsid w:val="00B7201C"/>
    <w:rsid w:val="00B758B0"/>
    <w:rsid w:val="00B8089E"/>
    <w:rsid w:val="00B86E4A"/>
    <w:rsid w:val="00B92DE0"/>
    <w:rsid w:val="00B962A1"/>
    <w:rsid w:val="00BA24DA"/>
    <w:rsid w:val="00BC4226"/>
    <w:rsid w:val="00BC45F2"/>
    <w:rsid w:val="00BE408F"/>
    <w:rsid w:val="00C00943"/>
    <w:rsid w:val="00C0311E"/>
    <w:rsid w:val="00C11792"/>
    <w:rsid w:val="00C12611"/>
    <w:rsid w:val="00C13ADC"/>
    <w:rsid w:val="00C276DF"/>
    <w:rsid w:val="00C30744"/>
    <w:rsid w:val="00C311CC"/>
    <w:rsid w:val="00C33821"/>
    <w:rsid w:val="00C377A5"/>
    <w:rsid w:val="00C40183"/>
    <w:rsid w:val="00C44F1A"/>
    <w:rsid w:val="00C51005"/>
    <w:rsid w:val="00C519A1"/>
    <w:rsid w:val="00C52358"/>
    <w:rsid w:val="00C54021"/>
    <w:rsid w:val="00C6524D"/>
    <w:rsid w:val="00C675DC"/>
    <w:rsid w:val="00C702F7"/>
    <w:rsid w:val="00C71B2D"/>
    <w:rsid w:val="00C72514"/>
    <w:rsid w:val="00C7336D"/>
    <w:rsid w:val="00C7539F"/>
    <w:rsid w:val="00C97F12"/>
    <w:rsid w:val="00CA18FE"/>
    <w:rsid w:val="00CB5AA3"/>
    <w:rsid w:val="00CC2794"/>
    <w:rsid w:val="00CC2CE0"/>
    <w:rsid w:val="00CC6C44"/>
    <w:rsid w:val="00CD11F4"/>
    <w:rsid w:val="00CD4532"/>
    <w:rsid w:val="00CF393A"/>
    <w:rsid w:val="00CF4A7B"/>
    <w:rsid w:val="00D02952"/>
    <w:rsid w:val="00D04F38"/>
    <w:rsid w:val="00D2115F"/>
    <w:rsid w:val="00D22517"/>
    <w:rsid w:val="00D24B9F"/>
    <w:rsid w:val="00D31E91"/>
    <w:rsid w:val="00D41513"/>
    <w:rsid w:val="00D500ED"/>
    <w:rsid w:val="00D50BE4"/>
    <w:rsid w:val="00D5748E"/>
    <w:rsid w:val="00D61722"/>
    <w:rsid w:val="00D62981"/>
    <w:rsid w:val="00D66CC7"/>
    <w:rsid w:val="00D7373B"/>
    <w:rsid w:val="00D7772A"/>
    <w:rsid w:val="00D77FA6"/>
    <w:rsid w:val="00D8796C"/>
    <w:rsid w:val="00D9137C"/>
    <w:rsid w:val="00D9399F"/>
    <w:rsid w:val="00DA5555"/>
    <w:rsid w:val="00DB6106"/>
    <w:rsid w:val="00DB6871"/>
    <w:rsid w:val="00DB79E1"/>
    <w:rsid w:val="00DC2FD9"/>
    <w:rsid w:val="00DC71F8"/>
    <w:rsid w:val="00DD2FBB"/>
    <w:rsid w:val="00DD30C2"/>
    <w:rsid w:val="00DD41A4"/>
    <w:rsid w:val="00DE0369"/>
    <w:rsid w:val="00DE22B8"/>
    <w:rsid w:val="00DF2A60"/>
    <w:rsid w:val="00DF3062"/>
    <w:rsid w:val="00E07F00"/>
    <w:rsid w:val="00E12B57"/>
    <w:rsid w:val="00E21CC4"/>
    <w:rsid w:val="00E32480"/>
    <w:rsid w:val="00E32772"/>
    <w:rsid w:val="00E5286C"/>
    <w:rsid w:val="00E57708"/>
    <w:rsid w:val="00E76749"/>
    <w:rsid w:val="00E77FE2"/>
    <w:rsid w:val="00E80C6D"/>
    <w:rsid w:val="00E837AE"/>
    <w:rsid w:val="00E92D48"/>
    <w:rsid w:val="00E93F9C"/>
    <w:rsid w:val="00E95F0B"/>
    <w:rsid w:val="00EB0A5B"/>
    <w:rsid w:val="00EB7663"/>
    <w:rsid w:val="00EE54FF"/>
    <w:rsid w:val="00EE641F"/>
    <w:rsid w:val="00EF34F4"/>
    <w:rsid w:val="00EF4945"/>
    <w:rsid w:val="00F04ACE"/>
    <w:rsid w:val="00F06AE3"/>
    <w:rsid w:val="00F10404"/>
    <w:rsid w:val="00F12CF6"/>
    <w:rsid w:val="00F13FE7"/>
    <w:rsid w:val="00F22698"/>
    <w:rsid w:val="00F239A7"/>
    <w:rsid w:val="00F3042D"/>
    <w:rsid w:val="00F313C6"/>
    <w:rsid w:val="00F32AAB"/>
    <w:rsid w:val="00F358BA"/>
    <w:rsid w:val="00F37081"/>
    <w:rsid w:val="00F43AF6"/>
    <w:rsid w:val="00F43D98"/>
    <w:rsid w:val="00F53630"/>
    <w:rsid w:val="00F544BB"/>
    <w:rsid w:val="00F55EE5"/>
    <w:rsid w:val="00F604E1"/>
    <w:rsid w:val="00F627D0"/>
    <w:rsid w:val="00F655EE"/>
    <w:rsid w:val="00F80423"/>
    <w:rsid w:val="00F855E2"/>
    <w:rsid w:val="00F874A1"/>
    <w:rsid w:val="00F9115C"/>
    <w:rsid w:val="00F961E9"/>
    <w:rsid w:val="00F97130"/>
    <w:rsid w:val="00FA2503"/>
    <w:rsid w:val="00FA313E"/>
    <w:rsid w:val="00FB47A3"/>
    <w:rsid w:val="00FC2090"/>
    <w:rsid w:val="00FC61BB"/>
    <w:rsid w:val="00FD2AEB"/>
    <w:rsid w:val="00FD5DF3"/>
    <w:rsid w:val="00FD62EC"/>
    <w:rsid w:val="00FE7BC8"/>
    <w:rsid w:val="00FF2704"/>
    <w:rsid w:val="00FF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107D75"/>
  <w15:chartTrackingRefBased/>
  <w15:docId w15:val="{27FADC14-0FF7-DB46-BB95-FC7EC13D0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285"/>
    <w:pPr>
      <w:spacing w:after="120" w:line="480" w:lineRule="auto"/>
      <w:ind w:firstLine="709"/>
      <w:jc w:val="both"/>
    </w:pPr>
    <w:rPr>
      <w:color w:val="000000" w:themeColor="text1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285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285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285"/>
    <w:pPr>
      <w:keepNext/>
      <w:keepLines/>
      <w:spacing w:before="160" w:after="80" w:line="278" w:lineRule="auto"/>
      <w:ind w:firstLine="0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285"/>
    <w:pPr>
      <w:keepNext/>
      <w:keepLines/>
      <w:spacing w:before="80" w:after="40" w:line="278" w:lineRule="auto"/>
      <w:ind w:firstLine="0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285"/>
    <w:pPr>
      <w:keepNext/>
      <w:keepLines/>
      <w:spacing w:before="80" w:after="40" w:line="278" w:lineRule="auto"/>
      <w:ind w:firstLine="0"/>
      <w:jc w:val="left"/>
      <w:outlineLvl w:val="4"/>
    </w:pPr>
    <w:rPr>
      <w:rFonts w:eastAsiaTheme="majorEastAsia" w:cstheme="majorBidi"/>
      <w:color w:val="0F4761" w:themeColor="accent1" w:themeShade="BF"/>
      <w:kern w:val="2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285"/>
    <w:pPr>
      <w:keepNext/>
      <w:keepLines/>
      <w:spacing w:before="40" w:after="0" w:line="278" w:lineRule="auto"/>
      <w:ind w:firstLine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285"/>
    <w:pPr>
      <w:keepNext/>
      <w:keepLines/>
      <w:spacing w:before="40" w:after="0" w:line="278" w:lineRule="auto"/>
      <w:ind w:firstLine="0"/>
      <w:jc w:val="left"/>
      <w:outlineLvl w:val="6"/>
    </w:pPr>
    <w:rPr>
      <w:rFonts w:eastAsiaTheme="majorEastAsia" w:cstheme="majorBidi"/>
      <w:color w:val="595959" w:themeColor="text1" w:themeTint="A6"/>
      <w:kern w:val="2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285"/>
    <w:pPr>
      <w:keepNext/>
      <w:keepLines/>
      <w:spacing w:after="0" w:line="278" w:lineRule="auto"/>
      <w:ind w:firstLine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285"/>
    <w:pPr>
      <w:keepNext/>
      <w:keepLines/>
      <w:spacing w:after="0" w:line="278" w:lineRule="auto"/>
      <w:ind w:firstLine="0"/>
      <w:jc w:val="left"/>
      <w:outlineLvl w:val="8"/>
    </w:pPr>
    <w:rPr>
      <w:rFonts w:eastAsiaTheme="majorEastAsia" w:cstheme="majorBidi"/>
      <w:color w:val="272727" w:themeColor="text1" w:themeTint="D8"/>
      <w:kern w:val="2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285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3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285"/>
    <w:pPr>
      <w:numPr>
        <w:ilvl w:val="1"/>
      </w:numPr>
      <w:spacing w:after="160" w:line="278" w:lineRule="auto"/>
      <w:ind w:firstLine="709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3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285"/>
    <w:pPr>
      <w:spacing w:before="160" w:after="160" w:line="278" w:lineRule="auto"/>
      <w:ind w:firstLine="0"/>
      <w:jc w:val="center"/>
    </w:pPr>
    <w:rPr>
      <w:i/>
      <w:iCs/>
      <w:color w:val="404040" w:themeColor="text1" w:themeTint="BF"/>
      <w:kern w:val="2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3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285"/>
    <w:pPr>
      <w:spacing w:after="160" w:line="278" w:lineRule="auto"/>
      <w:ind w:left="720" w:firstLine="0"/>
      <w:contextualSpacing/>
      <w:jc w:val="left"/>
    </w:pPr>
    <w:rPr>
      <w:color w:val="auto"/>
      <w:kern w:val="2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3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0F4761" w:themeColor="accent1" w:themeShade="BF"/>
      <w:kern w:val="2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285"/>
    <w:rPr>
      <w:b/>
      <w:bCs/>
      <w:smallCaps/>
      <w:color w:val="0F4761" w:themeColor="accent1" w:themeShade="BF"/>
      <w:spacing w:val="5"/>
    </w:rPr>
  </w:style>
  <w:style w:type="table" w:customStyle="1" w:styleId="Tablaconcuadrcula1">
    <w:name w:val="Tabla con cuadrícula1"/>
    <w:basedOn w:val="TableNormal"/>
    <w:next w:val="TableGrid"/>
    <w:uiPriority w:val="59"/>
    <w:rsid w:val="00583285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583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83285"/>
  </w:style>
  <w:style w:type="paragraph" w:styleId="Header">
    <w:name w:val="header"/>
    <w:basedOn w:val="Normal"/>
    <w:link w:val="HeaderChar"/>
    <w:uiPriority w:val="99"/>
    <w:unhideWhenUsed/>
    <w:rsid w:val="00583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285"/>
    <w:rPr>
      <w:color w:val="000000" w:themeColor="text1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285"/>
    <w:rPr>
      <w:color w:val="000000" w:themeColor="text1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726</Words>
  <Characters>4141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Nauzer Forbes</dc:creator>
  <cp:keywords/>
  <dc:description/>
  <cp:lastModifiedBy>Nauzer Forbes</cp:lastModifiedBy>
  <cp:revision>2</cp:revision>
  <dcterms:created xsi:type="dcterms:W3CDTF">2025-08-09T16:14:00Z</dcterms:created>
  <dcterms:modified xsi:type="dcterms:W3CDTF">2025-08-30T17:47:00Z</dcterms:modified>
</cp:coreProperties>
</file>