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EEEC9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Supplementary Materials and Methods</w:t>
      </w:r>
    </w:p>
    <w:p w14:paraId="628B6617" w14:textId="77777777" w:rsidR="00FA521F" w:rsidRPr="00997130" w:rsidRDefault="00FA521F" w:rsidP="00FA521F">
      <w:pPr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Human specimens and cell lines</w:t>
      </w:r>
    </w:p>
    <w:p w14:paraId="18D86EBA" w14:textId="2DC21FBF" w:rsidR="00FA521F" w:rsidRPr="00997130" w:rsidRDefault="00FA521F" w:rsidP="003C2398">
      <w:pPr>
        <w:spacing w:line="480" w:lineRule="auto"/>
        <w:rPr>
          <w:szCs w:val="24"/>
        </w:rPr>
      </w:pPr>
      <w:r w:rsidRPr="00997130">
        <w:rPr>
          <w:szCs w:val="24"/>
        </w:rPr>
        <w:t xml:space="preserve">99 pairs of GC tissues from newly diagnosed </w:t>
      </w:r>
      <w:r w:rsidR="003B473F" w:rsidRPr="00997130">
        <w:rPr>
          <w:szCs w:val="24"/>
        </w:rPr>
        <w:t>GC patients</w:t>
      </w:r>
      <w:r w:rsidRPr="00997130">
        <w:rPr>
          <w:szCs w:val="24"/>
        </w:rPr>
        <w:t xml:space="preserve"> who underwent </w:t>
      </w:r>
      <w:proofErr w:type="spellStart"/>
      <w:r w:rsidR="00EF0C5D" w:rsidRPr="00997130">
        <w:rPr>
          <w:szCs w:val="24"/>
        </w:rPr>
        <w:t>tumour</w:t>
      </w:r>
      <w:proofErr w:type="spellEnd"/>
      <w:r w:rsidRPr="00997130">
        <w:rPr>
          <w:szCs w:val="24"/>
        </w:rPr>
        <w:t xml:space="preserve"> resection </w:t>
      </w:r>
      <w:r w:rsidR="003B473F" w:rsidRPr="00997130">
        <w:rPr>
          <w:szCs w:val="24"/>
        </w:rPr>
        <w:t>in</w:t>
      </w:r>
      <w:r w:rsidRPr="00997130">
        <w:rPr>
          <w:szCs w:val="24"/>
        </w:rPr>
        <w:t xml:space="preserve"> the Affiliated Hospital of Nantong University </w:t>
      </w:r>
      <w:r w:rsidR="005D642D" w:rsidRPr="00997130">
        <w:rPr>
          <w:szCs w:val="24"/>
        </w:rPr>
        <w:t>from</w:t>
      </w:r>
      <w:r w:rsidRPr="00997130">
        <w:rPr>
          <w:szCs w:val="24"/>
        </w:rPr>
        <w:t xml:space="preserve"> December 2017 </w:t>
      </w:r>
      <w:r w:rsidR="005D642D" w:rsidRPr="00997130">
        <w:rPr>
          <w:szCs w:val="24"/>
        </w:rPr>
        <w:t>to</w:t>
      </w:r>
      <w:r w:rsidRPr="00997130">
        <w:rPr>
          <w:szCs w:val="24"/>
        </w:rPr>
        <w:t xml:space="preserve"> December 2019 were involved in this study</w:t>
      </w:r>
      <w:r w:rsidR="005D642D" w:rsidRPr="00997130">
        <w:rPr>
          <w:szCs w:val="24"/>
        </w:rPr>
        <w:t>, of which 3 pairs of tissues were used for high-throughput sequencing and 96 pairs of tissues were used for PCR validation</w:t>
      </w:r>
      <w:r w:rsidRPr="00997130">
        <w:rPr>
          <w:szCs w:val="24"/>
        </w:rPr>
        <w:t xml:space="preserve">. </w:t>
      </w:r>
      <w:bookmarkStart w:id="0" w:name="_Hlk87865149"/>
      <w:r w:rsidRPr="00997130">
        <w:rPr>
          <w:szCs w:val="24"/>
        </w:rPr>
        <w:t>This study was approved by the Ethics Committee of the Affiliated Hospital of Nantong University, and all participants provided informed consent.</w:t>
      </w:r>
      <w:bookmarkEnd w:id="0"/>
    </w:p>
    <w:p w14:paraId="7811B6F0" w14:textId="77777777" w:rsidR="003C2398" w:rsidRPr="00997130" w:rsidRDefault="003C2398" w:rsidP="003C2398">
      <w:pPr>
        <w:spacing w:line="480" w:lineRule="auto"/>
        <w:rPr>
          <w:szCs w:val="24"/>
        </w:rPr>
      </w:pPr>
    </w:p>
    <w:p w14:paraId="421C9E67" w14:textId="6F2BA2CE" w:rsidR="00FA521F" w:rsidRPr="00997130" w:rsidRDefault="00FA521F" w:rsidP="003C2398">
      <w:pPr>
        <w:spacing w:line="480" w:lineRule="auto"/>
        <w:rPr>
          <w:szCs w:val="24"/>
        </w:rPr>
      </w:pPr>
      <w:r w:rsidRPr="00997130">
        <w:rPr>
          <w:szCs w:val="24"/>
        </w:rPr>
        <w:t>GC cell lines (</w:t>
      </w:r>
      <w:r w:rsidRPr="00997130">
        <w:rPr>
          <w:rFonts w:hint="eastAsia"/>
          <w:szCs w:val="24"/>
        </w:rPr>
        <w:t>BGC-823, HGC-27</w:t>
      </w:r>
      <w:r w:rsidRPr="00997130">
        <w:rPr>
          <w:szCs w:val="24"/>
        </w:rPr>
        <w:t>,</w:t>
      </w:r>
      <w:r w:rsidRPr="00997130">
        <w:rPr>
          <w:rFonts w:hint="eastAsia"/>
          <w:szCs w:val="24"/>
        </w:rPr>
        <w:t xml:space="preserve"> and MKN-45</w:t>
      </w:r>
      <w:r w:rsidRPr="00997130">
        <w:rPr>
          <w:szCs w:val="24"/>
        </w:rPr>
        <w:t>) and normal human gastric epithelial cell lines</w:t>
      </w:r>
      <w:r w:rsidRPr="00997130">
        <w:rPr>
          <w:rFonts w:hint="eastAsia"/>
          <w:szCs w:val="24"/>
        </w:rPr>
        <w:t xml:space="preserve"> </w:t>
      </w:r>
      <w:r w:rsidRPr="00997130">
        <w:rPr>
          <w:szCs w:val="24"/>
        </w:rPr>
        <w:t xml:space="preserve">were purchased from ATCC. MKN-1 cells were purchased from </w:t>
      </w:r>
      <w:proofErr w:type="spellStart"/>
      <w:r w:rsidRPr="00997130">
        <w:rPr>
          <w:szCs w:val="24"/>
        </w:rPr>
        <w:t>Cobioer</w:t>
      </w:r>
      <w:proofErr w:type="spellEnd"/>
      <w:r w:rsidRPr="00997130">
        <w:rPr>
          <w:szCs w:val="24"/>
        </w:rPr>
        <w:t xml:space="preserve"> Biosciences Co., Ltd. (Nanjing, China).</w:t>
      </w:r>
      <w:r w:rsidRPr="00997130">
        <w:rPr>
          <w:rFonts w:hint="eastAsia"/>
          <w:szCs w:val="24"/>
        </w:rPr>
        <w:t xml:space="preserve"> </w:t>
      </w:r>
      <w:r w:rsidRPr="00997130">
        <w:rPr>
          <w:szCs w:val="24"/>
        </w:rPr>
        <w:t>All cells were cultured in</w:t>
      </w:r>
      <w:r w:rsidRPr="00997130">
        <w:rPr>
          <w:rFonts w:hint="eastAsia"/>
          <w:szCs w:val="24"/>
        </w:rPr>
        <w:t xml:space="preserve"> </w:t>
      </w:r>
      <w:r w:rsidRPr="00997130">
        <w:rPr>
          <w:szCs w:val="24"/>
        </w:rPr>
        <w:t xml:space="preserve">DMEM/RPMI-1640 (Invitrogen, Carlsbad, USA) containing 10% </w:t>
      </w:r>
      <w:r w:rsidRPr="00997130">
        <w:rPr>
          <w:rFonts w:hint="eastAsia"/>
          <w:szCs w:val="24"/>
        </w:rPr>
        <w:t>fetal</w:t>
      </w:r>
      <w:r w:rsidRPr="00997130">
        <w:rPr>
          <w:szCs w:val="24"/>
        </w:rPr>
        <w:t xml:space="preserve"> bovine serum (Gibco, Invitrogen, USA) and 1% penicillin-streptomycin solution (</w:t>
      </w:r>
      <w:proofErr w:type="spellStart"/>
      <w:r w:rsidRPr="00997130">
        <w:rPr>
          <w:szCs w:val="24"/>
        </w:rPr>
        <w:t>Sangon</w:t>
      </w:r>
      <w:proofErr w:type="spellEnd"/>
      <w:r w:rsidRPr="00997130">
        <w:rPr>
          <w:szCs w:val="24"/>
        </w:rPr>
        <w:t xml:space="preserve"> Biotech, Shanghai, China) at</w:t>
      </w:r>
      <w:r w:rsidRPr="00997130">
        <w:rPr>
          <w:rFonts w:hint="eastAsia"/>
          <w:szCs w:val="24"/>
        </w:rPr>
        <w:t xml:space="preserve"> </w:t>
      </w:r>
      <w:r w:rsidRPr="00997130">
        <w:rPr>
          <w:szCs w:val="24"/>
        </w:rPr>
        <w:t>37</w:t>
      </w:r>
      <w:bookmarkStart w:id="1" w:name="_Hlk89371299"/>
      <w:r w:rsidRPr="00997130">
        <w:rPr>
          <w:szCs w:val="24"/>
        </w:rPr>
        <w:t>°C</w:t>
      </w:r>
      <w:bookmarkEnd w:id="1"/>
      <w:r w:rsidRPr="00997130">
        <w:rPr>
          <w:szCs w:val="24"/>
        </w:rPr>
        <w:t xml:space="preserve"> in 5% CO2.</w:t>
      </w:r>
    </w:p>
    <w:p w14:paraId="5EF59E2C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</w:p>
    <w:p w14:paraId="0FC1E623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RNA extraction and quantitative real-time PCR (</w:t>
      </w:r>
      <w:proofErr w:type="spellStart"/>
      <w:r w:rsidRPr="00997130">
        <w:rPr>
          <w:b/>
          <w:bCs/>
          <w:szCs w:val="24"/>
        </w:rPr>
        <w:t>qRT</w:t>
      </w:r>
      <w:proofErr w:type="spellEnd"/>
      <w:r w:rsidRPr="00997130">
        <w:rPr>
          <w:b/>
          <w:bCs/>
          <w:szCs w:val="24"/>
        </w:rPr>
        <w:t>-PCR)</w:t>
      </w:r>
    </w:p>
    <w:p w14:paraId="1CA692A0" w14:textId="3F0F0742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Total RNA of GC tissues (40 mg) or cells was extracted by </w:t>
      </w:r>
      <w:proofErr w:type="spellStart"/>
      <w:r w:rsidRPr="00997130">
        <w:rPr>
          <w:szCs w:val="24"/>
        </w:rPr>
        <w:t>TRIzol</w:t>
      </w:r>
      <w:proofErr w:type="spellEnd"/>
      <w:r w:rsidRPr="00997130">
        <w:rPr>
          <w:szCs w:val="24"/>
        </w:rPr>
        <w:t xml:space="preserve"> reagent (Invitrogen, Carlsbad, USA). After measuring the concentration, 1000ng of total RNA was taken for reverse transcription reaction using </w:t>
      </w:r>
      <w:proofErr w:type="spellStart"/>
      <w:r w:rsidRPr="00997130">
        <w:rPr>
          <w:szCs w:val="24"/>
        </w:rPr>
        <w:t>RevertAid</w:t>
      </w:r>
      <w:proofErr w:type="spellEnd"/>
      <w:r w:rsidRPr="00997130">
        <w:rPr>
          <w:szCs w:val="24"/>
        </w:rPr>
        <w:t xml:space="preserve"> First Strand cDNA Synthesis Kit (</w:t>
      </w:r>
      <w:proofErr w:type="spellStart"/>
      <w:r w:rsidRPr="00997130">
        <w:rPr>
          <w:szCs w:val="24"/>
        </w:rPr>
        <w:t>ThermoFisher</w:t>
      </w:r>
      <w:proofErr w:type="spellEnd"/>
      <w:r w:rsidRPr="00997130">
        <w:rPr>
          <w:szCs w:val="24"/>
        </w:rPr>
        <w:t xml:space="preserve"> Scientific, Waltham, USA). The </w:t>
      </w:r>
      <w:proofErr w:type="spellStart"/>
      <w:r w:rsidRPr="00997130">
        <w:rPr>
          <w:szCs w:val="24"/>
        </w:rPr>
        <w:t>qRT</w:t>
      </w:r>
      <w:proofErr w:type="spellEnd"/>
      <w:r w:rsidRPr="00997130">
        <w:rPr>
          <w:szCs w:val="24"/>
        </w:rPr>
        <w:t xml:space="preserve">-PCR was performed </w:t>
      </w:r>
      <w:r w:rsidR="005D642D" w:rsidRPr="00997130">
        <w:rPr>
          <w:szCs w:val="24"/>
        </w:rPr>
        <w:t>on the</w:t>
      </w:r>
      <w:r w:rsidRPr="00997130">
        <w:rPr>
          <w:szCs w:val="24"/>
        </w:rPr>
        <w:t xml:space="preserve"> </w:t>
      </w:r>
      <w:proofErr w:type="spellStart"/>
      <w:r w:rsidRPr="00997130">
        <w:rPr>
          <w:szCs w:val="24"/>
        </w:rPr>
        <w:t>LightCycler</w:t>
      </w:r>
      <w:proofErr w:type="spellEnd"/>
      <w:r w:rsidRPr="00997130">
        <w:rPr>
          <w:szCs w:val="24"/>
        </w:rPr>
        <w:t xml:space="preserve">® 480 SYBR </w:t>
      </w:r>
      <w:proofErr w:type="spellStart"/>
      <w:r w:rsidRPr="00997130">
        <w:rPr>
          <w:szCs w:val="24"/>
        </w:rPr>
        <w:t>GreenⅠMaster</w:t>
      </w:r>
      <w:proofErr w:type="spellEnd"/>
      <w:r w:rsidRPr="00997130">
        <w:rPr>
          <w:szCs w:val="24"/>
        </w:rPr>
        <w:t xml:space="preserve"> (Roche, Basel, Switzerland), and the reaction conditions </w:t>
      </w:r>
      <w:r w:rsidR="005D78D4" w:rsidRPr="00997130">
        <w:rPr>
          <w:szCs w:val="24"/>
        </w:rPr>
        <w:t xml:space="preserve">were pre-amplification at 95°C for 10 min, followed by 40 cycles of </w:t>
      </w:r>
      <w:r w:rsidR="005D78D4" w:rsidRPr="00997130">
        <w:rPr>
          <w:szCs w:val="24"/>
        </w:rPr>
        <w:lastRenderedPageBreak/>
        <w:t>amplification (15s at 95°C, 30s at 60°C, and 30s at 72°C).</w:t>
      </w:r>
      <w:r w:rsidRPr="00997130">
        <w:rPr>
          <w:szCs w:val="24"/>
        </w:rPr>
        <w:t xml:space="preserve"> Sequences of the primers were listed in </w:t>
      </w:r>
      <w:r w:rsidRPr="00997130">
        <w:rPr>
          <w:b/>
          <w:bCs/>
          <w:szCs w:val="24"/>
        </w:rPr>
        <w:t xml:space="preserve">Supplementary Table </w:t>
      </w:r>
      <w:r w:rsidR="003C2398" w:rsidRPr="00997130">
        <w:rPr>
          <w:b/>
          <w:bCs/>
          <w:szCs w:val="24"/>
        </w:rPr>
        <w:t>S</w:t>
      </w:r>
      <w:r w:rsidRPr="00997130">
        <w:rPr>
          <w:b/>
          <w:bCs/>
          <w:szCs w:val="24"/>
        </w:rPr>
        <w:t>1</w:t>
      </w:r>
      <w:r w:rsidRPr="00997130">
        <w:rPr>
          <w:szCs w:val="24"/>
        </w:rPr>
        <w:t xml:space="preserve">. The 18S rRNA was used as the internal reference for mRNA because of its stability. Primers for miRNAs (including one RT primer and a pair of </w:t>
      </w:r>
      <w:proofErr w:type="spellStart"/>
      <w:r w:rsidRPr="00997130">
        <w:rPr>
          <w:szCs w:val="24"/>
        </w:rPr>
        <w:t>qRT</w:t>
      </w:r>
      <w:proofErr w:type="spellEnd"/>
      <w:r w:rsidRPr="00997130">
        <w:rPr>
          <w:szCs w:val="24"/>
        </w:rPr>
        <w:t xml:space="preserve">-PCR primers for each miRNA) were designed by </w:t>
      </w:r>
      <w:proofErr w:type="spellStart"/>
      <w:r w:rsidRPr="00997130">
        <w:rPr>
          <w:szCs w:val="24"/>
        </w:rPr>
        <w:t>RiboBio</w:t>
      </w:r>
      <w:proofErr w:type="spellEnd"/>
      <w:r w:rsidRPr="00997130">
        <w:rPr>
          <w:szCs w:val="24"/>
        </w:rPr>
        <w:t xml:space="preserve"> (Guangzhou, China). The U6 snRNA was used to normalize miRNA levels.</w:t>
      </w:r>
    </w:p>
    <w:p w14:paraId="3D53C9A9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526C2173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Total protein extraction and western blot</w:t>
      </w:r>
    </w:p>
    <w:p w14:paraId="194C1671" w14:textId="77777777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Tissues or cells were lysed in the lysate mixture, where the ratio of RIPA and PMSF was 100:1 (NCM Biotech, Suzhou, China). The concentration of protein was detected by BCA Protein Assay Kit (</w:t>
      </w:r>
      <w:proofErr w:type="spellStart"/>
      <w:r w:rsidRPr="00997130">
        <w:rPr>
          <w:szCs w:val="24"/>
        </w:rPr>
        <w:t>Beyotime</w:t>
      </w:r>
      <w:proofErr w:type="spellEnd"/>
      <w:r w:rsidRPr="00997130">
        <w:rPr>
          <w:szCs w:val="24"/>
        </w:rPr>
        <w:t xml:space="preserve">, Shanghai, China). During electrophoresis, 40 </w:t>
      </w:r>
      <w:proofErr w:type="spellStart"/>
      <w:r w:rsidRPr="00997130">
        <w:rPr>
          <w:szCs w:val="24"/>
        </w:rPr>
        <w:t>μg</w:t>
      </w:r>
      <w:proofErr w:type="spellEnd"/>
      <w:r w:rsidRPr="00997130">
        <w:rPr>
          <w:szCs w:val="24"/>
        </w:rPr>
        <w:t xml:space="preserve"> of protein was added into each well, and then separated by electrophoresis on 10% SDS-PAGE gels (NCM Biotech, Suzhou, China). After transferring onto a PVDF membrane (Millipore, Schwalbach, Germany), separated protein bands were blocked on a shaker with 5% skimmed milk for 2 h. The primary antibodies were respectively added and incubated at 4°C overnight. Then the membrane was immunoblotted with a corresponding HRP-labeled secondary antibody for 1 h at room temperature. Finally, the blots were detected by </w:t>
      </w:r>
      <w:proofErr w:type="spellStart"/>
      <w:r w:rsidRPr="00997130">
        <w:rPr>
          <w:szCs w:val="24"/>
        </w:rPr>
        <w:t>NcmECL</w:t>
      </w:r>
      <w:proofErr w:type="spellEnd"/>
      <w:r w:rsidRPr="00997130">
        <w:rPr>
          <w:szCs w:val="24"/>
        </w:rPr>
        <w:t xml:space="preserve"> High kit (NCM Biotech, Suzhou, China) using </w:t>
      </w:r>
      <w:proofErr w:type="spellStart"/>
      <w:r w:rsidRPr="00997130">
        <w:rPr>
          <w:szCs w:val="24"/>
        </w:rPr>
        <w:t>ChemiDoc</w:t>
      </w:r>
      <w:proofErr w:type="spellEnd"/>
      <w:r w:rsidRPr="00997130">
        <w:rPr>
          <w:szCs w:val="24"/>
        </w:rPr>
        <w:t xml:space="preserve"> XRS system (Hercules, CA, USA).</w:t>
      </w:r>
    </w:p>
    <w:p w14:paraId="1705A27A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4E36E95A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Plasmid construction and transfection</w:t>
      </w:r>
    </w:p>
    <w:p w14:paraId="2BA30307" w14:textId="4A05551D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The interference vector (sh</w:t>
      </w:r>
      <w:r w:rsidR="005D78D4" w:rsidRPr="00997130">
        <w:rPr>
          <w:szCs w:val="24"/>
        </w:rPr>
        <w:t>RNA1</w:t>
      </w:r>
      <w:r w:rsidR="00542EFB" w:rsidRPr="00997130">
        <w:rPr>
          <w:rFonts w:hint="eastAsia"/>
          <w:szCs w:val="24"/>
        </w:rPr>
        <w:t>,</w:t>
      </w:r>
      <w:r w:rsidR="00542EFB" w:rsidRPr="00997130">
        <w:rPr>
          <w:szCs w:val="24"/>
        </w:rPr>
        <w:t xml:space="preserve"> 2, 3 and </w:t>
      </w:r>
      <w:r w:rsidR="005D78D4" w:rsidRPr="00997130">
        <w:rPr>
          <w:szCs w:val="24"/>
        </w:rPr>
        <w:t>4</w:t>
      </w:r>
      <w:r w:rsidRPr="00997130">
        <w:rPr>
          <w:szCs w:val="24"/>
        </w:rPr>
        <w:t>) and overexpression vector (</w:t>
      </w:r>
      <w:proofErr w:type="spellStart"/>
      <w:r w:rsidRPr="00997130">
        <w:rPr>
          <w:szCs w:val="24"/>
        </w:rPr>
        <w:t>pcFAAH</w:t>
      </w:r>
      <w:proofErr w:type="spellEnd"/>
      <w:r w:rsidRPr="00997130">
        <w:rPr>
          <w:szCs w:val="24"/>
        </w:rPr>
        <w:t xml:space="preserve">) with </w:t>
      </w:r>
      <w:r w:rsidR="005D78D4" w:rsidRPr="00997130">
        <w:rPr>
          <w:szCs w:val="24"/>
        </w:rPr>
        <w:t xml:space="preserve">their </w:t>
      </w:r>
      <w:r w:rsidRPr="00997130">
        <w:rPr>
          <w:szCs w:val="24"/>
        </w:rPr>
        <w:t>respective controls (</w:t>
      </w:r>
      <w:proofErr w:type="spellStart"/>
      <w:r w:rsidRPr="00997130">
        <w:rPr>
          <w:szCs w:val="24"/>
        </w:rPr>
        <w:t>shNC</w:t>
      </w:r>
      <w:proofErr w:type="spellEnd"/>
      <w:r w:rsidRPr="00997130">
        <w:rPr>
          <w:szCs w:val="24"/>
        </w:rPr>
        <w:t xml:space="preserve"> and </w:t>
      </w:r>
      <w:proofErr w:type="spellStart"/>
      <w:r w:rsidRPr="00997130">
        <w:rPr>
          <w:szCs w:val="24"/>
        </w:rPr>
        <w:t>pcDNA</w:t>
      </w:r>
      <w:proofErr w:type="spellEnd"/>
      <w:r w:rsidRPr="00997130">
        <w:rPr>
          <w:szCs w:val="24"/>
        </w:rPr>
        <w:t xml:space="preserve">) were designed by </w:t>
      </w:r>
      <w:proofErr w:type="spellStart"/>
      <w:r w:rsidRPr="00997130">
        <w:rPr>
          <w:szCs w:val="24"/>
        </w:rPr>
        <w:t>GenePharma</w:t>
      </w:r>
      <w:proofErr w:type="spellEnd"/>
      <w:r w:rsidRPr="00997130">
        <w:rPr>
          <w:szCs w:val="24"/>
        </w:rPr>
        <w:t xml:space="preserve"> (Suzhou, China). The sequences of </w:t>
      </w:r>
      <w:proofErr w:type="spellStart"/>
      <w:r w:rsidRPr="00997130">
        <w:rPr>
          <w:szCs w:val="24"/>
        </w:rPr>
        <w:t>shRNAs</w:t>
      </w:r>
      <w:proofErr w:type="spellEnd"/>
      <w:r w:rsidRPr="00997130">
        <w:rPr>
          <w:szCs w:val="24"/>
        </w:rPr>
        <w:t xml:space="preserve"> were shown in </w:t>
      </w:r>
      <w:r w:rsidRPr="00997130">
        <w:rPr>
          <w:b/>
          <w:bCs/>
          <w:szCs w:val="24"/>
        </w:rPr>
        <w:t xml:space="preserve">Supplementary Table </w:t>
      </w:r>
      <w:r w:rsidR="005D78D4" w:rsidRPr="00997130">
        <w:rPr>
          <w:b/>
          <w:bCs/>
          <w:szCs w:val="24"/>
        </w:rPr>
        <w:t>S</w:t>
      </w:r>
      <w:r w:rsidRPr="00997130">
        <w:rPr>
          <w:b/>
          <w:bCs/>
          <w:szCs w:val="24"/>
        </w:rPr>
        <w:t>2</w:t>
      </w:r>
      <w:r w:rsidRPr="00997130">
        <w:rPr>
          <w:szCs w:val="24"/>
        </w:rPr>
        <w:t xml:space="preserve">. As for miRNAs, both mimic and inhibitor with their respective negative controls were designed by </w:t>
      </w:r>
      <w:proofErr w:type="spellStart"/>
      <w:r w:rsidRPr="00997130">
        <w:rPr>
          <w:szCs w:val="24"/>
        </w:rPr>
        <w:t>RiboBio</w:t>
      </w:r>
      <w:proofErr w:type="spellEnd"/>
      <w:r w:rsidRPr="00997130">
        <w:rPr>
          <w:szCs w:val="24"/>
        </w:rPr>
        <w:t xml:space="preserve"> (Guangzhou, China). Lipofectamine 3000 (Invitrogen, Carlsbad, </w:t>
      </w:r>
      <w:r w:rsidRPr="00997130">
        <w:rPr>
          <w:szCs w:val="24"/>
        </w:rPr>
        <w:lastRenderedPageBreak/>
        <w:t xml:space="preserve">USA) was used </w:t>
      </w:r>
      <w:r w:rsidR="008833F7" w:rsidRPr="00997130">
        <w:rPr>
          <w:szCs w:val="24"/>
        </w:rPr>
        <w:t>for</w:t>
      </w:r>
      <w:r w:rsidRPr="00997130">
        <w:rPr>
          <w:szCs w:val="24"/>
        </w:rPr>
        <w:t xml:space="preserve"> cell transfection when 60–80% confluence was obtained.</w:t>
      </w:r>
    </w:p>
    <w:p w14:paraId="27B7FB83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58388D81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Cell Counting Kit-8 (CCK-8) and colony formation assay</w:t>
      </w:r>
    </w:p>
    <w:p w14:paraId="0C99818E" w14:textId="6F267FB1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GC cells were seeded in a 96-well plate at a density of 3000 cells per well. About 12 h after plating, 10 µ</w:t>
      </w:r>
      <w:r w:rsidR="00542EFB" w:rsidRPr="00997130">
        <w:rPr>
          <w:szCs w:val="24"/>
        </w:rPr>
        <w:t>L</w:t>
      </w:r>
      <w:r w:rsidRPr="00997130">
        <w:rPr>
          <w:szCs w:val="24"/>
        </w:rPr>
        <w:t xml:space="preserve"> of CCK-8 (</w:t>
      </w:r>
      <w:proofErr w:type="spellStart"/>
      <w:r w:rsidRPr="00997130">
        <w:rPr>
          <w:szCs w:val="24"/>
        </w:rPr>
        <w:t>Dojindo</w:t>
      </w:r>
      <w:proofErr w:type="spellEnd"/>
      <w:r w:rsidRPr="00997130">
        <w:rPr>
          <w:szCs w:val="24"/>
        </w:rPr>
        <w:t>, Kumamoto, Japan) was added into each well at 0, 24, 48, and 72 h after adhesion, respectively. After incubation at 37 °C for 2 h, the optical density (OD) value was measured at 450 nm.</w:t>
      </w:r>
    </w:p>
    <w:p w14:paraId="780BE971" w14:textId="69788657" w:rsidR="00FA521F" w:rsidRPr="00997130" w:rsidRDefault="00FA521F" w:rsidP="00FA521F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For colony-forming assay, cells were seeded in a 6-well plate at a concentration of 1000 per well and cultured at 37°C for 15 days. The colonies were then fixed with methanol and stained with 0.1% crystal violet (</w:t>
      </w:r>
      <w:proofErr w:type="spellStart"/>
      <w:r w:rsidRPr="00997130">
        <w:rPr>
          <w:szCs w:val="24"/>
        </w:rPr>
        <w:t>Beyotime</w:t>
      </w:r>
      <w:proofErr w:type="spellEnd"/>
      <w:r w:rsidRPr="00997130">
        <w:rPr>
          <w:szCs w:val="24"/>
        </w:rPr>
        <w:t>, Shanghai, China). Visible colonies were counted manually.</w:t>
      </w:r>
    </w:p>
    <w:p w14:paraId="7C07917A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4964F838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proofErr w:type="spellStart"/>
      <w:r w:rsidRPr="00997130">
        <w:rPr>
          <w:b/>
          <w:bCs/>
          <w:szCs w:val="24"/>
        </w:rPr>
        <w:t>EdU</w:t>
      </w:r>
      <w:proofErr w:type="spellEnd"/>
      <w:r w:rsidRPr="00997130">
        <w:rPr>
          <w:b/>
          <w:bCs/>
          <w:szCs w:val="24"/>
        </w:rPr>
        <w:t xml:space="preserve"> assay</w:t>
      </w:r>
    </w:p>
    <w:p w14:paraId="419362C5" w14:textId="6785E727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The </w:t>
      </w:r>
      <w:proofErr w:type="spellStart"/>
      <w:r w:rsidRPr="00997130">
        <w:rPr>
          <w:szCs w:val="24"/>
        </w:rPr>
        <w:t>BeyoClick</w:t>
      </w:r>
      <w:proofErr w:type="spellEnd"/>
      <w:r w:rsidRPr="00997130">
        <w:rPr>
          <w:szCs w:val="24"/>
        </w:rPr>
        <w:t xml:space="preserve">™ </w:t>
      </w:r>
      <w:proofErr w:type="spellStart"/>
      <w:r w:rsidRPr="00997130">
        <w:rPr>
          <w:szCs w:val="24"/>
        </w:rPr>
        <w:t>EdU</w:t>
      </w:r>
      <w:proofErr w:type="spellEnd"/>
      <w:r w:rsidRPr="00997130">
        <w:rPr>
          <w:szCs w:val="24"/>
        </w:rPr>
        <w:t xml:space="preserve"> Cell Proliferation Kit with Alexa Fluor 555 (</w:t>
      </w:r>
      <w:proofErr w:type="spellStart"/>
      <w:r w:rsidRPr="00997130">
        <w:rPr>
          <w:szCs w:val="24"/>
        </w:rPr>
        <w:t>Beyotime</w:t>
      </w:r>
      <w:proofErr w:type="spellEnd"/>
      <w:r w:rsidRPr="00997130">
        <w:rPr>
          <w:szCs w:val="24"/>
        </w:rPr>
        <w:t>, Shanghai, China) was used according to the manufacturer's instructions. GC cells were seeded on circular slides in 24-well plates at a density of 1×10</w:t>
      </w:r>
      <w:r w:rsidRPr="00997130">
        <w:rPr>
          <w:szCs w:val="24"/>
          <w:vertAlign w:val="superscript"/>
        </w:rPr>
        <w:t>4</w:t>
      </w:r>
      <w:r w:rsidRPr="00997130">
        <w:rPr>
          <w:szCs w:val="24"/>
        </w:rPr>
        <w:t xml:space="preserve"> cells per well overnight. </w:t>
      </w:r>
      <w:proofErr w:type="spellStart"/>
      <w:r w:rsidRPr="00997130">
        <w:rPr>
          <w:szCs w:val="24"/>
        </w:rPr>
        <w:t>EdU</w:t>
      </w:r>
      <w:proofErr w:type="spellEnd"/>
      <w:r w:rsidRPr="00997130">
        <w:rPr>
          <w:szCs w:val="24"/>
        </w:rPr>
        <w:t xml:space="preserve"> solution (20 </w:t>
      </w:r>
      <w:proofErr w:type="spellStart"/>
      <w:r w:rsidRPr="00997130">
        <w:rPr>
          <w:szCs w:val="24"/>
        </w:rPr>
        <w:t>μM</w:t>
      </w:r>
      <w:proofErr w:type="spellEnd"/>
      <w:r w:rsidRPr="00997130">
        <w:rPr>
          <w:szCs w:val="24"/>
        </w:rPr>
        <w:t>) was added to each well and incubated for 2 h. The cells were then fixed with 4% formaldehyde for 15 min and subsequently permeabilized with 0.5% Triton X-100 for 10 min. Then 125 µ</w:t>
      </w:r>
      <w:r w:rsidR="00542EFB" w:rsidRPr="00997130">
        <w:rPr>
          <w:szCs w:val="24"/>
        </w:rPr>
        <w:t>L</w:t>
      </w:r>
      <w:r w:rsidRPr="00997130">
        <w:rPr>
          <w:szCs w:val="24"/>
        </w:rPr>
        <w:t xml:space="preserve"> of click reaction solution was added into each well and incubated for 30 min in the dark. Finally, 125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Hoechst 33342 solution was added to stain the nuclei</w:t>
      </w:r>
      <w:r w:rsidR="008833F7" w:rsidRPr="00997130">
        <w:rPr>
          <w:szCs w:val="24"/>
        </w:rPr>
        <w:t>.</w:t>
      </w:r>
      <w:r w:rsidRPr="00997130">
        <w:rPr>
          <w:szCs w:val="24"/>
        </w:rPr>
        <w:t xml:space="preserve"> Images were captured to calculate the percentage of </w:t>
      </w:r>
      <w:proofErr w:type="spellStart"/>
      <w:r w:rsidRPr="00997130">
        <w:rPr>
          <w:szCs w:val="24"/>
        </w:rPr>
        <w:t>EdU</w:t>
      </w:r>
      <w:proofErr w:type="spellEnd"/>
      <w:r w:rsidRPr="00997130">
        <w:rPr>
          <w:szCs w:val="24"/>
        </w:rPr>
        <w:t>-positive cells.</w:t>
      </w:r>
    </w:p>
    <w:p w14:paraId="4E410505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2F6A6869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proofErr w:type="spellStart"/>
      <w:r w:rsidRPr="00997130">
        <w:rPr>
          <w:b/>
          <w:bCs/>
          <w:szCs w:val="24"/>
        </w:rPr>
        <w:t>Transwell</w:t>
      </w:r>
      <w:proofErr w:type="spellEnd"/>
      <w:r w:rsidRPr="00997130">
        <w:rPr>
          <w:b/>
          <w:bCs/>
          <w:szCs w:val="24"/>
        </w:rPr>
        <w:t xml:space="preserve"> assay</w:t>
      </w:r>
    </w:p>
    <w:p w14:paraId="20344496" w14:textId="4B63D516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After 48 h of transfection, cells were resuspended in RPMI-1640 medium and the cell </w:t>
      </w:r>
      <w:r w:rsidRPr="00997130">
        <w:rPr>
          <w:szCs w:val="24"/>
        </w:rPr>
        <w:lastRenderedPageBreak/>
        <w:t>density was adjusted to 5×10</w:t>
      </w:r>
      <w:r w:rsidRPr="00997130">
        <w:rPr>
          <w:szCs w:val="24"/>
          <w:vertAlign w:val="superscript"/>
        </w:rPr>
        <w:t>5</w:t>
      </w:r>
      <w:r w:rsidRPr="00997130">
        <w:rPr>
          <w:szCs w:val="24"/>
        </w:rPr>
        <w:t>/ml. For the invasion assay, the upper chamber was pre-coated with diluted Matrigel (BD Pharmingen, San Diego, USA) at a ratio of 1:6 (50</w:t>
      </w:r>
      <w:r w:rsidR="00997130" w:rsidRPr="00997130">
        <w:rPr>
          <w:szCs w:val="24"/>
        </w:rPr>
        <w:t>μL</w:t>
      </w:r>
      <w:r w:rsidRPr="00997130">
        <w:rPr>
          <w:szCs w:val="24"/>
        </w:rPr>
        <w:t xml:space="preserve"> Matrigel mixed with 300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culture medium). After coagulation of 5 h, 100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cell suspension was added into upper chamber (8 </w:t>
      </w:r>
      <w:proofErr w:type="spellStart"/>
      <w:r w:rsidRPr="00997130">
        <w:rPr>
          <w:szCs w:val="24"/>
        </w:rPr>
        <w:t>μm</w:t>
      </w:r>
      <w:proofErr w:type="spellEnd"/>
      <w:r w:rsidRPr="00997130">
        <w:rPr>
          <w:szCs w:val="24"/>
        </w:rPr>
        <w:t xml:space="preserve">, Corning, NY, USA). Then 500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20% FBS-containing medium was added into the bottom chamber to attract cells to migrate. After 24 h of incubation, cells migrating through the membrane were ﬁxed by 4% formaldehyde, stained with 0.1% crystal violet (</w:t>
      </w:r>
      <w:proofErr w:type="spellStart"/>
      <w:r w:rsidRPr="00997130">
        <w:rPr>
          <w:szCs w:val="24"/>
        </w:rPr>
        <w:t>Beyotime</w:t>
      </w:r>
      <w:proofErr w:type="spellEnd"/>
      <w:r w:rsidRPr="00997130">
        <w:rPr>
          <w:szCs w:val="24"/>
        </w:rPr>
        <w:t>, Shanghai, China). The average of stained cells was calculated by selecting five random fields using an optical microscope (Olympus, Tokyo, Japan).</w:t>
      </w:r>
    </w:p>
    <w:p w14:paraId="1037EA10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4C1B2ACC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Apoptosis and cell cycle assay</w:t>
      </w:r>
    </w:p>
    <w:p w14:paraId="4945BCC9" w14:textId="644076F1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After 48 h of transfection, cells were harvested by trypsin and washed three times with pre-chilled PBS. The apoptosis assay was performed using the Annexin V-PE/7-AAD Apoptosis Detection Kit (BD Pharmingen, San Diego, USA) according to the manufacturer's protocol. For the cell cycle assay, the cells were fixed with 70% alcohol overnight at 4 °C, and washed three times with pre-chilled PBS the next day to remove ethanol. The DNA Content Quantitation Assay (Cell Cycle) kit (</w:t>
      </w:r>
      <w:proofErr w:type="spellStart"/>
      <w:r w:rsidRPr="00997130">
        <w:rPr>
          <w:szCs w:val="24"/>
        </w:rPr>
        <w:t>Solarbio</w:t>
      </w:r>
      <w:proofErr w:type="spellEnd"/>
      <w:r w:rsidRPr="00997130">
        <w:rPr>
          <w:szCs w:val="24"/>
        </w:rPr>
        <w:t xml:space="preserve">, Beijing, China) was used according to the manufacturer's protocol. Both experiments were </w:t>
      </w:r>
      <w:r w:rsidR="008833F7" w:rsidRPr="00997130">
        <w:rPr>
          <w:szCs w:val="24"/>
        </w:rPr>
        <w:t>analyzed</w:t>
      </w:r>
      <w:r w:rsidRPr="00997130">
        <w:rPr>
          <w:szCs w:val="24"/>
        </w:rPr>
        <w:t xml:space="preserve"> by flow cytometry (BD Pharmingen, San Diego, USA). </w:t>
      </w:r>
    </w:p>
    <w:p w14:paraId="13683B59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20B96E05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Immunohistochemistry (IHC)</w:t>
      </w:r>
    </w:p>
    <w:p w14:paraId="04BE817F" w14:textId="68BC9285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IHC was performed on paraffin sections of animal </w:t>
      </w:r>
      <w:proofErr w:type="spellStart"/>
      <w:r w:rsidR="00EF0C5D" w:rsidRPr="00997130">
        <w:rPr>
          <w:szCs w:val="24"/>
        </w:rPr>
        <w:t>tumour</w:t>
      </w:r>
      <w:r w:rsidRPr="00997130">
        <w:rPr>
          <w:szCs w:val="24"/>
        </w:rPr>
        <w:t>s</w:t>
      </w:r>
      <w:proofErr w:type="spellEnd"/>
      <w:r w:rsidRPr="00997130">
        <w:rPr>
          <w:szCs w:val="24"/>
        </w:rPr>
        <w:t xml:space="preserve"> using IHC kit (</w:t>
      </w:r>
      <w:proofErr w:type="spellStart"/>
      <w:r w:rsidRPr="00997130">
        <w:rPr>
          <w:szCs w:val="24"/>
        </w:rPr>
        <w:t>Servicebio</w:t>
      </w:r>
      <w:proofErr w:type="spellEnd"/>
      <w:r w:rsidRPr="00997130">
        <w:rPr>
          <w:szCs w:val="24"/>
        </w:rPr>
        <w:t xml:space="preserve">, Wuhan, China) according to manufacturer’s protocol. Primary antibodies against </w:t>
      </w:r>
      <w:r w:rsidR="006B0E94" w:rsidRPr="00997130">
        <w:rPr>
          <w:szCs w:val="24"/>
        </w:rPr>
        <w:t>k</w:t>
      </w:r>
      <w:r w:rsidRPr="00997130">
        <w:rPr>
          <w:szCs w:val="24"/>
        </w:rPr>
        <w:t xml:space="preserve">i67 (1:200, ab16667, Abcam) and </w:t>
      </w:r>
      <w:r w:rsidR="00596B11" w:rsidRPr="00997130">
        <w:rPr>
          <w:rFonts w:hint="eastAsia"/>
          <w:szCs w:val="24"/>
        </w:rPr>
        <w:t>Cleaved</w:t>
      </w:r>
      <w:r w:rsidR="00596B11" w:rsidRPr="00997130">
        <w:rPr>
          <w:szCs w:val="24"/>
        </w:rPr>
        <w:t xml:space="preserve"> </w:t>
      </w:r>
      <w:r w:rsidR="00596B11" w:rsidRPr="00997130">
        <w:rPr>
          <w:rFonts w:hint="eastAsia"/>
          <w:szCs w:val="24"/>
        </w:rPr>
        <w:t>caspase-</w:t>
      </w:r>
      <w:r w:rsidR="00596B11" w:rsidRPr="00997130">
        <w:rPr>
          <w:szCs w:val="24"/>
        </w:rPr>
        <w:t>3</w:t>
      </w:r>
      <w:r w:rsidRPr="00997130">
        <w:rPr>
          <w:szCs w:val="24"/>
        </w:rPr>
        <w:t xml:space="preserve"> (1:</w:t>
      </w:r>
      <w:r w:rsidR="00204C99" w:rsidRPr="00997130">
        <w:rPr>
          <w:szCs w:val="24"/>
        </w:rPr>
        <w:t>4</w:t>
      </w:r>
      <w:r w:rsidRPr="00997130">
        <w:rPr>
          <w:szCs w:val="24"/>
        </w:rPr>
        <w:t xml:space="preserve">00, </w:t>
      </w:r>
      <w:r w:rsidR="00596B11" w:rsidRPr="00997130">
        <w:rPr>
          <w:szCs w:val="24"/>
        </w:rPr>
        <w:t>#9661</w:t>
      </w:r>
      <w:r w:rsidRPr="00997130">
        <w:rPr>
          <w:szCs w:val="24"/>
        </w:rPr>
        <w:t xml:space="preserve">, </w:t>
      </w:r>
      <w:r w:rsidR="00596B11" w:rsidRPr="00997130">
        <w:rPr>
          <w:szCs w:val="24"/>
        </w:rPr>
        <w:t xml:space="preserve">Cell </w:t>
      </w:r>
      <w:proofErr w:type="spellStart"/>
      <w:r w:rsidR="00596B11" w:rsidRPr="00997130">
        <w:rPr>
          <w:szCs w:val="24"/>
        </w:rPr>
        <w:t>Signalling</w:t>
      </w:r>
      <w:proofErr w:type="spellEnd"/>
      <w:r w:rsidR="00596B11" w:rsidRPr="00997130">
        <w:rPr>
          <w:szCs w:val="24"/>
        </w:rPr>
        <w:t xml:space="preserve"> Technology</w:t>
      </w:r>
      <w:r w:rsidRPr="00997130">
        <w:rPr>
          <w:szCs w:val="24"/>
        </w:rPr>
        <w:t xml:space="preserve">) were used. The pictures of positive cells were captured using an optical </w:t>
      </w:r>
      <w:r w:rsidRPr="00997130">
        <w:rPr>
          <w:szCs w:val="24"/>
        </w:rPr>
        <w:lastRenderedPageBreak/>
        <w:t>microscope (Olympus, Tokyo, Japan).</w:t>
      </w:r>
    </w:p>
    <w:p w14:paraId="1B7AAA26" w14:textId="77777777" w:rsidR="00FA521F" w:rsidRPr="00997130" w:rsidRDefault="00FA521F" w:rsidP="00FA521F">
      <w:pPr>
        <w:snapToGrid w:val="0"/>
        <w:spacing w:line="480" w:lineRule="auto"/>
        <w:rPr>
          <w:szCs w:val="24"/>
        </w:rPr>
      </w:pPr>
    </w:p>
    <w:p w14:paraId="4BDE3272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 xml:space="preserve">Terminal-deoxynucleotidyl transferase mediated nick end labeling (TUNEL) </w:t>
      </w:r>
    </w:p>
    <w:p w14:paraId="2642138F" w14:textId="47D29135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TUNEL was performed on paraffin sections of animal </w:t>
      </w:r>
      <w:proofErr w:type="spellStart"/>
      <w:r w:rsidR="00EF0C5D" w:rsidRPr="00997130">
        <w:rPr>
          <w:szCs w:val="24"/>
        </w:rPr>
        <w:t>tumour</w:t>
      </w:r>
      <w:r w:rsidRPr="00997130">
        <w:rPr>
          <w:szCs w:val="24"/>
        </w:rPr>
        <w:t>s</w:t>
      </w:r>
      <w:proofErr w:type="spellEnd"/>
      <w:r w:rsidRPr="00997130">
        <w:rPr>
          <w:szCs w:val="24"/>
        </w:rPr>
        <w:t xml:space="preserve"> using the Fluorescein (FITC) </w:t>
      </w:r>
      <w:proofErr w:type="spellStart"/>
      <w:r w:rsidRPr="00997130">
        <w:rPr>
          <w:szCs w:val="24"/>
        </w:rPr>
        <w:t>Tunel</w:t>
      </w:r>
      <w:proofErr w:type="spellEnd"/>
      <w:r w:rsidRPr="00997130">
        <w:rPr>
          <w:szCs w:val="24"/>
        </w:rPr>
        <w:t xml:space="preserve"> Cell Apoptosis Detection Kit (</w:t>
      </w:r>
      <w:proofErr w:type="spellStart"/>
      <w:r w:rsidRPr="00997130">
        <w:rPr>
          <w:szCs w:val="24"/>
        </w:rPr>
        <w:t>Servicebio</w:t>
      </w:r>
      <w:proofErr w:type="spellEnd"/>
      <w:r w:rsidRPr="00997130">
        <w:rPr>
          <w:szCs w:val="24"/>
        </w:rPr>
        <w:t>, Wuhan, China) according to manufacturer’s protocol. The fluorescence microscope (Olympus, Tokyo, Japan) with a magnification of 400 times was used to take pictures.</w:t>
      </w:r>
    </w:p>
    <w:p w14:paraId="4FF52E1D" w14:textId="77777777" w:rsidR="00FA521F" w:rsidRPr="00997130" w:rsidRDefault="00FA521F" w:rsidP="00FA521F">
      <w:pPr>
        <w:snapToGrid w:val="0"/>
        <w:spacing w:line="480" w:lineRule="auto"/>
        <w:ind w:firstLineChars="200" w:firstLine="480"/>
        <w:rPr>
          <w:szCs w:val="24"/>
        </w:rPr>
      </w:pPr>
    </w:p>
    <w:p w14:paraId="0BF6EE39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Determination of FAAH activity in GC cells</w:t>
      </w:r>
    </w:p>
    <w:p w14:paraId="1B1DB276" w14:textId="77777777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 xml:space="preserve">The activity of FAAH was determined by the FAAH Activity Assay Kit (Fluorometric, </w:t>
      </w:r>
      <w:proofErr w:type="spellStart"/>
      <w:r w:rsidRPr="00997130">
        <w:rPr>
          <w:szCs w:val="24"/>
        </w:rPr>
        <w:t>BioVision</w:t>
      </w:r>
      <w:proofErr w:type="spellEnd"/>
      <w:r w:rsidRPr="00997130">
        <w:rPr>
          <w:szCs w:val="24"/>
        </w:rPr>
        <w:t>, Milpitas, USA) according to manufacturer’s instructions. Cellular FAAH hydrolyzed a non-fluorescent substrate releasing 7-amino-4-methylcoumarin (AMC), which could be measured at Ex/</w:t>
      </w:r>
      <w:proofErr w:type="spellStart"/>
      <w:r w:rsidRPr="00997130">
        <w:rPr>
          <w:szCs w:val="24"/>
        </w:rPr>
        <w:t>Em</w:t>
      </w:r>
      <w:proofErr w:type="spellEnd"/>
      <w:r w:rsidRPr="00997130">
        <w:rPr>
          <w:szCs w:val="24"/>
        </w:rPr>
        <w:t xml:space="preserve">= 360/465 nm. The stable fluorescence signal was detected using </w:t>
      </w:r>
      <w:proofErr w:type="spellStart"/>
      <w:r w:rsidRPr="00997130">
        <w:rPr>
          <w:szCs w:val="24"/>
        </w:rPr>
        <w:t>FluoroskanTM</w:t>
      </w:r>
      <w:proofErr w:type="spellEnd"/>
      <w:r w:rsidRPr="00997130">
        <w:rPr>
          <w:szCs w:val="24"/>
        </w:rPr>
        <w:t xml:space="preserve"> Plate Reader (</w:t>
      </w:r>
      <w:proofErr w:type="spellStart"/>
      <w:r w:rsidRPr="00997130">
        <w:rPr>
          <w:szCs w:val="24"/>
        </w:rPr>
        <w:t>Thermo</w:t>
      </w:r>
      <w:proofErr w:type="spellEnd"/>
      <w:r w:rsidRPr="00997130">
        <w:rPr>
          <w:szCs w:val="24"/>
        </w:rPr>
        <w:t xml:space="preserve"> Fisher Scientific, Waltham, USA). The activities of FAAH in samples were then calculated using the following formula: B</w:t>
      </w:r>
      <w:proofErr w:type="gramStart"/>
      <w:r w:rsidRPr="00997130">
        <w:rPr>
          <w:szCs w:val="24"/>
        </w:rPr>
        <w:t>/(</w:t>
      </w:r>
      <w:proofErr w:type="gramEnd"/>
      <w:r w:rsidRPr="00997130">
        <w:rPr>
          <w:szCs w:val="24"/>
        </w:rPr>
        <w:t>∆t × V) × D (where B was AMC amount from standard curve, ∆t was reaction time, V was sample volume, D was dilution factor).</w:t>
      </w:r>
    </w:p>
    <w:p w14:paraId="5D5423B8" w14:textId="77777777" w:rsidR="00FA521F" w:rsidRPr="00997130" w:rsidRDefault="00FA521F" w:rsidP="00FA521F">
      <w:pPr>
        <w:snapToGrid w:val="0"/>
        <w:spacing w:line="480" w:lineRule="auto"/>
        <w:ind w:firstLineChars="200" w:firstLine="480"/>
        <w:rPr>
          <w:szCs w:val="24"/>
        </w:rPr>
      </w:pPr>
    </w:p>
    <w:p w14:paraId="7FEB354A" w14:textId="4B80AEE5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IC</w:t>
      </w:r>
      <w:r w:rsidRPr="00997130">
        <w:rPr>
          <w:b/>
          <w:bCs/>
          <w:szCs w:val="24"/>
          <w:vertAlign w:val="subscript"/>
        </w:rPr>
        <w:t>50</w:t>
      </w:r>
      <w:r w:rsidRPr="00997130">
        <w:rPr>
          <w:b/>
          <w:bCs/>
          <w:szCs w:val="24"/>
        </w:rPr>
        <w:t xml:space="preserve"> determination of PF</w:t>
      </w:r>
      <w:r w:rsidR="00C7629B" w:rsidRPr="00997130">
        <w:rPr>
          <w:b/>
          <w:bCs/>
          <w:szCs w:val="24"/>
        </w:rPr>
        <w:t>-</w:t>
      </w:r>
      <w:r w:rsidRPr="00997130">
        <w:rPr>
          <w:b/>
          <w:bCs/>
          <w:szCs w:val="24"/>
        </w:rPr>
        <w:t>3845</w:t>
      </w:r>
    </w:p>
    <w:p w14:paraId="3D835112" w14:textId="7E4452E8" w:rsidR="00C7629B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GC cells (5×10</w:t>
      </w:r>
      <w:r w:rsidRPr="00997130">
        <w:rPr>
          <w:szCs w:val="24"/>
          <w:vertAlign w:val="superscript"/>
        </w:rPr>
        <w:t>4</w:t>
      </w:r>
      <w:r w:rsidRPr="00997130">
        <w:rPr>
          <w:szCs w:val="24"/>
        </w:rPr>
        <w:t xml:space="preserve">/ml) were seeded into 96-well plates in a volume of 100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per well. </w:t>
      </w:r>
    </w:p>
    <w:p w14:paraId="7D6843DA" w14:textId="418D78ED" w:rsidR="00FA521F" w:rsidRPr="00997130" w:rsidRDefault="00FA521F" w:rsidP="003C2398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Different concentrations</w:t>
      </w:r>
      <w:r w:rsidR="007B2647" w:rsidRPr="00997130">
        <w:rPr>
          <w:szCs w:val="24"/>
        </w:rPr>
        <w:t xml:space="preserve"> (0, 20, 40, 60, 80 and 100μM</w:t>
      </w:r>
      <w:r w:rsidR="007B2647" w:rsidRPr="00997130">
        <w:rPr>
          <w:rFonts w:hint="eastAsia"/>
          <w:szCs w:val="24"/>
        </w:rPr>
        <w:t>)</w:t>
      </w:r>
      <w:r w:rsidRPr="00997130">
        <w:rPr>
          <w:szCs w:val="24"/>
        </w:rPr>
        <w:t xml:space="preserve"> of PF</w:t>
      </w:r>
      <w:r w:rsidR="00C7629B" w:rsidRPr="00997130">
        <w:rPr>
          <w:szCs w:val="24"/>
        </w:rPr>
        <w:t>-</w:t>
      </w:r>
      <w:r w:rsidRPr="00997130">
        <w:rPr>
          <w:szCs w:val="24"/>
        </w:rPr>
        <w:t>3845 (</w:t>
      </w:r>
      <w:proofErr w:type="spellStart"/>
      <w:r w:rsidR="007B2647" w:rsidRPr="00997130">
        <w:rPr>
          <w:szCs w:val="24"/>
        </w:rPr>
        <w:t>MedChem</w:t>
      </w:r>
      <w:proofErr w:type="spellEnd"/>
      <w:r w:rsidR="007B2647" w:rsidRPr="00997130">
        <w:rPr>
          <w:szCs w:val="24"/>
        </w:rPr>
        <w:t xml:space="preserve"> Express, Monmouth Junction, USA</w:t>
      </w:r>
      <w:r w:rsidR="000539D2" w:rsidRPr="00997130">
        <w:rPr>
          <w:rFonts w:hint="eastAsia"/>
          <w:szCs w:val="24"/>
        </w:rPr>
        <w:t>)</w:t>
      </w:r>
      <w:r w:rsidRPr="00997130">
        <w:rPr>
          <w:szCs w:val="24"/>
        </w:rPr>
        <w:t xml:space="preserve"> were added and co-incubated with cells for 24, 48 and 72 h. At the reaction time, 10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CCK-8 kit was added to each well and incubated at 37 °C for 2 h. The OD value was measured on a microplate reader at a wavelength of 450 nm.</w:t>
      </w:r>
    </w:p>
    <w:p w14:paraId="23FFF8A9" w14:textId="77777777" w:rsidR="00FA521F" w:rsidRPr="00997130" w:rsidRDefault="00FA521F" w:rsidP="00FA521F">
      <w:pPr>
        <w:snapToGrid w:val="0"/>
        <w:spacing w:line="480" w:lineRule="auto"/>
        <w:ind w:firstLineChars="200" w:firstLine="480"/>
        <w:rPr>
          <w:szCs w:val="24"/>
        </w:rPr>
      </w:pPr>
    </w:p>
    <w:p w14:paraId="2DF3259E" w14:textId="77777777" w:rsidR="00FA521F" w:rsidRPr="00997130" w:rsidRDefault="00FA521F" w:rsidP="00FA521F">
      <w:pPr>
        <w:snapToGrid w:val="0"/>
        <w:spacing w:line="480" w:lineRule="auto"/>
        <w:rPr>
          <w:b/>
          <w:bCs/>
          <w:szCs w:val="24"/>
        </w:rPr>
      </w:pPr>
      <w:r w:rsidRPr="00997130">
        <w:rPr>
          <w:b/>
          <w:bCs/>
          <w:szCs w:val="24"/>
        </w:rPr>
        <w:t>Detection of prostaglandins (PGs) in the cell supernatant</w:t>
      </w:r>
    </w:p>
    <w:p w14:paraId="391D2D76" w14:textId="3CC32EB0" w:rsidR="00616AB6" w:rsidRDefault="00FA521F" w:rsidP="00616AB6">
      <w:pPr>
        <w:snapToGrid w:val="0"/>
        <w:spacing w:line="480" w:lineRule="auto"/>
        <w:rPr>
          <w:szCs w:val="24"/>
        </w:rPr>
      </w:pPr>
      <w:r w:rsidRPr="00997130">
        <w:rPr>
          <w:szCs w:val="24"/>
        </w:rPr>
        <w:t>The content of various PGs (including total PG, PGE2, PGD2, PGI2 and PGF2α) in the cell supernatant were measured by ELISA (J&amp;L Biological, Shanghai, China) following the manufacturer’s protocols. The cell supernatant was collected and centrifuged at 1000g for 20 min to discard the precipitate</w:t>
      </w:r>
      <w:r w:rsidR="007B2647" w:rsidRPr="00997130">
        <w:rPr>
          <w:szCs w:val="24"/>
        </w:rPr>
        <w:t xml:space="preserve">, and </w:t>
      </w:r>
      <w:r w:rsidRPr="00997130">
        <w:rPr>
          <w:szCs w:val="24"/>
        </w:rPr>
        <w:t xml:space="preserve">50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cell supernatant or standard with different concentration were added into the respective wells. Then 100 </w:t>
      </w:r>
      <w:proofErr w:type="spellStart"/>
      <w:r w:rsidR="00997130" w:rsidRPr="00997130">
        <w:rPr>
          <w:szCs w:val="24"/>
        </w:rPr>
        <w:t>μL</w:t>
      </w:r>
      <w:proofErr w:type="spellEnd"/>
      <w:r w:rsidRPr="00997130">
        <w:rPr>
          <w:szCs w:val="24"/>
        </w:rPr>
        <w:t xml:space="preserve"> of HRP-labeled antibody was added to each well and incubated at 37°C for 60 min in a hybridization chamber. After washing</w:t>
      </w:r>
      <w:r w:rsidR="00715298" w:rsidRPr="00997130">
        <w:rPr>
          <w:szCs w:val="24"/>
        </w:rPr>
        <w:t xml:space="preserve"> three times</w:t>
      </w:r>
      <w:r w:rsidRPr="00997130">
        <w:rPr>
          <w:szCs w:val="24"/>
        </w:rPr>
        <w:t>, 50</w:t>
      </w:r>
      <w:r w:rsidR="00997130" w:rsidRPr="00997130">
        <w:rPr>
          <w:szCs w:val="24"/>
        </w:rPr>
        <w:t>μL</w:t>
      </w:r>
      <w:r w:rsidR="00542EFB" w:rsidRPr="00997130">
        <w:rPr>
          <w:szCs w:val="24"/>
        </w:rPr>
        <w:t xml:space="preserve"> </w:t>
      </w:r>
      <w:r w:rsidRPr="00997130">
        <w:rPr>
          <w:szCs w:val="24"/>
        </w:rPr>
        <w:t xml:space="preserve">of Substrate A and Substrate B were added into each well in turn. After 15 min of incubation at 37°C, the reaction was stopped and the OD values were recorded at a wavelength of 450 nm. Finally, the sample concentration was calculated </w:t>
      </w:r>
      <w:r w:rsidR="00715298" w:rsidRPr="00997130">
        <w:rPr>
          <w:szCs w:val="24"/>
        </w:rPr>
        <w:t>from the standard curve.</w:t>
      </w:r>
    </w:p>
    <w:sectPr w:rsidR="00616AB6" w:rsidSect="00997130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72A15" w14:textId="77777777" w:rsidR="00A6114D" w:rsidRDefault="00A6114D" w:rsidP="00616AB6">
      <w:r>
        <w:separator/>
      </w:r>
    </w:p>
  </w:endnote>
  <w:endnote w:type="continuationSeparator" w:id="0">
    <w:p w14:paraId="2E31BE81" w14:textId="77777777" w:rsidR="00A6114D" w:rsidRDefault="00A6114D" w:rsidP="0061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7802309"/>
      <w:docPartObj>
        <w:docPartGallery w:val="Page Numbers (Bottom of Page)"/>
        <w:docPartUnique/>
      </w:docPartObj>
    </w:sdtPr>
    <w:sdtContent>
      <w:p w14:paraId="264A3328" w14:textId="1C43D25E" w:rsidR="00763DD7" w:rsidRDefault="00763DD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6275FE8" w14:textId="77777777" w:rsidR="00763DD7" w:rsidRDefault="00763D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BE68" w14:textId="77777777" w:rsidR="00A6114D" w:rsidRDefault="00A6114D" w:rsidP="00616AB6">
      <w:r>
        <w:separator/>
      </w:r>
    </w:p>
  </w:footnote>
  <w:footnote w:type="continuationSeparator" w:id="0">
    <w:p w14:paraId="7AA34CE1" w14:textId="77777777" w:rsidR="00A6114D" w:rsidRDefault="00A6114D" w:rsidP="00616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1F"/>
    <w:rsid w:val="00017896"/>
    <w:rsid w:val="000539D2"/>
    <w:rsid w:val="001C5B2A"/>
    <w:rsid w:val="00204C99"/>
    <w:rsid w:val="0031168D"/>
    <w:rsid w:val="003B473F"/>
    <w:rsid w:val="003C2398"/>
    <w:rsid w:val="004C5056"/>
    <w:rsid w:val="004E10C8"/>
    <w:rsid w:val="00542EFB"/>
    <w:rsid w:val="00596B11"/>
    <w:rsid w:val="005D642D"/>
    <w:rsid w:val="005D78D4"/>
    <w:rsid w:val="00616AB6"/>
    <w:rsid w:val="006506D6"/>
    <w:rsid w:val="00680A2A"/>
    <w:rsid w:val="00696D34"/>
    <w:rsid w:val="006B0E94"/>
    <w:rsid w:val="00715298"/>
    <w:rsid w:val="00763DD7"/>
    <w:rsid w:val="007B2647"/>
    <w:rsid w:val="008833F7"/>
    <w:rsid w:val="0090103D"/>
    <w:rsid w:val="00997130"/>
    <w:rsid w:val="009B62DF"/>
    <w:rsid w:val="00A6114D"/>
    <w:rsid w:val="00B13909"/>
    <w:rsid w:val="00BD0E6A"/>
    <w:rsid w:val="00C45D45"/>
    <w:rsid w:val="00C7629B"/>
    <w:rsid w:val="00CD3C74"/>
    <w:rsid w:val="00EF0C5D"/>
    <w:rsid w:val="00FA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6976D"/>
  <w15:chartTrackingRefBased/>
  <w15:docId w15:val="{CCD889A2-4172-4FB1-901C-0AA28522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2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A521F"/>
  </w:style>
  <w:style w:type="paragraph" w:styleId="a4">
    <w:name w:val="header"/>
    <w:basedOn w:val="a"/>
    <w:link w:val="a5"/>
    <w:uiPriority w:val="99"/>
    <w:unhideWhenUsed/>
    <w:rsid w:val="00616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6AB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16A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6A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1327</Words>
  <Characters>7567</Characters>
  <Application>Microsoft Office Word</Application>
  <DocSecurity>0</DocSecurity>
  <Lines>63</Lines>
  <Paragraphs>17</Paragraphs>
  <ScaleCrop>false</ScaleCrop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倩</dc:creator>
  <cp:keywords/>
  <dc:description/>
  <cp:lastModifiedBy>杨 倩</cp:lastModifiedBy>
  <cp:revision>8</cp:revision>
  <dcterms:created xsi:type="dcterms:W3CDTF">2022-05-23T15:51:00Z</dcterms:created>
  <dcterms:modified xsi:type="dcterms:W3CDTF">2023-01-10T13:46:00Z</dcterms:modified>
</cp:coreProperties>
</file>